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67" w:lineRule="exact"/>
        <w:rPr>
          <w:sz w:val="24"/>
          <w:szCs w:val="24"/>
          <w:color w:val="auto"/>
        </w:rPr>
      </w:pPr>
    </w:p>
    <w:p>
      <w:pPr>
        <w:jc w:val="center"/>
        <w:ind w:right="220"/>
        <w:spacing w:after="0"/>
        <w:rPr>
          <w:sz w:val="20"/>
          <w:szCs w:val="20"/>
          <w:color w:val="auto"/>
        </w:rPr>
      </w:pPr>
      <w:r>
        <w:rPr>
          <w:rFonts w:ascii="Arial" w:cs="Arial" w:eastAsia="Arial" w:hAnsi="Arial"/>
          <w:sz w:val="24"/>
          <w:szCs w:val="24"/>
          <w:b w:val="1"/>
          <w:bCs w:val="1"/>
          <w:color w:val="auto"/>
        </w:rPr>
        <w:t>Washington, D.C. 20549</w:t>
      </w:r>
    </w:p>
    <w:p>
      <w:pPr>
        <w:spacing w:after="0" w:line="77" w:lineRule="exact"/>
        <w:rPr>
          <w:sz w:val="24"/>
          <w:szCs w:val="24"/>
          <w:color w:val="auto"/>
        </w:rPr>
      </w:pPr>
    </w:p>
    <w:p>
      <w:pPr>
        <w:jc w:val="center"/>
        <w:ind w:right="220"/>
        <w:spacing w:after="0"/>
        <w:rPr>
          <w:sz w:val="20"/>
          <w:szCs w:val="20"/>
          <w:color w:val="auto"/>
        </w:rPr>
      </w:pPr>
      <w:r>
        <w:rPr>
          <w:rFonts w:ascii="Arial" w:cs="Arial" w:eastAsia="Arial" w:hAnsi="Arial"/>
          <w:sz w:val="28"/>
          <w:szCs w:val="28"/>
          <w:b w:val="1"/>
          <w:bCs w:val="1"/>
          <w:color w:val="auto"/>
        </w:rPr>
        <w:t>FORM 10-K</w:t>
      </w:r>
    </w:p>
    <w:p>
      <w:pPr>
        <w:spacing w:after="0" w:line="167" w:lineRule="exact"/>
        <w:rPr>
          <w:sz w:val="24"/>
          <w:szCs w:val="24"/>
          <w:color w:val="auto"/>
        </w:rPr>
      </w:pPr>
    </w:p>
    <w:p>
      <w:pPr>
        <w:ind w:left="1180" w:hanging="781"/>
        <w:spacing w:after="0"/>
        <w:tabs>
          <w:tab w:leader="none" w:pos="1180" w:val="left"/>
        </w:tabs>
        <w:numPr>
          <w:ilvl w:val="0"/>
          <w:numId w:val="1"/>
        </w:numPr>
        <w:rPr>
          <w:rFonts w:ascii="Segoe UI" w:cs="Segoe UI" w:eastAsia="Segoe UI" w:hAnsi="Segoe UI"/>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1080" w:hanging="729"/>
        <w:spacing w:after="0"/>
        <w:tabs>
          <w:tab w:leader="none" w:pos="1080" w:val="left"/>
        </w:tabs>
        <w:numPr>
          <w:ilvl w:val="0"/>
          <w:numId w:val="2"/>
        </w:numPr>
        <w:rPr>
          <w:rFonts w:ascii="Segoe UI" w:cs="Segoe UI" w:eastAsia="Segoe UI" w:hAnsi="Segoe UI"/>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For the transition period from _____to_____</w:t>
            </w: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b w:val="1"/>
                <w:bCs w:val="1"/>
                <w:color w:val="auto"/>
              </w:rPr>
              <w:t>Commission File Number: 001-41196</w:t>
            </w: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9"/>
              </w:rPr>
              <w:t>USCB Financial Holdings, Inc.</w:t>
            </w: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i w:val="1"/>
                <w:iCs w:val="1"/>
                <w:color w:val="auto"/>
                <w:w w:val="99"/>
              </w:rPr>
              <w:t>(Exact name of registrant as specified in its charter)</w:t>
            </w: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880" w:type="dxa"/>
            <w:vAlign w:val="bottom"/>
          </w:tcPr>
          <w:p>
            <w:pPr>
              <w:spacing w:after="0"/>
              <w:rPr>
                <w:sz w:val="24"/>
                <w:szCs w:val="24"/>
                <w:color w:val="auto"/>
              </w:rPr>
            </w:pPr>
          </w:p>
        </w:tc>
        <w:tc>
          <w:tcPr>
            <w:tcW w:w="236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Florida</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87-4070846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40" w:type="dxa"/>
            <w:vAlign w:val="bottom"/>
            <w:gridSpan w:val="3"/>
          </w:tcPr>
          <w:p>
            <w:pPr>
              <w:jc w:val="center"/>
              <w:ind w:right="40"/>
              <w:spacing w:after="0"/>
              <w:rPr>
                <w:sz w:val="20"/>
                <w:szCs w:val="20"/>
                <w:color w:val="auto"/>
              </w:rPr>
            </w:pPr>
            <w:r>
              <w:rPr>
                <w:rFonts w:ascii="Arial" w:cs="Arial" w:eastAsia="Arial" w:hAnsi="Arial"/>
                <w:sz w:val="16"/>
                <w:szCs w:val="16"/>
                <w:i w:val="1"/>
                <w:iCs w:val="1"/>
                <w:color w:val="auto"/>
                <w:w w:val="99"/>
              </w:rPr>
              <w:t>(State or other jurisdiction of</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6"/>
                <w:szCs w:val="16"/>
                <w:i w:val="1"/>
                <w:iCs w:val="1"/>
                <w:color w:val="auto"/>
              </w:rPr>
              <w:t>(I.R.S. Employer</w:t>
            </w:r>
          </w:p>
        </w:tc>
        <w:tc>
          <w:tcPr>
            <w:tcW w:w="0" w:type="dxa"/>
            <w:vAlign w:val="bottom"/>
          </w:tcPr>
          <w:p>
            <w:pPr>
              <w:spacing w:after="0"/>
              <w:rPr>
                <w:sz w:val="1"/>
                <w:szCs w:val="1"/>
                <w:color w:val="auto"/>
              </w:rPr>
            </w:pPr>
          </w:p>
        </w:tc>
      </w:tr>
      <w:tr>
        <w:trPr>
          <w:trHeight w:val="212"/>
        </w:trPr>
        <w:tc>
          <w:tcPr>
            <w:tcW w:w="3240" w:type="dxa"/>
            <w:vAlign w:val="bottom"/>
            <w:gridSpan w:val="3"/>
          </w:tcPr>
          <w:p>
            <w:pPr>
              <w:jc w:val="center"/>
              <w:ind w:right="20"/>
              <w:spacing w:after="0"/>
              <w:rPr>
                <w:sz w:val="20"/>
                <w:szCs w:val="20"/>
                <w:color w:val="auto"/>
              </w:rPr>
            </w:pPr>
            <w:r>
              <w:rPr>
                <w:rFonts w:ascii="Arial" w:cs="Arial" w:eastAsia="Arial" w:hAnsi="Arial"/>
                <w:sz w:val="16"/>
                <w:szCs w:val="16"/>
                <w:i w:val="1"/>
                <w:iCs w:val="1"/>
                <w:color w:val="auto"/>
              </w:rPr>
              <w:t>incorporation or organization)</w:t>
            </w:r>
          </w:p>
        </w:tc>
        <w:tc>
          <w:tcPr>
            <w:tcW w:w="3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9"/>
              </w:rPr>
              <w:t>2301 NW 87th Avenue, Doral, FL 33172</w:t>
            </w:r>
          </w:p>
        </w:tc>
        <w:tc>
          <w:tcPr>
            <w:tcW w:w="60" w:type="dxa"/>
            <w:vAlign w:val="bottom"/>
          </w:tcPr>
          <w:p>
            <w:pPr>
              <w:spacing w:after="0"/>
              <w:rPr>
                <w:sz w:val="18"/>
                <w:szCs w:val="18"/>
                <w:color w:val="auto"/>
              </w:rPr>
            </w:pPr>
          </w:p>
        </w:tc>
        <w:tc>
          <w:tcPr>
            <w:tcW w:w="3380" w:type="dxa"/>
            <w:vAlign w:val="bottom"/>
            <w:gridSpan w:val="2"/>
          </w:tcPr>
          <w:p>
            <w:pPr>
              <w:jc w:val="center"/>
              <w:spacing w:after="0"/>
              <w:rPr>
                <w:sz w:val="20"/>
                <w:szCs w:val="20"/>
                <w:color w:val="auto"/>
              </w:rPr>
            </w:pPr>
            <w:r>
              <w:rPr>
                <w:rFonts w:ascii="Arial" w:cs="Arial" w:eastAsia="Arial" w:hAnsi="Arial"/>
                <w:sz w:val="16"/>
                <w:szCs w:val="16"/>
                <w:i w:val="1"/>
                <w:iCs w:val="1"/>
                <w:color w:val="auto"/>
                <w:w w:val="99"/>
              </w:rPr>
              <w:t>Identification No.)</w:t>
            </w: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i w:val="1"/>
                <w:iCs w:val="1"/>
                <w:color w:val="auto"/>
                <w:w w:val="99"/>
              </w:rPr>
              <w:t>(Address of principal executive offices) (zip code)</w:t>
            </w:r>
          </w:p>
        </w:tc>
        <w:tc>
          <w:tcPr>
            <w:tcW w:w="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20" w:type="dxa"/>
            <w:vAlign w:val="bottom"/>
            <w:gridSpan w:val="7"/>
          </w:tcPr>
          <w:p>
            <w:pPr>
              <w:jc w:val="center"/>
              <w:ind w:right="23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(305) 715-5200</w:t>
            </w:r>
          </w:p>
        </w:tc>
        <w:tc>
          <w:tcPr>
            <w:tcW w:w="0" w:type="dxa"/>
            <w:vAlign w:val="bottom"/>
          </w:tcPr>
          <w:p>
            <w:pPr>
              <w:spacing w:after="0"/>
              <w:rPr>
                <w:sz w:val="1"/>
                <w:szCs w:val="1"/>
                <w:color w:val="auto"/>
              </w:rPr>
            </w:pPr>
          </w:p>
        </w:tc>
      </w:tr>
      <w:tr>
        <w:trPr>
          <w:trHeight w:val="314"/>
        </w:trPr>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20" w:type="dxa"/>
            <w:vAlign w:val="bottom"/>
            <w:gridSpan w:val="7"/>
          </w:tcPr>
          <w:p>
            <w:pPr>
              <w:jc w:val="center"/>
              <w:ind w:right="2380"/>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236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Title of each class</w:t>
            </w:r>
          </w:p>
        </w:tc>
        <w:tc>
          <w:tcPr>
            <w:tcW w:w="3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34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240" w:type="dxa"/>
            <w:vAlign w:val="bottom"/>
            <w:gridSpan w:val="3"/>
          </w:tcPr>
          <w:p>
            <w:pPr>
              <w:jc w:val="center"/>
              <w:spacing w:after="0"/>
              <w:rPr>
                <w:sz w:val="20"/>
                <w:szCs w:val="20"/>
                <w:color w:val="auto"/>
              </w:rPr>
            </w:pPr>
            <w:r>
              <w:rPr>
                <w:rFonts w:ascii="Arial" w:cs="Arial" w:eastAsia="Arial" w:hAnsi="Arial"/>
                <w:sz w:val="16"/>
                <w:szCs w:val="16"/>
                <w:color w:val="auto"/>
              </w:rPr>
              <w:t>Class A Common Stock, $1.00 par value per</w:t>
            </w:r>
          </w:p>
        </w:tc>
        <w:tc>
          <w:tcPr>
            <w:tcW w:w="1240" w:type="dxa"/>
            <w:vAlign w:val="bottom"/>
          </w:tcPr>
          <w:p>
            <w:pPr>
              <w:spacing w:after="0"/>
              <w:rPr>
                <w:sz w:val="19"/>
                <w:szCs w:val="19"/>
                <w:color w:val="auto"/>
              </w:rPr>
            </w:pPr>
          </w:p>
        </w:tc>
        <w:tc>
          <w:tcPr>
            <w:tcW w:w="2560" w:type="dxa"/>
            <w:vAlign w:val="bottom"/>
            <w:gridSpan w:val="2"/>
          </w:tcPr>
          <w:p>
            <w:pPr>
              <w:jc w:val="center"/>
              <w:ind w:right="1160"/>
              <w:spacing w:after="0"/>
              <w:rPr>
                <w:sz w:val="20"/>
                <w:szCs w:val="20"/>
                <w:color w:val="auto"/>
              </w:rPr>
            </w:pPr>
            <w:r>
              <w:rPr>
                <w:rFonts w:ascii="Arial" w:cs="Arial" w:eastAsia="Arial" w:hAnsi="Arial"/>
                <w:sz w:val="16"/>
                <w:szCs w:val="16"/>
                <w:color w:val="auto"/>
                <w:w w:val="98"/>
              </w:rPr>
              <w:t>USCB</w:t>
            </w:r>
          </w:p>
        </w:tc>
        <w:tc>
          <w:tcPr>
            <w:tcW w:w="60" w:type="dxa"/>
            <w:vAlign w:val="bottom"/>
          </w:tcPr>
          <w:p>
            <w:pPr>
              <w:spacing w:after="0"/>
              <w:rPr>
                <w:sz w:val="19"/>
                <w:szCs w:val="19"/>
                <w:color w:val="auto"/>
              </w:rPr>
            </w:pPr>
          </w:p>
        </w:tc>
        <w:tc>
          <w:tcPr>
            <w:tcW w:w="3380" w:type="dxa"/>
            <w:vAlign w:val="bottom"/>
            <w:gridSpan w:val="2"/>
          </w:tcPr>
          <w:p>
            <w:pPr>
              <w:jc w:val="center"/>
              <w:ind w:right="20"/>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2360" w:type="dxa"/>
            <w:vAlign w:val="bottom"/>
            <w:gridSpan w:val="2"/>
          </w:tcPr>
          <w:p>
            <w:pPr>
              <w:jc w:val="center"/>
              <w:ind w:right="880"/>
              <w:spacing w:after="0"/>
              <w:rPr>
                <w:sz w:val="20"/>
                <w:szCs w:val="20"/>
                <w:color w:val="auto"/>
              </w:rPr>
            </w:pPr>
            <w:r>
              <w:rPr>
                <w:rFonts w:ascii="Arial" w:cs="Arial" w:eastAsia="Arial" w:hAnsi="Arial"/>
                <w:sz w:val="16"/>
                <w:szCs w:val="16"/>
                <w:color w:val="auto"/>
                <w:w w:val="99"/>
              </w:rPr>
              <w:t>share</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1931035</wp:posOffset>
            </wp:positionH>
            <wp:positionV relativeFrom="paragraph">
              <wp:posOffset>-2306320</wp:posOffset>
            </wp:positionV>
            <wp:extent cx="2713990" cy="336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3990" cy="336550"/>
                    </a:xfrm>
                    <a:prstGeom prst="rect">
                      <a:avLst/>
                    </a:prstGeom>
                    <a:noFill/>
                  </pic:spPr>
                </pic:pic>
              </a:graphicData>
            </a:graphic>
          </wp:anchor>
        </w:drawing>
      </w:r>
    </w:p>
    <w:p>
      <w:pPr>
        <w:spacing w:after="0" w:line="99"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51" w:lineRule="exact"/>
        <w:rPr>
          <w:sz w:val="24"/>
          <w:szCs w:val="24"/>
          <w:color w:val="auto"/>
        </w:rPr>
      </w:pPr>
    </w:p>
    <w:p>
      <w:pPr>
        <w:ind w:left="140" w:right="1060"/>
        <w:spacing w:after="0" w:line="383"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Segoe UI" w:cs="Segoe UI" w:eastAsia="Segoe UI" w:hAnsi="Segoe UI"/>
          <w:sz w:val="16"/>
          <w:szCs w:val="16"/>
          <w:color w:val="auto"/>
        </w:rPr>
        <w:t>տ</w:t>
      </w:r>
      <w:r>
        <w:rPr>
          <w:rFonts w:ascii="Arial" w:cs="Arial" w:eastAsia="Arial" w:hAnsi="Arial"/>
          <w:sz w:val="16"/>
          <w:szCs w:val="16"/>
          <w:color w:val="auto"/>
        </w:rPr>
        <w:t xml:space="preserve"> Yes No </w:t>
      </w:r>
      <w:r>
        <w:rPr>
          <w:rFonts w:ascii="Segoe UI" w:cs="Segoe UI" w:eastAsia="Segoe UI" w:hAnsi="Segoe UI"/>
          <w:sz w:val="16"/>
          <w:szCs w:val="16"/>
          <w:color w:val="auto"/>
        </w:rPr>
        <w:t>ց</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Segoe UI" w:cs="Segoe UI" w:eastAsia="Segoe UI" w:hAnsi="Segoe UI"/>
          <w:sz w:val="16"/>
          <w:szCs w:val="16"/>
          <w:color w:val="auto"/>
        </w:rPr>
        <w:t>տ</w:t>
      </w:r>
      <w:r>
        <w:rPr>
          <w:rFonts w:ascii="Arial" w:cs="Arial" w:eastAsia="Arial" w:hAnsi="Arial"/>
          <w:sz w:val="16"/>
          <w:szCs w:val="16"/>
          <w:color w:val="auto"/>
        </w:rPr>
        <w:t xml:space="preserve"> No </w:t>
      </w:r>
      <w:r>
        <w:rPr>
          <w:rFonts w:ascii="Segoe UI" w:cs="Segoe UI" w:eastAsia="Segoe UI" w:hAnsi="Segoe UI"/>
          <w:sz w:val="16"/>
          <w:szCs w:val="16"/>
          <w:color w:val="auto"/>
        </w:rPr>
        <w:t>ց</w:t>
      </w:r>
    </w:p>
    <w:p>
      <w:pPr>
        <w:spacing w:after="0" w:line="1" w:lineRule="exact"/>
        <w:rPr>
          <w:sz w:val="24"/>
          <w:szCs w:val="24"/>
          <w:color w:val="auto"/>
        </w:rPr>
      </w:pPr>
    </w:p>
    <w:p>
      <w:pPr>
        <w:jc w:val="both"/>
        <w:ind w:left="140"/>
        <w:spacing w:after="0" w:line="24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such filing requirements for the past 90 days. Yes </w:t>
      </w:r>
      <w:r>
        <w:rPr>
          <w:rFonts w:ascii="Segoe UI" w:cs="Segoe UI" w:eastAsia="Segoe UI" w:hAnsi="Segoe UI"/>
          <w:sz w:val="16"/>
          <w:szCs w:val="16"/>
          <w:color w:val="auto"/>
        </w:rPr>
        <w:t>ց</w:t>
      </w:r>
      <w:r>
        <w:rPr>
          <w:rFonts w:ascii="Arial" w:cs="Arial" w:eastAsia="Arial" w:hAnsi="Arial"/>
          <w:sz w:val="16"/>
          <w:szCs w:val="16"/>
          <w:color w:val="auto"/>
        </w:rPr>
        <w:t xml:space="preserve"> No </w:t>
      </w:r>
      <w:r>
        <w:rPr>
          <w:rFonts w:ascii="Segoe UI" w:cs="Segoe UI" w:eastAsia="Segoe UI" w:hAnsi="Segoe UI"/>
          <w:sz w:val="16"/>
          <w:szCs w:val="16"/>
          <w:color w:val="auto"/>
        </w:rPr>
        <w:t>տ</w:t>
      </w:r>
    </w:p>
    <w:p>
      <w:pPr>
        <w:spacing w:after="0" w:line="87" w:lineRule="exact"/>
        <w:rPr>
          <w:sz w:val="24"/>
          <w:szCs w:val="24"/>
          <w:color w:val="auto"/>
        </w:rPr>
      </w:pPr>
    </w:p>
    <w:p>
      <w:pPr>
        <w:jc w:val="both"/>
        <w:ind w:left="140"/>
        <w:spacing w:after="0" w:line="26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such files). Yes </w:t>
      </w:r>
      <w:r>
        <w:rPr>
          <w:rFonts w:ascii="Segoe UI" w:cs="Segoe UI" w:eastAsia="Segoe UI" w:hAnsi="Segoe UI"/>
          <w:sz w:val="16"/>
          <w:szCs w:val="16"/>
          <w:color w:val="auto"/>
        </w:rPr>
        <w:t>ց</w:t>
      </w:r>
      <w:r>
        <w:rPr>
          <w:rFonts w:ascii="Arial" w:cs="Arial" w:eastAsia="Arial" w:hAnsi="Arial"/>
          <w:sz w:val="16"/>
          <w:szCs w:val="16"/>
          <w:color w:val="auto"/>
        </w:rPr>
        <w:t xml:space="preserve"> No </w:t>
      </w:r>
      <w:r>
        <w:rPr>
          <w:rFonts w:ascii="Segoe UI" w:cs="Segoe UI" w:eastAsia="Segoe UI" w:hAnsi="Segoe UI"/>
          <w:sz w:val="16"/>
          <w:szCs w:val="16"/>
          <w:color w:val="auto"/>
        </w:rPr>
        <w:t>տ</w:t>
      </w:r>
    </w:p>
    <w:p>
      <w:pPr>
        <w:spacing w:after="0" w:line="87" w:lineRule="exact"/>
        <w:rPr>
          <w:sz w:val="24"/>
          <w:szCs w:val="24"/>
          <w:color w:val="auto"/>
        </w:rPr>
      </w:pPr>
    </w:p>
    <w:p>
      <w:pPr>
        <w:jc w:val="both"/>
        <w:ind w:left="14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 w:lineRule="exact"/>
        <w:rPr>
          <w:sz w:val="24"/>
          <w:szCs w:val="24"/>
          <w:color w:val="auto"/>
        </w:rPr>
      </w:pPr>
    </w:p>
    <w:p>
      <w:pPr>
        <w:ind w:left="140"/>
        <w:spacing w:after="0"/>
        <w:tabs>
          <w:tab w:leader="none" w:pos="2060" w:val="left"/>
          <w:tab w:leader="none" w:pos="7460" w:val="left"/>
        </w:tabs>
        <w:rPr>
          <w:sz w:val="20"/>
          <w:szCs w:val="20"/>
          <w:color w:val="auto"/>
        </w:rPr>
      </w:pPr>
      <w:r>
        <w:rPr>
          <w:rFonts w:ascii="Arial" w:cs="Arial" w:eastAsia="Arial" w:hAnsi="Arial"/>
          <w:sz w:val="16"/>
          <w:szCs w:val="16"/>
          <w:color w:val="auto"/>
        </w:rPr>
        <w:t xml:space="preserve">Large accelerated filer </w:t>
      </w:r>
      <w:r>
        <w:rPr>
          <w:rFonts w:ascii="Segoe UI" w:cs="Segoe UI" w:eastAsia="Segoe UI" w:hAnsi="Segoe UI"/>
          <w:sz w:val="16"/>
          <w:szCs w:val="16"/>
          <w:color w:val="auto"/>
        </w:rPr>
        <w:t>տ</w:t>
      </w:r>
      <w:r>
        <w:rPr>
          <w:rFonts w:ascii="Arial" w:cs="Arial" w:eastAsia="Arial" w:hAnsi="Arial"/>
          <w:sz w:val="16"/>
          <w:szCs w:val="16"/>
          <w:color w:val="auto"/>
        </w:rPr>
        <w:tab/>
        <w:t xml:space="preserve">Accelerated filer </w:t>
      </w:r>
      <w:r>
        <w:rPr>
          <w:rFonts w:ascii="Segoe UI" w:cs="Segoe UI" w:eastAsia="Segoe UI" w:hAnsi="Segoe UI"/>
          <w:sz w:val="16"/>
          <w:szCs w:val="16"/>
          <w:color w:val="auto"/>
        </w:rPr>
        <w:t>ց</w:t>
      </w:r>
      <w:r>
        <w:rPr>
          <w:rFonts w:ascii="Arial" w:cs="Arial" w:eastAsia="Arial" w:hAnsi="Arial"/>
          <w:sz w:val="16"/>
          <w:szCs w:val="16"/>
          <w:color w:val="auto"/>
        </w:rPr>
        <w:t xml:space="preserve"> Non-accelerated filer </w:t>
      </w:r>
      <w:r>
        <w:rPr>
          <w:rFonts w:ascii="Segoe UI" w:cs="Segoe UI" w:eastAsia="Segoe UI" w:hAnsi="Segoe UI"/>
          <w:sz w:val="16"/>
          <w:szCs w:val="16"/>
          <w:color w:val="auto"/>
        </w:rPr>
        <w:t>տ</w:t>
      </w:r>
      <w:r>
        <w:rPr>
          <w:rFonts w:ascii="Arial" w:cs="Arial" w:eastAsia="Arial" w:hAnsi="Arial"/>
          <w:sz w:val="16"/>
          <w:szCs w:val="16"/>
          <w:color w:val="auto"/>
        </w:rPr>
        <w:t xml:space="preserve"> Smaller reporting company </w:t>
      </w:r>
      <w:r>
        <w:rPr>
          <w:rFonts w:ascii="Segoe UI" w:cs="Segoe UI" w:eastAsia="Segoe UI" w:hAnsi="Segoe UI"/>
          <w:sz w:val="16"/>
          <w:szCs w:val="16"/>
          <w:color w:val="auto"/>
        </w:rPr>
        <w:t>ց</w:t>
      </w:r>
      <w:r>
        <w:rPr>
          <w:rFonts w:ascii="Arial" w:cs="Arial" w:eastAsia="Arial" w:hAnsi="Arial"/>
          <w:sz w:val="16"/>
          <w:szCs w:val="16"/>
          <w:color w:val="auto"/>
        </w:rPr>
        <w:tab/>
        <w:t xml:space="preserve">Emerging growth company </w:t>
      </w:r>
      <w:r>
        <w:rPr>
          <w:rFonts w:ascii="Segoe UI" w:cs="Segoe UI" w:eastAsia="Segoe UI" w:hAnsi="Segoe UI"/>
          <w:sz w:val="16"/>
          <w:szCs w:val="16"/>
          <w:color w:val="auto"/>
        </w:rPr>
        <w:t>ց</w:t>
      </w:r>
    </w:p>
    <w:p>
      <w:pPr>
        <w:spacing w:after="0" w:line="153" w:lineRule="exact"/>
        <w:rPr>
          <w:sz w:val="24"/>
          <w:szCs w:val="24"/>
          <w:color w:val="auto"/>
        </w:rPr>
      </w:pPr>
    </w:p>
    <w:p>
      <w:pPr>
        <w:jc w:val="both"/>
        <w:ind w:left="140"/>
        <w:spacing w:after="0" w:line="30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1" w:lineRule="exact"/>
        <w:rPr>
          <w:sz w:val="24"/>
          <w:szCs w:val="24"/>
          <w:color w:val="auto"/>
        </w:rPr>
      </w:pPr>
    </w:p>
    <w:p>
      <w:pPr>
        <w:jc w:val="both"/>
        <w:ind w:left="140"/>
        <w:spacing w:after="0" w:line="265"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 xml:space="preserve">prepared or issued its audit report. </w:t>
      </w:r>
      <w:r>
        <w:rPr>
          <w:rFonts w:ascii="Segoe UI" w:cs="Segoe UI" w:eastAsia="Segoe UI" w:hAnsi="Segoe UI"/>
          <w:sz w:val="16"/>
          <w:szCs w:val="16"/>
          <w:color w:val="auto"/>
        </w:rPr>
        <w:t>տ</w:t>
      </w:r>
    </w:p>
    <w:p>
      <w:pPr>
        <w:spacing w:after="0" w:line="87" w:lineRule="exact"/>
        <w:rPr>
          <w:sz w:val="24"/>
          <w:szCs w:val="24"/>
          <w:color w:val="auto"/>
        </w:rPr>
      </w:pPr>
    </w:p>
    <w:p>
      <w:pPr>
        <w:jc w:val="both"/>
        <w:ind w:left="140"/>
        <w:spacing w:after="0" w:line="300"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spacing w:after="0" w:line="1" w:lineRule="exact"/>
        <w:rPr>
          <w:sz w:val="24"/>
          <w:szCs w:val="24"/>
          <w:color w:val="auto"/>
        </w:rPr>
      </w:pPr>
    </w:p>
    <w:p>
      <w:pPr>
        <w:jc w:val="both"/>
        <w:ind w:left="140"/>
        <w:spacing w:after="0" w:line="300"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Securities Exchange Act of 1934). Yes </w:t>
      </w:r>
      <w:r>
        <w:rPr>
          <w:rFonts w:ascii="Segoe UI" w:cs="Segoe UI" w:eastAsia="Segoe UI" w:hAnsi="Segoe UI"/>
          <w:sz w:val="16"/>
          <w:szCs w:val="16"/>
          <w:color w:val="auto"/>
        </w:rPr>
        <w:t>տ</w:t>
      </w:r>
      <w:r>
        <w:rPr>
          <w:rFonts w:ascii="Arial" w:cs="Arial" w:eastAsia="Arial" w:hAnsi="Arial"/>
          <w:sz w:val="16"/>
          <w:szCs w:val="16"/>
          <w:color w:val="auto"/>
        </w:rPr>
        <w:t xml:space="preserve"> No </w:t>
      </w:r>
      <w:r>
        <w:rPr>
          <w:rFonts w:ascii="Segoe UI" w:cs="Segoe UI" w:eastAsia="Segoe UI" w:hAnsi="Segoe UI"/>
          <w:sz w:val="16"/>
          <w:szCs w:val="16"/>
          <w:color w:val="auto"/>
        </w:rPr>
        <w:t>ց</w:t>
      </w:r>
    </w:p>
    <w:p>
      <w:pPr>
        <w:spacing w:after="0" w:line="99" w:lineRule="exact"/>
        <w:rPr>
          <w:sz w:val="24"/>
          <w:szCs w:val="24"/>
          <w:color w:val="auto"/>
        </w:rPr>
      </w:pPr>
    </w:p>
    <w:p>
      <w:pPr>
        <w:ind w:left="140" w:right="220"/>
        <w:spacing w:after="0" w:line="254" w:lineRule="auto"/>
        <w:rPr>
          <w:sz w:val="20"/>
          <w:szCs w:val="20"/>
          <w:color w:val="auto"/>
        </w:rPr>
      </w:pPr>
      <w:r>
        <w:rPr>
          <w:rFonts w:ascii="Arial" w:cs="Arial" w:eastAsia="Arial" w:hAnsi="Arial"/>
          <w:sz w:val="16"/>
          <w:szCs w:val="16"/>
          <w:color w:val="auto"/>
        </w:rPr>
        <w:t>The aggregate market value of the voting stock held by non-affiliates of the registrant based on the closing price of $16.54 per share on June 30, 2025, the last business day of the registrant’s second quarter, was approximately $173.0 million (20,078,385 shares issued and outstanding at such date less shares held by affiliates). Although directors and executive officers and their affiliates of the Registrant were assumed to be “affiliates” of the Registrant for purposes of the calculation, the classification is not to be interpreted as an admission of such status.</w:t>
      </w:r>
    </w:p>
    <w:p>
      <w:pPr>
        <w:spacing w:after="0" w:line="58" w:lineRule="exact"/>
        <w:rPr>
          <w:sz w:val="24"/>
          <w:szCs w:val="24"/>
          <w:color w:val="auto"/>
        </w:rPr>
      </w:pPr>
    </w:p>
    <w:p>
      <w:pPr>
        <w:ind w:left="140"/>
        <w:spacing w:after="0"/>
        <w:rPr>
          <w:sz w:val="20"/>
          <w:szCs w:val="20"/>
          <w:color w:val="auto"/>
        </w:rPr>
      </w:pPr>
      <w:r>
        <w:rPr>
          <w:rFonts w:ascii="Arial" w:cs="Arial" w:eastAsia="Arial" w:hAnsi="Arial"/>
          <w:sz w:val="16"/>
          <w:szCs w:val="16"/>
          <w:color w:val="auto"/>
        </w:rPr>
        <w:t>As of February 28, 2026, the registrant had 18,256,986 shares of Class A Common Stock outstanding.</w:t>
      </w:r>
    </w:p>
    <w:p>
      <w:pPr>
        <w:spacing w:after="0" w:line="95"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3" w:lineRule="exact"/>
        <w:rPr>
          <w:sz w:val="24"/>
          <w:szCs w:val="24"/>
          <w:color w:val="auto"/>
        </w:rPr>
      </w:pPr>
    </w:p>
    <w:p>
      <w:pPr>
        <w:ind w:left="140"/>
        <w:spacing w:after="0" w:line="284" w:lineRule="auto"/>
        <w:rPr>
          <w:sz w:val="20"/>
          <w:szCs w:val="20"/>
          <w:color w:val="auto"/>
        </w:rPr>
      </w:pPr>
      <w:r>
        <w:rPr>
          <w:rFonts w:ascii="Arial" w:cs="Arial" w:eastAsia="Arial" w:hAnsi="Arial"/>
          <w:sz w:val="16"/>
          <w:szCs w:val="16"/>
          <w:color w:val="auto"/>
        </w:rPr>
        <w:t>Certain portions of the registrant’s Proxy Statement for the 2026 Annual Meeting of Shareholders (the “2026 Proxy Statement”) are incorporated by reference into Part III of this report.</w:t>
      </w:r>
    </w:p>
    <w:p>
      <w:pPr>
        <w:sectPr>
          <w:pgSz w:w="12240" w:h="15840" w:orient="portrait"/>
          <w:cols w:equalWidth="0" w:num="1">
            <w:col w:w="10580"/>
          </w:cols>
          <w:pgMar w:left="940" w:top="404" w:right="720" w:bottom="418" w:gutter="0" w:footer="0" w:header="0"/>
        </w:sectPr>
      </w:pPr>
    </w:p>
    <w:bookmarkStart w:id="1" w:name="page2"/>
    <w:bookmarkEnd w:id="1"/>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2639060</wp:posOffset>
            </wp:positionH>
            <wp:positionV relativeFrom="page">
              <wp:posOffset>457200</wp:posOffset>
            </wp:positionV>
            <wp:extent cx="2715895" cy="337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15895" cy="3378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20" w:type="dxa"/>
            <w:vAlign w:val="bottom"/>
            <w:gridSpan w:val="12"/>
          </w:tcPr>
          <w:p>
            <w:pPr>
              <w:jc w:val="center"/>
              <w:ind w:right="3780"/>
              <w:spacing w:after="0"/>
              <w:rPr>
                <w:sz w:val="20"/>
                <w:szCs w:val="20"/>
                <w:color w:val="auto"/>
              </w:rPr>
            </w:pPr>
            <w:r>
              <w:rPr>
                <w:rFonts w:ascii="Arial" w:cs="Arial" w:eastAsia="Arial" w:hAnsi="Arial"/>
                <w:sz w:val="20"/>
                <w:szCs w:val="20"/>
                <w:b w:val="1"/>
                <w:bCs w:val="1"/>
                <w:color w:val="auto"/>
              </w:rPr>
              <w:t>FORM 10-K</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gridSpan w:val="14"/>
          </w:tcPr>
          <w:p>
            <w:pPr>
              <w:jc w:val="center"/>
              <w:ind w:right="3500"/>
              <w:spacing w:after="0"/>
              <w:rPr>
                <w:sz w:val="20"/>
                <w:szCs w:val="20"/>
                <w:color w:val="auto"/>
              </w:rPr>
            </w:pPr>
            <w:r>
              <w:rPr>
                <w:rFonts w:ascii="Arial" w:cs="Arial" w:eastAsia="Arial" w:hAnsi="Arial"/>
                <w:sz w:val="20"/>
                <w:szCs w:val="20"/>
                <w:b w:val="1"/>
                <w:bCs w:val="1"/>
                <w:color w:val="auto"/>
                <w:w w:val="99"/>
              </w:rPr>
              <w:t>DECEMBER 31, 2025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gridSpan w:val="14"/>
          </w:tcPr>
          <w:p>
            <w:pPr>
              <w:jc w:val="center"/>
              <w:ind w:right="3500"/>
              <w:spacing w:after="0"/>
              <w:rPr>
                <w:sz w:val="20"/>
                <w:szCs w:val="20"/>
                <w:color w:val="auto"/>
              </w:rPr>
            </w:pPr>
            <w:r>
              <w:rPr>
                <w:rFonts w:ascii="Arial" w:cs="Arial" w:eastAsia="Arial" w:hAnsi="Arial"/>
                <w:sz w:val="20"/>
                <w:szCs w:val="20"/>
                <w:b w:val="1"/>
                <w:bCs w:val="1"/>
                <w:color w:val="auto"/>
              </w:rPr>
              <w:t>TABLE OF CONTENTS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20" w:type="dxa"/>
            <w:vAlign w:val="bottom"/>
            <w:gridSpan w:val="29"/>
          </w:tcPr>
          <w:p>
            <w:pPr>
              <w:spacing w:after="0"/>
              <w:rPr>
                <w:sz w:val="20"/>
                <w:szCs w:val="20"/>
                <w:color w:val="auto"/>
              </w:rPr>
            </w:pPr>
            <w:r>
              <w:rPr>
                <w:rFonts w:ascii="Arial" w:cs="Arial" w:eastAsia="Arial" w:hAnsi="Arial"/>
                <w:sz w:val="18"/>
                <w:szCs w:val="18"/>
                <w:color w:val="0D248E"/>
              </w:rPr>
              <w:t>Cautionary Note Regarding Forward-Looking Statements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640" w:type="dxa"/>
            <w:vAlign w:val="bottom"/>
            <w:tcBorders>
              <w:bottom w:val="single" w:sz="8" w:color="0D248E"/>
            </w:tcBorders>
            <w:gridSpan w:val="3"/>
          </w:tcPr>
          <w:p>
            <w:pPr>
              <w:spacing w:after="0"/>
              <w:rPr>
                <w:sz w:val="20"/>
                <w:szCs w:val="20"/>
                <w:color w:val="auto"/>
              </w:rPr>
            </w:pPr>
            <w:r>
              <w:rPr>
                <w:rFonts w:ascii="Arial" w:cs="Arial" w:eastAsia="Arial" w:hAnsi="Arial"/>
                <w:sz w:val="18"/>
                <w:szCs w:val="18"/>
                <w:b w:val="1"/>
                <w:bCs w:val="1"/>
                <w:color w:val="0D248E"/>
              </w:rPr>
              <w:t>PART I</w:t>
            </w:r>
          </w:p>
        </w:tc>
        <w:tc>
          <w:tcPr>
            <w:tcW w:w="320" w:type="dxa"/>
            <w:vAlign w:val="bottom"/>
            <w:gridSpan w:val="5"/>
          </w:tcPr>
          <w:p>
            <w:pPr>
              <w:spacing w:after="0"/>
              <w:rPr>
                <w:sz w:val="24"/>
                <w:szCs w:val="24"/>
                <w:color w:val="auto"/>
              </w:rPr>
            </w:pPr>
          </w:p>
        </w:tc>
        <w:tc>
          <w:tcPr>
            <w:tcW w:w="740" w:type="dxa"/>
            <w:vAlign w:val="bottom"/>
            <w:tcBorders>
              <w:top w:val="single" w:sz="8" w:color="0D248E"/>
            </w:tcBorders>
          </w:tcPr>
          <w:p>
            <w:pPr>
              <w:spacing w:after="0"/>
              <w:rPr>
                <w:sz w:val="24"/>
                <w:szCs w:val="24"/>
                <w:color w:val="auto"/>
              </w:rPr>
            </w:pPr>
          </w:p>
        </w:tc>
        <w:tc>
          <w:tcPr>
            <w:tcW w:w="80" w:type="dxa"/>
            <w:vAlign w:val="bottom"/>
            <w:tcBorders>
              <w:top w:val="single" w:sz="8" w:color="0D248E"/>
            </w:tcBorders>
          </w:tcPr>
          <w:p>
            <w:pPr>
              <w:spacing w:after="0"/>
              <w:rPr>
                <w:sz w:val="24"/>
                <w:szCs w:val="24"/>
                <w:color w:val="auto"/>
              </w:rPr>
            </w:pPr>
          </w:p>
        </w:tc>
        <w:tc>
          <w:tcPr>
            <w:tcW w:w="18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3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18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20" w:type="dxa"/>
            <w:vAlign w:val="bottom"/>
            <w:tcBorders>
              <w:top w:val="single" w:sz="8" w:color="0D248E"/>
            </w:tcBorders>
          </w:tcPr>
          <w:p>
            <w:pPr>
              <w:spacing w:after="0"/>
              <w:rPr>
                <w:sz w:val="24"/>
                <w:szCs w:val="24"/>
                <w:color w:val="auto"/>
              </w:rPr>
            </w:pPr>
          </w:p>
        </w:tc>
        <w:tc>
          <w:tcPr>
            <w:tcW w:w="24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780" w:type="dxa"/>
            <w:vAlign w:val="bottom"/>
            <w:tcBorders>
              <w:top w:val="single" w:sz="8" w:color="0D248E"/>
            </w:tcBorders>
          </w:tcPr>
          <w:p>
            <w:pPr>
              <w:spacing w:after="0"/>
              <w:rPr>
                <w:sz w:val="24"/>
                <w:szCs w:val="24"/>
                <w:color w:val="auto"/>
              </w:rPr>
            </w:pPr>
          </w:p>
        </w:tc>
        <w:tc>
          <w:tcPr>
            <w:tcW w:w="380" w:type="dxa"/>
            <w:vAlign w:val="bottom"/>
            <w:tcBorders>
              <w:top w:val="single" w:sz="8" w:color="0D248E"/>
            </w:tcBorders>
          </w:tcPr>
          <w:p>
            <w:pPr>
              <w:spacing w:after="0"/>
              <w:rPr>
                <w:sz w:val="24"/>
                <w:szCs w:val="24"/>
                <w:color w:val="auto"/>
              </w:rPr>
            </w:pPr>
          </w:p>
        </w:tc>
        <w:tc>
          <w:tcPr>
            <w:tcW w:w="200" w:type="dxa"/>
            <w:vAlign w:val="bottom"/>
            <w:tcBorders>
              <w:top w:val="single" w:sz="8" w:color="0D248E"/>
            </w:tcBorders>
          </w:tcPr>
          <w:p>
            <w:pPr>
              <w:spacing w:after="0"/>
              <w:rPr>
                <w:sz w:val="24"/>
                <w:szCs w:val="24"/>
                <w:color w:val="auto"/>
              </w:rPr>
            </w:pPr>
          </w:p>
        </w:tc>
        <w:tc>
          <w:tcPr>
            <w:tcW w:w="80" w:type="dxa"/>
            <w:vAlign w:val="bottom"/>
            <w:tcBorders>
              <w:top w:val="single" w:sz="8" w:color="0D248E"/>
            </w:tcBorders>
          </w:tcPr>
          <w:p>
            <w:pPr>
              <w:spacing w:after="0"/>
              <w:rPr>
                <w:sz w:val="24"/>
                <w:szCs w:val="24"/>
                <w:color w:val="auto"/>
              </w:rPr>
            </w:pPr>
          </w:p>
        </w:tc>
        <w:tc>
          <w:tcPr>
            <w:tcW w:w="36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100" w:type="dxa"/>
            <w:vAlign w:val="bottom"/>
            <w:tcBorders>
              <w:bottom w:val="single" w:sz="8" w:color="0D248E"/>
            </w:tcBorders>
          </w:tcPr>
          <w:p>
            <w:pPr>
              <w:jc w:val="right"/>
              <w:spacing w:after="0"/>
              <w:rPr>
                <w:sz w:val="20"/>
                <w:szCs w:val="20"/>
                <w:color w:val="auto"/>
              </w:rPr>
            </w:pPr>
            <w:r>
              <w:rPr>
                <w:rFonts w:ascii="Arial" w:cs="Arial" w:eastAsia="Arial" w:hAnsi="Arial"/>
                <w:sz w:val="18"/>
                <w:szCs w:val="18"/>
                <w:color w:val="0D248E"/>
                <w:w w:val="79"/>
              </w:rPr>
              <w:t>4</w:t>
            </w:r>
          </w:p>
        </w:tc>
        <w:tc>
          <w:tcPr>
            <w:tcW w:w="0" w:type="dxa"/>
            <w:vAlign w:val="bottom"/>
          </w:tcPr>
          <w:p>
            <w:pPr>
              <w:spacing w:after="0"/>
              <w:rPr>
                <w:sz w:val="1"/>
                <w:szCs w:val="1"/>
                <w:color w:val="auto"/>
              </w:rPr>
            </w:pPr>
          </w:p>
        </w:tc>
      </w:tr>
      <w:tr>
        <w:trPr>
          <w:trHeight w:val="394"/>
        </w:trPr>
        <w:tc>
          <w:tcPr>
            <w:tcW w:w="560" w:type="dxa"/>
            <w:vAlign w:val="bottom"/>
            <w:tcBorders>
              <w:bottom w:val="single" w:sz="8" w:color="0D248E"/>
            </w:tcBorders>
            <w:gridSpan w:val="2"/>
          </w:tcPr>
          <w:p>
            <w:pPr>
              <w:spacing w:after="0"/>
              <w:rPr>
                <w:sz w:val="20"/>
                <w:szCs w:val="20"/>
                <w:color w:val="auto"/>
              </w:rPr>
            </w:pPr>
            <w:r>
              <w:rPr>
                <w:rFonts w:ascii="Arial" w:cs="Arial" w:eastAsia="Arial" w:hAnsi="Arial"/>
                <w:sz w:val="18"/>
                <w:szCs w:val="18"/>
                <w:color w:val="0D248E"/>
                <w:w w:val="98"/>
              </w:rPr>
              <w:t>Item 1.</w:t>
            </w:r>
          </w:p>
        </w:tc>
        <w:tc>
          <w:tcPr>
            <w:tcW w:w="400" w:type="dxa"/>
            <w:vAlign w:val="bottom"/>
            <w:gridSpan w:val="6"/>
          </w:tcPr>
          <w:p>
            <w:pPr>
              <w:spacing w:after="0"/>
              <w:rPr>
                <w:sz w:val="24"/>
                <w:szCs w:val="24"/>
                <w:color w:val="auto"/>
              </w:rPr>
            </w:pPr>
          </w:p>
        </w:tc>
        <w:tc>
          <w:tcPr>
            <w:tcW w:w="740" w:type="dxa"/>
            <w:vAlign w:val="bottom"/>
            <w:tcBorders>
              <w:bottom w:val="single" w:sz="8" w:color="0D248E"/>
            </w:tcBorders>
          </w:tcPr>
          <w:p>
            <w:pPr>
              <w:spacing w:after="0"/>
              <w:rPr>
                <w:sz w:val="20"/>
                <w:szCs w:val="20"/>
                <w:color w:val="auto"/>
              </w:rPr>
            </w:pPr>
            <w:r>
              <w:rPr>
                <w:rFonts w:ascii="Arial" w:cs="Arial" w:eastAsia="Arial" w:hAnsi="Arial"/>
                <w:sz w:val="18"/>
                <w:szCs w:val="18"/>
                <w:color w:val="0D248E"/>
                <w:w w:val="98"/>
              </w:rPr>
              <w:t>Business</w:t>
            </w:r>
          </w:p>
        </w:tc>
        <w:tc>
          <w:tcPr>
            <w:tcW w:w="8480" w:type="dxa"/>
            <w:vAlign w:val="bottom"/>
            <w:gridSpan w:val="28"/>
          </w:tcPr>
          <w:p>
            <w:pPr>
              <w:spacing w:after="0"/>
              <w:rPr>
                <w:sz w:val="24"/>
                <w:szCs w:val="24"/>
                <w:color w:val="auto"/>
              </w:rPr>
            </w:pPr>
          </w:p>
        </w:tc>
        <w:tc>
          <w:tcPr>
            <w:tcW w:w="520" w:type="dxa"/>
            <w:vAlign w:val="bottom"/>
            <w:gridSpan w:val="3"/>
          </w:tcPr>
          <w:p>
            <w:pPr>
              <w:spacing w:after="0"/>
              <w:rPr>
                <w:sz w:val="24"/>
                <w:szCs w:val="24"/>
                <w:color w:val="auto"/>
              </w:rPr>
            </w:pPr>
          </w:p>
        </w:tc>
        <w:tc>
          <w:tcPr>
            <w:tcW w:w="100" w:type="dxa"/>
            <w:vAlign w:val="bottom"/>
            <w:tcBorders>
              <w:bottom w:val="single" w:sz="8" w:color="0D248E"/>
            </w:tcBorders>
          </w:tcPr>
          <w:p>
            <w:pPr>
              <w:jc w:val="right"/>
              <w:spacing w:after="0"/>
              <w:rPr>
                <w:sz w:val="20"/>
                <w:szCs w:val="20"/>
                <w:color w:val="auto"/>
              </w:rPr>
            </w:pPr>
            <w:r>
              <w:rPr>
                <w:rFonts w:ascii="Arial" w:cs="Arial" w:eastAsia="Arial" w:hAnsi="Arial"/>
                <w:sz w:val="18"/>
                <w:szCs w:val="18"/>
                <w:color w:val="0D248E"/>
                <w:w w:val="79"/>
              </w:rPr>
              <w:t>4</w:t>
            </w:r>
          </w:p>
        </w:tc>
        <w:tc>
          <w:tcPr>
            <w:tcW w:w="0" w:type="dxa"/>
            <w:vAlign w:val="bottom"/>
          </w:tcPr>
          <w:p>
            <w:pPr>
              <w:spacing w:after="0"/>
              <w:rPr>
                <w:sz w:val="1"/>
                <w:szCs w:val="1"/>
                <w:color w:val="auto"/>
              </w:rPr>
            </w:pPr>
          </w:p>
        </w:tc>
      </w:tr>
      <w:tr>
        <w:trPr>
          <w:trHeight w:val="186"/>
        </w:trPr>
        <w:tc>
          <w:tcPr>
            <w:tcW w:w="960" w:type="dxa"/>
            <w:vAlign w:val="bottom"/>
            <w:gridSpan w:val="8"/>
          </w:tcPr>
          <w:p>
            <w:pPr>
              <w:spacing w:after="0" w:line="187" w:lineRule="exact"/>
              <w:rPr>
                <w:sz w:val="20"/>
                <w:szCs w:val="20"/>
                <w:color w:val="auto"/>
              </w:rPr>
            </w:pPr>
            <w:r>
              <w:rPr>
                <w:rFonts w:ascii="Arial" w:cs="Arial" w:eastAsia="Arial" w:hAnsi="Arial"/>
                <w:sz w:val="18"/>
                <w:szCs w:val="18"/>
                <w:color w:val="0D248E"/>
              </w:rPr>
              <w:t>Item 1A.</w:t>
            </w:r>
          </w:p>
        </w:tc>
        <w:tc>
          <w:tcPr>
            <w:tcW w:w="9220" w:type="dxa"/>
            <w:vAlign w:val="bottom"/>
            <w:gridSpan w:val="29"/>
          </w:tcPr>
          <w:p>
            <w:pPr>
              <w:spacing w:after="0" w:line="187" w:lineRule="exact"/>
              <w:rPr>
                <w:sz w:val="20"/>
                <w:szCs w:val="20"/>
                <w:color w:val="auto"/>
              </w:rPr>
            </w:pPr>
            <w:r>
              <w:rPr>
                <w:rFonts w:ascii="Arial" w:cs="Arial" w:eastAsia="Arial" w:hAnsi="Arial"/>
                <w:sz w:val="18"/>
                <w:szCs w:val="18"/>
                <w:color w:val="0D248E"/>
              </w:rPr>
              <w:t>Risk Factors</w:t>
            </w:r>
          </w:p>
        </w:tc>
        <w:tc>
          <w:tcPr>
            <w:tcW w:w="620" w:type="dxa"/>
            <w:vAlign w:val="bottom"/>
            <w:gridSpan w:val="4"/>
          </w:tcPr>
          <w:p>
            <w:pPr>
              <w:jc w:val="right"/>
              <w:spacing w:after="0" w:line="187" w:lineRule="exact"/>
              <w:rPr>
                <w:sz w:val="20"/>
                <w:szCs w:val="20"/>
                <w:color w:val="auto"/>
              </w:rPr>
            </w:pPr>
            <w:r>
              <w:rPr>
                <w:rFonts w:ascii="Arial" w:cs="Arial" w:eastAsia="Arial" w:hAnsi="Arial"/>
                <w:sz w:val="18"/>
                <w:szCs w:val="18"/>
                <w:color w:val="0D248E"/>
              </w:rPr>
              <w:t>21</w:t>
            </w:r>
          </w:p>
        </w:tc>
        <w:tc>
          <w:tcPr>
            <w:tcW w:w="0" w:type="dxa"/>
            <w:vAlign w:val="bottom"/>
          </w:tcPr>
          <w:p>
            <w:pPr>
              <w:spacing w:after="0"/>
              <w:rPr>
                <w:sz w:val="1"/>
                <w:szCs w:val="1"/>
                <w:color w:val="auto"/>
              </w:rPr>
            </w:pPr>
          </w:p>
        </w:tc>
      </w:tr>
      <w:tr>
        <w:trPr>
          <w:trHeight w:val="188"/>
        </w:trPr>
        <w:tc>
          <w:tcPr>
            <w:tcW w:w="680" w:type="dxa"/>
            <w:vAlign w:val="bottom"/>
            <w:tcBorders>
              <w:top w:val="single" w:sz="8" w:color="0D248E"/>
            </w:tcBorders>
            <w:gridSpan w:val="5"/>
          </w:tcPr>
          <w:p>
            <w:pPr>
              <w:spacing w:after="0" w:line="188" w:lineRule="exact"/>
              <w:rPr>
                <w:sz w:val="20"/>
                <w:szCs w:val="20"/>
                <w:color w:val="auto"/>
              </w:rPr>
            </w:pPr>
            <w:r>
              <w:rPr>
                <w:rFonts w:ascii="Arial" w:cs="Arial" w:eastAsia="Arial" w:hAnsi="Arial"/>
                <w:sz w:val="18"/>
                <w:szCs w:val="18"/>
                <w:color w:val="0D248E"/>
                <w:w w:val="98"/>
              </w:rPr>
              <w:t>Item 1B.</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0D248E"/>
            </w:tcBorders>
            <w:gridSpan w:val="3"/>
          </w:tcPr>
          <w:p>
            <w:pPr>
              <w:spacing w:after="0" w:line="188" w:lineRule="exact"/>
              <w:rPr>
                <w:sz w:val="20"/>
                <w:szCs w:val="20"/>
                <w:color w:val="auto"/>
              </w:rPr>
            </w:pPr>
            <w:r>
              <w:rPr>
                <w:rFonts w:ascii="Arial" w:cs="Arial" w:eastAsia="Arial" w:hAnsi="Arial"/>
                <w:sz w:val="18"/>
                <w:szCs w:val="18"/>
                <w:color w:val="0D248E"/>
              </w:rPr>
              <w:t>Unresolved</w:t>
            </w:r>
          </w:p>
        </w:tc>
        <w:tc>
          <w:tcPr>
            <w:tcW w:w="8220" w:type="dxa"/>
            <w:vAlign w:val="bottom"/>
            <w:gridSpan w:val="26"/>
          </w:tcPr>
          <w:p>
            <w:pPr>
              <w:spacing w:after="0" w:line="188" w:lineRule="exact"/>
              <w:rPr>
                <w:sz w:val="20"/>
                <w:szCs w:val="20"/>
                <w:color w:val="auto"/>
              </w:rPr>
            </w:pPr>
            <w:r>
              <w:rPr>
                <w:rFonts w:ascii="Arial" w:cs="Arial" w:eastAsia="Arial" w:hAnsi="Arial"/>
                <w:sz w:val="18"/>
                <w:szCs w:val="18"/>
                <w:color w:val="0D248E"/>
              </w:rPr>
              <w:t>Staff Comments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47</w:t>
            </w:r>
          </w:p>
        </w:tc>
        <w:tc>
          <w:tcPr>
            <w:tcW w:w="0" w:type="dxa"/>
            <w:vAlign w:val="bottom"/>
          </w:tcPr>
          <w:p>
            <w:pPr>
              <w:spacing w:after="0"/>
              <w:rPr>
                <w:sz w:val="1"/>
                <w:szCs w:val="1"/>
                <w:color w:val="auto"/>
              </w:rPr>
            </w:pPr>
          </w:p>
        </w:tc>
      </w:tr>
      <w:tr>
        <w:trPr>
          <w:trHeight w:val="186"/>
        </w:trPr>
        <w:tc>
          <w:tcPr>
            <w:tcW w:w="680" w:type="dxa"/>
            <w:vAlign w:val="bottom"/>
            <w:tcBorders>
              <w:top w:val="single" w:sz="8" w:color="0D248E"/>
            </w:tcBorders>
            <w:gridSpan w:val="5"/>
          </w:tcPr>
          <w:p>
            <w:pPr>
              <w:spacing w:after="0" w:line="187" w:lineRule="exact"/>
              <w:rPr>
                <w:sz w:val="20"/>
                <w:szCs w:val="20"/>
                <w:color w:val="auto"/>
              </w:rPr>
            </w:pPr>
            <w:r>
              <w:rPr>
                <w:rFonts w:ascii="Arial" w:cs="Arial" w:eastAsia="Arial" w:hAnsi="Arial"/>
                <w:sz w:val="18"/>
                <w:szCs w:val="18"/>
                <w:color w:val="0D248E"/>
                <w:w w:val="96"/>
              </w:rPr>
              <w:t>Item 1C.</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Borders>
              <w:top w:val="single" w:sz="8" w:color="0D248E"/>
            </w:tcBorders>
            <w:gridSpan w:val="12"/>
          </w:tcPr>
          <w:p>
            <w:pPr>
              <w:spacing w:after="0" w:line="187" w:lineRule="exact"/>
              <w:rPr>
                <w:sz w:val="20"/>
                <w:szCs w:val="20"/>
                <w:color w:val="auto"/>
              </w:rPr>
            </w:pPr>
            <w:r>
              <w:rPr>
                <w:rFonts w:ascii="Arial" w:cs="Arial" w:eastAsia="Arial" w:hAnsi="Arial"/>
                <w:sz w:val="18"/>
                <w:szCs w:val="18"/>
                <w:color w:val="0D248E"/>
              </w:rPr>
              <w:t>Cybersecurity</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7" w:lineRule="exact"/>
              <w:rPr>
                <w:sz w:val="20"/>
                <w:szCs w:val="20"/>
                <w:color w:val="auto"/>
              </w:rPr>
            </w:pPr>
            <w:r>
              <w:rPr>
                <w:rFonts w:ascii="Arial" w:cs="Arial" w:eastAsia="Arial" w:hAnsi="Arial"/>
                <w:sz w:val="18"/>
                <w:szCs w:val="18"/>
                <w:color w:val="0D248E"/>
                <w:w w:val="89"/>
              </w:rPr>
              <w:t>47</w:t>
            </w:r>
          </w:p>
        </w:tc>
        <w:tc>
          <w:tcPr>
            <w:tcW w:w="0" w:type="dxa"/>
            <w:vAlign w:val="bottom"/>
          </w:tcPr>
          <w:p>
            <w:pPr>
              <w:spacing w:after="0"/>
              <w:rPr>
                <w:sz w:val="1"/>
                <w:szCs w:val="1"/>
                <w:color w:val="auto"/>
              </w:rPr>
            </w:pPr>
          </w:p>
        </w:tc>
      </w:tr>
      <w:tr>
        <w:trPr>
          <w:trHeight w:val="188"/>
        </w:trPr>
        <w:tc>
          <w:tcPr>
            <w:tcW w:w="560" w:type="dxa"/>
            <w:vAlign w:val="bottom"/>
            <w:tcBorders>
              <w:top w:val="single" w:sz="8" w:color="0D248E"/>
            </w:tcBorders>
            <w:gridSpan w:val="2"/>
          </w:tcPr>
          <w:p>
            <w:pPr>
              <w:spacing w:after="0" w:line="188" w:lineRule="exact"/>
              <w:rPr>
                <w:sz w:val="20"/>
                <w:szCs w:val="20"/>
                <w:color w:val="auto"/>
              </w:rPr>
            </w:pPr>
            <w:r>
              <w:rPr>
                <w:rFonts w:ascii="Arial" w:cs="Arial" w:eastAsia="Arial" w:hAnsi="Arial"/>
                <w:sz w:val="18"/>
                <w:szCs w:val="18"/>
                <w:color w:val="0D248E"/>
                <w:w w:val="98"/>
              </w:rPr>
              <w:t>Item 2.</w:t>
            </w:r>
          </w:p>
        </w:tc>
        <w:tc>
          <w:tcPr>
            <w:tcW w:w="140" w:type="dxa"/>
            <w:vAlign w:val="bottom"/>
            <w:tcBorders>
              <w:top w:val="single" w:sz="8" w:color="0D248E"/>
            </w:tcBorders>
            <w:gridSpan w:val="4"/>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top w:val="single" w:sz="8" w:color="0D248E"/>
            </w:tcBorders>
            <w:gridSpan w:val="5"/>
          </w:tcPr>
          <w:p>
            <w:pPr>
              <w:spacing w:after="0" w:line="188" w:lineRule="exact"/>
              <w:rPr>
                <w:sz w:val="20"/>
                <w:szCs w:val="20"/>
                <w:color w:val="auto"/>
              </w:rPr>
            </w:pPr>
            <w:r>
              <w:rPr>
                <w:rFonts w:ascii="Arial" w:cs="Arial" w:eastAsia="Arial" w:hAnsi="Arial"/>
                <w:sz w:val="18"/>
                <w:szCs w:val="18"/>
                <w:color w:val="0D248E"/>
              </w:rPr>
              <w:t>Properties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49</w:t>
            </w:r>
          </w:p>
        </w:tc>
        <w:tc>
          <w:tcPr>
            <w:tcW w:w="0" w:type="dxa"/>
            <w:vAlign w:val="bottom"/>
          </w:tcPr>
          <w:p>
            <w:pPr>
              <w:spacing w:after="0"/>
              <w:rPr>
                <w:sz w:val="1"/>
                <w:szCs w:val="1"/>
                <w:color w:val="auto"/>
              </w:rPr>
            </w:pPr>
          </w:p>
        </w:tc>
      </w:tr>
      <w:tr>
        <w:trPr>
          <w:trHeight w:val="20"/>
        </w:trPr>
        <w:tc>
          <w:tcPr>
            <w:tcW w:w="54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tcBorders>
              <w:right w:val="single" w:sz="8" w:color="0D248E"/>
            </w:tcBorders>
            <w:gridSpan w:val="2"/>
            <w:shd w:val="clear" w:color="auto" w:fill="0D248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2"/>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tcBorders>
              <w:bottom w:val="single" w:sz="8" w:color="0D248E"/>
            </w:tcBorders>
            <w:gridSpan w:val="2"/>
          </w:tcPr>
          <w:p>
            <w:pPr>
              <w:spacing w:after="0" w:line="187" w:lineRule="exact"/>
              <w:rPr>
                <w:sz w:val="20"/>
                <w:szCs w:val="20"/>
                <w:color w:val="auto"/>
              </w:rPr>
            </w:pPr>
            <w:r>
              <w:rPr>
                <w:rFonts w:ascii="Arial" w:cs="Arial" w:eastAsia="Arial" w:hAnsi="Arial"/>
                <w:sz w:val="18"/>
                <w:szCs w:val="18"/>
                <w:color w:val="0D248E"/>
                <w:w w:val="98"/>
              </w:rPr>
              <w:t>Item 3.</w:t>
            </w:r>
          </w:p>
        </w:tc>
        <w:tc>
          <w:tcPr>
            <w:tcW w:w="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500" w:type="dxa"/>
            <w:vAlign w:val="bottom"/>
            <w:tcBorders>
              <w:bottom w:val="single" w:sz="8" w:color="0D248E"/>
            </w:tcBorders>
            <w:gridSpan w:val="7"/>
          </w:tcPr>
          <w:p>
            <w:pPr>
              <w:spacing w:after="0" w:line="187" w:lineRule="exact"/>
              <w:rPr>
                <w:sz w:val="20"/>
                <w:szCs w:val="20"/>
                <w:color w:val="auto"/>
              </w:rPr>
            </w:pPr>
            <w:r>
              <w:rPr>
                <w:rFonts w:ascii="Arial" w:cs="Arial" w:eastAsia="Arial" w:hAnsi="Arial"/>
                <w:sz w:val="18"/>
                <w:szCs w:val="18"/>
                <w:color w:val="0D248E"/>
                <w:w w:val="99"/>
              </w:rPr>
              <w:t>Legal Proceedings</w:t>
            </w:r>
          </w:p>
        </w:tc>
        <w:tc>
          <w:tcPr>
            <w:tcW w:w="7720" w:type="dxa"/>
            <w:vAlign w:val="bottom"/>
            <w:gridSpan w:val="22"/>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0D248E"/>
            </w:tcBorders>
            <w:gridSpan w:val="2"/>
          </w:tcPr>
          <w:p>
            <w:pPr>
              <w:jc w:val="right"/>
              <w:spacing w:after="0" w:line="187" w:lineRule="exact"/>
              <w:rPr>
                <w:sz w:val="20"/>
                <w:szCs w:val="20"/>
                <w:color w:val="auto"/>
              </w:rPr>
            </w:pPr>
            <w:r>
              <w:rPr>
                <w:rFonts w:ascii="Arial" w:cs="Arial" w:eastAsia="Arial" w:hAnsi="Arial"/>
                <w:sz w:val="18"/>
                <w:szCs w:val="18"/>
                <w:color w:val="0D248E"/>
                <w:w w:val="89"/>
              </w:rPr>
              <w:t>49</w:t>
            </w:r>
          </w:p>
        </w:tc>
        <w:tc>
          <w:tcPr>
            <w:tcW w:w="0" w:type="dxa"/>
            <w:vAlign w:val="bottom"/>
          </w:tcPr>
          <w:p>
            <w:pPr>
              <w:spacing w:after="0"/>
              <w:rPr>
                <w:sz w:val="1"/>
                <w:szCs w:val="1"/>
                <w:color w:val="auto"/>
              </w:rPr>
            </w:pPr>
          </w:p>
        </w:tc>
      </w:tr>
      <w:tr>
        <w:trPr>
          <w:trHeight w:val="188"/>
        </w:trPr>
        <w:tc>
          <w:tcPr>
            <w:tcW w:w="560" w:type="dxa"/>
            <w:vAlign w:val="bottom"/>
            <w:tcBorders>
              <w:bottom w:val="single" w:sz="8" w:color="0D248E"/>
            </w:tcBorders>
            <w:gridSpan w:val="2"/>
          </w:tcPr>
          <w:p>
            <w:pPr>
              <w:spacing w:after="0" w:line="188" w:lineRule="exact"/>
              <w:rPr>
                <w:sz w:val="20"/>
                <w:szCs w:val="20"/>
                <w:color w:val="auto"/>
              </w:rPr>
            </w:pPr>
            <w:r>
              <w:rPr>
                <w:rFonts w:ascii="Arial" w:cs="Arial" w:eastAsia="Arial" w:hAnsi="Arial"/>
                <w:sz w:val="18"/>
                <w:szCs w:val="18"/>
                <w:color w:val="0D248E"/>
                <w:w w:val="98"/>
              </w:rPr>
              <w:t>Item 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bottom w:val="single" w:sz="8" w:color="0D248E"/>
            </w:tcBorders>
            <w:gridSpan w:val="9"/>
          </w:tcPr>
          <w:p>
            <w:pPr>
              <w:spacing w:after="0" w:line="188" w:lineRule="exact"/>
              <w:rPr>
                <w:sz w:val="20"/>
                <w:szCs w:val="20"/>
                <w:color w:val="auto"/>
              </w:rPr>
            </w:pPr>
            <w:r>
              <w:rPr>
                <w:rFonts w:ascii="Arial" w:cs="Arial" w:eastAsia="Arial" w:hAnsi="Arial"/>
                <w:sz w:val="18"/>
                <w:szCs w:val="18"/>
                <w:color w:val="0D248E"/>
                <w:w w:val="99"/>
              </w:rPr>
              <w:t>Mine Safety Disclosures</w:t>
            </w:r>
          </w:p>
        </w:tc>
        <w:tc>
          <w:tcPr>
            <w:tcW w:w="7280" w:type="dxa"/>
            <w:vAlign w:val="bottom"/>
            <w:gridSpan w:val="20"/>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49</w:t>
            </w:r>
          </w:p>
        </w:tc>
        <w:tc>
          <w:tcPr>
            <w:tcW w:w="0" w:type="dxa"/>
            <w:vAlign w:val="bottom"/>
          </w:tcPr>
          <w:p>
            <w:pPr>
              <w:spacing w:after="0"/>
              <w:rPr>
                <w:sz w:val="1"/>
                <w:szCs w:val="1"/>
                <w:color w:val="auto"/>
              </w:rPr>
            </w:pPr>
          </w:p>
        </w:tc>
      </w:tr>
      <w:tr>
        <w:trPr>
          <w:trHeight w:val="394"/>
        </w:trPr>
        <w:tc>
          <w:tcPr>
            <w:tcW w:w="960" w:type="dxa"/>
            <w:vAlign w:val="bottom"/>
            <w:gridSpan w:val="8"/>
          </w:tcPr>
          <w:p>
            <w:pPr>
              <w:spacing w:after="0"/>
              <w:rPr>
                <w:sz w:val="20"/>
                <w:szCs w:val="20"/>
                <w:color w:val="auto"/>
              </w:rPr>
            </w:pPr>
            <w:r>
              <w:rPr>
                <w:rFonts w:ascii="Arial" w:cs="Arial" w:eastAsia="Arial" w:hAnsi="Arial"/>
                <w:sz w:val="18"/>
                <w:szCs w:val="18"/>
                <w:b w:val="1"/>
                <w:bCs w:val="1"/>
                <w:color w:val="0D248E"/>
              </w:rPr>
              <w:t>PART II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0D248E"/>
              </w:rPr>
              <w:t>50</w:t>
            </w:r>
          </w:p>
        </w:tc>
        <w:tc>
          <w:tcPr>
            <w:tcW w:w="0" w:type="dxa"/>
            <w:vAlign w:val="bottom"/>
          </w:tcPr>
          <w:p>
            <w:pPr>
              <w:spacing w:after="0"/>
              <w:rPr>
                <w:sz w:val="1"/>
                <w:szCs w:val="1"/>
                <w:color w:val="auto"/>
              </w:rPr>
            </w:pPr>
          </w:p>
        </w:tc>
      </w:tr>
      <w:tr>
        <w:trPr>
          <w:trHeight w:val="20"/>
        </w:trPr>
        <w:tc>
          <w:tcPr>
            <w:tcW w:w="54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80" w:type="dxa"/>
            <w:vAlign w:val="bottom"/>
            <w:tcBorders>
              <w:right w:val="single" w:sz="8" w:color="0D248E"/>
            </w:tcBorders>
            <w:shd w:val="clear" w:color="auto" w:fill="0D24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40" w:type="dxa"/>
            <w:vAlign w:val="bottom"/>
            <w:gridSpan w:val="3"/>
          </w:tcPr>
          <w:p>
            <w:pPr>
              <w:spacing w:after="0"/>
              <w:rPr>
                <w:sz w:val="20"/>
                <w:szCs w:val="20"/>
                <w:color w:val="auto"/>
              </w:rPr>
            </w:pPr>
            <w:r>
              <w:rPr>
                <w:rFonts w:ascii="Arial" w:cs="Arial" w:eastAsia="Arial" w:hAnsi="Arial"/>
                <w:sz w:val="18"/>
                <w:szCs w:val="18"/>
                <w:color w:val="0D248E"/>
              </w:rPr>
              <w:t>Item 5.</w:t>
            </w:r>
          </w:p>
        </w:tc>
        <w:tc>
          <w:tcPr>
            <w:tcW w:w="320" w:type="dxa"/>
            <w:vAlign w:val="bottom"/>
            <w:gridSpan w:val="5"/>
          </w:tcPr>
          <w:p>
            <w:pPr>
              <w:spacing w:after="0"/>
              <w:rPr>
                <w:sz w:val="24"/>
                <w:szCs w:val="24"/>
                <w:color w:val="auto"/>
              </w:rPr>
            </w:pPr>
          </w:p>
        </w:tc>
        <w:tc>
          <w:tcPr>
            <w:tcW w:w="9220" w:type="dxa"/>
            <w:vAlign w:val="bottom"/>
            <w:gridSpan w:val="29"/>
          </w:tcPr>
          <w:p>
            <w:pPr>
              <w:spacing w:after="0"/>
              <w:rPr>
                <w:sz w:val="20"/>
                <w:szCs w:val="20"/>
                <w:color w:val="auto"/>
              </w:rPr>
            </w:pPr>
            <w:r>
              <w:rPr>
                <w:rFonts w:ascii="Arial" w:cs="Arial" w:eastAsia="Arial" w:hAnsi="Arial"/>
                <w:sz w:val="18"/>
                <w:szCs w:val="18"/>
                <w:color w:val="0D248E"/>
              </w:rPr>
              <w:t>Market for Registrant’s Common Equity, Related Stockholder Matters and Issuer Purchases of Equity Securities</w:t>
            </w:r>
          </w:p>
        </w:tc>
        <w:tc>
          <w:tcPr>
            <w:tcW w:w="620" w:type="dxa"/>
            <w:vAlign w:val="bottom"/>
            <w:gridSpan w:val="4"/>
          </w:tcPr>
          <w:p>
            <w:pPr>
              <w:jc w:val="right"/>
              <w:spacing w:after="0"/>
              <w:rPr>
                <w:sz w:val="20"/>
                <w:szCs w:val="20"/>
                <w:color w:val="auto"/>
              </w:rPr>
            </w:pPr>
            <w:r>
              <w:rPr>
                <w:rFonts w:ascii="Arial" w:cs="Arial" w:eastAsia="Arial" w:hAnsi="Arial"/>
                <w:sz w:val="18"/>
                <w:szCs w:val="18"/>
                <w:color w:val="0D248E"/>
              </w:rPr>
              <w:t>50</w:t>
            </w:r>
          </w:p>
        </w:tc>
        <w:tc>
          <w:tcPr>
            <w:tcW w:w="0" w:type="dxa"/>
            <w:vAlign w:val="bottom"/>
          </w:tcPr>
          <w:p>
            <w:pPr>
              <w:spacing w:after="0"/>
              <w:rPr>
                <w:sz w:val="1"/>
                <w:szCs w:val="1"/>
                <w:color w:val="auto"/>
              </w:rPr>
            </w:pPr>
          </w:p>
        </w:tc>
      </w:tr>
      <w:tr>
        <w:trPr>
          <w:trHeight w:val="186"/>
        </w:trPr>
        <w:tc>
          <w:tcPr>
            <w:tcW w:w="560" w:type="dxa"/>
            <w:vAlign w:val="bottom"/>
            <w:tcBorders>
              <w:top w:val="single" w:sz="8" w:color="0D248E"/>
              <w:bottom w:val="single" w:sz="8" w:color="0D248E"/>
            </w:tcBorders>
            <w:gridSpan w:val="2"/>
          </w:tcPr>
          <w:p>
            <w:pPr>
              <w:spacing w:after="0" w:line="187" w:lineRule="exact"/>
              <w:rPr>
                <w:sz w:val="20"/>
                <w:szCs w:val="20"/>
                <w:color w:val="auto"/>
              </w:rPr>
            </w:pPr>
            <w:r>
              <w:rPr>
                <w:rFonts w:ascii="Arial" w:cs="Arial" w:eastAsia="Arial" w:hAnsi="Arial"/>
                <w:sz w:val="18"/>
                <w:szCs w:val="18"/>
                <w:color w:val="0D248E"/>
                <w:w w:val="98"/>
              </w:rPr>
              <w:t>Item 6.</w:t>
            </w:r>
          </w:p>
        </w:tc>
        <w:tc>
          <w:tcPr>
            <w:tcW w:w="10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0D248E"/>
              <w:bottom w:val="single" w:sz="8" w:color="0D248E"/>
            </w:tcBorders>
            <w:gridSpan w:val="2"/>
          </w:tcPr>
          <w:p>
            <w:pPr>
              <w:spacing w:after="0" w:line="187" w:lineRule="exact"/>
              <w:rPr>
                <w:sz w:val="20"/>
                <w:szCs w:val="20"/>
                <w:color w:val="auto"/>
              </w:rPr>
            </w:pPr>
            <w:r>
              <w:rPr>
                <w:rFonts w:ascii="Arial" w:cs="Arial" w:eastAsia="Arial" w:hAnsi="Arial"/>
                <w:sz w:val="18"/>
                <w:szCs w:val="18"/>
                <w:color w:val="0D248E"/>
              </w:rPr>
              <w:t>Reserved</w:t>
            </w:r>
          </w:p>
        </w:tc>
        <w:tc>
          <w:tcPr>
            <w:tcW w:w="8080" w:type="dxa"/>
            <w:vAlign w:val="bottom"/>
            <w:tcBorders>
              <w:top w:val="single" w:sz="8" w:color="0D248E"/>
            </w:tcBorders>
            <w:gridSpan w:val="26"/>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bottom w:val="single" w:sz="8" w:color="0D248E"/>
            </w:tcBorders>
            <w:gridSpan w:val="2"/>
          </w:tcPr>
          <w:p>
            <w:pPr>
              <w:jc w:val="right"/>
              <w:spacing w:after="0" w:line="187" w:lineRule="exact"/>
              <w:rPr>
                <w:sz w:val="20"/>
                <w:szCs w:val="20"/>
                <w:color w:val="auto"/>
              </w:rPr>
            </w:pPr>
            <w:r>
              <w:rPr>
                <w:rFonts w:ascii="Arial" w:cs="Arial" w:eastAsia="Arial" w:hAnsi="Arial"/>
                <w:sz w:val="18"/>
                <w:szCs w:val="18"/>
                <w:color w:val="0D248E"/>
                <w:w w:val="89"/>
              </w:rPr>
              <w:t>51</w:t>
            </w:r>
          </w:p>
        </w:tc>
        <w:tc>
          <w:tcPr>
            <w:tcW w:w="0" w:type="dxa"/>
            <w:vAlign w:val="bottom"/>
          </w:tcPr>
          <w:p>
            <w:pPr>
              <w:spacing w:after="0"/>
              <w:rPr>
                <w:sz w:val="1"/>
                <w:szCs w:val="1"/>
                <w:color w:val="auto"/>
              </w:rPr>
            </w:pPr>
          </w:p>
        </w:tc>
      </w:tr>
      <w:tr>
        <w:trPr>
          <w:trHeight w:val="188"/>
        </w:trPr>
        <w:tc>
          <w:tcPr>
            <w:tcW w:w="560" w:type="dxa"/>
            <w:vAlign w:val="bottom"/>
            <w:tcBorders>
              <w:bottom w:val="single" w:sz="8" w:color="0D248E"/>
            </w:tcBorders>
            <w:gridSpan w:val="2"/>
          </w:tcPr>
          <w:p>
            <w:pPr>
              <w:spacing w:after="0" w:line="188" w:lineRule="exact"/>
              <w:rPr>
                <w:sz w:val="20"/>
                <w:szCs w:val="20"/>
                <w:color w:val="auto"/>
              </w:rPr>
            </w:pPr>
            <w:r>
              <w:rPr>
                <w:rFonts w:ascii="Arial" w:cs="Arial" w:eastAsia="Arial" w:hAnsi="Arial"/>
                <w:sz w:val="18"/>
                <w:szCs w:val="18"/>
                <w:color w:val="0D248E"/>
                <w:w w:val="98"/>
              </w:rPr>
              <w:t>Item 7.</w:t>
            </w:r>
          </w:p>
        </w:tc>
        <w:tc>
          <w:tcPr>
            <w:tcW w:w="10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80" w:type="dxa"/>
            <w:vAlign w:val="bottom"/>
            <w:tcBorders>
              <w:bottom w:val="single" w:sz="8" w:color="0D248E"/>
            </w:tcBorders>
            <w:gridSpan w:val="25"/>
          </w:tcPr>
          <w:p>
            <w:pPr>
              <w:spacing w:after="0" w:line="188" w:lineRule="exact"/>
              <w:rPr>
                <w:sz w:val="20"/>
                <w:szCs w:val="20"/>
                <w:color w:val="auto"/>
              </w:rPr>
            </w:pPr>
            <w:r>
              <w:rPr>
                <w:rFonts w:ascii="Arial" w:cs="Arial" w:eastAsia="Arial" w:hAnsi="Arial"/>
                <w:sz w:val="18"/>
                <w:szCs w:val="18"/>
                <w:color w:val="0D248E"/>
                <w:w w:val="99"/>
              </w:rPr>
              <w:t>Management's Discussion and Analysis of Financial Condition and Results of Operations</w:t>
            </w:r>
          </w:p>
        </w:tc>
        <w:tc>
          <w:tcPr>
            <w:tcW w:w="214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52</w:t>
            </w:r>
          </w:p>
        </w:tc>
        <w:tc>
          <w:tcPr>
            <w:tcW w:w="0" w:type="dxa"/>
            <w:vAlign w:val="bottom"/>
          </w:tcPr>
          <w:p>
            <w:pPr>
              <w:spacing w:after="0"/>
              <w:rPr>
                <w:sz w:val="1"/>
                <w:szCs w:val="1"/>
                <w:color w:val="auto"/>
              </w:rPr>
            </w:pPr>
          </w:p>
        </w:tc>
      </w:tr>
      <w:tr>
        <w:trPr>
          <w:trHeight w:val="186"/>
        </w:trPr>
        <w:tc>
          <w:tcPr>
            <w:tcW w:w="960" w:type="dxa"/>
            <w:vAlign w:val="bottom"/>
            <w:gridSpan w:val="8"/>
          </w:tcPr>
          <w:p>
            <w:pPr>
              <w:spacing w:after="0" w:line="187" w:lineRule="exact"/>
              <w:rPr>
                <w:sz w:val="20"/>
                <w:szCs w:val="20"/>
                <w:color w:val="auto"/>
              </w:rPr>
            </w:pPr>
            <w:r>
              <w:rPr>
                <w:rFonts w:ascii="Arial" w:cs="Arial" w:eastAsia="Arial" w:hAnsi="Arial"/>
                <w:sz w:val="18"/>
                <w:szCs w:val="18"/>
                <w:color w:val="0D248E"/>
              </w:rPr>
              <w:t>Item 7A.</w:t>
            </w:r>
          </w:p>
        </w:tc>
        <w:tc>
          <w:tcPr>
            <w:tcW w:w="7080" w:type="dxa"/>
            <w:vAlign w:val="bottom"/>
            <w:gridSpan w:val="25"/>
          </w:tcPr>
          <w:p>
            <w:pPr>
              <w:spacing w:after="0" w:line="187" w:lineRule="exact"/>
              <w:rPr>
                <w:sz w:val="20"/>
                <w:szCs w:val="20"/>
                <w:color w:val="auto"/>
              </w:rPr>
            </w:pPr>
            <w:r>
              <w:rPr>
                <w:rFonts w:ascii="Arial" w:cs="Arial" w:eastAsia="Arial" w:hAnsi="Arial"/>
                <w:sz w:val="18"/>
                <w:szCs w:val="18"/>
                <w:color w:val="0D248E"/>
              </w:rPr>
              <w:t>Quantitative and Qualitative Disclosures About Market Risk</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spacing w:after="0" w:line="187" w:lineRule="exact"/>
              <w:rPr>
                <w:sz w:val="20"/>
                <w:szCs w:val="20"/>
                <w:color w:val="auto"/>
              </w:rPr>
            </w:pPr>
            <w:r>
              <w:rPr>
                <w:rFonts w:ascii="Arial" w:cs="Arial" w:eastAsia="Arial" w:hAnsi="Arial"/>
                <w:sz w:val="18"/>
                <w:szCs w:val="18"/>
                <w:color w:val="0D248E"/>
                <w:w w:val="89"/>
              </w:rPr>
              <w:t>75</w:t>
            </w:r>
          </w:p>
        </w:tc>
        <w:tc>
          <w:tcPr>
            <w:tcW w:w="0" w:type="dxa"/>
            <w:vAlign w:val="bottom"/>
          </w:tcPr>
          <w:p>
            <w:pPr>
              <w:spacing w:after="0"/>
              <w:rPr>
                <w:sz w:val="1"/>
                <w:szCs w:val="1"/>
                <w:color w:val="auto"/>
              </w:rPr>
            </w:pPr>
          </w:p>
        </w:tc>
      </w:tr>
      <w:tr>
        <w:trPr>
          <w:trHeight w:val="188"/>
        </w:trPr>
        <w:tc>
          <w:tcPr>
            <w:tcW w:w="680" w:type="dxa"/>
            <w:vAlign w:val="bottom"/>
            <w:tcBorders>
              <w:top w:val="single" w:sz="8" w:color="0D248E"/>
            </w:tcBorders>
            <w:gridSpan w:val="5"/>
          </w:tcPr>
          <w:p>
            <w:pPr>
              <w:spacing w:after="0" w:line="188" w:lineRule="exact"/>
              <w:rPr>
                <w:sz w:val="20"/>
                <w:szCs w:val="20"/>
                <w:color w:val="auto"/>
              </w:rPr>
            </w:pPr>
            <w:r>
              <w:rPr>
                <w:rFonts w:ascii="Arial" w:cs="Arial" w:eastAsia="Arial" w:hAnsi="Arial"/>
                <w:sz w:val="18"/>
                <w:szCs w:val="18"/>
                <w:color w:val="0D248E"/>
              </w:rPr>
              <w:t>Item 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20" w:type="dxa"/>
            <w:vAlign w:val="bottom"/>
            <w:tcBorders>
              <w:top w:val="single" w:sz="8" w:color="0D248E"/>
            </w:tcBorders>
            <w:gridSpan w:val="21"/>
          </w:tcPr>
          <w:p>
            <w:pPr>
              <w:spacing w:after="0" w:line="188" w:lineRule="exact"/>
              <w:rPr>
                <w:sz w:val="20"/>
                <w:szCs w:val="20"/>
                <w:color w:val="auto"/>
              </w:rPr>
            </w:pPr>
            <w:r>
              <w:rPr>
                <w:rFonts w:ascii="Arial" w:cs="Arial" w:eastAsia="Arial" w:hAnsi="Arial"/>
                <w:sz w:val="18"/>
                <w:szCs w:val="18"/>
                <w:color w:val="0D248E"/>
              </w:rPr>
              <w:t>Financial Statements and Supplementary Data</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76</w:t>
            </w:r>
          </w:p>
        </w:tc>
        <w:tc>
          <w:tcPr>
            <w:tcW w:w="0" w:type="dxa"/>
            <w:vAlign w:val="bottom"/>
          </w:tcPr>
          <w:p>
            <w:pPr>
              <w:spacing w:after="0"/>
              <w:rPr>
                <w:sz w:val="1"/>
                <w:szCs w:val="1"/>
                <w:color w:val="auto"/>
              </w:rPr>
            </w:pPr>
          </w:p>
        </w:tc>
      </w:tr>
      <w:tr>
        <w:trPr>
          <w:trHeight w:val="186"/>
        </w:trPr>
        <w:tc>
          <w:tcPr>
            <w:tcW w:w="540" w:type="dxa"/>
            <w:vAlign w:val="bottom"/>
            <w:tcBorders>
              <w:top w:val="single" w:sz="8" w:color="0D248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Borders>
              <w:top w:val="single" w:sz="8" w:color="0D248E"/>
            </w:tcBorders>
            <w:gridSpan w:val="16"/>
          </w:tcPr>
          <w:p>
            <w:pPr>
              <w:spacing w:after="0" w:line="187" w:lineRule="exact"/>
              <w:rPr>
                <w:sz w:val="20"/>
                <w:szCs w:val="20"/>
                <w:color w:val="auto"/>
              </w:rPr>
            </w:pPr>
            <w:r>
              <w:rPr>
                <w:rFonts w:ascii="Arial" w:cs="Arial" w:eastAsia="Arial" w:hAnsi="Arial"/>
                <w:sz w:val="18"/>
                <w:szCs w:val="18"/>
                <w:color w:val="0D248E"/>
              </w:rPr>
              <w:t>Consolidated Balance Sheets</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7" w:lineRule="exact"/>
              <w:rPr>
                <w:sz w:val="20"/>
                <w:szCs w:val="20"/>
                <w:color w:val="auto"/>
              </w:rPr>
            </w:pPr>
            <w:r>
              <w:rPr>
                <w:rFonts w:ascii="Arial" w:cs="Arial" w:eastAsia="Arial" w:hAnsi="Arial"/>
                <w:sz w:val="18"/>
                <w:szCs w:val="18"/>
                <w:color w:val="0D248E"/>
                <w:w w:val="89"/>
              </w:rPr>
              <w:t>78</w:t>
            </w: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tcBorders>
              <w:top w:val="single" w:sz="8" w:color="0D248E"/>
            </w:tcBorders>
            <w:gridSpan w:val="13"/>
          </w:tcPr>
          <w:p>
            <w:pPr>
              <w:spacing w:after="0" w:line="188" w:lineRule="exact"/>
              <w:rPr>
                <w:sz w:val="20"/>
                <w:szCs w:val="20"/>
                <w:color w:val="auto"/>
              </w:rPr>
            </w:pPr>
            <w:r>
              <w:rPr>
                <w:rFonts w:ascii="Arial" w:cs="Arial" w:eastAsia="Arial" w:hAnsi="Arial"/>
                <w:sz w:val="18"/>
                <w:szCs w:val="18"/>
                <w:color w:val="0D248E"/>
              </w:rPr>
              <w:t>Consolidated Statements of</w:t>
            </w:r>
          </w:p>
        </w:tc>
        <w:tc>
          <w:tcPr>
            <w:tcW w:w="6860" w:type="dxa"/>
            <w:vAlign w:val="bottom"/>
            <w:gridSpan w:val="16"/>
          </w:tcPr>
          <w:p>
            <w:pPr>
              <w:spacing w:after="0" w:line="188" w:lineRule="exact"/>
              <w:rPr>
                <w:sz w:val="20"/>
                <w:szCs w:val="20"/>
                <w:color w:val="auto"/>
              </w:rPr>
            </w:pPr>
            <w:r>
              <w:rPr>
                <w:rFonts w:ascii="Arial" w:cs="Arial" w:eastAsia="Arial" w:hAnsi="Arial"/>
                <w:sz w:val="18"/>
                <w:szCs w:val="18"/>
                <w:color w:val="0D248E"/>
              </w:rPr>
              <w:t>Operations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79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0D248E"/>
          </w:tcPr>
          <w:p>
            <w:pPr>
              <w:spacing w:after="0" w:line="20" w:lineRule="exact"/>
              <w:rPr>
                <w:sz w:val="1"/>
                <w:szCs w:val="1"/>
                <w:color w:val="auto"/>
              </w:rPr>
            </w:pPr>
          </w:p>
        </w:tc>
        <w:tc>
          <w:tcPr>
            <w:tcW w:w="360" w:type="dxa"/>
            <w:vAlign w:val="bottom"/>
            <w:gridSpan w:val="2"/>
            <w:shd w:val="clear" w:color="auto" w:fill="0D248E"/>
          </w:tcPr>
          <w:p>
            <w:pPr>
              <w:spacing w:after="0" w:line="20" w:lineRule="exact"/>
              <w:rPr>
                <w:sz w:val="1"/>
                <w:szCs w:val="1"/>
                <w:color w:val="auto"/>
              </w:rPr>
            </w:pPr>
          </w:p>
        </w:tc>
        <w:tc>
          <w:tcPr>
            <w:tcW w:w="280" w:type="dxa"/>
            <w:vAlign w:val="bottom"/>
            <w:gridSpan w:val="2"/>
            <w:shd w:val="clear" w:color="auto" w:fill="0D248E"/>
          </w:tcPr>
          <w:p>
            <w:pPr>
              <w:spacing w:after="0" w:line="20" w:lineRule="exact"/>
              <w:rPr>
                <w:sz w:val="1"/>
                <w:szCs w:val="1"/>
                <w:color w:val="auto"/>
              </w:rPr>
            </w:pPr>
          </w:p>
        </w:tc>
        <w:tc>
          <w:tcPr>
            <w:tcW w:w="320" w:type="dxa"/>
            <w:vAlign w:val="bottom"/>
            <w:gridSpan w:val="2"/>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1120" w:type="dxa"/>
            <w:vAlign w:val="bottom"/>
            <w:gridSpan w:val="3"/>
            <w:shd w:val="clear" w:color="auto" w:fill="0D248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2"/>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29"/>
          </w:tcPr>
          <w:p>
            <w:pPr>
              <w:spacing w:after="0" w:line="187" w:lineRule="exact"/>
              <w:rPr>
                <w:sz w:val="20"/>
                <w:szCs w:val="20"/>
                <w:color w:val="auto"/>
              </w:rPr>
            </w:pPr>
            <w:r>
              <w:rPr>
                <w:rFonts w:ascii="Arial" w:cs="Arial" w:eastAsia="Arial" w:hAnsi="Arial"/>
                <w:sz w:val="18"/>
                <w:szCs w:val="18"/>
                <w:color w:val="0D248E"/>
              </w:rPr>
              <w:t>Consolidated Statements of Comprehensive Income</w:t>
            </w:r>
          </w:p>
        </w:tc>
        <w:tc>
          <w:tcPr>
            <w:tcW w:w="3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gridSpan w:val="2"/>
          </w:tcPr>
          <w:p>
            <w:pPr>
              <w:jc w:val="right"/>
              <w:spacing w:after="0" w:line="187" w:lineRule="exact"/>
              <w:rPr>
                <w:sz w:val="20"/>
                <w:szCs w:val="20"/>
                <w:color w:val="auto"/>
              </w:rPr>
            </w:pPr>
            <w:r>
              <w:rPr>
                <w:rFonts w:ascii="Arial" w:cs="Arial" w:eastAsia="Arial" w:hAnsi="Arial"/>
                <w:sz w:val="18"/>
                <w:szCs w:val="18"/>
                <w:color w:val="0D248E"/>
                <w:w w:val="89"/>
              </w:rPr>
              <w:t>80</w:t>
            </w: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60" w:type="dxa"/>
            <w:vAlign w:val="bottom"/>
            <w:tcBorders>
              <w:top w:val="single" w:sz="8" w:color="0D248E"/>
            </w:tcBorders>
            <w:gridSpan w:val="18"/>
          </w:tcPr>
          <w:p>
            <w:pPr>
              <w:spacing w:after="0" w:line="188" w:lineRule="exact"/>
              <w:rPr>
                <w:sz w:val="20"/>
                <w:szCs w:val="20"/>
                <w:color w:val="auto"/>
              </w:rPr>
            </w:pPr>
            <w:r>
              <w:rPr>
                <w:rFonts w:ascii="Arial" w:cs="Arial" w:eastAsia="Arial" w:hAnsi="Arial"/>
                <w:sz w:val="18"/>
                <w:szCs w:val="18"/>
                <w:color w:val="0D248E"/>
                <w:w w:val="96"/>
              </w:rPr>
              <w:t>Consolidated Statements of Changes in Stockholders’</w:t>
            </w:r>
          </w:p>
        </w:tc>
        <w:tc>
          <w:tcPr>
            <w:tcW w:w="5060" w:type="dxa"/>
            <w:vAlign w:val="bottom"/>
            <w:gridSpan w:val="11"/>
          </w:tcPr>
          <w:p>
            <w:pPr>
              <w:jc w:val="center"/>
              <w:ind w:right="4160"/>
              <w:spacing w:after="0" w:line="188" w:lineRule="exact"/>
              <w:rPr>
                <w:sz w:val="20"/>
                <w:szCs w:val="20"/>
                <w:color w:val="auto"/>
              </w:rPr>
            </w:pPr>
            <w:r>
              <w:rPr>
                <w:rFonts w:ascii="Arial" w:cs="Arial" w:eastAsia="Arial" w:hAnsi="Arial"/>
                <w:sz w:val="18"/>
                <w:szCs w:val="18"/>
                <w:color w:val="0D248E"/>
                <w:w w:val="99"/>
              </w:rPr>
              <w:t>Equity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8" w:lineRule="exact"/>
              <w:rPr>
                <w:sz w:val="20"/>
                <w:szCs w:val="20"/>
                <w:color w:val="auto"/>
              </w:rPr>
            </w:pPr>
            <w:r>
              <w:rPr>
                <w:rFonts w:ascii="Arial" w:cs="Arial" w:eastAsia="Arial" w:hAnsi="Arial"/>
                <w:sz w:val="18"/>
                <w:szCs w:val="18"/>
                <w:color w:val="0D248E"/>
                <w:w w:val="89"/>
              </w:rPr>
              <w:t>81</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60" w:type="dxa"/>
            <w:vAlign w:val="bottom"/>
            <w:tcBorders>
              <w:top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Consolidated Statements of Cash Flows</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0D248E"/>
            </w:tcBorders>
            <w:gridSpan w:val="2"/>
          </w:tcPr>
          <w:p>
            <w:pPr>
              <w:jc w:val="right"/>
              <w:spacing w:after="0" w:line="187" w:lineRule="exact"/>
              <w:rPr>
                <w:sz w:val="20"/>
                <w:szCs w:val="20"/>
                <w:color w:val="auto"/>
              </w:rPr>
            </w:pPr>
            <w:r>
              <w:rPr>
                <w:rFonts w:ascii="Arial" w:cs="Arial" w:eastAsia="Arial" w:hAnsi="Arial"/>
                <w:sz w:val="18"/>
                <w:szCs w:val="18"/>
                <w:color w:val="0D248E"/>
                <w:w w:val="89"/>
              </w:rPr>
              <w:t>82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0D248E"/>
          </w:tcPr>
          <w:p>
            <w:pPr>
              <w:spacing w:after="0" w:line="20" w:lineRule="exact"/>
              <w:rPr>
                <w:sz w:val="1"/>
                <w:szCs w:val="1"/>
                <w:color w:val="auto"/>
              </w:rPr>
            </w:pPr>
          </w:p>
        </w:tc>
        <w:tc>
          <w:tcPr>
            <w:tcW w:w="360" w:type="dxa"/>
            <w:vAlign w:val="bottom"/>
            <w:gridSpan w:val="2"/>
            <w:shd w:val="clear" w:color="auto" w:fill="0D248E"/>
          </w:tcPr>
          <w:p>
            <w:pPr>
              <w:spacing w:after="0" w:line="20" w:lineRule="exact"/>
              <w:rPr>
                <w:sz w:val="1"/>
                <w:szCs w:val="1"/>
                <w:color w:val="auto"/>
              </w:rPr>
            </w:pPr>
          </w:p>
        </w:tc>
        <w:tc>
          <w:tcPr>
            <w:tcW w:w="280" w:type="dxa"/>
            <w:vAlign w:val="bottom"/>
            <w:gridSpan w:val="2"/>
            <w:shd w:val="clear" w:color="auto" w:fill="0D248E"/>
          </w:tcPr>
          <w:p>
            <w:pPr>
              <w:spacing w:after="0" w:line="20" w:lineRule="exact"/>
              <w:rPr>
                <w:sz w:val="1"/>
                <w:szCs w:val="1"/>
                <w:color w:val="auto"/>
              </w:rPr>
            </w:pPr>
          </w:p>
        </w:tc>
        <w:tc>
          <w:tcPr>
            <w:tcW w:w="320" w:type="dxa"/>
            <w:vAlign w:val="bottom"/>
            <w:gridSpan w:val="2"/>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1120" w:type="dxa"/>
            <w:vAlign w:val="bottom"/>
            <w:gridSpan w:val="3"/>
            <w:shd w:val="clear" w:color="auto" w:fill="0D248E"/>
          </w:tcPr>
          <w:p>
            <w:pPr>
              <w:spacing w:after="0" w:line="20" w:lineRule="exact"/>
              <w:rPr>
                <w:sz w:val="1"/>
                <w:szCs w:val="1"/>
                <w:color w:val="auto"/>
              </w:rPr>
            </w:pPr>
          </w:p>
        </w:tc>
        <w:tc>
          <w:tcPr>
            <w:tcW w:w="380" w:type="dxa"/>
            <w:vAlign w:val="bottom"/>
            <w:tcBorders>
              <w:left w:val="single" w:sz="8" w:color="0D248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gridSpan w:val="2"/>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60" w:type="dxa"/>
            <w:vAlign w:val="bottom"/>
            <w:gridSpan w:val="8"/>
            <w:vMerge w:val="restart"/>
          </w:tcPr>
          <w:p>
            <w:pPr>
              <w:spacing w:after="0"/>
              <w:rPr>
                <w:sz w:val="20"/>
                <w:szCs w:val="20"/>
                <w:color w:val="auto"/>
              </w:rPr>
            </w:pPr>
            <w:r>
              <w:rPr>
                <w:rFonts w:ascii="Arial" w:cs="Arial" w:eastAsia="Arial" w:hAnsi="Arial"/>
                <w:sz w:val="18"/>
                <w:szCs w:val="18"/>
                <w:color w:val="0D248E"/>
              </w:rPr>
              <w:t>Item 9.</w:t>
            </w:r>
          </w:p>
        </w:tc>
        <w:tc>
          <w:tcPr>
            <w:tcW w:w="9220" w:type="dxa"/>
            <w:vAlign w:val="bottom"/>
            <w:gridSpan w:val="29"/>
          </w:tcPr>
          <w:p>
            <w:pPr>
              <w:spacing w:after="0" w:line="188" w:lineRule="exact"/>
              <w:rPr>
                <w:sz w:val="20"/>
                <w:szCs w:val="20"/>
                <w:color w:val="auto"/>
              </w:rPr>
            </w:pPr>
            <w:r>
              <w:rPr>
                <w:rFonts w:ascii="Arial" w:cs="Arial" w:eastAsia="Arial" w:hAnsi="Arial"/>
                <w:sz w:val="18"/>
                <w:szCs w:val="18"/>
                <w:color w:val="0D248E"/>
              </w:rPr>
              <w:t>Notes to the Consolidated Financial Statements</w:t>
            </w:r>
          </w:p>
        </w:tc>
        <w:tc>
          <w:tcPr>
            <w:tcW w:w="3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gridSpan w:val="2"/>
          </w:tcPr>
          <w:p>
            <w:pPr>
              <w:jc w:val="right"/>
              <w:spacing w:after="0" w:line="188" w:lineRule="exact"/>
              <w:rPr>
                <w:sz w:val="20"/>
                <w:szCs w:val="20"/>
                <w:color w:val="auto"/>
              </w:rPr>
            </w:pPr>
            <w:r>
              <w:rPr>
                <w:rFonts w:ascii="Arial" w:cs="Arial" w:eastAsia="Arial" w:hAnsi="Arial"/>
                <w:sz w:val="18"/>
                <w:szCs w:val="18"/>
                <w:color w:val="0D248E"/>
                <w:w w:val="89"/>
              </w:rPr>
              <w:t>84</w:t>
            </w:r>
          </w:p>
        </w:tc>
        <w:tc>
          <w:tcPr>
            <w:tcW w:w="0" w:type="dxa"/>
            <w:vAlign w:val="bottom"/>
          </w:tcPr>
          <w:p>
            <w:pPr>
              <w:spacing w:after="0"/>
              <w:rPr>
                <w:sz w:val="1"/>
                <w:szCs w:val="1"/>
                <w:color w:val="auto"/>
              </w:rPr>
            </w:pPr>
          </w:p>
        </w:tc>
      </w:tr>
      <w:tr>
        <w:trPr>
          <w:trHeight w:val="20"/>
        </w:trPr>
        <w:tc>
          <w:tcPr>
            <w:tcW w:w="960" w:type="dxa"/>
            <w:vAlign w:val="bottom"/>
            <w:gridSpan w:val="8"/>
            <w:vMerge w:val="continue"/>
          </w:tcPr>
          <w:p>
            <w:pPr>
              <w:spacing w:after="0" w:line="20" w:lineRule="exact"/>
              <w:rPr>
                <w:sz w:val="1"/>
                <w:szCs w:val="1"/>
                <w:color w:val="auto"/>
              </w:rPr>
            </w:pPr>
          </w:p>
        </w:tc>
        <w:tc>
          <w:tcPr>
            <w:tcW w:w="1040" w:type="dxa"/>
            <w:vAlign w:val="bottom"/>
            <w:gridSpan w:val="4"/>
            <w:shd w:val="clear" w:color="auto" w:fill="0D248E"/>
          </w:tcPr>
          <w:p>
            <w:pPr>
              <w:spacing w:after="0" w:line="20" w:lineRule="exact"/>
              <w:rPr>
                <w:sz w:val="1"/>
                <w:szCs w:val="1"/>
                <w:color w:val="auto"/>
              </w:rPr>
            </w:pPr>
          </w:p>
        </w:tc>
        <w:tc>
          <w:tcPr>
            <w:tcW w:w="360" w:type="dxa"/>
            <w:vAlign w:val="bottom"/>
            <w:gridSpan w:val="2"/>
            <w:shd w:val="clear" w:color="auto" w:fill="0D248E"/>
          </w:tcPr>
          <w:p>
            <w:pPr>
              <w:spacing w:after="0" w:line="20" w:lineRule="exact"/>
              <w:rPr>
                <w:sz w:val="1"/>
                <w:szCs w:val="1"/>
                <w:color w:val="auto"/>
              </w:rPr>
            </w:pPr>
          </w:p>
        </w:tc>
        <w:tc>
          <w:tcPr>
            <w:tcW w:w="280" w:type="dxa"/>
            <w:vAlign w:val="bottom"/>
            <w:gridSpan w:val="2"/>
            <w:shd w:val="clear" w:color="auto" w:fill="0D248E"/>
          </w:tcPr>
          <w:p>
            <w:pPr>
              <w:spacing w:after="0" w:line="20" w:lineRule="exact"/>
              <w:rPr>
                <w:sz w:val="1"/>
                <w:szCs w:val="1"/>
                <w:color w:val="auto"/>
              </w:rPr>
            </w:pPr>
          </w:p>
        </w:tc>
        <w:tc>
          <w:tcPr>
            <w:tcW w:w="320" w:type="dxa"/>
            <w:vAlign w:val="bottom"/>
            <w:gridSpan w:val="2"/>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1120" w:type="dxa"/>
            <w:vAlign w:val="bottom"/>
            <w:gridSpan w:val="3"/>
            <w:shd w:val="clear" w:color="auto" w:fill="0D248E"/>
          </w:tcPr>
          <w:p>
            <w:pPr>
              <w:spacing w:after="0" w:line="20" w:lineRule="exact"/>
              <w:rPr>
                <w:sz w:val="1"/>
                <w:szCs w:val="1"/>
                <w:color w:val="auto"/>
              </w:rPr>
            </w:pPr>
          </w:p>
        </w:tc>
        <w:tc>
          <w:tcPr>
            <w:tcW w:w="380" w:type="dxa"/>
            <w:vAlign w:val="bottom"/>
            <w:tcBorders>
              <w:left w:val="single" w:sz="8" w:color="0D248E"/>
            </w:tcBorders>
            <w:shd w:val="clear" w:color="auto" w:fill="0D248E"/>
          </w:tcPr>
          <w:p>
            <w:pPr>
              <w:spacing w:after="0" w:line="20" w:lineRule="exact"/>
              <w:rPr>
                <w:sz w:val="1"/>
                <w:szCs w:val="1"/>
                <w:color w:val="auto"/>
              </w:rPr>
            </w:pPr>
          </w:p>
        </w:tc>
        <w:tc>
          <w:tcPr>
            <w:tcW w:w="280" w:type="dxa"/>
            <w:vAlign w:val="bottom"/>
            <w:gridSpan w:val="2"/>
            <w:shd w:val="clear" w:color="auto" w:fill="0D248E"/>
          </w:tcPr>
          <w:p>
            <w:pPr>
              <w:spacing w:after="0" w:line="20" w:lineRule="exact"/>
              <w:rPr>
                <w:sz w:val="1"/>
                <w:szCs w:val="1"/>
                <w:color w:val="auto"/>
              </w:rPr>
            </w:pPr>
          </w:p>
        </w:tc>
        <w:tc>
          <w:tcPr>
            <w:tcW w:w="5420" w:type="dxa"/>
            <w:vAlign w:val="bottom"/>
            <w:gridSpan w:val="12"/>
            <w:vMerge w:val="restart"/>
          </w:tcPr>
          <w:p>
            <w:pPr>
              <w:ind w:left="220"/>
              <w:spacing w:after="0"/>
              <w:rPr>
                <w:sz w:val="20"/>
                <w:szCs w:val="20"/>
                <w:color w:val="auto"/>
              </w:rPr>
            </w:pPr>
            <w:r>
              <w:rPr>
                <w:rFonts w:ascii="Arial" w:cs="Arial" w:eastAsia="Arial" w:hAnsi="Arial"/>
                <w:sz w:val="18"/>
                <w:szCs w:val="18"/>
                <w:color w:val="0D248E"/>
              </w:rPr>
              <w:t>on Accounting and Financial Disclosure</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60" w:type="dxa"/>
            <w:vAlign w:val="bottom"/>
            <w:gridSpan w:val="8"/>
            <w:vMerge w:val="continue"/>
          </w:tcPr>
          <w:p>
            <w:pPr>
              <w:spacing w:after="0"/>
              <w:rPr>
                <w:sz w:val="16"/>
                <w:szCs w:val="16"/>
                <w:color w:val="auto"/>
              </w:rPr>
            </w:pPr>
          </w:p>
        </w:tc>
        <w:tc>
          <w:tcPr>
            <w:tcW w:w="3800" w:type="dxa"/>
            <w:vAlign w:val="bottom"/>
            <w:gridSpan w:val="17"/>
          </w:tcPr>
          <w:p>
            <w:pPr>
              <w:spacing w:after="0" w:line="187" w:lineRule="exact"/>
              <w:rPr>
                <w:sz w:val="20"/>
                <w:szCs w:val="20"/>
                <w:color w:val="auto"/>
              </w:rPr>
            </w:pPr>
            <w:r>
              <w:rPr>
                <w:rFonts w:ascii="Arial" w:cs="Arial" w:eastAsia="Arial" w:hAnsi="Arial"/>
                <w:sz w:val="18"/>
                <w:szCs w:val="18"/>
                <w:color w:val="0D248E"/>
                <w:w w:val="95"/>
              </w:rPr>
              <w:t>Changes in and Disagreements With Accountants</w:t>
            </w:r>
          </w:p>
        </w:tc>
        <w:tc>
          <w:tcPr>
            <w:tcW w:w="5420" w:type="dxa"/>
            <w:vAlign w:val="bottom"/>
            <w:gridSpan w:val="12"/>
            <w:vMerge w:val="continue"/>
          </w:tcPr>
          <w:p>
            <w:pPr>
              <w:spacing w:after="0"/>
              <w:rPr>
                <w:sz w:val="16"/>
                <w:szCs w:val="16"/>
                <w:color w:val="auto"/>
              </w:rPr>
            </w:pPr>
          </w:p>
        </w:tc>
        <w:tc>
          <w:tcPr>
            <w:tcW w:w="620" w:type="dxa"/>
            <w:vAlign w:val="bottom"/>
            <w:gridSpan w:val="4"/>
          </w:tcPr>
          <w:p>
            <w:pPr>
              <w:jc w:val="right"/>
              <w:spacing w:after="0" w:line="187" w:lineRule="exact"/>
              <w:rPr>
                <w:sz w:val="20"/>
                <w:szCs w:val="20"/>
                <w:color w:val="auto"/>
              </w:rPr>
            </w:pPr>
            <w:r>
              <w:rPr>
                <w:rFonts w:ascii="Arial" w:cs="Arial" w:eastAsia="Arial" w:hAnsi="Arial"/>
                <w:sz w:val="18"/>
                <w:szCs w:val="18"/>
                <w:color w:val="0D248E"/>
              </w:rPr>
              <w:t>124</w:t>
            </w:r>
          </w:p>
        </w:tc>
        <w:tc>
          <w:tcPr>
            <w:tcW w:w="0" w:type="dxa"/>
            <w:vAlign w:val="bottom"/>
          </w:tcPr>
          <w:p>
            <w:pPr>
              <w:spacing w:after="0"/>
              <w:rPr>
                <w:sz w:val="1"/>
                <w:szCs w:val="1"/>
                <w:color w:val="auto"/>
              </w:rPr>
            </w:pPr>
          </w:p>
        </w:tc>
      </w:tr>
      <w:tr>
        <w:trPr>
          <w:trHeight w:val="20"/>
        </w:trPr>
        <w:tc>
          <w:tcPr>
            <w:tcW w:w="540" w:type="dxa"/>
            <w:vAlign w:val="bottom"/>
            <w:shd w:val="clear" w:color="auto" w:fill="0D248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shd w:val="clear" w:color="auto" w:fill="0D248E"/>
          </w:tcPr>
          <w:p>
            <w:pPr>
              <w:spacing w:after="0" w:line="20" w:lineRule="exact"/>
              <w:rPr>
                <w:sz w:val="1"/>
                <w:szCs w:val="1"/>
                <w:color w:val="auto"/>
              </w:rPr>
            </w:pPr>
          </w:p>
        </w:tc>
        <w:tc>
          <w:tcPr>
            <w:tcW w:w="360" w:type="dxa"/>
            <w:vAlign w:val="bottom"/>
            <w:gridSpan w:val="2"/>
            <w:shd w:val="clear" w:color="auto" w:fill="0D248E"/>
          </w:tcPr>
          <w:p>
            <w:pPr>
              <w:spacing w:after="0" w:line="20" w:lineRule="exact"/>
              <w:rPr>
                <w:sz w:val="1"/>
                <w:szCs w:val="1"/>
                <w:color w:val="auto"/>
              </w:rPr>
            </w:pPr>
          </w:p>
        </w:tc>
        <w:tc>
          <w:tcPr>
            <w:tcW w:w="280" w:type="dxa"/>
            <w:vAlign w:val="bottom"/>
            <w:gridSpan w:val="2"/>
            <w:shd w:val="clear" w:color="auto" w:fill="0D248E"/>
          </w:tcPr>
          <w:p>
            <w:pPr>
              <w:spacing w:after="0" w:line="20" w:lineRule="exact"/>
              <w:rPr>
                <w:sz w:val="1"/>
                <w:szCs w:val="1"/>
                <w:color w:val="auto"/>
              </w:rPr>
            </w:pPr>
          </w:p>
        </w:tc>
        <w:tc>
          <w:tcPr>
            <w:tcW w:w="320" w:type="dxa"/>
            <w:vAlign w:val="bottom"/>
            <w:gridSpan w:val="2"/>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1120" w:type="dxa"/>
            <w:vAlign w:val="bottom"/>
            <w:gridSpan w:val="3"/>
            <w:shd w:val="clear" w:color="auto" w:fill="0D248E"/>
          </w:tcPr>
          <w:p>
            <w:pPr>
              <w:spacing w:after="0" w:line="20" w:lineRule="exact"/>
              <w:rPr>
                <w:sz w:val="1"/>
                <w:szCs w:val="1"/>
                <w:color w:val="auto"/>
              </w:rPr>
            </w:pPr>
          </w:p>
        </w:tc>
        <w:tc>
          <w:tcPr>
            <w:tcW w:w="380" w:type="dxa"/>
            <w:vAlign w:val="bottom"/>
            <w:tcBorders>
              <w:left w:val="single" w:sz="8" w:color="0D248E"/>
            </w:tcBorders>
            <w:shd w:val="clear" w:color="auto" w:fill="0D248E"/>
          </w:tcPr>
          <w:p>
            <w:pPr>
              <w:spacing w:after="0" w:line="20" w:lineRule="exact"/>
              <w:rPr>
                <w:sz w:val="1"/>
                <w:szCs w:val="1"/>
                <w:color w:val="auto"/>
              </w:rPr>
            </w:pPr>
          </w:p>
        </w:tc>
        <w:tc>
          <w:tcPr>
            <w:tcW w:w="980" w:type="dxa"/>
            <w:vAlign w:val="bottom"/>
            <w:gridSpan w:val="4"/>
            <w:shd w:val="clear" w:color="auto" w:fill="0D248E"/>
          </w:tcPr>
          <w:p>
            <w:pPr>
              <w:spacing w:after="0" w:line="20" w:lineRule="exact"/>
              <w:rPr>
                <w:sz w:val="1"/>
                <w:szCs w:val="1"/>
                <w:color w:val="auto"/>
              </w:rPr>
            </w:pPr>
          </w:p>
        </w:tc>
        <w:tc>
          <w:tcPr>
            <w:tcW w:w="960" w:type="dxa"/>
            <w:vAlign w:val="bottom"/>
            <w:gridSpan w:val="4"/>
            <w:shd w:val="clear" w:color="auto" w:fill="0D248E"/>
          </w:tcPr>
          <w:p>
            <w:pPr>
              <w:spacing w:after="0" w:line="20" w:lineRule="exact"/>
              <w:rPr>
                <w:sz w:val="1"/>
                <w:szCs w:val="1"/>
                <w:color w:val="auto"/>
              </w:rPr>
            </w:pPr>
          </w:p>
        </w:tc>
        <w:tc>
          <w:tcPr>
            <w:tcW w:w="620" w:type="dxa"/>
            <w:vAlign w:val="bottom"/>
            <w:shd w:val="clear" w:color="auto" w:fill="0D248E"/>
          </w:tcPr>
          <w:p>
            <w:pPr>
              <w:spacing w:after="0" w:line="20" w:lineRule="exact"/>
              <w:rPr>
                <w:sz w:val="1"/>
                <w:szCs w:val="1"/>
                <w:color w:val="auto"/>
              </w:rPr>
            </w:pPr>
          </w:p>
        </w:tc>
        <w:tc>
          <w:tcPr>
            <w:tcW w:w="1100" w:type="dxa"/>
            <w:vAlign w:val="bottom"/>
            <w:gridSpan w:val="2"/>
            <w:shd w:val="clear" w:color="auto" w:fill="0D248E"/>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3"/>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60" w:type="dxa"/>
            <w:vAlign w:val="bottom"/>
            <w:gridSpan w:val="8"/>
          </w:tcPr>
          <w:p>
            <w:pPr>
              <w:spacing w:after="0" w:line="188" w:lineRule="exact"/>
              <w:rPr>
                <w:sz w:val="20"/>
                <w:szCs w:val="20"/>
                <w:color w:val="auto"/>
              </w:rPr>
            </w:pPr>
            <w:r>
              <w:rPr>
                <w:rFonts w:ascii="Arial" w:cs="Arial" w:eastAsia="Arial" w:hAnsi="Arial"/>
                <w:sz w:val="18"/>
                <w:szCs w:val="18"/>
                <w:color w:val="0D248E"/>
              </w:rPr>
              <w:t>Item 9A.</w:t>
            </w:r>
          </w:p>
        </w:tc>
        <w:tc>
          <w:tcPr>
            <w:tcW w:w="7180" w:type="dxa"/>
            <w:vAlign w:val="bottom"/>
            <w:gridSpan w:val="26"/>
          </w:tcPr>
          <w:p>
            <w:pPr>
              <w:spacing w:after="0" w:line="188" w:lineRule="exact"/>
              <w:rPr>
                <w:sz w:val="20"/>
                <w:szCs w:val="20"/>
                <w:color w:val="auto"/>
              </w:rPr>
            </w:pPr>
            <w:r>
              <w:rPr>
                <w:rFonts w:ascii="Arial" w:cs="Arial" w:eastAsia="Arial" w:hAnsi="Arial"/>
                <w:sz w:val="18"/>
                <w:szCs w:val="18"/>
                <w:color w:val="0D248E"/>
              </w:rPr>
              <w:t>Controls and Procedures</w:t>
            </w:r>
          </w:p>
        </w:tc>
        <w:tc>
          <w:tcPr>
            <w:tcW w:w="8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00" w:type="dxa"/>
            <w:vAlign w:val="bottom"/>
            <w:gridSpan w:val="3"/>
          </w:tcPr>
          <w:p>
            <w:pPr>
              <w:jc w:val="right"/>
              <w:spacing w:after="0" w:line="188" w:lineRule="exact"/>
              <w:rPr>
                <w:sz w:val="20"/>
                <w:szCs w:val="20"/>
                <w:color w:val="auto"/>
              </w:rPr>
            </w:pPr>
            <w:r>
              <w:rPr>
                <w:rFonts w:ascii="Arial" w:cs="Arial" w:eastAsia="Arial" w:hAnsi="Arial"/>
                <w:sz w:val="18"/>
                <w:szCs w:val="18"/>
                <w:color w:val="0D248E"/>
                <w:w w:val="93"/>
              </w:rPr>
              <w:t>124</w:t>
            </w:r>
          </w:p>
        </w:tc>
        <w:tc>
          <w:tcPr>
            <w:tcW w:w="0" w:type="dxa"/>
            <w:vAlign w:val="bottom"/>
          </w:tcPr>
          <w:p>
            <w:pPr>
              <w:spacing w:after="0"/>
              <w:rPr>
                <w:sz w:val="1"/>
                <w:szCs w:val="1"/>
                <w:color w:val="auto"/>
              </w:rPr>
            </w:pPr>
          </w:p>
        </w:tc>
      </w:tr>
      <w:tr>
        <w:trPr>
          <w:trHeight w:val="186"/>
        </w:trPr>
        <w:tc>
          <w:tcPr>
            <w:tcW w:w="680" w:type="dxa"/>
            <w:vAlign w:val="bottom"/>
            <w:tcBorders>
              <w:top w:val="single" w:sz="8" w:color="0D248E"/>
            </w:tcBorders>
            <w:gridSpan w:val="5"/>
          </w:tcPr>
          <w:p>
            <w:pPr>
              <w:spacing w:after="0" w:line="187" w:lineRule="exact"/>
              <w:rPr>
                <w:sz w:val="20"/>
                <w:szCs w:val="20"/>
                <w:color w:val="auto"/>
              </w:rPr>
            </w:pPr>
            <w:r>
              <w:rPr>
                <w:rFonts w:ascii="Arial" w:cs="Arial" w:eastAsia="Arial" w:hAnsi="Arial"/>
                <w:sz w:val="18"/>
                <w:szCs w:val="18"/>
                <w:color w:val="0D248E"/>
                <w:w w:val="98"/>
              </w:rPr>
              <w:t>Item 9B.</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Borders>
              <w:top w:val="single" w:sz="8" w:color="0D248E"/>
            </w:tcBorders>
            <w:gridSpan w:val="10"/>
          </w:tcPr>
          <w:p>
            <w:pPr>
              <w:spacing w:after="0" w:line="187" w:lineRule="exact"/>
              <w:rPr>
                <w:sz w:val="20"/>
                <w:szCs w:val="20"/>
                <w:color w:val="auto"/>
              </w:rPr>
            </w:pPr>
            <w:r>
              <w:rPr>
                <w:rFonts w:ascii="Arial" w:cs="Arial" w:eastAsia="Arial" w:hAnsi="Arial"/>
                <w:sz w:val="18"/>
                <w:szCs w:val="18"/>
                <w:color w:val="0D248E"/>
              </w:rPr>
              <w:t>Other Information</w:t>
            </w:r>
          </w:p>
        </w:tc>
        <w:tc>
          <w:tcPr>
            <w:tcW w:w="20" w:type="dxa"/>
            <w:vAlign w:val="bottom"/>
          </w:tcPr>
          <w:p>
            <w:pPr>
              <w:spacing w:after="0"/>
              <w:rPr>
                <w:sz w:val="16"/>
                <w:szCs w:val="16"/>
                <w:color w:val="auto"/>
              </w:rPr>
            </w:pPr>
          </w:p>
        </w:tc>
        <w:tc>
          <w:tcPr>
            <w:tcW w:w="112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4"/>
          </w:tcPr>
          <w:p>
            <w:pPr>
              <w:spacing w:after="0"/>
              <w:rPr>
                <w:sz w:val="16"/>
                <w:szCs w:val="16"/>
                <w:color w:val="auto"/>
              </w:rPr>
            </w:pPr>
          </w:p>
        </w:tc>
        <w:tc>
          <w:tcPr>
            <w:tcW w:w="96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gridSpan w:val="3"/>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0D248E"/>
            </w:tcBorders>
            <w:gridSpan w:val="3"/>
          </w:tcPr>
          <w:p>
            <w:pPr>
              <w:jc w:val="right"/>
              <w:spacing w:after="0" w:line="187" w:lineRule="exact"/>
              <w:rPr>
                <w:sz w:val="20"/>
                <w:szCs w:val="20"/>
                <w:color w:val="auto"/>
              </w:rPr>
            </w:pPr>
            <w:r>
              <w:rPr>
                <w:rFonts w:ascii="Arial" w:cs="Arial" w:eastAsia="Arial" w:hAnsi="Arial"/>
                <w:sz w:val="18"/>
                <w:szCs w:val="18"/>
                <w:color w:val="0D248E"/>
                <w:w w:val="93"/>
              </w:rPr>
              <w:t>124</w:t>
            </w: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40" w:type="dxa"/>
            <w:vAlign w:val="bottom"/>
            <w:gridSpan w:val="4"/>
            <w:shd w:val="clear" w:color="auto" w:fill="0D248E"/>
          </w:tcPr>
          <w:p>
            <w:pPr>
              <w:spacing w:after="0" w:line="20" w:lineRule="exact"/>
              <w:rPr>
                <w:sz w:val="1"/>
                <w:szCs w:val="1"/>
                <w:color w:val="auto"/>
              </w:rPr>
            </w:pPr>
          </w:p>
        </w:tc>
        <w:tc>
          <w:tcPr>
            <w:tcW w:w="360" w:type="dxa"/>
            <w:vAlign w:val="bottom"/>
            <w:gridSpan w:val="2"/>
            <w:shd w:val="clear" w:color="auto" w:fill="0D248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gridSpan w:val="3"/>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0" w:type="dxa"/>
            <w:vAlign w:val="bottom"/>
            <w:gridSpan w:val="5"/>
          </w:tcPr>
          <w:p>
            <w:pPr>
              <w:spacing w:after="0" w:line="188" w:lineRule="exact"/>
              <w:rPr>
                <w:sz w:val="20"/>
                <w:szCs w:val="20"/>
                <w:color w:val="auto"/>
              </w:rPr>
            </w:pPr>
            <w:r>
              <w:rPr>
                <w:rFonts w:ascii="Arial" w:cs="Arial" w:eastAsia="Arial" w:hAnsi="Arial"/>
                <w:sz w:val="18"/>
                <w:szCs w:val="18"/>
                <w:color w:val="0D248E"/>
                <w:w w:val="96"/>
              </w:rPr>
              <w:t>Item 9C.</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20" w:type="dxa"/>
            <w:vAlign w:val="bottom"/>
            <w:gridSpan w:val="29"/>
          </w:tcPr>
          <w:p>
            <w:pPr>
              <w:spacing w:after="0" w:line="188" w:lineRule="exact"/>
              <w:rPr>
                <w:sz w:val="20"/>
                <w:szCs w:val="20"/>
                <w:color w:val="auto"/>
              </w:rPr>
            </w:pPr>
            <w:r>
              <w:rPr>
                <w:rFonts w:ascii="Arial" w:cs="Arial" w:eastAsia="Arial" w:hAnsi="Arial"/>
                <w:sz w:val="18"/>
                <w:szCs w:val="18"/>
                <w:color w:val="0D248E"/>
              </w:rPr>
              <w:t>Disclosure Regarding Foreign Jurisdictions That Prevent Inspections</w:t>
            </w:r>
          </w:p>
        </w:tc>
        <w:tc>
          <w:tcPr>
            <w:tcW w:w="320" w:type="dxa"/>
            <w:vAlign w:val="bottom"/>
            <w:vMerge w:val="continue"/>
          </w:tcPr>
          <w:p>
            <w:pPr>
              <w:spacing w:after="0"/>
              <w:rPr>
                <w:sz w:val="16"/>
                <w:szCs w:val="16"/>
                <w:color w:val="auto"/>
              </w:rPr>
            </w:pPr>
          </w:p>
        </w:tc>
        <w:tc>
          <w:tcPr>
            <w:tcW w:w="300" w:type="dxa"/>
            <w:vAlign w:val="bottom"/>
            <w:gridSpan w:val="3"/>
          </w:tcPr>
          <w:p>
            <w:pPr>
              <w:jc w:val="right"/>
              <w:spacing w:after="0" w:line="188" w:lineRule="exact"/>
              <w:rPr>
                <w:sz w:val="20"/>
                <w:szCs w:val="20"/>
                <w:color w:val="auto"/>
              </w:rPr>
            </w:pPr>
            <w:r>
              <w:rPr>
                <w:rFonts w:ascii="Arial" w:cs="Arial" w:eastAsia="Arial" w:hAnsi="Arial"/>
                <w:sz w:val="18"/>
                <w:szCs w:val="18"/>
                <w:color w:val="0D248E"/>
                <w:w w:val="93"/>
              </w:rPr>
              <w:t>125</w:t>
            </w:r>
          </w:p>
        </w:tc>
        <w:tc>
          <w:tcPr>
            <w:tcW w:w="0" w:type="dxa"/>
            <w:vAlign w:val="bottom"/>
          </w:tcPr>
          <w:p>
            <w:pPr>
              <w:spacing w:after="0"/>
              <w:rPr>
                <w:sz w:val="1"/>
                <w:szCs w:val="1"/>
                <w:color w:val="auto"/>
              </w:rPr>
            </w:pPr>
          </w:p>
        </w:tc>
      </w:tr>
      <w:tr>
        <w:trPr>
          <w:trHeight w:val="394"/>
        </w:trPr>
        <w:tc>
          <w:tcPr>
            <w:tcW w:w="700" w:type="dxa"/>
            <w:vAlign w:val="bottom"/>
            <w:tcBorders>
              <w:top w:val="single" w:sz="8" w:color="0D248E"/>
              <w:bottom w:val="single" w:sz="8" w:color="0D248E"/>
            </w:tcBorders>
            <w:gridSpan w:val="6"/>
          </w:tcPr>
          <w:p>
            <w:pPr>
              <w:spacing w:after="0"/>
              <w:rPr>
                <w:sz w:val="20"/>
                <w:szCs w:val="20"/>
                <w:color w:val="auto"/>
              </w:rPr>
            </w:pPr>
            <w:r>
              <w:rPr>
                <w:rFonts w:ascii="Arial" w:cs="Arial" w:eastAsia="Arial" w:hAnsi="Arial"/>
                <w:sz w:val="18"/>
                <w:szCs w:val="18"/>
                <w:b w:val="1"/>
                <w:bCs w:val="1"/>
                <w:color w:val="0D248E"/>
                <w:w w:val="98"/>
              </w:rPr>
              <w:t>PART III</w:t>
            </w:r>
          </w:p>
        </w:tc>
        <w:tc>
          <w:tcPr>
            <w:tcW w:w="20" w:type="dxa"/>
            <w:vAlign w:val="bottom"/>
            <w:tcBorders>
              <w:bottom w:val="single" w:sz="8" w:color="0D248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0D248E"/>
            </w:tcBorders>
          </w:tcPr>
          <w:p>
            <w:pPr>
              <w:spacing w:after="0"/>
              <w:rPr>
                <w:sz w:val="24"/>
                <w:szCs w:val="24"/>
                <w:color w:val="auto"/>
              </w:rPr>
            </w:pPr>
          </w:p>
        </w:tc>
        <w:tc>
          <w:tcPr>
            <w:tcW w:w="80" w:type="dxa"/>
            <w:vAlign w:val="bottom"/>
            <w:tcBorders>
              <w:top w:val="single" w:sz="8" w:color="0D248E"/>
            </w:tcBorders>
          </w:tcPr>
          <w:p>
            <w:pPr>
              <w:spacing w:after="0"/>
              <w:rPr>
                <w:sz w:val="24"/>
                <w:szCs w:val="24"/>
                <w:color w:val="auto"/>
              </w:rPr>
            </w:pPr>
          </w:p>
        </w:tc>
        <w:tc>
          <w:tcPr>
            <w:tcW w:w="18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30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18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60" w:type="dxa"/>
            <w:vAlign w:val="bottom"/>
            <w:tcBorders>
              <w:top w:val="single" w:sz="8" w:color="0D248E"/>
            </w:tcBorders>
          </w:tcPr>
          <w:p>
            <w:pPr>
              <w:spacing w:after="0"/>
              <w:rPr>
                <w:sz w:val="24"/>
                <w:szCs w:val="24"/>
                <w:color w:val="auto"/>
              </w:rPr>
            </w:pPr>
          </w:p>
        </w:tc>
        <w:tc>
          <w:tcPr>
            <w:tcW w:w="20" w:type="dxa"/>
            <w:vAlign w:val="bottom"/>
            <w:tcBorders>
              <w:top w:val="single" w:sz="8" w:color="0D248E"/>
            </w:tcBorders>
          </w:tcPr>
          <w:p>
            <w:pPr>
              <w:spacing w:after="0"/>
              <w:rPr>
                <w:sz w:val="24"/>
                <w:szCs w:val="24"/>
                <w:color w:val="auto"/>
              </w:rPr>
            </w:pPr>
          </w:p>
        </w:tc>
        <w:tc>
          <w:tcPr>
            <w:tcW w:w="240" w:type="dxa"/>
            <w:vAlign w:val="bottom"/>
            <w:tcBorders>
              <w:top w:val="single" w:sz="8" w:color="0D248E"/>
            </w:tcBorders>
          </w:tcPr>
          <w:p>
            <w:pPr>
              <w:spacing w:after="0"/>
              <w:rPr>
                <w:sz w:val="24"/>
                <w:szCs w:val="24"/>
                <w:color w:val="auto"/>
              </w:rPr>
            </w:pPr>
          </w:p>
        </w:tc>
        <w:tc>
          <w:tcPr>
            <w:tcW w:w="100" w:type="dxa"/>
            <w:vAlign w:val="bottom"/>
            <w:tcBorders>
              <w:top w:val="single" w:sz="8" w:color="0D248E"/>
            </w:tcBorders>
          </w:tcPr>
          <w:p>
            <w:pPr>
              <w:spacing w:after="0"/>
              <w:rPr>
                <w:sz w:val="24"/>
                <w:szCs w:val="24"/>
                <w:color w:val="auto"/>
              </w:rPr>
            </w:pPr>
          </w:p>
        </w:tc>
        <w:tc>
          <w:tcPr>
            <w:tcW w:w="780" w:type="dxa"/>
            <w:vAlign w:val="bottom"/>
            <w:tcBorders>
              <w:top w:val="single" w:sz="8" w:color="0D248E"/>
            </w:tcBorders>
          </w:tcPr>
          <w:p>
            <w:pPr>
              <w:spacing w:after="0"/>
              <w:rPr>
                <w:sz w:val="24"/>
                <w:szCs w:val="24"/>
                <w:color w:val="auto"/>
              </w:rPr>
            </w:pPr>
          </w:p>
        </w:tc>
        <w:tc>
          <w:tcPr>
            <w:tcW w:w="380" w:type="dxa"/>
            <w:vAlign w:val="bottom"/>
            <w:tcBorders>
              <w:top w:val="single" w:sz="8" w:color="0D248E"/>
            </w:tcBorders>
          </w:tcPr>
          <w:p>
            <w:pPr>
              <w:spacing w:after="0"/>
              <w:rPr>
                <w:sz w:val="24"/>
                <w:szCs w:val="24"/>
                <w:color w:val="auto"/>
              </w:rPr>
            </w:pPr>
          </w:p>
        </w:tc>
        <w:tc>
          <w:tcPr>
            <w:tcW w:w="200" w:type="dxa"/>
            <w:vAlign w:val="bottom"/>
            <w:tcBorders>
              <w:top w:val="single" w:sz="8" w:color="0D248E"/>
            </w:tcBorders>
          </w:tcPr>
          <w:p>
            <w:pPr>
              <w:spacing w:after="0"/>
              <w:rPr>
                <w:sz w:val="24"/>
                <w:szCs w:val="24"/>
                <w:color w:val="auto"/>
              </w:rPr>
            </w:pPr>
          </w:p>
        </w:tc>
        <w:tc>
          <w:tcPr>
            <w:tcW w:w="80" w:type="dxa"/>
            <w:vAlign w:val="bottom"/>
            <w:tcBorders>
              <w:top w:val="single" w:sz="8" w:color="0D248E"/>
            </w:tcBorders>
          </w:tcPr>
          <w:p>
            <w:pPr>
              <w:spacing w:after="0"/>
              <w:rPr>
                <w:sz w:val="24"/>
                <w:szCs w:val="24"/>
                <w:color w:val="auto"/>
              </w:rPr>
            </w:pPr>
          </w:p>
        </w:tc>
        <w:tc>
          <w:tcPr>
            <w:tcW w:w="360" w:type="dxa"/>
            <w:vAlign w:val="bottom"/>
            <w:tcBorders>
              <w:top w:val="single" w:sz="8" w:color="0D248E"/>
            </w:tcBorders>
          </w:tcPr>
          <w:p>
            <w:pPr>
              <w:spacing w:after="0"/>
              <w:rPr>
                <w:sz w:val="24"/>
                <w:szCs w:val="24"/>
                <w:color w:val="auto"/>
              </w:rPr>
            </w:pPr>
          </w:p>
        </w:tc>
        <w:tc>
          <w:tcPr>
            <w:tcW w:w="340" w:type="dxa"/>
            <w:vAlign w:val="bottom"/>
            <w:tcBorders>
              <w:top w:val="single" w:sz="8" w:color="0D248E"/>
            </w:tcBorders>
          </w:tcPr>
          <w:p>
            <w:pPr>
              <w:spacing w:after="0"/>
              <w:rPr>
                <w:sz w:val="24"/>
                <w:szCs w:val="24"/>
                <w:color w:val="auto"/>
              </w:rPr>
            </w:pPr>
          </w:p>
        </w:tc>
        <w:tc>
          <w:tcPr>
            <w:tcW w:w="40" w:type="dxa"/>
            <w:vAlign w:val="bottom"/>
            <w:tcBorders>
              <w:top w:val="single" w:sz="8" w:color="0D248E"/>
            </w:tcBorders>
          </w:tcPr>
          <w:p>
            <w:pPr>
              <w:spacing w:after="0"/>
              <w:rPr>
                <w:sz w:val="24"/>
                <w:szCs w:val="24"/>
                <w:color w:val="auto"/>
              </w:rPr>
            </w:pPr>
          </w:p>
        </w:tc>
        <w:tc>
          <w:tcPr>
            <w:tcW w:w="180" w:type="dxa"/>
            <w:vAlign w:val="bottom"/>
            <w:tcBorders>
              <w:top w:val="single" w:sz="8" w:color="0D248E"/>
            </w:tcBorders>
          </w:tcPr>
          <w:p>
            <w:pPr>
              <w:spacing w:after="0"/>
              <w:rPr>
                <w:sz w:val="24"/>
                <w:szCs w:val="24"/>
                <w:color w:val="auto"/>
              </w:rPr>
            </w:pPr>
          </w:p>
        </w:tc>
        <w:tc>
          <w:tcPr>
            <w:tcW w:w="140" w:type="dxa"/>
            <w:vAlign w:val="bottom"/>
            <w:tcBorders>
              <w:top w:val="single" w:sz="8" w:color="0D248E"/>
            </w:tcBorders>
          </w:tcPr>
          <w:p>
            <w:pPr>
              <w:spacing w:after="0"/>
              <w:rPr>
                <w:sz w:val="24"/>
                <w:szCs w:val="24"/>
                <w:color w:val="auto"/>
              </w:rPr>
            </w:pPr>
          </w:p>
        </w:tc>
        <w:tc>
          <w:tcPr>
            <w:tcW w:w="600" w:type="dxa"/>
            <w:vAlign w:val="bottom"/>
            <w:tcBorders>
              <w:top w:val="single" w:sz="8" w:color="0D248E"/>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0D248E"/>
              <w:bottom w:val="single" w:sz="8" w:color="0D248E"/>
            </w:tcBorders>
            <w:gridSpan w:val="3"/>
          </w:tcPr>
          <w:p>
            <w:pPr>
              <w:jc w:val="right"/>
              <w:spacing w:after="0"/>
              <w:rPr>
                <w:sz w:val="20"/>
                <w:szCs w:val="20"/>
                <w:color w:val="auto"/>
              </w:rPr>
            </w:pPr>
            <w:r>
              <w:rPr>
                <w:rFonts w:ascii="Arial" w:cs="Arial" w:eastAsia="Arial" w:hAnsi="Arial"/>
                <w:sz w:val="18"/>
                <w:szCs w:val="18"/>
                <w:color w:val="0D248E"/>
                <w:w w:val="93"/>
              </w:rPr>
              <w:t>126</w:t>
            </w:r>
          </w:p>
        </w:tc>
        <w:tc>
          <w:tcPr>
            <w:tcW w:w="0" w:type="dxa"/>
            <w:vAlign w:val="bottom"/>
          </w:tcPr>
          <w:p>
            <w:pPr>
              <w:spacing w:after="0"/>
              <w:rPr>
                <w:sz w:val="1"/>
                <w:szCs w:val="1"/>
                <w:color w:val="auto"/>
              </w:rPr>
            </w:pPr>
          </w:p>
        </w:tc>
      </w:tr>
      <w:tr>
        <w:trPr>
          <w:trHeight w:val="394"/>
        </w:trPr>
        <w:tc>
          <w:tcPr>
            <w:tcW w:w="960" w:type="dxa"/>
            <w:vAlign w:val="bottom"/>
            <w:gridSpan w:val="8"/>
          </w:tcPr>
          <w:p>
            <w:pPr>
              <w:spacing w:after="0"/>
              <w:rPr>
                <w:sz w:val="20"/>
                <w:szCs w:val="20"/>
                <w:color w:val="auto"/>
              </w:rPr>
            </w:pPr>
            <w:r>
              <w:rPr>
                <w:rFonts w:ascii="Arial" w:cs="Arial" w:eastAsia="Arial" w:hAnsi="Arial"/>
                <w:sz w:val="18"/>
                <w:szCs w:val="18"/>
                <w:color w:val="0D248E"/>
              </w:rPr>
              <w:t>Item 10.</w:t>
            </w:r>
          </w:p>
        </w:tc>
        <w:tc>
          <w:tcPr>
            <w:tcW w:w="9220" w:type="dxa"/>
            <w:vAlign w:val="bottom"/>
            <w:gridSpan w:val="29"/>
          </w:tcPr>
          <w:p>
            <w:pPr>
              <w:spacing w:after="0"/>
              <w:rPr>
                <w:sz w:val="20"/>
                <w:szCs w:val="20"/>
                <w:color w:val="auto"/>
              </w:rPr>
            </w:pPr>
            <w:r>
              <w:rPr>
                <w:rFonts w:ascii="Arial" w:cs="Arial" w:eastAsia="Arial" w:hAnsi="Arial"/>
                <w:sz w:val="18"/>
                <w:szCs w:val="18"/>
                <w:color w:val="0D248E"/>
              </w:rPr>
              <w:t>Directors, Executive Officers and Corporate Governance</w:t>
            </w:r>
          </w:p>
        </w:tc>
        <w:tc>
          <w:tcPr>
            <w:tcW w:w="620" w:type="dxa"/>
            <w:vAlign w:val="bottom"/>
            <w:gridSpan w:val="4"/>
          </w:tcPr>
          <w:p>
            <w:pPr>
              <w:jc w:val="right"/>
              <w:spacing w:after="0"/>
              <w:rPr>
                <w:sz w:val="20"/>
                <w:szCs w:val="20"/>
                <w:color w:val="auto"/>
              </w:rPr>
            </w:pPr>
            <w:r>
              <w:rPr>
                <w:rFonts w:ascii="Arial" w:cs="Arial" w:eastAsia="Arial" w:hAnsi="Arial"/>
                <w:sz w:val="18"/>
                <w:szCs w:val="18"/>
                <w:color w:val="0D248E"/>
              </w:rPr>
              <w:t>126</w:t>
            </w:r>
          </w:p>
        </w:tc>
        <w:tc>
          <w:tcPr>
            <w:tcW w:w="0" w:type="dxa"/>
            <w:vAlign w:val="bottom"/>
          </w:tcPr>
          <w:p>
            <w:pPr>
              <w:spacing w:after="0"/>
              <w:rPr>
                <w:sz w:val="1"/>
                <w:szCs w:val="1"/>
                <w:color w:val="auto"/>
              </w:rPr>
            </w:pPr>
          </w:p>
        </w:tc>
      </w:tr>
      <w:tr>
        <w:trPr>
          <w:trHeight w:val="186"/>
        </w:trPr>
        <w:tc>
          <w:tcPr>
            <w:tcW w:w="660" w:type="dxa"/>
            <w:vAlign w:val="bottom"/>
            <w:tcBorders>
              <w:top w:val="single" w:sz="8" w:color="0D248E"/>
              <w:bottom w:val="single" w:sz="8" w:color="0D248E"/>
            </w:tcBorders>
            <w:gridSpan w:val="4"/>
          </w:tcPr>
          <w:p>
            <w:pPr>
              <w:spacing w:after="0" w:line="187" w:lineRule="exact"/>
              <w:rPr>
                <w:sz w:val="20"/>
                <w:szCs w:val="20"/>
                <w:color w:val="auto"/>
              </w:rPr>
            </w:pPr>
            <w:r>
              <w:rPr>
                <w:rFonts w:ascii="Arial" w:cs="Arial" w:eastAsia="Arial" w:hAnsi="Arial"/>
                <w:sz w:val="18"/>
                <w:szCs w:val="18"/>
                <w:color w:val="0D248E"/>
                <w:w w:val="98"/>
              </w:rPr>
              <w:t>Item 11.</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top w:val="single" w:sz="8" w:color="0D248E"/>
              <w:bottom w:val="single" w:sz="8" w:color="0D248E"/>
            </w:tcBorders>
            <w:gridSpan w:val="11"/>
          </w:tcPr>
          <w:p>
            <w:pPr>
              <w:spacing w:after="0" w:line="187" w:lineRule="exact"/>
              <w:rPr>
                <w:sz w:val="20"/>
                <w:szCs w:val="20"/>
                <w:color w:val="auto"/>
              </w:rPr>
            </w:pPr>
            <w:r>
              <w:rPr>
                <w:rFonts w:ascii="Arial" w:cs="Arial" w:eastAsia="Arial" w:hAnsi="Arial"/>
                <w:sz w:val="18"/>
                <w:szCs w:val="18"/>
                <w:color w:val="0D248E"/>
              </w:rPr>
              <w:t>Executive Compensation</w:t>
            </w:r>
          </w:p>
        </w:tc>
        <w:tc>
          <w:tcPr>
            <w:tcW w:w="2480" w:type="dxa"/>
            <w:vAlign w:val="bottom"/>
            <w:tcBorders>
              <w:top w:val="single" w:sz="8" w:color="0D248E"/>
            </w:tcBorders>
            <w:gridSpan w:val="8"/>
          </w:tcPr>
          <w:p>
            <w:pPr>
              <w:spacing w:after="0"/>
              <w:rPr>
                <w:sz w:val="16"/>
                <w:szCs w:val="16"/>
                <w:color w:val="auto"/>
              </w:rPr>
            </w:pPr>
          </w:p>
        </w:tc>
        <w:tc>
          <w:tcPr>
            <w:tcW w:w="1580" w:type="dxa"/>
            <w:vAlign w:val="bottom"/>
            <w:gridSpan w:val="5"/>
          </w:tcPr>
          <w:p>
            <w:pPr>
              <w:spacing w:after="0"/>
              <w:rPr>
                <w:sz w:val="16"/>
                <w:szCs w:val="16"/>
                <w:color w:val="auto"/>
              </w:rPr>
            </w:pPr>
          </w:p>
        </w:tc>
        <w:tc>
          <w:tcPr>
            <w:tcW w:w="1940" w:type="dxa"/>
            <w:vAlign w:val="bottom"/>
            <w:gridSpan w:val="3"/>
          </w:tcPr>
          <w:p>
            <w:pPr>
              <w:spacing w:after="0"/>
              <w:rPr>
                <w:sz w:val="16"/>
                <w:szCs w:val="16"/>
                <w:color w:val="auto"/>
              </w:rPr>
            </w:pP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0D248E"/>
              <w:bottom w:val="single" w:sz="8" w:color="0D248E"/>
            </w:tcBorders>
            <w:gridSpan w:val="3"/>
          </w:tcPr>
          <w:p>
            <w:pPr>
              <w:jc w:val="right"/>
              <w:spacing w:after="0" w:line="187" w:lineRule="exact"/>
              <w:rPr>
                <w:sz w:val="20"/>
                <w:szCs w:val="20"/>
                <w:color w:val="auto"/>
              </w:rPr>
            </w:pPr>
            <w:r>
              <w:rPr>
                <w:rFonts w:ascii="Arial" w:cs="Arial" w:eastAsia="Arial" w:hAnsi="Arial"/>
                <w:sz w:val="18"/>
                <w:szCs w:val="18"/>
                <w:color w:val="0D248E"/>
                <w:w w:val="93"/>
              </w:rPr>
              <w:t>126</w:t>
            </w:r>
          </w:p>
        </w:tc>
        <w:tc>
          <w:tcPr>
            <w:tcW w:w="0" w:type="dxa"/>
            <w:vAlign w:val="bottom"/>
          </w:tcPr>
          <w:p>
            <w:pPr>
              <w:spacing w:after="0"/>
              <w:rPr>
                <w:sz w:val="1"/>
                <w:szCs w:val="1"/>
                <w:color w:val="auto"/>
              </w:rPr>
            </w:pPr>
          </w:p>
        </w:tc>
      </w:tr>
      <w:tr>
        <w:trPr>
          <w:trHeight w:val="188"/>
        </w:trPr>
        <w:tc>
          <w:tcPr>
            <w:tcW w:w="660" w:type="dxa"/>
            <w:vAlign w:val="bottom"/>
            <w:gridSpan w:val="4"/>
          </w:tcPr>
          <w:p>
            <w:pPr>
              <w:spacing w:after="0" w:line="188" w:lineRule="exact"/>
              <w:rPr>
                <w:sz w:val="20"/>
                <w:szCs w:val="20"/>
                <w:color w:val="auto"/>
              </w:rPr>
            </w:pPr>
            <w:r>
              <w:rPr>
                <w:rFonts w:ascii="Arial" w:cs="Arial" w:eastAsia="Arial" w:hAnsi="Arial"/>
                <w:sz w:val="18"/>
                <w:szCs w:val="18"/>
                <w:color w:val="0D248E"/>
                <w:w w:val="98"/>
              </w:rPr>
              <w:t>Item 12.</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29"/>
          </w:tcPr>
          <w:p>
            <w:pPr>
              <w:spacing w:after="0" w:line="188" w:lineRule="exact"/>
              <w:rPr>
                <w:sz w:val="20"/>
                <w:szCs w:val="20"/>
                <w:color w:val="auto"/>
              </w:rPr>
            </w:pPr>
            <w:r>
              <w:rPr>
                <w:rFonts w:ascii="Arial" w:cs="Arial" w:eastAsia="Arial" w:hAnsi="Arial"/>
                <w:sz w:val="18"/>
                <w:szCs w:val="18"/>
                <w:color w:val="0D248E"/>
              </w:rPr>
              <w:t>Security Ownership of Certain Beneficial Owners and Management and Related Stockholder Matters</w:t>
            </w:r>
          </w:p>
        </w:tc>
        <w:tc>
          <w:tcPr>
            <w:tcW w:w="320" w:type="dxa"/>
            <w:vAlign w:val="bottom"/>
          </w:tcPr>
          <w:p>
            <w:pPr>
              <w:spacing w:after="0"/>
              <w:rPr>
                <w:sz w:val="16"/>
                <w:szCs w:val="16"/>
                <w:color w:val="auto"/>
              </w:rPr>
            </w:pPr>
          </w:p>
        </w:tc>
        <w:tc>
          <w:tcPr>
            <w:tcW w:w="300" w:type="dxa"/>
            <w:vAlign w:val="bottom"/>
            <w:gridSpan w:val="3"/>
          </w:tcPr>
          <w:p>
            <w:pPr>
              <w:jc w:val="right"/>
              <w:spacing w:after="0" w:line="188" w:lineRule="exact"/>
              <w:rPr>
                <w:sz w:val="20"/>
                <w:szCs w:val="20"/>
                <w:color w:val="auto"/>
              </w:rPr>
            </w:pPr>
            <w:r>
              <w:rPr>
                <w:rFonts w:ascii="Arial" w:cs="Arial" w:eastAsia="Arial" w:hAnsi="Arial"/>
                <w:sz w:val="18"/>
                <w:szCs w:val="18"/>
                <w:color w:val="0D248E"/>
                <w:w w:val="93"/>
              </w:rPr>
              <w:t>126</w:t>
            </w:r>
          </w:p>
        </w:tc>
        <w:tc>
          <w:tcPr>
            <w:tcW w:w="0" w:type="dxa"/>
            <w:vAlign w:val="bottom"/>
          </w:tcPr>
          <w:p>
            <w:pPr>
              <w:spacing w:after="0"/>
              <w:rPr>
                <w:sz w:val="1"/>
                <w:szCs w:val="1"/>
                <w:color w:val="auto"/>
              </w:rPr>
            </w:pPr>
          </w:p>
        </w:tc>
      </w:tr>
      <w:tr>
        <w:trPr>
          <w:trHeight w:val="186"/>
        </w:trPr>
        <w:tc>
          <w:tcPr>
            <w:tcW w:w="660" w:type="dxa"/>
            <w:vAlign w:val="bottom"/>
            <w:tcBorders>
              <w:top w:val="single" w:sz="8" w:color="0D248E"/>
            </w:tcBorders>
            <w:gridSpan w:val="4"/>
          </w:tcPr>
          <w:p>
            <w:pPr>
              <w:spacing w:after="0" w:line="187" w:lineRule="exact"/>
              <w:rPr>
                <w:sz w:val="20"/>
                <w:szCs w:val="20"/>
                <w:color w:val="auto"/>
              </w:rPr>
            </w:pPr>
            <w:r>
              <w:rPr>
                <w:rFonts w:ascii="Arial" w:cs="Arial" w:eastAsia="Arial" w:hAnsi="Arial"/>
                <w:sz w:val="18"/>
                <w:szCs w:val="18"/>
                <w:color w:val="0D248E"/>
                <w:w w:val="98"/>
              </w:rPr>
              <w:t>Item 13.</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8020" w:type="dxa"/>
            <w:vAlign w:val="bottom"/>
            <w:tcBorders>
              <w:top w:val="single" w:sz="8" w:color="0D248E"/>
            </w:tcBorders>
            <w:gridSpan w:val="27"/>
          </w:tcPr>
          <w:p>
            <w:pPr>
              <w:spacing w:after="0" w:line="187" w:lineRule="exact"/>
              <w:rPr>
                <w:sz w:val="20"/>
                <w:szCs w:val="20"/>
                <w:color w:val="auto"/>
              </w:rPr>
            </w:pPr>
            <w:r>
              <w:rPr>
                <w:rFonts w:ascii="Arial" w:cs="Arial" w:eastAsia="Arial" w:hAnsi="Arial"/>
                <w:sz w:val="18"/>
                <w:szCs w:val="18"/>
                <w:color w:val="0D248E"/>
              </w:rPr>
              <w:t>Certain Relationships and Related Transactions, and Director Independence</w:t>
            </w:r>
          </w:p>
        </w:tc>
        <w:tc>
          <w:tcPr>
            <w:tcW w:w="120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0D248E"/>
            </w:tcBorders>
            <w:gridSpan w:val="3"/>
          </w:tcPr>
          <w:p>
            <w:pPr>
              <w:jc w:val="right"/>
              <w:spacing w:after="0" w:line="187" w:lineRule="exact"/>
              <w:rPr>
                <w:sz w:val="20"/>
                <w:szCs w:val="20"/>
                <w:color w:val="auto"/>
              </w:rPr>
            </w:pPr>
            <w:r>
              <w:rPr>
                <w:rFonts w:ascii="Arial" w:cs="Arial" w:eastAsia="Arial" w:hAnsi="Arial"/>
                <w:sz w:val="18"/>
                <w:szCs w:val="18"/>
                <w:color w:val="0D248E"/>
                <w:w w:val="93"/>
              </w:rPr>
              <w:t>126</w:t>
            </w:r>
          </w:p>
        </w:tc>
        <w:tc>
          <w:tcPr>
            <w:tcW w:w="0" w:type="dxa"/>
            <w:vAlign w:val="bottom"/>
          </w:tcPr>
          <w:p>
            <w:pPr>
              <w:spacing w:after="0"/>
              <w:rPr>
                <w:sz w:val="1"/>
                <w:szCs w:val="1"/>
                <w:color w:val="auto"/>
              </w:rPr>
            </w:pPr>
          </w:p>
        </w:tc>
      </w:tr>
      <w:tr>
        <w:trPr>
          <w:trHeight w:val="188"/>
        </w:trPr>
        <w:tc>
          <w:tcPr>
            <w:tcW w:w="660" w:type="dxa"/>
            <w:vAlign w:val="bottom"/>
            <w:tcBorders>
              <w:top w:val="single" w:sz="8" w:color="0D248E"/>
            </w:tcBorders>
            <w:gridSpan w:val="4"/>
          </w:tcPr>
          <w:p>
            <w:pPr>
              <w:spacing w:after="0" w:line="188" w:lineRule="exact"/>
              <w:rPr>
                <w:sz w:val="20"/>
                <w:szCs w:val="20"/>
                <w:color w:val="auto"/>
              </w:rPr>
            </w:pPr>
            <w:r>
              <w:rPr>
                <w:rFonts w:ascii="Arial" w:cs="Arial" w:eastAsia="Arial" w:hAnsi="Arial"/>
                <w:sz w:val="18"/>
                <w:szCs w:val="18"/>
                <w:color w:val="0D248E"/>
                <w:w w:val="98"/>
              </w:rPr>
              <w:t>Item 14.</w:t>
            </w:r>
          </w:p>
        </w:tc>
        <w:tc>
          <w:tcPr>
            <w:tcW w:w="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6080" w:type="dxa"/>
            <w:vAlign w:val="bottom"/>
            <w:tcBorders>
              <w:top w:val="single" w:sz="8" w:color="0D248E"/>
            </w:tcBorders>
            <w:gridSpan w:val="24"/>
          </w:tcPr>
          <w:p>
            <w:pPr>
              <w:spacing w:after="0" w:line="188" w:lineRule="exact"/>
              <w:rPr>
                <w:sz w:val="20"/>
                <w:szCs w:val="20"/>
                <w:color w:val="auto"/>
              </w:rPr>
            </w:pPr>
            <w:r>
              <w:rPr>
                <w:rFonts w:ascii="Arial" w:cs="Arial" w:eastAsia="Arial" w:hAnsi="Arial"/>
                <w:sz w:val="18"/>
                <w:szCs w:val="18"/>
                <w:color w:val="0D248E"/>
              </w:rPr>
              <w:t>Principal Accountant Fees and Services</w:t>
            </w:r>
          </w:p>
        </w:tc>
        <w:tc>
          <w:tcPr>
            <w:tcW w:w="3140" w:type="dxa"/>
            <w:vAlign w:val="bottom"/>
            <w:gridSpan w:val="5"/>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0D248E"/>
            </w:tcBorders>
            <w:gridSpan w:val="3"/>
          </w:tcPr>
          <w:p>
            <w:pPr>
              <w:jc w:val="right"/>
              <w:spacing w:after="0" w:line="188" w:lineRule="exact"/>
              <w:rPr>
                <w:sz w:val="20"/>
                <w:szCs w:val="20"/>
                <w:color w:val="auto"/>
              </w:rPr>
            </w:pPr>
            <w:r>
              <w:rPr>
                <w:rFonts w:ascii="Arial" w:cs="Arial" w:eastAsia="Arial" w:hAnsi="Arial"/>
                <w:sz w:val="18"/>
                <w:szCs w:val="18"/>
                <w:color w:val="0D248E"/>
                <w:w w:val="93"/>
              </w:rPr>
              <w:t>126</w:t>
            </w: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D248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D248E"/>
          </w:tcPr>
          <w:p>
            <w:pPr>
              <w:spacing w:after="0" w:line="20" w:lineRule="exact"/>
              <w:rPr>
                <w:sz w:val="1"/>
                <w:szCs w:val="1"/>
                <w:color w:val="auto"/>
              </w:rPr>
            </w:pPr>
          </w:p>
        </w:tc>
        <w:tc>
          <w:tcPr>
            <w:tcW w:w="80" w:type="dxa"/>
            <w:vAlign w:val="bottom"/>
            <w:tcBorders>
              <w:right w:val="single" w:sz="8" w:color="0D248E"/>
            </w:tcBorders>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6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260" w:type="dxa"/>
            <w:vAlign w:val="bottom"/>
            <w:shd w:val="clear" w:color="auto" w:fill="0D248E"/>
          </w:tcPr>
          <w:p>
            <w:pPr>
              <w:spacing w:after="0" w:line="20" w:lineRule="exact"/>
              <w:rPr>
                <w:sz w:val="1"/>
                <w:szCs w:val="1"/>
                <w:color w:val="auto"/>
              </w:rPr>
            </w:pPr>
          </w:p>
        </w:tc>
        <w:tc>
          <w:tcPr>
            <w:tcW w:w="6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24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780" w:type="dxa"/>
            <w:vAlign w:val="bottom"/>
            <w:shd w:val="clear" w:color="auto" w:fill="0D248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3"/>
            <w:shd w:val="clear" w:color="auto" w:fill="0D248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 w:type="dxa"/>
            <w:vAlign w:val="bottom"/>
            <w:tcBorders>
              <w:bottom w:val="single" w:sz="8" w:color="0D248E"/>
            </w:tcBorders>
            <w:gridSpan w:val="7"/>
          </w:tcPr>
          <w:p>
            <w:pPr>
              <w:spacing w:after="0"/>
              <w:rPr>
                <w:sz w:val="20"/>
                <w:szCs w:val="20"/>
                <w:color w:val="auto"/>
              </w:rPr>
            </w:pPr>
            <w:r>
              <w:rPr>
                <w:rFonts w:ascii="Arial" w:cs="Arial" w:eastAsia="Arial" w:hAnsi="Arial"/>
                <w:sz w:val="18"/>
                <w:szCs w:val="18"/>
                <w:b w:val="1"/>
                <w:bCs w:val="1"/>
                <w:color w:val="0D248E"/>
                <w:w w:val="98"/>
              </w:rPr>
              <w:t>PART IV</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0D248E"/>
            </w:tcBorders>
            <w:gridSpan w:val="3"/>
          </w:tcPr>
          <w:p>
            <w:pPr>
              <w:jc w:val="right"/>
              <w:spacing w:after="0"/>
              <w:rPr>
                <w:sz w:val="20"/>
                <w:szCs w:val="20"/>
                <w:color w:val="auto"/>
              </w:rPr>
            </w:pPr>
            <w:r>
              <w:rPr>
                <w:rFonts w:ascii="Arial" w:cs="Arial" w:eastAsia="Arial" w:hAnsi="Arial"/>
                <w:sz w:val="18"/>
                <w:szCs w:val="18"/>
                <w:color w:val="0D248E"/>
                <w:w w:val="93"/>
              </w:rPr>
              <w:t>127</w:t>
            </w:r>
          </w:p>
        </w:tc>
        <w:tc>
          <w:tcPr>
            <w:tcW w:w="0" w:type="dxa"/>
            <w:vAlign w:val="bottom"/>
          </w:tcPr>
          <w:p>
            <w:pPr>
              <w:spacing w:after="0"/>
              <w:rPr>
                <w:sz w:val="1"/>
                <w:szCs w:val="1"/>
                <w:color w:val="auto"/>
              </w:rPr>
            </w:pPr>
          </w:p>
        </w:tc>
      </w:tr>
      <w:tr>
        <w:trPr>
          <w:trHeight w:val="374"/>
        </w:trPr>
        <w:tc>
          <w:tcPr>
            <w:tcW w:w="960" w:type="dxa"/>
            <w:vAlign w:val="bottom"/>
            <w:gridSpan w:val="8"/>
          </w:tcPr>
          <w:p>
            <w:pPr>
              <w:spacing w:after="0"/>
              <w:rPr>
                <w:sz w:val="20"/>
                <w:szCs w:val="20"/>
                <w:color w:val="auto"/>
              </w:rPr>
            </w:pPr>
            <w:r>
              <w:rPr>
                <w:rFonts w:ascii="Arial" w:cs="Arial" w:eastAsia="Arial" w:hAnsi="Arial"/>
                <w:sz w:val="18"/>
                <w:szCs w:val="18"/>
                <w:color w:val="0D248E"/>
              </w:rPr>
              <w:t>Item 15.</w:t>
            </w:r>
          </w:p>
        </w:tc>
        <w:tc>
          <w:tcPr>
            <w:tcW w:w="9220" w:type="dxa"/>
            <w:vAlign w:val="bottom"/>
            <w:gridSpan w:val="29"/>
          </w:tcPr>
          <w:p>
            <w:pPr>
              <w:spacing w:after="0"/>
              <w:rPr>
                <w:sz w:val="20"/>
                <w:szCs w:val="20"/>
                <w:color w:val="auto"/>
              </w:rPr>
            </w:pPr>
            <w:r>
              <w:rPr>
                <w:rFonts w:ascii="Arial" w:cs="Arial" w:eastAsia="Arial" w:hAnsi="Arial"/>
                <w:sz w:val="18"/>
                <w:szCs w:val="18"/>
                <w:color w:val="0D248E"/>
              </w:rPr>
              <w:t>Exhibits and Financial Statement Schedules</w:t>
            </w:r>
          </w:p>
        </w:tc>
        <w:tc>
          <w:tcPr>
            <w:tcW w:w="620" w:type="dxa"/>
            <w:vAlign w:val="bottom"/>
            <w:gridSpan w:val="4"/>
          </w:tcPr>
          <w:p>
            <w:pPr>
              <w:jc w:val="right"/>
              <w:spacing w:after="0"/>
              <w:rPr>
                <w:sz w:val="20"/>
                <w:szCs w:val="20"/>
                <w:color w:val="auto"/>
              </w:rPr>
            </w:pPr>
            <w:r>
              <w:rPr>
                <w:rFonts w:ascii="Arial" w:cs="Arial" w:eastAsia="Arial" w:hAnsi="Arial"/>
                <w:sz w:val="18"/>
                <w:szCs w:val="18"/>
                <w:color w:val="0D248E"/>
              </w:rPr>
              <w:t>127</w:t>
            </w:r>
          </w:p>
        </w:tc>
        <w:tc>
          <w:tcPr>
            <w:tcW w:w="0" w:type="dxa"/>
            <w:vAlign w:val="bottom"/>
          </w:tcPr>
          <w:p>
            <w:pPr>
              <w:spacing w:after="0"/>
              <w:rPr>
                <w:sz w:val="1"/>
                <w:szCs w:val="1"/>
                <w:color w:val="auto"/>
              </w:rPr>
            </w:pPr>
          </w:p>
        </w:tc>
      </w:tr>
      <w:tr>
        <w:trPr>
          <w:trHeight w:val="188"/>
        </w:trPr>
        <w:tc>
          <w:tcPr>
            <w:tcW w:w="660" w:type="dxa"/>
            <w:vAlign w:val="bottom"/>
            <w:tcBorders>
              <w:top w:val="single" w:sz="8" w:color="0D248E"/>
            </w:tcBorders>
            <w:gridSpan w:val="4"/>
          </w:tcPr>
          <w:p>
            <w:pPr>
              <w:spacing w:after="0" w:line="188" w:lineRule="exact"/>
              <w:rPr>
                <w:sz w:val="20"/>
                <w:szCs w:val="20"/>
                <w:color w:val="auto"/>
              </w:rPr>
            </w:pPr>
            <w:r>
              <w:rPr>
                <w:rFonts w:ascii="Arial" w:cs="Arial" w:eastAsia="Arial" w:hAnsi="Arial"/>
                <w:sz w:val="18"/>
                <w:szCs w:val="18"/>
                <w:color w:val="0D248E"/>
                <w:w w:val="98"/>
              </w:rPr>
              <w:t>Item 16.</w:t>
            </w:r>
          </w:p>
        </w:tc>
        <w:tc>
          <w:tcPr>
            <w:tcW w:w="300" w:type="dxa"/>
            <w:vAlign w:val="bottom"/>
            <w:gridSpan w:val="4"/>
          </w:tcPr>
          <w:p>
            <w:pPr>
              <w:spacing w:after="0"/>
              <w:rPr>
                <w:sz w:val="16"/>
                <w:szCs w:val="16"/>
                <w:color w:val="auto"/>
              </w:rPr>
            </w:pPr>
          </w:p>
        </w:tc>
        <w:tc>
          <w:tcPr>
            <w:tcW w:w="3520" w:type="dxa"/>
            <w:vAlign w:val="bottom"/>
            <w:tcBorders>
              <w:top w:val="single" w:sz="8" w:color="0D248E"/>
            </w:tcBorders>
            <w:gridSpan w:val="15"/>
          </w:tcPr>
          <w:p>
            <w:pPr>
              <w:spacing w:after="0" w:line="188" w:lineRule="exact"/>
              <w:rPr>
                <w:sz w:val="20"/>
                <w:szCs w:val="20"/>
                <w:color w:val="auto"/>
              </w:rPr>
            </w:pPr>
            <w:r>
              <w:rPr>
                <w:rFonts w:ascii="Arial" w:cs="Arial" w:eastAsia="Arial" w:hAnsi="Arial"/>
                <w:sz w:val="18"/>
                <w:szCs w:val="18"/>
                <w:color w:val="0D248E"/>
              </w:rPr>
              <w:t>Form 10-K Summary</w:t>
            </w:r>
          </w:p>
        </w:tc>
        <w:tc>
          <w:tcPr>
            <w:tcW w:w="5700" w:type="dxa"/>
            <w:vAlign w:val="bottom"/>
            <w:gridSpan w:val="14"/>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0D248E"/>
            </w:tcBorders>
            <w:gridSpan w:val="3"/>
          </w:tcPr>
          <w:p>
            <w:pPr>
              <w:jc w:val="right"/>
              <w:spacing w:after="0" w:line="188" w:lineRule="exact"/>
              <w:rPr>
                <w:sz w:val="20"/>
                <w:szCs w:val="20"/>
                <w:color w:val="auto"/>
              </w:rPr>
            </w:pPr>
            <w:r>
              <w:rPr>
                <w:rFonts w:ascii="Arial" w:cs="Arial" w:eastAsia="Arial" w:hAnsi="Arial"/>
                <w:sz w:val="18"/>
                <w:szCs w:val="18"/>
                <w:color w:val="0D248E"/>
                <w:w w:val="93"/>
              </w:rPr>
              <w:t>129</w:t>
            </w:r>
          </w:p>
        </w:tc>
        <w:tc>
          <w:tcPr>
            <w:tcW w:w="0" w:type="dxa"/>
            <w:vAlign w:val="bottom"/>
          </w:tcPr>
          <w:p>
            <w:pPr>
              <w:spacing w:after="0"/>
              <w:rPr>
                <w:sz w:val="1"/>
                <w:szCs w:val="1"/>
                <w:color w:val="auto"/>
              </w:rPr>
            </w:pPr>
          </w:p>
        </w:tc>
      </w:tr>
      <w:tr>
        <w:trPr>
          <w:trHeight w:val="186"/>
        </w:trPr>
        <w:tc>
          <w:tcPr>
            <w:tcW w:w="540" w:type="dxa"/>
            <w:vAlign w:val="bottom"/>
            <w:tcBorders>
              <w:top w:val="single" w:sz="8" w:color="0D248E"/>
            </w:tcBorders>
          </w:tcPr>
          <w:p>
            <w:pPr>
              <w:spacing w:after="0"/>
              <w:rPr>
                <w:sz w:val="16"/>
                <w:szCs w:val="16"/>
                <w:color w:val="auto"/>
              </w:rPr>
            </w:pPr>
          </w:p>
        </w:tc>
        <w:tc>
          <w:tcPr>
            <w:tcW w:w="20" w:type="dxa"/>
            <w:vAlign w:val="bottom"/>
            <w:tcBorders>
              <w:top w:val="single" w:sz="8" w:color="0D248E"/>
            </w:tcBorders>
          </w:tcPr>
          <w:p>
            <w:pPr>
              <w:spacing w:after="0"/>
              <w:rPr>
                <w:sz w:val="16"/>
                <w:szCs w:val="16"/>
                <w:color w:val="auto"/>
              </w:rPr>
            </w:pPr>
          </w:p>
        </w:tc>
        <w:tc>
          <w:tcPr>
            <w:tcW w:w="80" w:type="dxa"/>
            <w:vAlign w:val="bottom"/>
            <w:tcBorders>
              <w:top w:val="single" w:sz="8" w:color="0D248E"/>
            </w:tcBorders>
          </w:tcPr>
          <w:p>
            <w:pPr>
              <w:spacing w:after="0"/>
              <w:rPr>
                <w:sz w:val="16"/>
                <w:szCs w:val="16"/>
                <w:color w:val="auto"/>
              </w:rPr>
            </w:pPr>
          </w:p>
        </w:tc>
        <w:tc>
          <w:tcPr>
            <w:tcW w:w="20" w:type="dxa"/>
            <w:vAlign w:val="bottom"/>
            <w:tcBorders>
              <w:top w:val="single" w:sz="8" w:color="0D248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top w:val="single" w:sz="8" w:color="0D248E"/>
              <w:bottom w:val="single" w:sz="8" w:color="0D248E"/>
            </w:tcBorders>
            <w:gridSpan w:val="4"/>
          </w:tcPr>
          <w:p>
            <w:pPr>
              <w:spacing w:after="0" w:line="187" w:lineRule="exact"/>
              <w:rPr>
                <w:sz w:val="20"/>
                <w:szCs w:val="20"/>
                <w:color w:val="auto"/>
              </w:rPr>
            </w:pPr>
            <w:r>
              <w:rPr>
                <w:rFonts w:ascii="Arial" w:cs="Arial" w:eastAsia="Arial" w:hAnsi="Arial"/>
                <w:sz w:val="18"/>
                <w:szCs w:val="18"/>
                <w:color w:val="0D248E"/>
                <w:w w:val="98"/>
              </w:rPr>
              <w:t>Exhibit Index</w:t>
            </w:r>
          </w:p>
        </w:tc>
        <w:tc>
          <w:tcPr>
            <w:tcW w:w="640" w:type="dxa"/>
            <w:vAlign w:val="bottom"/>
            <w:tcBorders>
              <w:top w:val="single" w:sz="8" w:color="0D248E"/>
            </w:tcBorders>
            <w:gridSpan w:val="4"/>
          </w:tcPr>
          <w:p>
            <w:pPr>
              <w:spacing w:after="0"/>
              <w:rPr>
                <w:sz w:val="16"/>
                <w:szCs w:val="16"/>
                <w:color w:val="auto"/>
              </w:rPr>
            </w:pPr>
          </w:p>
        </w:tc>
        <w:tc>
          <w:tcPr>
            <w:tcW w:w="7540" w:type="dxa"/>
            <w:vAlign w:val="bottom"/>
            <w:gridSpan w:val="21"/>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top w:val="single" w:sz="8" w:color="0D248E"/>
              <w:bottom w:val="single" w:sz="8" w:color="0D248E"/>
            </w:tcBorders>
            <w:gridSpan w:val="3"/>
          </w:tcPr>
          <w:p>
            <w:pPr>
              <w:jc w:val="right"/>
              <w:spacing w:after="0" w:line="187" w:lineRule="exact"/>
              <w:rPr>
                <w:sz w:val="20"/>
                <w:szCs w:val="20"/>
                <w:color w:val="auto"/>
              </w:rPr>
            </w:pPr>
            <w:r>
              <w:rPr>
                <w:rFonts w:ascii="Arial" w:cs="Arial" w:eastAsia="Arial" w:hAnsi="Arial"/>
                <w:sz w:val="18"/>
                <w:szCs w:val="18"/>
                <w:color w:val="0D248E"/>
                <w:w w:val="93"/>
              </w:rPr>
              <w:t>128</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0D248E"/>
        </w:rPr>
        <w:t>Signatures</w:t>
      </w:r>
    </w:p>
    <w:p>
      <w:pPr>
        <w:sectPr>
          <w:pgSz w:w="12240" w:h="15840" w:orient="portrait"/>
          <w:cols w:equalWidth="0" w:num="1">
            <w:col w:w="10800"/>
          </w:cols>
          <w:pgMar w:left="720" w:top="1440" w:right="72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(“Exchange Act”). The words “may,” “will,” “anticipate,” “could,” “should,” “would,” “believe,” “contemplate,” “expect,” “aim,” “plan,” “estimate,” “continue,” and “intend,” the negative of these terms, as well as other similar words and expressions of the future, are intended to identify forward- 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potential future additional balance sheet restructuring.</w:t>
      </w:r>
    </w:p>
    <w:p>
      <w:pPr>
        <w:spacing w:after="0" w:line="18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49" w:lineRule="exact"/>
        <w:rPr>
          <w:sz w:val="20"/>
          <w:szCs w:val="20"/>
          <w:color w:val="auto"/>
        </w:rPr>
      </w:pPr>
    </w:p>
    <w:p>
      <w:pPr>
        <w:ind w:left="720" w:hanging="360"/>
        <w:spacing w:after="0" w:line="25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strength of the United States economy in general and the strength of the local economies in which we conduct operations;</w:t>
      </w:r>
    </w:p>
    <w:p>
      <w:pPr>
        <w:ind w:left="720" w:hanging="360"/>
        <w:spacing w:after="0"/>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successfully manage interest rate risk, credit risk, liquidity risk, and other risks inherent to our industry;</w:t>
      </w:r>
    </w:p>
    <w:p>
      <w:pPr>
        <w:spacing w:after="0" w:line="11" w:lineRule="exact"/>
        <w:rPr>
          <w:rFonts w:ascii="Arial" w:cs="Arial" w:eastAsia="Arial" w:hAnsi="Arial"/>
          <w:sz w:val="19"/>
          <w:szCs w:val="19"/>
          <w:color w:val="auto"/>
        </w:rPr>
      </w:pPr>
    </w:p>
    <w:p>
      <w:pPr>
        <w:ind w:left="720" w:hanging="360"/>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accuracy of our financial statement estimates and assumptions, including the estimates used for our credit loss reserve and deferred tax asset valuation allowance;</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efficiency and effectiveness of our internal control procedures and processes;</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comply with the extensive laws and regulations to which we are subject, including the laws for each jurisdiction where we operate;</w:t>
      </w:r>
    </w:p>
    <w:p>
      <w:pPr>
        <w:ind w:left="720" w:hanging="360"/>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adverse changes or conditions in the capital and financial markets, including actual or potential stresses in the banking industry;</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deposit attrition and the level of our uninsured deposits;</w:t>
      </w:r>
    </w:p>
    <w:p>
      <w:pPr>
        <w:jc w:val="both"/>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legislative or regulatory changes, including the enactment of the One Big Beautiful Bill Act, and changes in accounting principles, policies, practices or guidelines, including the on-going effects of the Current Expected Credit Losses (“CECL”) standard;</w:t>
      </w:r>
    </w:p>
    <w:p>
      <w:pPr>
        <w:spacing w:after="0" w:line="1" w:lineRule="exact"/>
        <w:rPr>
          <w:rFonts w:ascii="Arial" w:cs="Arial" w:eastAsia="Arial" w:hAnsi="Arial"/>
          <w:sz w:val="20"/>
          <w:szCs w:val="20"/>
          <w:color w:val="auto"/>
        </w:rPr>
      </w:pPr>
    </w:p>
    <w:p>
      <w:pPr>
        <w:jc w:val="both"/>
        <w:ind w:left="720" w:hanging="360"/>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climate change;</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concentration of ownership of our common stock;</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the price of our common stock;</w:t>
      </w:r>
    </w:p>
    <w:p>
      <w:pPr>
        <w:ind w:left="720" w:hanging="361"/>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fund or access the capital markets at attractive rates and terms and manage our growth, both organic growth as well as growth through other means, such as future acquisitions;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inflation, interest rate, unemployment rate, market, and monetary fluctuations;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potential new or increased tariffs, retaliatory tariffs and trade restrictions;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impacts of international hostilities and geopolitical events;</w:t>
      </w:r>
    </w:p>
    <w:p>
      <w:pPr>
        <w:ind w:left="720" w:hanging="361"/>
        <w:spacing w:after="0" w:line="239"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increased competition and its effect on the pricing of our products and services as well as our net interest rate spread and net interest margin;</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loss of key employees;</w:t>
      </w:r>
    </w:p>
    <w:p>
      <w:pPr>
        <w:ind w:left="720" w:hanging="361"/>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effectiveness of our risk management strategies, including operational risks, including, but not limited to, client, employee, or third-party fraud and security breaches; and</w:t>
      </w:r>
    </w:p>
    <w:p>
      <w:pPr>
        <w:ind w:left="720" w:hanging="361"/>
        <w:spacing w:after="0" w:line="255"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other risks described in this Annual Report on Form 10-K and other filings we make with the Securities and Exchange Commission (“SEC”).</w:t>
      </w:r>
    </w:p>
    <w:p>
      <w:pPr>
        <w:spacing w:after="0" w:line="174"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USCB Financial Holdings, Inc. has filed or will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697" w:right="720" w:bottom="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USCB Financial Holdings, Inc., a Florida corporation (the “Company”), was formed on December 17, 2021, to serve as the holding company for U.S. Century Bank, a Florida state-chartered bank, and is a bank holding company (a “BHC”) registered with the Board of Governors of the Federal Reserve System (the “Federal Reserve”) under the Bank Holding Company Act of 1956, as amended (the “BHC Act”). The Company is headquartered in Miami, Florida, and, through the Bank, its sole direct subsidiary, operates 10 banking centers in South Florida providing a wide range of personal and business banking products and services. As of December 31, 2025, the Company had total consolidated assets of $2.8 billion.</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U.S. Century Bank (the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7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8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Federal Deposit Insurance Corporation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The trading symbol for the Company’s Class A Common Stock is “USCB”, which is the same as the Bank’s former trading symbol.</w:t>
      </w:r>
    </w:p>
    <w:p>
      <w:pPr>
        <w:spacing w:after="0" w:line="18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Prior to the Reorganization, the Company had no material assets and had not conducted any business or operations except for activities related to its incorporation and the Reorganization.</w:t>
      </w:r>
    </w:p>
    <w:p>
      <w:pPr>
        <w:spacing w:after="0" w:line="14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Our strategy in becoming a publicly traded company and forming a BHC was to continue pursuing organic growth as well as strategic acquisitions if the opportunity arose, which efforts will be further facilitated by access to the public capital markets and the added flexibility provided by a holding company structure.</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this Annual Report on Form 10-K, unless the context indicated otherwise, references to “we,” “us,”, and “our” refer to the Company and the Bank, as the context dictates. However, if the discussion relates to a period before the Effective Date, the terms refer only to the Bank.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and Services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Lending Services</w:t>
      </w:r>
    </w:p>
    <w:p>
      <w:pPr>
        <w:spacing w:after="0" w:line="22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Our mission is to provide high value, relationship-based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w:t>
      </w:r>
    </w:p>
    <w:p>
      <w:pPr>
        <w:spacing w:after="0" w:line="29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providing comprehensive banking solutions to SMBs to also secure the personal retail deposit relationships of the owners, operators, and employees of our commercial lending clients, which has been a cornerstone of our deposit growth strategy.</w:t>
      </w:r>
    </w:p>
    <w:p>
      <w:pPr>
        <w:spacing w:after="0" w:line="12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76" w:lineRule="exact"/>
        <w:rPr>
          <w:sz w:val="20"/>
          <w:szCs w:val="20"/>
          <w:color w:val="auto"/>
        </w:rPr>
      </w:pPr>
    </w:p>
    <w:p>
      <w:pPr>
        <w:jc w:val="both"/>
        <w:ind w:left="1080" w:hanging="360"/>
        <w:spacing w:after="0" w:line="243" w:lineRule="auto"/>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Small Business Administration (“SBA”) lending: </w:t>
      </w:r>
      <w:r>
        <w:rPr>
          <w:rFonts w:ascii="Arial" w:cs="Arial" w:eastAsia="Arial" w:hAnsi="Arial"/>
          <w:sz w:val="20"/>
          <w:szCs w:val="20"/>
          <w:color w:val="auto"/>
        </w:rPr>
        <w:t>Our SBA platform originates loans under Sections 7(a)</w:t>
      </w:r>
      <w:r>
        <w:rPr>
          <w:rFonts w:ascii="Arial" w:cs="Arial" w:eastAsia="Arial" w:hAnsi="Arial"/>
          <w:sz w:val="20"/>
          <w:szCs w:val="20"/>
          <w:b w:val="1"/>
          <w:bCs w:val="1"/>
          <w:color w:val="auto"/>
        </w:rPr>
        <w:t xml:space="preserve"> </w:t>
      </w:r>
      <w:r>
        <w:rPr>
          <w:rFonts w:ascii="Arial" w:cs="Arial" w:eastAsia="Arial" w:hAnsi="Arial"/>
          <w:sz w:val="20"/>
          <w:szCs w:val="20"/>
          <w:color w:val="auto"/>
        </w:rPr>
        <w:t>and 504 of the SBA program. The 7(a) loan program, SBA's most common loan program, includes financial help for small businesses with special requirements while the 504 loan program provides long-term, fixed-rate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2025, the Bank continued to be a Preferred Lending Partner with the SBA which allows us to offer the full range of SBA loan products and to exercise lending authority at the local bank level, allowing us to make timely credit decisions for prospective clients.</w:t>
      </w:r>
    </w:p>
    <w:p>
      <w:pPr>
        <w:spacing w:after="0" w:line="3" w:lineRule="exact"/>
        <w:rPr>
          <w:rFonts w:ascii="Arial" w:cs="Arial" w:eastAsia="Arial" w:hAnsi="Arial"/>
          <w:sz w:val="20"/>
          <w:szCs w:val="20"/>
          <w:color w:val="auto"/>
        </w:rPr>
      </w:pPr>
    </w:p>
    <w:p>
      <w:pPr>
        <w:jc w:val="both"/>
        <w:ind w:left="1080" w:hanging="360"/>
        <w:spacing w:after="0"/>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Yacht lending: </w:t>
      </w:r>
      <w:r>
        <w:rPr>
          <w:rFonts w:ascii="Arial" w:cs="Arial" w:eastAsia="Arial" w:hAnsi="Arial"/>
          <w:sz w:val="20"/>
          <w:szCs w:val="20"/>
          <w:color w:val="auto"/>
        </w:rPr>
        <w:t>Our yacht lending vertical provides yacht financing for larger vessels; transactions range from</w:t>
      </w:r>
      <w:r>
        <w:rPr>
          <w:rFonts w:ascii="Arial" w:cs="Arial" w:eastAsia="Arial" w:hAnsi="Arial"/>
          <w:sz w:val="20"/>
          <w:szCs w:val="20"/>
          <w:b w:val="1"/>
          <w:bCs w:val="1"/>
          <w:color w:val="auto"/>
        </w:rPr>
        <w:t xml:space="preserve"> </w:t>
      </w:r>
      <w:r>
        <w:rPr>
          <w:rFonts w:ascii="Arial" w:cs="Arial" w:eastAsia="Arial" w:hAnsi="Arial"/>
          <w:sz w:val="20"/>
          <w:szCs w:val="20"/>
          <w:color w:val="auto"/>
        </w:rPr>
        <w:t>$750 thousand to $7.5 million. We target high net-worth clients in one of the most active yacht markets in the country.</w:t>
      </w:r>
    </w:p>
    <w:p>
      <w:pPr>
        <w:spacing w:after="0" w:line="1" w:lineRule="exact"/>
        <w:rPr>
          <w:rFonts w:ascii="Arial" w:cs="Arial" w:eastAsia="Arial" w:hAnsi="Arial"/>
          <w:sz w:val="20"/>
          <w:szCs w:val="20"/>
          <w:color w:val="auto"/>
        </w:rPr>
      </w:pPr>
    </w:p>
    <w:p>
      <w:pPr>
        <w:jc w:val="both"/>
        <w:ind w:left="1080" w:hanging="361"/>
        <w:spacing w:after="0" w:line="239" w:lineRule="auto"/>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Homeowner Association (“HOA”) services: </w:t>
      </w:r>
      <w:r>
        <w:rPr>
          <w:rFonts w:ascii="Arial" w:cs="Arial" w:eastAsia="Arial" w:hAnsi="Arial"/>
          <w:sz w:val="20"/>
          <w:szCs w:val="20"/>
          <w:color w:val="auto"/>
        </w:rPr>
        <w:t>We provide banking services to HOAs and property managers,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3" w:lineRule="exact"/>
        <w:rPr>
          <w:rFonts w:ascii="Arial" w:cs="Arial" w:eastAsia="Arial" w:hAnsi="Arial"/>
          <w:sz w:val="20"/>
          <w:szCs w:val="20"/>
          <w:color w:val="auto"/>
        </w:rPr>
      </w:pPr>
    </w:p>
    <w:p>
      <w:pPr>
        <w:jc w:val="both"/>
        <w:ind w:left="1080" w:hanging="361"/>
        <w:spacing w:after="0" w:line="204"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Private Client Group services: </w:t>
      </w:r>
      <w:r>
        <w:rPr>
          <w:rFonts w:ascii="Arial" w:cs="Arial" w:eastAsia="Arial" w:hAnsi="Arial"/>
          <w:sz w:val="15"/>
          <w:szCs w:val="15"/>
          <w:color w:val="auto"/>
        </w:rPr>
        <w:t>The Private Client Group provides tailored banking solutions for</w:t>
      </w:r>
      <w:r>
        <w:rPr>
          <w:rFonts w:ascii="Arial" w:cs="Arial" w:eastAsia="Arial" w:hAnsi="Arial"/>
          <w:sz w:val="15"/>
          <w:szCs w:val="15"/>
          <w:b w:val="1"/>
          <w:bCs w:val="1"/>
          <w:color w:val="auto"/>
        </w:rPr>
        <w:t xml:space="preserve"> </w:t>
      </w:r>
      <w:r>
        <w:rPr>
          <w:rFonts w:ascii="Arial" w:cs="Arial" w:eastAsia="Arial" w:hAnsi="Arial"/>
          <w:sz w:val="15"/>
          <w:szCs w:val="15"/>
          <w:color w:val="auto"/>
        </w:rPr>
        <w:t>professionals—particularly those in law firms, including partners, associates, and staff—as well as physicians, dentists, veterinarians, and other high</w:t>
      </w:r>
      <w:r>
        <w:rPr>
          <w:rFonts w:ascii="Cambria Math" w:cs="Cambria Math" w:eastAsia="Cambria Math" w:hAnsi="Cambria Math"/>
          <w:sz w:val="15"/>
          <w:szCs w:val="15"/>
          <w:color w:val="auto"/>
        </w:rPr>
        <w:t>-</w:t>
      </w:r>
      <w:r>
        <w:rPr>
          <w:rFonts w:ascii="Arial" w:cs="Arial" w:eastAsia="Arial" w:hAnsi="Arial"/>
          <w:sz w:val="15"/>
          <w:szCs w:val="15"/>
          <w:color w:val="auto"/>
        </w:rPr>
        <w:t>net</w:t>
      </w:r>
      <w:r>
        <w:rPr>
          <w:rFonts w:ascii="Cambria Math" w:cs="Cambria Math" w:eastAsia="Cambria Math" w:hAnsi="Cambria Math"/>
          <w:sz w:val="15"/>
          <w:szCs w:val="15"/>
          <w:color w:val="auto"/>
        </w:rPr>
        <w:t>-</w:t>
      </w:r>
      <w:r>
        <w:rPr>
          <w:rFonts w:ascii="Arial" w:cs="Arial" w:eastAsia="Arial" w:hAnsi="Arial"/>
          <w:sz w:val="15"/>
          <w:szCs w:val="15"/>
          <w:color w:val="auto"/>
        </w:rPr>
        <w:t>worth individuals. By leveraging our deep relationships with law firm clients, we also generate opportunities to expand personal deposit account relationships across their organizations.</w:t>
      </w:r>
    </w:p>
    <w:p>
      <w:pPr>
        <w:spacing w:after="0" w:line="3" w:lineRule="exact"/>
        <w:rPr>
          <w:rFonts w:ascii="Arial" w:cs="Arial" w:eastAsia="Arial" w:hAnsi="Arial"/>
          <w:sz w:val="15"/>
          <w:szCs w:val="15"/>
          <w:color w:val="auto"/>
        </w:rPr>
      </w:pPr>
    </w:p>
    <w:p>
      <w:pPr>
        <w:jc w:val="both"/>
        <w:ind w:left="1080" w:hanging="360"/>
        <w:spacing w:after="0" w:line="259" w:lineRule="auto"/>
        <w:tabs>
          <w:tab w:leader="none" w:pos="108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Correspondent Banking services: </w:t>
      </w:r>
      <w:r>
        <w:rPr>
          <w:rFonts w:ascii="Arial" w:cs="Arial" w:eastAsia="Arial" w:hAnsi="Arial"/>
          <w:sz w:val="19"/>
          <w:szCs w:val="19"/>
          <w:color w:val="auto"/>
        </w:rPr>
        <w:t>Our Global Banking vertical provides correspondent banking services for</w:t>
      </w:r>
      <w:r>
        <w:rPr>
          <w:rFonts w:ascii="Arial" w:cs="Arial" w:eastAsia="Arial" w:hAnsi="Arial"/>
          <w:sz w:val="19"/>
          <w:szCs w:val="19"/>
          <w:b w:val="1"/>
          <w:bCs w:val="1"/>
          <w:color w:val="auto"/>
        </w:rPr>
        <w:t xml:space="preserve"> </w:t>
      </w:r>
      <w:r>
        <w:rPr>
          <w:rFonts w:ascii="Arial" w:cs="Arial" w:eastAsia="Arial" w:hAnsi="Arial"/>
          <w:sz w:val="19"/>
          <w:szCs w:val="19"/>
          <w:color w:val="auto"/>
        </w:rPr>
        <w:t>banks headquartered in certain Latin America and Caribbean countries. We also cross-sell our correspondent banking relationships to generate international personal banking clients for our Bank. Our compliance team is experienced in issues related to correspondent banking, and we have frequent and regular open communication with our correspondent bank clients to ensure proper compliance controls are maintained at such institutions.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Credit Practices</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Our underwriting process is informed by a conservative credit culture that encourages prudent lending. We believe our strong asset quality is due to our understanding of and experience with businesses within Florida, in particular South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8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We manage our credit risk by analyzing metrics related to our different lines of business, which allows us to maintain a conservative and well- diversified loan portfolio reflective of our assessment of various industry sectors. Based upon our aggregate exposure to any given borrower relationship, we undertake a scaled review of loan originations that may involve our senior credit officers, our Chief Credit Officer, our Credit Committee or, ultimately, our Board of Directors (“Board”).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Deposit Products</w:t>
      </w:r>
    </w:p>
    <w:p>
      <w:pPr>
        <w:spacing w:after="0" w:line="22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Additionally, we offer insured cash sweep (“ICS”) and certificate of deposit account registry service (“CDARS”) deposit products that are FDIC-insured for our clients. Furthermore, we offer deposit products for municipalities and other public entities. Our deposit products are mainly offered across our primary geographic footprint.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Title Services</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Florida Peninsula Title LLC is a subsidiary of the Bank that offers our clients title insurance policies for real estate transactions closed at the Bank. Licensed in the State of Florida and approved by the Florida Department of Insurance</w:t>
      </w:r>
    </w:p>
    <w:p>
      <w:pPr>
        <w:spacing w:after="0" w:line="28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Regulation, Florida Peninsula Title LLC began operations in 2021. Our title service business not only provides diversification for non-interest income but also provides our clients with access to tile insurance services.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do not believe our business to be seasonal in nature.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w:t>
      </w:r>
    </w:p>
    <w:p>
      <w:pPr>
        <w:spacing w:after="0" w:line="23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primary banking market is South Florida. South Florida has rapidly emerged as a top destination for financial institutions, driven by a combination of factors that foster economic growth and stability. The region offers a low-tax environment, a robust business infrastructure, and access to a diverse talent pool. With a thriving real estate market, strong international trade connections, and an increasing concentration of tech and finance sectors, South Florida provides a dynamic ecosystem for financial services. Additionally, the region's strategic location as a gateway to Latin America further enhances its appeal for corporations looking to strengthen global connectivity and investment opportunities. We believe Florida offers long-term attractive banking opportunities. Our largest concentration is in the Miami metropolitan statistical area; however, we are also focused on growth in other urban Florida markets in which we have a presence, such as Broward and Palm Beach counties.</w:t>
      </w:r>
    </w:p>
    <w:p>
      <w:pPr>
        <w:spacing w:after="0" w:line="18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According to the United States Census Bureau’s estimates, Florida had population of 23.8 million at the end of 2025, an increase of 2% when compared to the end of 2024, making it the 3rd most populated state in the country. The Miami Metro Area remains the most populous metro area in Florida with 6.7 million residents reflecting, a growth of 27.62% since 2020.</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76"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w:t>
      </w:r>
    </w:p>
    <w:p>
      <w:pPr>
        <w:spacing w:after="0" w:line="2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8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We will remain an EGC until the earliest to occur of (i) the end of the fiscal year following the fifth anniversary of the completion of the Bank’s initial public offering in 2021, (ii) the last day of the first fiscal year in which the Company's annual gross revenues exceed $1.235 billion, (iii) the date that the Company becomes a “large accelerated filer” as defined in Rule 12b-2 under the Exchange Act which would occur if the market value of the Company's common stock that is held by non-affiliates exceeds $700 million as of the last business day of the Company’s most recently completed second fiscal quarter</w:t>
      </w:r>
    </w:p>
    <w:p>
      <w:pPr>
        <w:spacing w:after="0" w:line="200" w:lineRule="exact"/>
        <w:rPr>
          <w:sz w:val="20"/>
          <w:szCs w:val="20"/>
          <w:color w:val="auto"/>
        </w:rPr>
      </w:pPr>
    </w:p>
    <w:p>
      <w:pPr>
        <w:spacing w:after="0" w:line="33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 w:name="page7"/>
    <w:bookmarkEnd w:id="6"/>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(June 30th for the Company), or (iv) the date on which the Company has issued more than $1 billion in non-convertible debt during the preceding three-year period. As a consequence, we will cease to be an EGC as of December 31, 2026.</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3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respect the values and diversity exhibited throughout our organization and the community. Diversity is an integral part of our organization’s culture. We seek the active engagement and participation of people with diverse backgrounds. We continue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human capital objectives include attracting, developing and retaining the best available talent from a diverse pool of candidates for the Company. To do so, we strive to maintain competitive pay and benefits, regularly updating our compensation structure and periodically reviewing our compensation and benefits programs. Additionally, the Company identifies opportunities and paths for the development of our staff, and we seek to, whenever possible, fill positions by promotion within. The Company recognizes that the skills and knowledge of its employees are critical to the success of the organization, and promotes training and continuing education as an ongoing function for employees.</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We recognize the importance of our employee's financial health and well-being, and offer benefits such as a 401(k) retirement savings plan and make both matching and profit-sharing contributions to that plan. Benefit programs available to eligible employees include, in addition to the 401(k) retirement savings plan, health and life insurance, employee paid holidays and other benefits.</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We value and promote diversity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religion, sex, gender, sexual orientation, ancestry, pregnancy, medical condition, age, marital status, national origin, citizenship status, disability veteran status, gender identity, genetic information, or any other status protected by law.</w:t>
      </w:r>
    </w:p>
    <w:p>
      <w:pPr>
        <w:spacing w:after="0" w:line="18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At December 31, 2025, we had 205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 but with an appreciation for a diversity of perspectives and experiences. We have designed a compensation structure including an array of benefit plans and programs that we believe is attractive to our current and prospective employees.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and Supervision</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Bank holding companies, banks, and their affiliates are extensively regulated under federal and state law and regulation. These laws and regulations have a material effect on the operations of the Company and its direct and indirect subsidiaries, including the Bank.</w:t>
      </w:r>
    </w:p>
    <w:p>
      <w:pPr>
        <w:spacing w:after="0" w:line="172"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Statutes, regulations and regulatory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shareholders or creditors. In many cases, the applicable regulatory authorities have broad enforcement power over bank holding companies, banks and their subsidiaries, including the power to impose substantial fines and other penalties for violations of laws and regulations.</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the Bank and Company.</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material statutory and regulatory requirements that are applicable to us are summarized below. The description below is not intended to summarize all laws and regulations applicable to us. These summary descriptions are not intended to be a complete explanation of such laws and regulations and their effects on the Company and the Bank and are qualified in their entirety by reference to the actual laws and regulations. You should refer to the full text of the statutes, regulations, and corresponding guidance for more information.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2018 Regulatory Reform</w:t>
      </w:r>
    </w:p>
    <w:p>
      <w:pPr>
        <w:spacing w:after="0" w:line="22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May 2018 the Economic Growth, Regulatory Relief and Consumer Protection Act (the “2018 Act”), was enacted to modify or remove certain financial reform rules and regulations, including some of those implemented under the Dodd-Frank Wall Street Reform and Consumer Protection Act (“Dodd-Frank Act”) enacted in 2010. While the 2018 Act maintains most of the regulatory structure established by the Dodd-Frank Act, it amends certain aspects of the regulatory framework for small depository institutions with assets of less than $10.0 billion and for large banks with assets of more than $50.0 billion. Many of these changes resulted in meaningful regulatory relief for community banks such as the Bank.</w:t>
      </w:r>
    </w:p>
    <w:p>
      <w:pPr>
        <w:spacing w:after="0" w:line="18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2018 Act, among other matters, expanded the definition of “qualified mortgages” which may be held by a financial institution and simplified the regulatory capital rules for financial institutions and their holding companies with total consolidated assets of less than $10.0 billion by instructing (as described below) the federal banking regulators to establish a single “Community Bank Leverage Ratio” discussed below. The 2018 Act also expanded the category of holding companies that may rely on the “Small Bank Holding Company and Savings and Loan Holding Company Policy Statement” (the “SBHC Policy”) by raising the maximum amount of assets a qualifying holding company may have from $1.0 billion to $3.0 billion. This expansion also excluded such holding companies from the minimum capital requirements of the Dodd-Frank Act. In addition, the 2018 Act included regulatory relief for community banks regarding regulatory examination cycles, call reports, the Volcker Rule (proprietary trading prohibitions), mortgage disclosures and risk weights for certain high-risk commercial real estate loans.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Bank and Bank Holding Company Regulation</w:t>
      </w:r>
    </w:p>
    <w:p>
      <w:pPr>
        <w:spacing w:after="0" w:line="22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As a Florida- chartered commercial bank, the Bank is subject to ongoing and comprehensive supervision, regulation, examination, and enforcement by the FDIC and the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(the “DIF”) administered by the FDIC to the maximum extent permitted by law, and the FDIC has certain supervisory and enforcement powers over us.</w:t>
      </w:r>
    </w:p>
    <w:p>
      <w:pPr>
        <w:spacing w:after="0" w:line="18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Any entity that directly or indirectly controls a bank must be approved by the Federal Reserve under the Bank Holding Company Act of 1956 (the “BHC Act”) to become a bank holding company. Bank holding companies are subject to regulation, inspection, examination, supervision and enforcement by the Federal Reserve under the BHC Act. The Federal Reserve's jurisdiction also extends to any company that is directly or indirectly controlled by a bank holding company.</w:t>
      </w:r>
    </w:p>
    <w:p>
      <w:pPr>
        <w:spacing w:after="0" w:line="16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 which controls the Bank, is a bank holding company and, as such, is subject to ongoing and comprehensive supervision, regulation, examination and enforcement by the Federal Reserve.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Notice and Approval Requirements Related to Control</w:t>
      </w:r>
    </w:p>
    <w:p>
      <w:pPr>
        <w:spacing w:after="0" w:line="225" w:lineRule="exact"/>
        <w:rPr>
          <w:sz w:val="20"/>
          <w:szCs w:val="20"/>
          <w:color w:val="auto"/>
        </w:rPr>
      </w:pPr>
    </w:p>
    <w:p>
      <w:pPr>
        <w:jc w:val="both"/>
        <w:ind w:firstLine="361"/>
        <w:spacing w:after="0" w:line="243" w:lineRule="auto"/>
        <w:rPr>
          <w:sz w:val="20"/>
          <w:szCs w:val="20"/>
          <w:color w:val="auto"/>
        </w:rPr>
      </w:pPr>
      <w:r>
        <w:rPr>
          <w:rFonts w:ascii="Arial" w:cs="Arial" w:eastAsia="Arial" w:hAnsi="Arial"/>
          <w:sz w:val="20"/>
          <w:szCs w:val="20"/>
          <w:color w:val="auto"/>
        </w:rPr>
        <w:t>Banking laws impose notice, approval, and ongoing regulatory requirements on any person or entity that seeks to acquire direct or indirect “control” of an FDIC-insured depository institution. These laws include the BHC Act and the Change in Bank Control Act. Among other things, these laws require regulatory filings by individuals or entities that seek to acquire direct or indirect "control" of an FDIC- insured depository institution. The determination of whether an investor "controls" a depository institution is based on all of the facts and circumstances surrounding the investment. As a general matter, a party is deemed to conclusively control a depository institution or other company if the party owns or controls 25% or more of any class of voting stock or owns one-third or more of the equity of the depository institution or its holding company. Subject to rebuttal, a party may be presumed to control a depository institution or other company if the investor owns or controls 10% or more of any class of voting stock (and the entity’s securities are registered under the Exchange Act or, if not, the investor would be the largest shareholder). Except under limited circumstances, bank holding companies are prohibited from acquiring, without prior approval, control of any other bank or bank holding company or substantially all the assets thereof or more than 5% of the voting shares of a bank or bank holding company which is not already a subsidiary of such bank holding company.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Source of Strength</w:t>
      </w:r>
    </w:p>
    <w:p>
      <w:pPr>
        <w:spacing w:after="0" w:line="22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All companies, including bank holding companies, that directly or indirectly control an insured depository institution, are required to serve as a source of strength for the institution. Furthermore, the Federal Reserve policy is that a bank holding company should stand ready to use available resources to provide adequate capital to its subsidiary banks during periods of financial stress or adversity and should maintain the financial flexibility and capital-raising capacity to obtain additional resources for assisting its subsidiary banks. Under this requirement, the Company in the future could be required to provide</w:t>
      </w:r>
    </w:p>
    <w:p>
      <w:pPr>
        <w:spacing w:after="0" w:line="30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financial assistance to the Bank should it experience financial distress. Such support may be required at times when, absent this statutory and Federal Reserve policy requirement, a bank holding company may not be inclined or able to provide it. A bank holding company’s failure to meet its obligations to serve as a source of strength to its subsidiary banks will generally be considered by the Federal Reserve to be an unsafe and unsound banking practice or a violation of the Federal Reserve’s regulations, or both.</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Safety and Soundness Regulation</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an insured depository institution, we are subject to prudential regulation and supervision and must undergo regular on-site examinations by our state and federal banking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the FOFR.</w:t>
      </w:r>
    </w:p>
    <w:p>
      <w:pPr>
        <w:spacing w:after="0" w:line="183"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The federal banking agencies have also adopted guidelines establishing safety and soundness standards for all insured depository institutions including the Bank. The safety and soundness guidelines relate to, among other things, our internal controls, information systems, cybersecurity, internal audit systems, loan underwriting and documentation, anti -money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20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use of outside vendors and cybersecurity are critical sources of operational risk that financial institutions are expected to address in the current environment. We have active Board and senior management oversight policies, procedures and risk limits; adequate risk measurement and monitoring and adequate management information systems; and comprehensive internal controls to address these various risks.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Permissible Activities and Investments</w:t>
      </w:r>
    </w:p>
    <w:p>
      <w:pPr>
        <w:spacing w:after="0" w:line="22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Banking laws generally restrict the ability of the Company to engage in activities other than those determined by the Federal Reserve to be so closely related to banking as to be a proper incident thereto. The Federal Reserve has determined by regulation that certain activities are closely related to banking including operating a mortgage company, finance company, credit card company, factoring company, trust company or savings association; performing certain data processing operations; providing limited securities brokerage services; acting as an investment or financial advisor; acting as an insurance agent for certain types of credit-related insurance; leasing personal property on a full-payout, non-operating basis; providing tax planning and preparation services; operating a collection agency; and providing certain courier services. In addition, the Gramm-Leach-Bliley Act (the “GLB Act”) expanded the scope of permissible activities for a bank holding company that qualifies as a financial holding company. Under the regulations implementing the GLB Act, a financial holding company may engage in additional activities that are financial in nature or incidental or complementary to a financial activity such as securities underwriting, insurance underwriting and merchant banking. The Company is not a financial holding company.</w:t>
      </w:r>
    </w:p>
    <w:p>
      <w:pPr>
        <w:spacing w:after="0" w:line="197"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In addition, as a general matter, the establishment or acquisition by the Company of a non-bank entity, or the initiation of a non-banking activity, requires prior regulatory approval. In approving acquisitions or the addition of activities, the Federal</w:t>
      </w:r>
    </w:p>
    <w:p>
      <w:pPr>
        <w:spacing w:after="0" w:line="2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Reserve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Regulatory Capital Requirements</w:t>
      </w:r>
    </w:p>
    <w:p>
      <w:pPr>
        <w:spacing w:after="0" w:line="227" w:lineRule="exact"/>
        <w:rPr>
          <w:sz w:val="20"/>
          <w:szCs w:val="20"/>
          <w:color w:val="auto"/>
        </w:rPr>
      </w:pPr>
    </w:p>
    <w:p>
      <w:pPr>
        <w:jc w:val="both"/>
        <w:ind w:firstLine="361"/>
        <w:spacing w:after="0" w:line="244" w:lineRule="auto"/>
        <w:rPr>
          <w:sz w:val="20"/>
          <w:szCs w:val="20"/>
          <w:color w:val="auto"/>
        </w:rPr>
      </w:pPr>
      <w:r>
        <w:rPr>
          <w:rFonts w:ascii="Arial" w:cs="Arial" w:eastAsia="Arial" w:hAnsi="Arial"/>
          <w:sz w:val="20"/>
          <w:szCs w:val="20"/>
          <w:color w:val="auto"/>
        </w:rPr>
        <w:t>The federal banking regulators have adopted risk -based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89" w:lineRule="exact"/>
        <w:rPr>
          <w:sz w:val="20"/>
          <w:szCs w:val="20"/>
          <w:color w:val="auto"/>
        </w:rPr>
      </w:pPr>
    </w:p>
    <w:p>
      <w:pPr>
        <w:jc w:val="both"/>
        <w:ind w:firstLine="361"/>
        <w:spacing w:after="0" w:line="257" w:lineRule="auto"/>
        <w:rPr>
          <w:sz w:val="20"/>
          <w:szCs w:val="20"/>
          <w:color w:val="auto"/>
        </w:rPr>
      </w:pPr>
      <w:r>
        <w:rPr>
          <w:rFonts w:ascii="Arial" w:cs="Arial" w:eastAsia="Arial" w:hAnsi="Arial"/>
          <w:sz w:val="19"/>
          <w:szCs w:val="19"/>
          <w:color w:val="auto"/>
        </w:rPr>
        <w:t>In computing total risk -weighted assets, bank and bank holding company assets are given risk-weights of 0%, 20%, 50%, 100% and 150%. In addition, certain off -balance sheet items are given similar credit conversion factors to convert them to asset equivalent amounts to which an appropriate risk -weight will apply. Most loans will be assigned to the 100% risk category, except for performing first mortgage loans fully secured by 1- to-4 family or certain multi-family residential properties, which carry a 50% risk rating, and certain past due loans which are assigned a 150%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80" w:lineRule="exact"/>
        <w:rPr>
          <w:sz w:val="20"/>
          <w:szCs w:val="20"/>
          <w:color w:val="auto"/>
        </w:rPr>
      </w:pPr>
    </w:p>
    <w:p>
      <w:pPr>
        <w:jc w:val="both"/>
        <w:ind w:firstLine="361"/>
        <w:spacing w:after="0" w:line="243" w:lineRule="auto"/>
        <w:rPr>
          <w:sz w:val="20"/>
          <w:szCs w:val="20"/>
          <w:color w:val="auto"/>
        </w:rPr>
      </w:pPr>
      <w:r>
        <w:rPr>
          <w:rFonts w:ascii="Arial" w:cs="Arial" w:eastAsia="Arial" w:hAnsi="Arial"/>
          <w:sz w:val="20"/>
          <w:szCs w:val="20"/>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 -weighted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Risk-Weighted Assets is less than 7.0% — then capital distributions and discretionary bonus payments will be limited or prohibited based on the size of the institution’s conservation buffer. The types of payments subject to this limitation include dividends, share buybacks, discretionary payments on Tier 1 instruments, and discretionary bonus payments.</w:t>
      </w:r>
    </w:p>
    <w:p>
      <w:pPr>
        <w:spacing w:after="0" w:line="19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Common Equity Tier 1 capital is generally defined as common stockholders’ equity and retained earnings. Tier 1 capital is generally defined as Common Equity Tier 1 and additional Tier 1 capital. Additional Tier 1 capital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and long- term perpetual preferred stock, mandatory convertible securities, intermediate preferred stock and subordinated debt. Also included in Tier 2 capital is the allowance for loan and lease losses limited to a maximum of 1.25% of risk-weighted assets. Calculation of all types of regulatory capital is subject to deductions and adjustments specified in the regulations. In assessing an institution’s capital adequacy, the FDIC takes into consideration not only these numeric factors, but qualitative factors as well, and has the authority to establish higher capital requirements for individual institutions where deemed necessary.</w:t>
      </w:r>
    </w:p>
    <w:p>
      <w:pPr>
        <w:spacing w:after="0" w:line="189"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The capital regulations may also impact the treatment of accumulated other comprehensive income (“AOCI”) for regulatory capital purposes. Under the rules, AOCI generally flows through to regulatory capital; however, community banks and their holding companies (if any) were allowed to make a one-time irrevocable opt-out election to continue to treat AOCI</w:t>
      </w:r>
    </w:p>
    <w:p>
      <w:pPr>
        <w:spacing w:after="0" w:line="29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same as under the old regulations for regulatory capital purposes. This election was required to be made on the first call report filed after January 1, 2015. We made the opt-out election. Additionally, the rules also permit community banks with less than $15.0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 At December 31, 2025, we had no such investments.</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In May 2016, amendments to the Federal Reserve’s SBHC Policy became effective which increased the asset threshold to qualify to utilize the provisions of the SBHC Policy from $500.0 million to $1.0 billion. Subsequently, as part of the 2018 Act, the threshold was increased to $3.0 billion. Bank holding companies which are subject to the SBHC Policy are not subject to compliance with the regulatory capital requirements described above until they exceed $3.0 billion in assets. As a consequence, as of December 31, 2025, the Company was not required to comply with the requirements set forth above and will not be subject to such requirements until such time that its consolidated total assets exceed $3.0 billion or the Federal Reserve determines that the Company is no longer deemed to be a small bank holding company. However, if the Company had been subject to the requirements, it would have been in compliance with such requirements.</w:t>
      </w:r>
    </w:p>
    <w:p>
      <w:pPr>
        <w:spacing w:after="0" w:line="178"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In September 2019, the federal banking agencies jointly finalized a rule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below in this Form 10-K and will not be required to report or calculate risk-based capital. In order to qualify for the CBLR framework, a community banking organization must have a tier 1 leverage ratio of greater than 9%, less than $10.0 billion in total consolidated assets, off-balance sheet exposures of 25% or less of total consolidated assets, and trading assets and liabilities of 5% or less of total consolidated assets. In November 2025, the federal banking agencies, including the FDIC, proposed a lower CBLR requirement of 8%. Community banks that fail to meet the qualifying criteria after opting into the CBLR framework would have four reporting periods to meet the qualifying criteria again, provided they maintain a leverage ratio above 7% and have not used the grace period for more than eight of the prior 20 quarters. The federal banking agencies also proposed removing the provisions under the CBLR framework that provided temporary relief for qualifying community banks during the COVID-19 outbreak. Although the Bank is a qualifying community banking organization, the Bank has elected not to opt in to the CBLR framework at this time and will continue to follow the Basel III capital requirements as described above.</w:t>
      </w:r>
    </w:p>
    <w:p>
      <w:pPr>
        <w:spacing w:after="0" w:line="197"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20"/>
          <w:szCs w:val="20"/>
          <w:color w:val="auto"/>
        </w:rPr>
        <w:t>As of December 31, 2025 and 2024, the U.S. Century Bank qualified as a “well capitalized” institution. See Note 16 “Regulatory Matters” of the Consolidated Financial Statements included in Item 8 of this Annual Report on Form 10-K for further details.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Prompt Corrective Action</w:t>
      </w:r>
    </w:p>
    <w:p>
      <w:pPr>
        <w:spacing w:after="0" w:line="22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are subjected to differential regulation corresponding to the capital category within which the institution falls.</w:t>
      </w:r>
    </w:p>
    <w:p>
      <w:pPr>
        <w:spacing w:after="0" w:line="178" w:lineRule="exact"/>
        <w:rPr>
          <w:sz w:val="20"/>
          <w:szCs w:val="20"/>
          <w:color w:val="auto"/>
        </w:rPr>
      </w:pPr>
    </w:p>
    <w:p>
      <w:pPr>
        <w:jc w:val="both"/>
        <w:ind w:firstLine="361"/>
        <w:spacing w:after="0" w:line="243" w:lineRule="auto"/>
        <w:rPr>
          <w:sz w:val="20"/>
          <w:szCs w:val="20"/>
          <w:color w:val="auto"/>
        </w:rPr>
      </w:pPr>
      <w:r>
        <w:rPr>
          <w:rFonts w:ascii="Arial" w:cs="Arial" w:eastAsia="Arial" w:hAnsi="Arial"/>
          <w:sz w:val="20"/>
          <w:szCs w:val="20"/>
          <w:color w:val="auto"/>
        </w:rPr>
        <w:t>An insured depository institution is deemed to be "well capitalized" if it has a total risk-based capital ratio of 10.0% or greater, a tier 1 risk-based capital ratio of 8.0% or greater, a Common Equity Tier 1 risk-based capital ratio of 6.5% and a leverage ratio of 5.0% or greater, and the institution is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 is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Under specified circumstances, a federal banking agency may reclassify a “well-capitalized” institution as adequately capitalized and may require an adequately capitalized institution or an undercapitalized institution to comply with supervisory actions as if it were in the next lower category (except that the FDIC may not reclassify a significantly undercapitalized institution as critically undercapitalized).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w:t>
      </w:r>
    </w:p>
    <w:p>
      <w:pPr>
        <w:spacing w:after="0" w:line="32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1" w:name="page12"/>
    <w:bookmarkEnd w:id="11"/>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At As of December 31, 2025, the Bank was deemed to be a “well-capitalized” institution for purposes of the prompt corrective action regulations and as such is not subject to the above mentioned restrictions.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Commercial Real Estate Concentration Guidelines</w:t>
      </w:r>
    </w:p>
    <w:p>
      <w:pPr>
        <w:spacing w:after="0" w:line="22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as defined in the banking agencies guidance,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186"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of As of December 31, 2025, our ratio of construction loans to total risk-based capital was 31%, and therefore, we were under the 100% threshold set forth in clause (iii) in the paragraph above. However, with respect to clause (iv) in the paragraph above, as of December 31, 2025, our ratio of total commercial real estate loans to total risk-based capital was 370%. As a result, we are deemed to have a concentration in commercial real estate lending under applicable regulatory guidelines.</w:t>
      </w:r>
    </w:p>
    <w:p>
      <w:pPr>
        <w:spacing w:after="0" w:line="18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If a concentration is present, under the federal banking regulator’ guidance, management should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To address the commercial real estate lending concentration, the Bank has previously established a commercial real estate lending framework to monitor specific exposures and limits by types within the commercial real estate portfolio, including, among other things, annual stress testing of the commercial real estate portfolio, and takes appropriate actions, as necessary.</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Payment of Dividends and Share Repurchases</w:t>
      </w:r>
    </w:p>
    <w:p>
      <w:pPr>
        <w:spacing w:after="0" w:line="22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The ability of the board of directors of an insured depository institution to declare a cash dividend or other distribution with respect to capital is subject to federal and state statutory and regulatory restrictions that limit the amount available for such distribution depending upon earnings, financial condition, including whether the institution has negative retained earnings,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 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because the Bank has negative retained earnings, it must obtain the prior approval of the FDIC before effecting a cash dividend or other capital distribution.</w:t>
      </w:r>
    </w:p>
    <w:p>
      <w:pPr>
        <w:spacing w:after="0" w:line="19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A Federal Reserve policy statement on the payment of cash dividends states that a bank holding company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Reserve’s policy statement also provides that it would be inappropriate for a company experiencing serious financial problems to borrow funds to pay dividends. Furthermore, under the federal prompt corrective action regulations, the Federal Reserve may prohibit a bank holding company from paying any dividends if the holding company’s bank subsidiary is classified as “undercapitalized.” See “- Prompt Corrective Action” above.</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Section 225.4(b)(1) of Regulation Y promulgated by the Federal Reserve requires that a bank holding company that is not “well-capitalized” or “well-managed”, or that is subject to any unresolved supervisory issues, provide prior notice to the Federal Reserve for any repurchase or redemption of its equity securities for cash or other value that would reduce by 10 percent or more the bank holding company’s consolidated net worth aggregated over the preceding 12-month period. The Federal Reserve may disapprove such a purchase or redemption if it determines that the proposal would constitute an</w:t>
      </w:r>
    </w:p>
    <w:p>
      <w:pPr>
        <w:spacing w:after="0" w:line="32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unsafe or unsound practice or would violate any law, regulation, Federal Reserve order or any condition imposed by, or written agreement with, the Federal Reserve. As of December 31, 2025, the Company was not subject to any formal supervisory restrictions on its ability to pay dividends but will notify the Federal Reserve in advance of any proposed dividend to the Company's shareholders in light of the Bank's negative retained earnings. In addition, we will provide prior notification to the Federal Reserve prior to effecting proposed share repurchases.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Incentive Compensation</w:t>
      </w:r>
    </w:p>
    <w:p>
      <w:pPr>
        <w:spacing w:after="0" w:line="227"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169"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In June 2010, the federal banking agencies jointly adopted the Guidance on Sound Incentive Compensation Policies, or GSICP. The GSICP was intended to ensure that banking organizations do not undermine the safety and soundness of such organizations by encouraging excessive risk -taking.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 The GSICP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9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The Dodd-Frank Act requires the federal banking agencies and the SEC to establish joint regulations or guidelines prohibiting incentive-based payment arrangements at specified regulated entities, such as us, having at least $1.0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$1.0 billion in average total consolidated assets. In addition, in May 2024, a re-proposed rule was published that is intended to prohibit certain financial institutions from establishing or maintaining incentive-based compensation arrangements that encourage inappropriate risk taking by providing covered persons with excessive compensation, fees or benefits that could lead to material financial loss at the financial institution. Final regulations have not been adopted as of the date of this Form 10-K. If adopted, these or other similar regulations would impose limitations on the manner in which we may structure compensation for our executives and other employees that go beyond the requirements of GSICP. The scope and content of the federal banking agencies’ policies on incentive compensation are continuing to develop and are likely to continue evolving, but the timeframe for finalization, if finalized, of such policies is not known at this time.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Limits on Transactions with Affiliates and Insiders</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Transactions between insured financial institutions and any affiliate are governed by Sections 23A and 23B of the Federal Reserve Act. An affiliate of an insured financial institution is any company or entity which controls, is controlled by or is under common control with the insured financial institution. In a bank holding company context, the bank holding company of an insured financial institution (such as the Company) and any companies which are controlled by such holding company are affiliates of the insured financial institution. Generally, Section 23A limits the extent to which the insured financial institution or its subsidiaries may engage in “covered transactions” with any one affiliate to an amount equal to 10% of such institution’s capital stock and surplus, and contains an aggregate limit on all such transactions with all affiliates to an amount equal to 20% of such capital stock and surplus. Section 23B applies to “covered transactions” as well as certain other transactions and requires that all transactions be on terms substantially the same, or at least as favorable to the insured financial institution, as those provided to a non-affiliate. The term “covered transaction” includes the making of loans to, purchase of assets from and issuance of a guarantee to an affiliate and similar transactions. Section 23B transactions also include the provision of services and the sale of assets by an insured financial institution to an affiliate. In addition, loans or other extensions of credit by the financial institution to the affiliate are to be collateralized in accordance with the requirements set forth in Section 23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3" w:name="page14"/>
    <w:bookmarkEnd w:id="13"/>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Sections 22(g) and (h) of the Federal Reserve Act place restrictions on loans to executive officers, directors and principal shareholders. Under Section 22(h), loans to a director, an executive officer and to a greater than 10% stockholder of an insured financial institution, and certain affiliated interests of either, may not exceed, together with all other outstanding loans to such person and affiliated interests, the insured financial institution’s loans to one borrower limit (generally equal to 15% of the institution’s unimpaired capital and surplus). Section 22(h) also requires that loans to directors, executive officers and principal stockholders be made on terms substantially the same as offered in comparable transactions to other persons unless the loans are made pursuant to a benefit or compensation program that (i) is widely available to employees of the institution and (ii) does not give preference to any director, executive officer or principal stockholder, or certain affiliated interests thereof, over other employees of the insured financial institution. Section 22(h) also requires prior board approval for the issuance of certain loans. In addition, the aggregate amount of extensions of credit by an insured financial institution to all insiders cannot exceed the institution’s unimpaired capital and surplus. Furthermore, Section 22(g) places additional restrictions on loans to executive officers. At December 31, 2025, the Bank was in compliance with the above restrictions.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FDIC Deposit Insurance</w:t>
      </w:r>
    </w:p>
    <w:p>
      <w:pPr>
        <w:spacing w:after="0" w:line="22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FDIC is an independent federal agency that insures the deposits of federally insured depository institutions up to applicable limits. The FDIC also has certain regulatory, examination and enforcement powers with respect to FDIC -insured institutions. The deposits are insured by the FDIC up to applicable limits. As a general matter, the maximum deposit insurance amount is $250 thousand per depositor.</w:t>
      </w:r>
    </w:p>
    <w:p>
      <w:pPr>
        <w:spacing w:after="0" w:line="18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8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and the range varies based on the institution’s composite CAMELS rating. The deposit insurance assessment is calculated by multiplying the bank’s assessment base by the total base assessment rate. Assessment rates for most insured depository institutions with less than $10.0 billion of assets range from 2.5 to 32 basis points of each institution’s total assets less tangible capital.</w:t>
      </w:r>
    </w:p>
    <w:p>
      <w:pPr>
        <w:spacing w:after="0" w:line="18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In October 2022, the FDIC finalized a rule that increased the initial base deposit insurance assessment rates by 2 basis points, beginning with the first quarterly assessment period of 2023 (January 1, 2023 through March 31, 2023). The FDIC, as required under the FDIA, established a plan in September 2020 (the “Restoration Plan”) to restore the DIF reserve ratio to meet or exceed the statutory minimum of 1.35% within eight years. The Restoration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The increased assessment would improve the likelihood that the DIF reserve ratio would reach the required minimum by the statutory deadline, consistent with the FDIC’s amended Restoration Plan. The FDIC is maintaining the Designated Reserve Ratio (“DRR”) for the DIF at 2% for 2026. The assessment rate schedules will remain in effect unless and until the reserve ratio meets or exceeds 2% in order to support growth in the DIF in progressing toward the FDIC’s long-term goal of a 2% DRR. Progressively lower assessment rate schedules will take effect when the reserve ratio reaches 2%, and again when it reaches 2.5%. The revised assessment rate schedule will remain in effect unless and until the reserve ratio meets or exceeds 2%, absent further action by the FDIC.</w:t>
      </w:r>
    </w:p>
    <w:p>
      <w:pPr>
        <w:spacing w:after="0" w:line="18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4" w:name="page15"/>
    <w:bookmarkEnd w:id="14"/>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Brokered Deposits</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FDIA and FDIC regulations generally limit the ability of an insured depository institution to accept, renew or roll-over any brokered deposit unless the institution's capital category is "well capitalized" or, upon application to and a waiver from the FDIC, “adequately capitalized." Less-than-well-capitalized banks are also subject to restrictions on the interest rates that they may pay on deposits. The characterization of deposits as "brokered" may result in the imposition of higher deposit assessments on such deposits. As mandated by the 2018 Act, the FDIC's brokered deposit regulations provide a limited exception for reciprocal deposits for banks that are well- managed and well capitalized (or adequately capitalized and have obtained a waiver from the FDIC as mentioned above) . Under the limited exception, qualified banks are eligible for exemption from treatment as "brokered" deposits up to $5.0 billion, or 20% of the institution's total liabilities in reciprocal deposits. In 2021, the FDIC clarified and modernized its brokered deposit regulations by establishing clear standards for determining whether an entity qualifies as a deposit broker, identifying business relationships that automatically qualify for the “primary purpose exception,” creating a transparent application process for entities seeking that exception, and confirming that third parties with exclusive deposit-placement arrangements with one institution are not considered deposit brokers.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Depositor Preference</w:t>
      </w:r>
    </w:p>
    <w:p>
      <w:pPr>
        <w:spacing w:after="0" w:line="22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the Bank, with respect to any extensions of credit they have made to such insured depository institution.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Overdraft Fee Regulation</w:t>
      </w:r>
    </w:p>
    <w:p>
      <w:pPr>
        <w:spacing w:after="0" w:line="22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Federal Reserve System and Federal Home Loan Bank System</w:t>
      </w:r>
    </w:p>
    <w:p>
      <w:pPr>
        <w:spacing w:after="0" w:line="22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We are a member of the Federal Home Loan Bank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16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a member of the FHLB of Atlanta, we are required to own capital stock in the FHLB in an amount at least equal to 0.07% (or 7 basis points), which is subject to annual adjustments, of the Bank’s total assets at the end of each calendar year (up to a maximum of $18.0 million), plus 4.75% of our outstanding advances (borrowings) from the FHLB of Atlanta and 0.10% of the amount of outstanding letters of credit under the activity-based stock ownership requirements. As of December 31, 2025, the Bank was in compliance with such requirements.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Anti-Money Laundering Regulation</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(“BSA”), and the regulations issued by the Department of the Treasury in 31 CFR Chapter X, Section 326.8 of the FDIC’s regulations and the Florida Control of Money Laundering and Terrorist Financing in Financial Institutions Act.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high-risk customers. Financial institutions must also take reasonable steps to conduct enhanced scrutiny of account relationships to guard against money laundering and to report transactions that meet certain dollar amount thresholds as</w:t>
      </w:r>
    </w:p>
    <w:p>
      <w:pPr>
        <w:spacing w:after="0" w:line="200" w:lineRule="exact"/>
        <w:rPr>
          <w:sz w:val="20"/>
          <w:szCs w:val="20"/>
          <w:color w:val="auto"/>
        </w:rPr>
      </w:pPr>
    </w:p>
    <w:p>
      <w:pPr>
        <w:spacing w:after="0" w:line="348"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5" w:name="page16"/>
    <w:bookmarkEnd w:id="15"/>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well as any suspicious transactions. Laws, such as the USA PATRIOT Act enacted in 2001, as described below, provide law enforcement authorities with increased access to financial information maintained by banks.</w:t>
      </w:r>
    </w:p>
    <w:p>
      <w:pPr>
        <w:spacing w:after="0" w:line="151"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USA PATRIOT Act</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USA PATRIOT Act became effective in October 2001 and amended the BSA. The USA PATRIOT Act requires banks to establish anti-money laundering programs that include, at a minimum:</w:t>
      </w:r>
    </w:p>
    <w:p>
      <w:pPr>
        <w:spacing w:after="0" w:line="151" w:lineRule="exact"/>
        <w:rPr>
          <w:sz w:val="20"/>
          <w:szCs w:val="20"/>
          <w:color w:val="auto"/>
        </w:rPr>
      </w:pPr>
    </w:p>
    <w:p>
      <w:pPr>
        <w:jc w:val="both"/>
        <w:ind w:left="720" w:hanging="360"/>
        <w:spacing w:after="0" w:line="246"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bank compliance program that contains internal policies, procedures and controls designed to implement and maintain the bank’s compliance with all of the requirements of the USA PATRIOT Act, the BSA and related laws and regulations; bank wide systems and procedures for monitoring and reporting of suspicious transactions and activities;</w:t>
      </w:r>
    </w:p>
    <w:p>
      <w:pPr>
        <w:spacing w:after="0" w:line="2"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designated compliance officer;</w:t>
      </w:r>
    </w:p>
    <w:p>
      <w:pPr>
        <w:ind w:left="720" w:hanging="360"/>
        <w:spacing w:after="0" w:line="238"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employee training for bank employees;</w:t>
      </w: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 independent audit function to test the efficacy of the bank’s anti-money laundering program;</w:t>
      </w: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procedures to verify the identity of each bank customer upon the opening of accounts;</w:t>
      </w:r>
    </w:p>
    <w:p>
      <w:pPr>
        <w:ind w:left="720" w:hanging="360"/>
        <w:spacing w:after="0"/>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heightened due diligence policies, procedures and controls applicable to certain foreign accounts and relationships; and</w:t>
      </w:r>
    </w:p>
    <w:p>
      <w:pPr>
        <w:ind w:left="720" w:hanging="360"/>
        <w:spacing w:after="0" w:line="255"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required reports to law enforcement and/or financial regulators to assist in the deterrence and prevention of money laundering activities.</w:t>
      </w:r>
    </w:p>
    <w:p>
      <w:pPr>
        <w:spacing w:after="0" w:line="174" w:lineRule="exact"/>
        <w:rPr>
          <w:sz w:val="20"/>
          <w:szCs w:val="20"/>
          <w:color w:val="auto"/>
        </w:rPr>
      </w:pPr>
    </w:p>
    <w:p>
      <w:pPr>
        <w:jc w:val="both"/>
        <w:ind w:firstLine="361"/>
        <w:spacing w:after="0" w:line="241" w:lineRule="auto"/>
        <w:rPr>
          <w:sz w:val="20"/>
          <w:szCs w:val="20"/>
          <w:color w:val="auto"/>
        </w:rPr>
      </w:pPr>
      <w:r>
        <w:rPr>
          <w:rFonts w:ascii="Arial" w:cs="Arial" w:eastAsia="Arial" w:hAnsi="Arial"/>
          <w:sz w:val="20"/>
          <w:szCs w:val="20"/>
          <w:color w:val="auto"/>
        </w:rPr>
        <w:t>Additionally, the USA PATRIOT Act requires each financial institution to develop a customer identification program, or CIP, as part of its anti-money laundering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the financial institution must, among other things, collect certain information from customers at the time they enter into the customer relationship with the financial institution. This information must be verified within a reasonable time. Furthermore, all customers must be screened against any CIP-related government lists of known or suspected terrorists or other “sanctioned” persons. In May 2018, the U.S. Treasury’s Financial Crimes Enforcement Network, or FinCEN, issued a final rule under the BSA requiring banks to identify and verify the identity of the natural persons behind their customers that are legal entities—the beneficial owners. The Anti-Money Laundering Act of 2020 (the “AML Act”) and within the AML Act, the Corporate Transparency Act (the “CTA”), was enacted in January 2021. The AML Act is intended to be a comprehensive reform and modernization of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 The CTA establishes uniform beneficial ownership reporting requirements for corporations, limited liability companies, and other similar entities formed or registered to do business in the United States. The CTA authorizes FinCEN to collect that information and share it with authorized government authorities and financial institutions, subject to effective safeguards and controls. In December 2023, FinCEN issued regulations regarding access to the beneficial ownership information collected under the CTA. In March 2025, as a result of various legal challenges to the CTA, the U.S. Treasury announced that it was suspending enforcement of the CTA against domestic reporting companies and their beneficial owners. Later in March 2025, the U.S. Treasury issued a final interim rule that formally excepted domestic reporting companies and their beneficial owners from the reporting requirements. Under the interim final rule, only foreign reporting entities would need to provide foreign beneficial ownership information. We and our affiliates have adopted policies, procedures and controls designed to comply with the BSA, the AML Act, the CTA and the USA PATRIOT Act.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Office of Foreign Assets Control</w:t>
      </w:r>
    </w:p>
    <w:p>
      <w:pPr>
        <w:spacing w:after="0" w:line="22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The Office of Foreign Assets Control (the “OFAC”)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w:t>
      </w:r>
    </w:p>
    <w:p>
      <w:pPr>
        <w:spacing w:after="0" w:line="200" w:lineRule="exact"/>
        <w:rPr>
          <w:sz w:val="20"/>
          <w:szCs w:val="20"/>
          <w:color w:val="auto"/>
        </w:rPr>
      </w:pPr>
    </w:p>
    <w:p>
      <w:pPr>
        <w:spacing w:after="0" w:line="32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6" w:name="page17"/>
    <w:bookmarkEnd w:id="16"/>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or controlled by, or acting on behalf of target countries; and narcotics traffickers. Such persons are referred to as “sanctioned” persons.</w:t>
      </w:r>
    </w:p>
    <w:p>
      <w:pPr>
        <w:spacing w:after="0" w:line="15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If a bank finds a name on any transaction, account or wire transfer that is on an OFAC list, it must freeze the account and/or block the transaction or wire transfer. We utilize an outside vendor to oversee the inspection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Consumer Laws and Regulations</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79" w:lineRule="exact"/>
        <w:rPr>
          <w:sz w:val="20"/>
          <w:szCs w:val="20"/>
          <w:color w:val="auto"/>
        </w:rPr>
      </w:pPr>
    </w:p>
    <w:p>
      <w:pPr>
        <w:jc w:val="both"/>
        <w:ind w:left="720" w:hanging="360"/>
        <w:spacing w:after="0" w:line="248"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Truth-In-Lending Act, and Regulation Z, governing disclosures of credit and servicing terms to consumer borrowers and including substantial new requirements for mortgage lending and servicing, as mandated by the Dodd-Frank Act</w:t>
      </w:r>
    </w:p>
    <w:p>
      <w:pPr>
        <w:spacing w:after="0" w:line="2" w:lineRule="exact"/>
        <w:rPr>
          <w:rFonts w:ascii="Arial" w:cs="Arial" w:eastAsia="Arial" w:hAnsi="Arial"/>
          <w:sz w:val="20"/>
          <w:szCs w:val="20"/>
          <w:color w:val="auto"/>
        </w:rPr>
      </w:pPr>
    </w:p>
    <w:p>
      <w:pPr>
        <w:jc w:val="both"/>
        <w:ind w:left="720" w:hanging="360"/>
        <w:spacing w:after="0" w:line="23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Equal Credit Opportunity Act and Regulation B, prohibiting discrimination on the basis of race, color, religion, or other prohibited factors in extending credit;</w:t>
      </w:r>
    </w:p>
    <w:p>
      <w:pPr>
        <w:jc w:val="both"/>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20"/>
          <w:szCs w:val="20"/>
          <w:color w:val="auto"/>
        </w:rPr>
      </w:pPr>
    </w:p>
    <w:p>
      <w:pPr>
        <w:ind w:left="720" w:hanging="360"/>
        <w:spacing w:after="0" w:line="23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Fair Debt Collection Practices Act and Regulation F, governing the manner in which consumer debts may be collected by collection agencies; and</w:t>
      </w:r>
    </w:p>
    <w:p>
      <w:pPr>
        <w:ind w:left="720" w:hanging="360"/>
        <w:spacing w:after="0" w:line="255"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Real Estate Settlement Procedures Act, and Regulation X, which governs aspects of the settlement process for residential mortgage loans.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deposit operations are also subject to federal laws, such as:</w:t>
      </w:r>
    </w:p>
    <w:p>
      <w:pPr>
        <w:spacing w:after="0" w:line="229" w:lineRule="exact"/>
        <w:rPr>
          <w:sz w:val="20"/>
          <w:szCs w:val="20"/>
          <w:color w:val="auto"/>
        </w:rPr>
      </w:pPr>
    </w:p>
    <w:p>
      <w:pPr>
        <w:ind w:left="720" w:hanging="360"/>
        <w:spacing w:after="0" w:line="254"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FDIA, which, among other things, limits the amount of deposit insurance available per account to $250,000 and imposes other limits on deposit-taking;</w:t>
      </w: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Right to Financial Privacy Act, which imposes a duty to maintain the confidentiality of consumer financial records and prescribes procedures for complying with administrative subpoenas of financial records;</w:t>
      </w:r>
    </w:p>
    <w:p>
      <w:pPr>
        <w:ind w:left="720" w:hanging="361"/>
        <w:spacing w:after="0" w:line="239"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Clearing for the 21st Century Act (also known as “Check 21”), which gives “substitute checks,” such as digital check images and copies made from that image, the same legal standing as the original paper check;</w:t>
      </w:r>
    </w:p>
    <w:p>
      <w:pPr>
        <w:jc w:val="both"/>
        <w:ind w:left="720" w:hanging="361"/>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Electronic Funds Transfer Act and Regulation E, which governs automatic deposits to and withdrawals from deposit accounts and customers’ rights and liabilities arising from the use of ATMs and other electronic banking services; and</w:t>
      </w:r>
    </w:p>
    <w:p>
      <w:pPr>
        <w:spacing w:after="0" w:line="1" w:lineRule="exact"/>
        <w:rPr>
          <w:rFonts w:ascii="Arial" w:cs="Arial" w:eastAsia="Arial" w:hAnsi="Arial"/>
          <w:sz w:val="20"/>
          <w:szCs w:val="20"/>
          <w:color w:val="auto"/>
        </w:rPr>
      </w:pPr>
    </w:p>
    <w:p>
      <w:pPr>
        <w:ind w:left="720" w:hanging="361"/>
        <w:spacing w:after="0" w:line="255"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Truth in Savings Act and Regulation DD, which requires depository institutions to provide disclosures so that consumers can make meaningful comparisons about depository institutions and accounts.</w:t>
      </w:r>
    </w:p>
    <w:p>
      <w:pPr>
        <w:spacing w:after="0" w:line="17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Financial Privacy and Cybersecurity</w:t>
      </w:r>
    </w:p>
    <w:p>
      <w:pPr>
        <w:spacing w:after="0" w:line="227"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Banking organizations are subject to many federal and state laws and regulations governing the collection, use and protection of customer information. Under the privacy protection provisions of the GLB Act and related laws and regulations, including Florida laws, we are limited in our ability to disclose non-public information about consumers to nonaffiliated third parties. These limitations require disclosure of privacy policies to consumers and, in some circumstances, require us to allow consumers to prevent disclosure of certain personal information to a non-affiliated third party and to not disclose account numbers or access codes to non-affiliated third parties for marketing purposes. Federal banking agencies, including the FDIC, have adopted guidelines for establishing information security standards and cybersecurity programs for</w:t>
      </w:r>
    </w:p>
    <w:p>
      <w:pPr>
        <w:spacing w:after="0" w:line="200" w:lineRule="exact"/>
        <w:rPr>
          <w:sz w:val="20"/>
          <w:szCs w:val="20"/>
          <w:color w:val="auto"/>
        </w:rPr>
      </w:pPr>
    </w:p>
    <w:p>
      <w:pPr>
        <w:spacing w:after="0" w:line="33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implementing safeguards. These guidelines, along with related regulatory materials, increasingly focus on risk management and processes related to information technology and the use of third parties in the provision of financial services.</w:t>
      </w:r>
    </w:p>
    <w:p>
      <w:pPr>
        <w:spacing w:after="0" w:line="12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In addition, the federal banking agencies have adopted a rule to establish computer-security incident notification requirements for bank holding companies, banks and their service providers. Under the rule, banking organizations are required to notify their primary federal regulators within 36 hours of any incident that has materially disrupted or degraded, or is reasonably likely to materially disrupt or degrade, the banking organization’s ability to deliver banking services to a material portion of its client base, jeopardize the viability of key operations, or impact the financial stability of the financial sector. The rule also imposes certain notification requirements on third-party bank service providers when they experience a computer- security incident that has caused, or is likely to cause a material service disruption or degradation for four or more hours. In such case, the service provider is required to notify its bank-designated point of contact as soon as possible upon discovery of the incident.</w:t>
      </w:r>
    </w:p>
    <w:p>
      <w:pPr>
        <w:spacing w:after="0" w:line="18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In addition to federal laws and regulations, we are subject to state laws governing customer privacy and cybersecurity. The Florida Information Protection Act of 2014 (“Florida Act”) requires notification of the Florida Department of Legal Affairs of any breach involving personal information that affects more than 500 people as well as requiring notification of affected individuals of a breach. The Florida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Consumer Financial Protection Bureau</w:t>
      </w:r>
    </w:p>
    <w:p>
      <w:pPr>
        <w:spacing w:after="0" w:line="22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The Consumer Financial Protection Bureau (“CFPB”) is an independent regulatory authority housed within the Federal Reserve Board.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$10.0 billion in assets for compliance with federal consumer laws. The authority to supervise and examine depository institutions with $10.0 billion or less in assets, such as the Bank, for compliance with federal consumer laws remains largely with those institutions’ primary federal regulators. However, the CFPB may participate in examinations of these smaller institutions on a “sampling basis” and may refer potential enforcement actions against such institutions to their primary regulators. As such, the CFPB may participate in examinations of the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Volcker Rule</w:t>
      </w:r>
    </w:p>
    <w:p>
      <w:pPr>
        <w:spacing w:after="0" w:line="22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Dodd-Frank Act prohibits (subject to certain exceptions) us and our affiliates from engaging in short term proprietary trading in securities and derivatives and from investing in and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2025, we are not subject to the Volcker Rule because of our asset size, which is below the $10.0 billion Volcker Rule threshold.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Community Reinvestment Act and Fair Lending Requirements</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previously noted, 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moderate-income neighborhoods, consistent with safe and sound banking practices.</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Accordingly, the CRA generally requires federal banking agencies to evaluate the record of a financial institution in meeting applicable CRA requirements. The CRA further requires the agencies to take into account our record of meeting community credit needs when evaluating applications for, among other things, new branches or mergers. We are also subject to analogous state CRA requirements in Florida and certain other states in which we may establish branch offices. In connection with their assessments of CRA performance, the FDIC and FOFR assign a rating of “outstanding,” “satisfactory,” “needs to improve,” or “substantial noncompliance.” We received a “satisfactory” CRA Assessment Rating from both regulatory agencies in our most recent CRA examinations in 2023. In addition to substantive penalties and corrective measures that may be required for a violation of certain fair lending laws, the federal banking agencies may take</w:t>
      </w:r>
    </w:p>
    <w:p>
      <w:pPr>
        <w:spacing w:after="0" w:line="31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compliance with such laws and CRA into account when regulating and supervising other activities of the bank, including in acting on expansionary proposals such as when a bank submits an application to establish bank branches, merge with another bank, or acquire the assets and assume the liabilities of another bank. An unsatisfactory CRA and/or fair lending record could substantially delay or block any such transaction. The regulatory agency's assessment of the institution's record is made available to the public at www.ffiec.gov/craratings. Following its most recent CRA performance evaluation in April 2023, the Bank received an overall rating of "Satisfactory."</w:t>
      </w:r>
    </w:p>
    <w:p>
      <w:pPr>
        <w:spacing w:after="0" w:line="18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 October 2023, the federal banking agencies jointly issued a final rule to modernize CRA, but in light of litigation, the agencies issued a joint proposal in July 2025 to rescind this rule and reinstate the CRA framework that existed prior to the 2023 final rule.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Call Reports and Examination Cycle</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All institutions, regardless of size, submit a quarterly call report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$5.0 billion that do not engage in certain complex or international activities to file the most streamlined version of the quarterly call report, and to reduce data reportable on certain streamlined call report submissions.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Effect of Governmental Monetary Policies</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commercial banking business is affected not only by general economic conditions, but also by the monetary policies of the Federal Reserve. Changes in the discount rate on member bank borrowing, availability of borrowing at the “discount 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 available to the Federal Reserve. These monetary policies are used in varying combinations to influence overall growth and distributions of bank loans, investments and deposits, which may affect interest rates charged on loans or paid on deposits. The monetary policies of the Federal Reserve have had a significant effect on the operating results of commercial banks and are expected to continue to do so in the future. The Federal Reserve’s policies are primarily influenced by the dual mandate of price stability and full employment, and to a lesser degree by short- term and long-term changes in the international trade balance and in the fiscal policies of the U.S. government. Future changes in monetary policy and the effect of such changes on our business and earnings in the future cannot be predicted.</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Future Legislation and Regulation</w:t>
      </w:r>
    </w:p>
    <w:p>
      <w:pPr>
        <w:spacing w:after="0" w:line="22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Federal Securities Laws and the Sarbanes-Oxley Act</w:t>
      </w:r>
    </w:p>
    <w:p>
      <w:pPr>
        <w:spacing w:after="0" w:line="22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Company Class A common stock is registered with the SEC under Section 12(b) of the Exchange Act. The Company is subject to the proxy and tender offer rules, insider trading reporting requirements and restrictions, and certain other requirements under the Exchange Act.</w:t>
      </w:r>
    </w:p>
    <w:p>
      <w:pPr>
        <w:spacing w:after="0" w:line="172"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As a public company, the Company is also subject to the Sarbanes-Oxley Act of 2002 (“SOA”), which is applicable to all companies, both U.S. and non-U.S., that file periodic reports under the Exchange Act. The stated goals of the SOA were to increase corporate responsibility, to provide for enhanced penalties for accounting and auditing improprieties at publicly traded companies and to protect investors by improving the accuracy and reliability of corporate disclosures pursuant to the securities laws. The SEC is responsible for establishing rules to implement various provisions of the SOA. The SOA includes specific disclosure requirements and corporate governance rules, requires the SEC and securities exchanges to adopt extensive additional disclosure, corporate governance and other related rules and mandates further studies of certain issues</w:t>
      </w:r>
    </w:p>
    <w:p>
      <w:pPr>
        <w:spacing w:after="0" w:line="200" w:lineRule="exact"/>
        <w:rPr>
          <w:sz w:val="20"/>
          <w:szCs w:val="20"/>
          <w:color w:val="auto"/>
        </w:rPr>
      </w:pPr>
    </w:p>
    <w:p>
      <w:pPr>
        <w:spacing w:after="0" w:line="33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19" w:name="page20"/>
    <w:bookmarkEnd w:id="19"/>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by the SEC. The SOA represents significant regulation of the accounting profession and corporate governance practices, such as the relationship between a board of directors and management and between a board of directors and its committees.</w:t>
      </w:r>
    </w:p>
    <w:p>
      <w:pPr>
        <w:spacing w:after="0" w:line="12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As directed by the SOA, the Company’s principal executive officer and principal financial officer are required to certify that the Company’s quarterly and annual reports do not contain any untrue statement of a material fact. The rules adopted by the SEC under the SOA have several requirements, including having these officers certify that: they are responsible for establishing, maintaining and regularly evaluating the effectiveness of our internal control over financial reporting; they have made certain disclosures to the Company’s auditors and the audit committee of the Board of Directors about the Company’s internal control over financial reporting; and they have included information in the Company’s quarterly and annual reports about their evaluation and whether there have been changes in the Company’s internal control over financial reporting or in other factors that could materially affect the Company’s internal control over financial reporting.</w:t>
      </w:r>
    </w:p>
    <w:p>
      <w:pPr>
        <w:spacing w:after="0" w:line="184" w:lineRule="exact"/>
        <w:rPr>
          <w:sz w:val="20"/>
          <w:szCs w:val="20"/>
          <w:color w:val="auto"/>
        </w:rPr>
      </w:pPr>
    </w:p>
    <w:p>
      <w:pPr>
        <w:jc w:val="both"/>
        <w:ind w:firstLine="361"/>
        <w:spacing w:after="0" w:line="244" w:lineRule="auto"/>
        <w:rPr>
          <w:sz w:val="20"/>
          <w:szCs w:val="20"/>
          <w:color w:val="auto"/>
        </w:rPr>
      </w:pPr>
      <w:r>
        <w:rPr>
          <w:rFonts w:ascii="Arial" w:cs="Arial" w:eastAsia="Arial" w:hAnsi="Arial"/>
          <w:sz w:val="20"/>
          <w:szCs w:val="20"/>
          <w:color w:val="auto"/>
        </w:rPr>
        <w:t>In March 2020, the SEC issued a final rule, effective April 27, 2020, under the SOA – Amendments to the Accelerated Filer and Large Accelerated Filer Definitions. As a result of the amendments, certain low revenue and/or low public float filers, while they remained obligated to provide a report by management assessing the effectiveness of their internal control over financial reporting (“ICFR”), were not required to provide an attestation report from their independent auditor assessing the effectiveness of their ICFR. The Company meets the amended definition of an accelerated filer as of January 1, 2026 and would normally be required to provide an attestation report from its independent auditor assessing the effectiveness of its ICFR. However, as long as it is an eligible emerging growth company, such auditor attestation requirement will not apply to the Company. The Company will no longer be an emerging growth company as of December 31, 2026 and is expected to be required to comply with the ICFR independent auditor attestation report. In addition, the Bank remains subject to independent auditor attestation required under FDIC regulations set forth at 12 C.F.R. §363.3(b).</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website address is www.uscentury.com. Our electronic filings with the FDIC (prior to the bank holding company reorganization) and the SEC (including all Annual Reports on Form 10-K, Quarterly Reports on Form 10-Q, Current Reports on Form 8- 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on Form 10-K. In addition, the FDIC and the SEC each maintain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 which may also adversely affect our business, results of operations, liquidity and financial condition. If any of these known or unknown risks or uncertainties actually occur, our business, results of operations, liquidity and financial condition could be materially and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Business and Operations</w:t>
      </w:r>
    </w:p>
    <w:p>
      <w:pPr>
        <w:spacing w:after="0" w:line="225" w:lineRule="exact"/>
        <w:rPr>
          <w:sz w:val="20"/>
          <w:szCs w:val="20"/>
          <w:color w:val="auto"/>
        </w:rPr>
      </w:pPr>
    </w:p>
    <w:p>
      <w:pPr>
        <w:ind w:left="720" w:hanging="360"/>
        <w:spacing w:after="0" w:line="28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business operations and lending activities are concentrated in South Florida, and we are more sensitive to adverse changes in the local economy than our more geographically diversified competitors.</w:t>
      </w:r>
    </w:p>
    <w:p>
      <w:pPr>
        <w:spacing w:after="0" w:line="150"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concentration of real estate loans in a limited market area exposes us to lending risks.</w:t>
      </w:r>
    </w:p>
    <w:p>
      <w:pPr>
        <w:spacing w:after="0" w:line="22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small- to medium-sized businesses to which we lend may have fewer resources to weather adverse business developments, which may impair a borrower's ability to repay a loan.</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Inflationary pressures and rising prices may affect our results of operations and financial condition.</w:t>
      </w:r>
    </w:p>
    <w:p>
      <w:pPr>
        <w:spacing w:after="0" w:line="230"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soundness of other financial institutions could adversely affect us.</w:t>
      </w:r>
    </w:p>
    <w:p>
      <w:pPr>
        <w:spacing w:after="0" w:line="22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Insufficient liquidity could impair our ability to fund operations and jeopardize our financial condition, results of operations, growth and prospects.</w:t>
      </w:r>
    </w:p>
    <w:p>
      <w:pPr>
        <w:spacing w:after="0" w:line="150"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w:t>
      </w:r>
    </w:p>
    <w:p>
      <w:pPr>
        <w:spacing w:after="0" w:line="172"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lending business is subject to credit risk, which could lead to unexpected losses.</w:t>
      </w:r>
    </w:p>
    <w:p>
      <w:pPr>
        <w:spacing w:after="0" w:line="230" w:lineRule="exact"/>
        <w:rPr>
          <w:rFonts w:ascii="Arial" w:cs="Arial" w:eastAsia="Arial" w:hAnsi="Arial"/>
          <w:sz w:val="20"/>
          <w:szCs w:val="20"/>
          <w:color w:val="auto"/>
        </w:rPr>
      </w:pPr>
    </w:p>
    <w:p>
      <w:pPr>
        <w:ind w:left="720" w:hanging="361"/>
        <w:spacing w:after="0" w:line="28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Natural disasters and severe weather events in Florida could have a material adverse impact on our business, financial condition and operations.</w:t>
      </w:r>
    </w:p>
    <w:p>
      <w:pPr>
        <w:spacing w:after="0" w:line="152"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business is subject to interest rate risk and variations in interest rates may materially and adversely affect our financial performance.</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allowance for credit losses may not be sufficient to absorb potential losses in our loan portfolio.</w:t>
      </w:r>
    </w:p>
    <w:p>
      <w:pPr>
        <w:spacing w:after="0" w:line="228"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commercial loan portfolio may expose us to increased credit risk.</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imposition of further limits by the bank regulators on commercial real estate lending activities could curtail our growth and adversely affect our earnings.</w:t>
      </w:r>
    </w:p>
    <w:p>
      <w:pPr>
        <w:spacing w:after="0" w:line="14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SBA lending program depends on our status as a participant in the SBA's Preferred Lenders Program, and we face specific risks associated with originating SBA loans and selling the guaranteed portion thereof.</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SBA may not honor its guarantees if we do not originate loans in compliance with SBA guidelines.</w:t>
      </w:r>
    </w:p>
    <w:p>
      <w:pPr>
        <w:spacing w:after="0" w:line="230"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Correspondent banking is an important part of our business, which creates increased BSA/AML risk.</w:t>
      </w:r>
    </w:p>
    <w:p>
      <w:pPr>
        <w:spacing w:after="0" w:line="228" w:lineRule="exact"/>
        <w:rPr>
          <w:rFonts w:ascii="Arial" w:cs="Arial" w:eastAsia="Arial" w:hAnsi="Arial"/>
          <w:sz w:val="20"/>
          <w:szCs w:val="20"/>
          <w:color w:val="auto"/>
        </w:rPr>
      </w:pPr>
    </w:p>
    <w:p>
      <w:pPr>
        <w:ind w:left="720" w:hanging="361"/>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We may not recover all amounts that are contractually owed to us by our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left="720" w:hanging="360"/>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Non-performing assets take significant time to resolve and adversely affect our results of operations and financial condition, and could result in further losses in the future.</w:t>
      </w:r>
    </w:p>
    <w:p>
      <w:pPr>
        <w:spacing w:after="0" w:line="150" w:lineRule="exact"/>
        <w:rPr>
          <w:rFonts w:ascii="Arial" w:cs="Arial" w:eastAsia="Arial" w:hAnsi="Arial"/>
          <w:sz w:val="20"/>
          <w:szCs w:val="20"/>
          <w:color w:val="auto"/>
        </w:rPr>
      </w:pPr>
    </w:p>
    <w:p>
      <w:pPr>
        <w:jc w:val="both"/>
        <w:ind w:left="720" w:hanging="360"/>
        <w:spacing w:after="0" w:line="253"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engage in lending secured by real estate and may foreclose on the collateral and own the underlying real estate, subjecting us to the costs and potential risks associated with the ownership of real property and other risks, including exposure to environmental liability, or consumer protection initiatives or changes in state or federal law may substantially raise the cost of foreclosure or prevent us from foreclosing at all.</w:t>
      </w:r>
    </w:p>
    <w:p>
      <w:pPr>
        <w:spacing w:after="0" w:line="180"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are exposed to risk of environmental liability when we take title to property.</w:t>
      </w:r>
    </w:p>
    <w:p>
      <w:pPr>
        <w:spacing w:after="0" w:line="230" w:lineRule="exact"/>
        <w:rPr>
          <w:rFonts w:ascii="Arial" w:cs="Arial" w:eastAsia="Arial" w:hAnsi="Arial"/>
          <w:sz w:val="20"/>
          <w:szCs w:val="20"/>
          <w:color w:val="auto"/>
        </w:rPr>
      </w:pPr>
    </w:p>
    <w:p>
      <w:pPr>
        <w:ind w:left="720" w:hanging="360"/>
        <w:spacing w:after="0" w:line="28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are subject to certain operational risks, including, but not limited to, customer, employee or third-party fraud and data processing system failures and errors.</w:t>
      </w:r>
    </w:p>
    <w:p>
      <w:pPr>
        <w:spacing w:after="0" w:line="152"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face significant operational risks because the nature of the financial services business involves a high volume of transactions.</w:t>
      </w:r>
    </w:p>
    <w:p>
      <w:pPr>
        <w:spacing w:after="0" w:line="150" w:lineRule="exact"/>
        <w:rPr>
          <w:rFonts w:ascii="Arial" w:cs="Arial" w:eastAsia="Arial" w:hAnsi="Arial"/>
          <w:sz w:val="20"/>
          <w:szCs w:val="20"/>
          <w:color w:val="auto"/>
        </w:rPr>
      </w:pPr>
    </w:p>
    <w:p>
      <w:pPr>
        <w:ind w:left="720" w:hanging="360"/>
        <w:spacing w:after="0" w:line="28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have several large depositor relationships, the loss of which could force us to fund our business through more expensive and less stable sources.</w:t>
      </w:r>
    </w:p>
    <w:p>
      <w:pPr>
        <w:spacing w:after="0" w:line="152"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Any change in the Bank's ability to gather brokered deposits may adversely impact the Bank.</w:t>
      </w:r>
    </w:p>
    <w:p>
      <w:pPr>
        <w:spacing w:after="0" w:line="230" w:lineRule="exact"/>
        <w:rPr>
          <w:rFonts w:ascii="Arial" w:cs="Arial" w:eastAsia="Arial" w:hAnsi="Arial"/>
          <w:sz w:val="20"/>
          <w:szCs w:val="20"/>
          <w:color w:val="auto"/>
        </w:rPr>
      </w:pPr>
    </w:p>
    <w:p>
      <w:pPr>
        <w:ind w:left="720" w:hanging="360"/>
        <w:spacing w:after="0" w:line="28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securities portfolio performance in difficult market conditions could have adverse effects on our results of operations.</w:t>
      </w:r>
    </w:p>
    <w:p>
      <w:pPr>
        <w:spacing w:after="0" w:line="152"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may not effectively execute on our expansion strategy, which may adversely affect our ability to maintain our historical growth and earnings trends.</w:t>
      </w:r>
    </w:p>
    <w:p>
      <w:pPr>
        <w:spacing w:after="0" w:line="150"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New lines of business, products, product enhancements or services may subject us to additional risk.</w:t>
      </w:r>
    </w:p>
    <w:p>
      <w:pPr>
        <w:spacing w:after="0" w:line="228"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business needs and future growth may require us to raise additional capital and that capital may not be available on terms acceptable to us or may be dilutive to existing shareholders.</w:t>
      </w:r>
    </w:p>
    <w:p>
      <w:pPr>
        <w:spacing w:after="0" w:line="150" w:lineRule="exact"/>
        <w:rPr>
          <w:rFonts w:ascii="Arial" w:cs="Arial" w:eastAsia="Arial" w:hAnsi="Arial"/>
          <w:sz w:val="20"/>
          <w:szCs w:val="20"/>
          <w:color w:val="auto"/>
        </w:rPr>
      </w:pPr>
    </w:p>
    <w:p>
      <w:pPr>
        <w:jc w:val="both"/>
        <w:ind w:left="720" w:hanging="360"/>
        <w:spacing w:after="0" w:line="26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72"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loss of one or more of our key personnel, or our failure to attract and retain other highly qualified personnel in the future, could harm our business.</w:t>
      </w:r>
    </w:p>
    <w:p>
      <w:pPr>
        <w:spacing w:after="0" w:line="148"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Damage to our reputation could significantly harm our businesses.</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face strong competition from financial services companies and other companies that offer banking services, which could materially and adversely affect our business.</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must respond to rapid technological changes to remain competitive.</w:t>
      </w:r>
    </w:p>
    <w:p>
      <w:pPr>
        <w:spacing w:after="0" w:line="228"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continually encounter technological change, and we may have fewer resources than many of our competitors to invest in technological improvements.</w:t>
      </w:r>
    </w:p>
    <w:p>
      <w:pPr>
        <w:spacing w:after="0" w:line="150" w:lineRule="exact"/>
        <w:rPr>
          <w:rFonts w:ascii="Arial" w:cs="Arial" w:eastAsia="Arial" w:hAnsi="Arial"/>
          <w:sz w:val="20"/>
          <w:szCs w:val="20"/>
          <w:color w:val="auto"/>
        </w:rPr>
      </w:pPr>
    </w:p>
    <w:p>
      <w:pPr>
        <w:ind w:left="720" w:hanging="361"/>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current and future uses of artificial intelligence and other emerging technologies may create additional risks.</w:t>
      </w:r>
    </w:p>
    <w:p>
      <w:pPr>
        <w:spacing w:after="0" w:line="228"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71"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72" w:lineRule="exact"/>
        <w:rPr>
          <w:rFonts w:ascii="Arial" w:cs="Arial" w:eastAsia="Arial" w:hAnsi="Arial"/>
          <w:sz w:val="20"/>
          <w:szCs w:val="20"/>
          <w:color w:val="auto"/>
        </w:rPr>
      </w:pPr>
    </w:p>
    <w:p>
      <w:pPr>
        <w:jc w:val="both"/>
        <w:ind w:left="720" w:hanging="361"/>
        <w:spacing w:after="0" w:line="310" w:lineRule="auto"/>
        <w:tabs>
          <w:tab w:leader="none" w:pos="720" w:val="left"/>
        </w:tabs>
        <w:numPr>
          <w:ilvl w:val="0"/>
          <w:numId w:val="9"/>
        </w:numPr>
        <w:rPr>
          <w:rFonts w:ascii="Arial" w:cs="Arial" w:eastAsia="Arial" w:hAnsi="Arial"/>
          <w:sz w:val="19"/>
          <w:szCs w:val="19"/>
          <w:color w:val="auto"/>
        </w:rPr>
      </w:pPr>
      <w:r>
        <w:rPr>
          <w:rFonts w:ascii="Arial" w:cs="Arial" w:eastAsia="Arial" w:hAnsi="Arial"/>
          <w:sz w:val="19"/>
          <w:szCs w:val="19"/>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2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59" w:lineRule="exact"/>
        <w:rPr>
          <w:sz w:val="20"/>
          <w:szCs w:val="20"/>
          <w:color w:val="auto"/>
        </w:rPr>
      </w:pPr>
    </w:p>
    <w:p>
      <w:pPr>
        <w:ind w:left="720" w:hanging="360"/>
        <w:spacing w:after="0" w:line="282"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Certain of our directors may have conflicts of interest in determining whether to present business opportunities to us or another entity with which they are, or may become, affiliated.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Tax, Accounting and Regulatory Compliance</w:t>
      </w:r>
    </w:p>
    <w:p>
      <w:pPr>
        <w:spacing w:after="0" w:line="225" w:lineRule="exact"/>
        <w:rPr>
          <w:sz w:val="20"/>
          <w:szCs w:val="20"/>
          <w:color w:val="auto"/>
        </w:rPr>
      </w:pPr>
    </w:p>
    <w:p>
      <w:pPr>
        <w:ind w:left="720" w:hanging="360"/>
        <w:spacing w:after="0" w:line="282"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ability to recognize the benefits of our deferred tax assets is dependent on future cash flows and taxable income and may be materially impaired upon significant changes in ownership of our common stock.</w:t>
      </w:r>
    </w:p>
    <w:p>
      <w:pPr>
        <w:spacing w:after="0" w:line="150"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accuracy of our financial statements and related disclosures could be affected if the judgments, assumptions or estimates used in our critical accounting policies are inaccurate.</w:t>
      </w:r>
    </w:p>
    <w:p>
      <w:pPr>
        <w:spacing w:after="0" w:line="148" w:lineRule="exact"/>
        <w:rPr>
          <w:rFonts w:ascii="Arial" w:cs="Arial" w:eastAsia="Arial" w:hAnsi="Arial"/>
          <w:sz w:val="20"/>
          <w:szCs w:val="20"/>
          <w:color w:val="auto"/>
        </w:rPr>
      </w:pPr>
    </w:p>
    <w:p>
      <w:pPr>
        <w:jc w:val="both"/>
        <w:ind w:left="720" w:hanging="360"/>
        <w:spacing w:after="0" w:line="251"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77" w:lineRule="exact"/>
        <w:rPr>
          <w:rFonts w:ascii="Arial" w:cs="Arial" w:eastAsia="Arial" w:hAnsi="Arial"/>
          <w:sz w:val="20"/>
          <w:szCs w:val="20"/>
          <w:color w:val="auto"/>
        </w:rPr>
      </w:pPr>
    </w:p>
    <w:p>
      <w:pPr>
        <w:jc w:val="both"/>
        <w:ind w:left="720" w:hanging="360"/>
        <w:spacing w:after="0" w:line="261"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69"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face a risk of noncompliance with the Bank Secrecy Act and other anti-money laundering statutes and regulations and corresponding enforcement proceedings.</w:t>
      </w:r>
    </w:p>
    <w:p>
      <w:pPr>
        <w:spacing w:after="0" w:line="150"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69"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are subject to capital adequacy requirements and may become subject to more stringent capital requirements, which could adversely affect our financial condition and operations.</w:t>
      </w:r>
    </w:p>
    <w:p>
      <w:pPr>
        <w:spacing w:after="0" w:line="150"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72" w:lineRule="exact"/>
        <w:rPr>
          <w:rFonts w:ascii="Arial" w:cs="Arial" w:eastAsia="Arial" w:hAnsi="Arial"/>
          <w:sz w:val="20"/>
          <w:szCs w:val="20"/>
          <w:color w:val="auto"/>
        </w:rPr>
      </w:pPr>
    </w:p>
    <w:p>
      <w:pPr>
        <w:jc w:val="both"/>
        <w:ind w:left="720" w:hanging="361"/>
        <w:spacing w:after="0" w:line="261"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69"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Climate change and related legislative and regulatory initiatives may materially affect our business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Class A Common Stock</w:t>
      </w:r>
    </w:p>
    <w:p>
      <w:pPr>
        <w:spacing w:after="0" w:line="225" w:lineRule="exact"/>
        <w:rPr>
          <w:sz w:val="20"/>
          <w:szCs w:val="20"/>
          <w:color w:val="auto"/>
        </w:rPr>
      </w:pPr>
    </w:p>
    <w:p>
      <w:pPr>
        <w:ind w:left="720" w:hanging="361"/>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ability to pay dividends is subject to restrictions.</w:t>
      </w:r>
    </w:p>
    <w:p>
      <w:pPr>
        <w:spacing w:after="0" w:line="230"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we fail to pay interest on or otherwise default on our subordinated notes, we will be prohibited from paying dividends or distributions on our Class A common stock.</w:t>
      </w:r>
    </w:p>
    <w:p>
      <w:pPr>
        <w:spacing w:after="0" w:line="150" w:lineRule="exact"/>
        <w:rPr>
          <w:rFonts w:ascii="Arial" w:cs="Arial" w:eastAsia="Arial" w:hAnsi="Arial"/>
          <w:sz w:val="20"/>
          <w:szCs w:val="20"/>
          <w:color w:val="auto"/>
        </w:rPr>
      </w:pPr>
    </w:p>
    <w:p>
      <w:pPr>
        <w:ind w:left="720" w:hanging="361"/>
        <w:spacing w:after="0" w:line="280"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may issue additional debt securities, which would be senior to our common stock and may cause the market price of our Class A common stock to decline.</w:t>
      </w:r>
    </w:p>
    <w:p>
      <w:pPr>
        <w:spacing w:after="0" w:line="152"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market price and trading volume of our Class A common stock may be volatile, which could result in rapid and substantial losses for our shareholders.</w:t>
      </w:r>
    </w:p>
    <w:p>
      <w:pPr>
        <w:spacing w:after="0" w:line="150" w:lineRule="exact"/>
        <w:rPr>
          <w:rFonts w:ascii="Arial" w:cs="Arial" w:eastAsia="Arial" w:hAnsi="Arial"/>
          <w:sz w:val="20"/>
          <w:szCs w:val="20"/>
          <w:color w:val="auto"/>
        </w:rPr>
      </w:pPr>
    </w:p>
    <w:p>
      <w:pPr>
        <w:ind w:left="720" w:hanging="361"/>
        <w:spacing w:after="0" w:line="280"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There are significant restrictions in our Articles of Incorporation that restrict the ability to sell our capital stock to shareholders that would own 4.95% or more of our stock, excluding our Significant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3" w:name="page24"/>
    <w:bookmarkEnd w:id="23"/>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left="720" w:hanging="360"/>
        <w:spacing w:after="0" w:line="261"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71" w:lineRule="exact"/>
        <w:rPr>
          <w:rFonts w:ascii="Arial" w:cs="Arial" w:eastAsia="Arial" w:hAnsi="Arial"/>
          <w:sz w:val="20"/>
          <w:szCs w:val="20"/>
          <w:color w:val="auto"/>
        </w:rPr>
      </w:pPr>
    </w:p>
    <w:p>
      <w:pPr>
        <w:jc w:val="both"/>
        <w:ind w:left="720" w:hanging="360"/>
        <w:spacing w:after="0" w:line="260"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72"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We have existing investors that own a significant amount of our common stock whose individual interests may differ from yours.</w:t>
      </w:r>
    </w:p>
    <w:p>
      <w:pPr>
        <w:spacing w:after="0" w:line="148" w:lineRule="exact"/>
        <w:rPr>
          <w:rFonts w:ascii="Arial" w:cs="Arial" w:eastAsia="Arial" w:hAnsi="Arial"/>
          <w:sz w:val="20"/>
          <w:szCs w:val="20"/>
          <w:color w:val="auto"/>
        </w:rPr>
      </w:pPr>
    </w:p>
    <w:p>
      <w:pPr>
        <w:ind w:left="720" w:hanging="360"/>
        <w:spacing w:after="0" w:line="282"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Provisions in our governing documents and Florida law may have an anti-takeover effect and there are substantial regulatory limitations on changes of control of the Company.</w:t>
      </w:r>
    </w:p>
    <w:p>
      <w:pPr>
        <w:spacing w:after="0" w:line="147"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Risks Related to our Business and Operations</w:t>
      </w:r>
    </w:p>
    <w:p>
      <w:pPr>
        <w:spacing w:after="0" w:line="23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3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80"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Additionally, the COVID-19 pandemic accelerated the adoption of remote work options, potentially influencing the long-term performance of office properties within our commercial real estate portfolio. If we are required to liquidate our real estate collateral securing a loan during a period of reduced real estate values to satisfy the debt, our earnings and capital could be adversely affected. Moreover, since a large portion of our loan portfolio is secured by properties located in South Florida, the occurrence of a natural disaster, such as a hurricane, or a man-made disaster could result in a decline in loan originations, a decline in the value or the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9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80"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In addition, there are continuing concerns related to, among other things, the increasing level of U.S. government debt and fiscal actions that may be taken to address that debt, price fluctuations of key natural resources, inflation, the potential resurgence of economic and political tensions with China, the continuing war in Ukraine and the level of oil and natural gas prices due to, among other things, Russian supply disruptions resulting from the ongoing Ukrainian conflict,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concentration of real estate loans in a limited market area exposes us to lending risks.</w:t>
      </w:r>
    </w:p>
    <w:p>
      <w:pPr>
        <w:spacing w:after="0" w:line="227"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At December 31, 2025, approximately $1.55 billion, or 71.1%, of our total loan portfolio, was secured by real estate, in particular commercial real estate, most of which is located in our primary lending market area of the Miami metropolitan statistical area. Future declines in the real estate values in our primary lending market and surrounding markets could significantly impair the value of the particular real estate collateral securing our loans and our ability to sell the collateral upon foreclosure for an amount necessary to satisfy the borrower’s obligations to us. This could require increasing our allowance for credit losses to address the decrease in the value of the real estate securing our loans, which could have a material adverse effect on our business, financial condition, results of operations, and growth prospects.</w:t>
      </w:r>
    </w:p>
    <w:p>
      <w:pPr>
        <w:spacing w:after="0" w:line="18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 small- to medium-sized businesses to which we lend may have fewer resources to weather adverse business developments, which may impair a borrower's ability to repay a loan.</w:t>
      </w:r>
    </w:p>
    <w:p>
      <w:pPr>
        <w:spacing w:after="0" w:line="13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We target our business development and marketing strategies primarily to serve the banking and financial services needs of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 impact the markets in which we operate or any of our borrowers otherwise are affected by adverse business developments, our SMB borrowers may be disproportionately affected and their ability to repay outstanding loans may be adversely affected, which could have a material adverse effect on our business, financial condition and results of operations.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Inflationary pressures and rising prices may affect our results of operations and financial condition.</w:t>
      </w:r>
    </w:p>
    <w:p>
      <w:pPr>
        <w:spacing w:after="0" w:line="227"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9"/>
          <w:szCs w:val="19"/>
          <w:color w:val="auto"/>
        </w:rPr>
        <w:t>The inflationary outlook in the United States remains uncertain. As of December 31, 2025, the consumer price index was 2.7% year-over-year. While this is a significant reduction to the rate of inflation experienced in 2023 and 2024, it is still above the FRB’s targeted rate. The risks to our business from inflation depend on the durability of the inflationary pressures in our markets. Although the FRB has reduced the federal funds rate three times in 2024, and further three times in 2025, no assurance can be given that it will continue to do so. At the end of January 2026, the FRB determined not to reduce the federal funds rate. The resurgence of elevated levels of inflation could lead the FRB to cease reducing its benchmark rate or potentially starting to increase it again which could, in turn, increase the borrowings costs of our customers, making it more difficult for them to repay their loans or other obligations. Elevated interest rates may be needed to tame inflationary price pressures, which could also push down asset prices, including collateral values, and weaken economic activity.</w:t>
      </w:r>
    </w:p>
    <w:p>
      <w:pPr>
        <w:spacing w:after="0" w:line="178"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As inflation increases and market interest rates rise the value of our investment securities, particularly those with longer maturities, decreases, although this effect can be less pronounced for floating-rate instruments. In addition, inflation generally increases the cost of goods and services we use in our business operations, such as electricity and other utilities, which increases our noninterest expenses. Also, a prolonged period of inflation could cause wages and other of our costs to increase, which could adversely affect our results of operations and financial condition. Furthermore, our customers are also affected by inflation and the rising costs of goods and services used in their households and businesses, which could have a negative impact on their ability to repay their loans with us. In addition, SMBs may be impacted more during periods of high inflation, as they are not able to leverage economics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soundness of other financial institutions could adversely affect us.</w:t>
      </w:r>
    </w:p>
    <w:p>
      <w:pPr>
        <w:spacing w:after="0" w:line="22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Our ability to engage in routine funding and other transactions could be adversely affected by the actions and commercial soundness of other financial institutions. Financial services companies are interrelated as a result of trading, clearing, counterparty or other relationships. We have exposure to different industries and counterparties, and through transactions with counterparties in the financial services industry, including brokers and dealers, commercial banks, investment banks, and other institutional clients. Defaults by, or even rumors or questions about, one or more financial institutions or market utilities, or the financial services industry generally, may lead to market-wide liquidity problems, losses of depositor, creditor and counterparty confidence and losses or defaults by us or by other institutions. These losses or defaults could have a material adverse effect on our business, financial condition, results of operations and growth prospects. Additionally, if our competitors were extending credit on terms we found to pose excessive risks, or at interest rates which we believed did not warrant the credit exposure, we may not be able to maintain our business volume and could experience deteriorating financial performance.</w:t>
      </w:r>
    </w:p>
    <w:p>
      <w:pPr>
        <w:spacing w:after="0" w:line="326"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6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Insufficient liquidity could impair our ability to fund operations and jeopardize our financial condition, results of operations, growth and prospects.</w:t>
      </w:r>
    </w:p>
    <w:p>
      <w:pPr>
        <w:spacing w:after="0" w:line="135"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Significant changes to the size, structure, powers and operations of the federal government, changes to U.S. economic policies, and uncertainties regarding the potential for these changes may cause economic disruptions that could, in turn, adversely impact our business, results of operations and financial condition.</w:t>
      </w:r>
    </w:p>
    <w:p>
      <w:pPr>
        <w:spacing w:after="0" w:line="15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The current U.S. administration has implemented significant changes in federal priorities and has taken steps to change the operations, structure, and policy focus of various federal agencies, as well as regulatory priorities, policy approaches and interpretations of existing laws by those federal agencies. For example, recent executive actions and proposed legislation has changed agency mandates, modified or reduced federal program funding, altered regulatory frameworks, or adjusted the size and composition of the federal workforce. Moreover, leadership transitions at key federal agencies have impacted or may impact rulemaking, supervision, enforcement, and examination priorities across the financial regulatory landscape. These developments in the federal government may have varying effects on the banking and financial services industry that are difficult to predict, which makes it difficult for us to anticipate and mitigate attendant risks. Compliance with changing federal and regulatory priorities could, among other things, increase the costs of operating our business, reduce the demand for our products and services, impact our ability to achieve our business goals, and increase our legal, operational and reputational risks, any or all of which could materially adversely affect our results of operations.</w:t>
      </w:r>
    </w:p>
    <w:p>
      <w:pPr>
        <w:spacing w:after="0" w:line="17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current U.S. administration also has implemented rapid shifts in macroeconomic policies, such as those relating to trade restrictions and tariffs, which have created significant uncertainties regarding U.S. economic growth, the potential for recession, and concerns over an increase in inflation. Slow economic growth, economic contraction or recession, or shifts in broader consumer and business trends would significantly impact our ability to originate loans, the ability of borrowers to repay loans, and the value of the collateral securing loans.</w:t>
      </w:r>
    </w:p>
    <w:p>
      <w:pPr>
        <w:spacing w:after="0" w:line="178"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Changes in U.S. immigration policies, particularly those that could lead to mass deportations, may disrupt key industries in our region such as construction and hospitality. These disruptions could exacerbate labor shortages, reduce productivity, and cause financial instability among affected businesses, impairing the repayment abilities of borrowers in these sectors.</w:t>
      </w:r>
    </w:p>
    <w:p>
      <w:pPr>
        <w:spacing w:after="0" w:line="154"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Other political and economic events within the U.S., including a contentious domestic political environment, changes in or disagreements over U.S. monetary policy and actions of the FRB, disagreements over long-term federal budget and deficit reduction plans, disagreements over or threats not to increase the U.S. government's borrowing limit (or "debt ceiling"), and risk of further downgrade of the ratings of U.S. government debt obligations, also may negatively impact financial markets and the U.S. economy.</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Further, the perception of the potential for additional significant changes in federal regulatory or economic policy has also increased uncertainty and may exacerbate declines in investor and consumer confidence, which in turn may adversely impact financial markets and the broader economy of the United States.</w:t>
      </w:r>
    </w:p>
    <w:p>
      <w:pPr>
        <w:spacing w:after="0" w:line="17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Regional business and economic conditions are a major driver of our results of operations. Difficult conditions in the regional’s business and economic environment, including those caused by the lack of stability and predictability of U.S.</w:t>
      </w:r>
    </w:p>
    <w:p>
      <w:pPr>
        <w:spacing w:after="0" w:line="288"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policymaking, may materially adversely affect our operating expenses, the quality of our assets, credit losses, and the demand for our products and services.</w:t>
      </w:r>
    </w:p>
    <w:p>
      <w:pPr>
        <w:spacing w:after="0" w:line="1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Regional business and economic conditions are a major driver of our results of operations. Difficult conditions in the regional business and economic environment, including those caused by the lack of stability and predictability of U.S. policymaking, may materially adversely affect our operating expenses, the quality of our assets, credit losses, and the demand for our products and services.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lending business is subject to credit risk, which could lead to unexpected losses.</w:t>
      </w:r>
    </w:p>
    <w:p>
      <w:pPr>
        <w:spacing w:after="0" w:line="22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9"/>
          <w:szCs w:val="19"/>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 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 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 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Natural disasters and severe weather events in Florida could have a material adverse impact on our business, financial condition and operations.</w:t>
      </w:r>
    </w:p>
    <w:p>
      <w:pPr>
        <w:spacing w:after="0" w:line="13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 the value of property serving as collateral for our loans, force the relocation of residents, and significantly disrupt economic activity in the region.</w:t>
      </w:r>
    </w:p>
    <w:p>
      <w:pPr>
        <w:spacing w:after="0" w:line="18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18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Our business is subject to interest rate risk, and variations in interest rates may materially and adversely affect our financial performance.</w:t>
      </w:r>
    </w:p>
    <w:p>
      <w:pPr>
        <w:spacing w:after="0" w:line="13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Changes in the interest rate environment may reduce our profits. It is expected that our primary source of income will continue to be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 -earning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w:t>
      </w:r>
    </w:p>
    <w:p>
      <w:pPr>
        <w:spacing w:after="0" w:line="32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During 2022 and 2023, the Federal Open Market Committee (the “FOMC”) increased certain benchmark interest rates to reduce the rate of inflation to the extent necessary to reduce inflation to the target rate that the FOMC believes is appropriate. All of these increases were expressly made in response to inflationary pressures. However, In 2024, the FOMC decreased such benchmark rates three times followed in 2025 by three additional decreases totaling 0.75%. However, there can be no assurances as to any future FOMC action, including whether it continues to decrease the federal funds rate or implements increases. In late January 2026, the FOMC determined to not change the federal funds rate at 3.50% to 3.75%.</w:t>
      </w:r>
    </w:p>
    <w:p>
      <w:pPr>
        <w:spacing w:after="0" w:line="169" w:lineRule="exact"/>
        <w:rPr>
          <w:sz w:val="20"/>
          <w:szCs w:val="20"/>
          <w:color w:val="auto"/>
        </w:rPr>
      </w:pPr>
    </w:p>
    <w:p>
      <w:pPr>
        <w:jc w:val="both"/>
        <w:ind w:firstLine="361"/>
        <w:spacing w:after="0" w:line="242" w:lineRule="auto"/>
        <w:rPr>
          <w:sz w:val="20"/>
          <w:szCs w:val="20"/>
          <w:color w:val="auto"/>
        </w:rPr>
      </w:pPr>
      <w:r>
        <w:rPr>
          <w:rFonts w:ascii="Arial" w:cs="Arial" w:eastAsia="Arial" w:hAnsi="Arial"/>
          <w:sz w:val="20"/>
          <w:szCs w:val="20"/>
          <w:color w:val="auto"/>
        </w:rPr>
        <w:t>While an increase in interest rates may increase our weighted average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Due to competitive pressures in 2023, we increased the rates paid on our interest-bearing deposits such that our weighted average cost of deposits increased from 0.62% for 2022 to 3.04% for 2023. However, in 2024 and 2025, in light of the FOMC’s actions to decrease the federal funds rate a total of six times, we decreased the rates paid on our interest-bearing deposits. As a result, while the overall cost of funds increased, as compared to 2022 and 2023, it increased at a slower pace when compared to the increase in the cost of deposits from 2022 to 2023. Finally, we cannot provide any assurances that we can maintain our current levels of noninterest-bearing deposits as customers continue seeking higher -yielding products due to the increased interest rates being paid on deposits currently, as compared to rates in early 2024 and 2023 and 2022.</w:t>
      </w:r>
    </w:p>
    <w:p>
      <w:pPr>
        <w:spacing w:after="0" w:line="20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Accordingly, changes in levels of interest rates could materially and adversely affect our net interest margin, asset quality, loan origination volume, average loan portfolio balance, liquidity, and overall profitability.</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allowance for credit losses may not be sufficient to absorb potential losses in our loan portfolio.</w:t>
      </w:r>
    </w:p>
    <w:p>
      <w:pPr>
        <w:spacing w:after="0" w:line="22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maintain an allowance for credit losses that represents management's judgment of probable losses and risks inherent in our loan portfolio. The level of the allowance reflects management's continuing evaluation of general economic conditions, present political and regulatory conditions, diversification and seasoning of the loan portfolio, historic loss 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8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became applicable to us on January 1, 2023. CECL requires financial institutions to estimate and develop a provision for credit losses over the lifetime of the loan at origination, as opposed to reserving for incurred or probable losses up to the balance sheet date. Under the CECL model, expected credit deterioration will be reflected in the income statement in the period of origination or acquisition of a loan, with changes in expected credit losses due to further credit deterioration or improvement reflected in the periods in which the expectation changes. As a result of the initial implementation of CECL, we incurred as of January 1, 2023 a $1.1 million cumulative effect of the adoption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commercial loan portfolio may expose us to increased credit risk.</w:t>
      </w:r>
    </w:p>
    <w:p>
      <w:pPr>
        <w:spacing w:after="0" w:line="22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w:t>
      </w:r>
    </w:p>
    <w:p>
      <w:pPr>
        <w:spacing w:after="0" w:line="29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86"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Commercial construction loans generally have a higher risk of loss due to the assumptions used to estimate the value of property at completion and the cost of the project, including interest. It can be difficult to accurately evaluate the total 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9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 imposition of further limits by the bank regulators on commercial real estate lending activities could curtail our growth and adversely affect our earnings.</w:t>
      </w:r>
    </w:p>
    <w:p>
      <w:pPr>
        <w:spacing w:after="0" w:line="133"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9"/>
          <w:szCs w:val="19"/>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Regulatory guidance on concentrations in commercial real estate lending provides that a bank’s commercial real estate lending exposure could receive increased supervisory scrutiny where total commercial real estate loans, including loans secured by multi-family residential properties, owner-occupied and nonowner-occupied investor real estate, and construction and land loans, represent 300% or more of an institution’s total risk-based capital, and the outstanding balance of the commercial real estate loan portfolio has increased by 50% or more during the preceding 36 months. At December 31, 2025, our total commercial investor real estate loans, including loans secured by apartment buildings, commercial real estate, and construction and land loans represented 370% of the Bank’s total risk-based capital. However, the growth in the commercial real estate portfolio did not exceed 50% over the preceding 36 months but it has exceeded the threshold in prior periods.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institutions in developing risk management practices and capital levels commensurate with the level and nature of real estate concentrations. Management has established a commercial real estate lending framework to monitor specific exposures and limits by types within the commercial real estate portfolio and takes appropriate actions, as necessary. While we believe we have implemented policies and procedures with respect to our commercial real estate loan portfolio consistent with this guidance, the FDIC, the Bank’s primary federal regulator, could require us to implement additional policies and procedures pursuant to their interpretation of the guidance that may result in additional costs to us. In addition, If the FDIC were to impose restrictions on the amount of commercial real estate loans we can hold in our portfolio, our earnings would be adversely affected.</w:t>
      </w:r>
    </w:p>
    <w:p>
      <w:pPr>
        <w:spacing w:after="0" w:line="18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5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91"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We generally sell the guaranteed portion of our SBA 7(a) loans in the secondary market. These sales have resulted in both premium income for us at the time of sale and created a stream of future servicing income. There can be no assurance</w:t>
      </w:r>
    </w:p>
    <w:p>
      <w:pPr>
        <w:spacing w:after="0" w:line="2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29" w:name="page30"/>
    <w:bookmarkEnd w:id="29"/>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 guaranteed portion of the loans, and if a customer defaults on the non-guaranteed portion of a loan, we share any loss and recovery related to the loan pro-rata with the SBA.</w:t>
      </w:r>
    </w:p>
    <w:p>
      <w:pPr>
        <w:spacing w:after="0" w:line="160"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 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SBA may not honor its guarantees if we do not originate loans in compliance with SBA guidelines</w:t>
      </w:r>
      <w:r>
        <w:rPr>
          <w:rFonts w:ascii="Arial" w:cs="Arial" w:eastAsia="Arial" w:hAnsi="Arial"/>
          <w:sz w:val="20"/>
          <w:szCs w:val="20"/>
          <w:color w:val="auto"/>
        </w:rPr>
        <w:t>.</w:t>
      </w:r>
    </w:p>
    <w:p>
      <w:pPr>
        <w:spacing w:after="0" w:line="23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SBA lending programs typically guarantee 75% of the principal on an underlying loan. If the SBA establishes that a loss on an SBA guaranteed loan is attributable to significant technical deficiencies in the manner in which the loan was 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Correspondent banking is an important part of our business, which creates increased BSA/AML risk.</w:t>
      </w:r>
    </w:p>
    <w:p>
      <w:pPr>
        <w:spacing w:after="0" w:line="22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9"/>
          <w:szCs w:val="19"/>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greater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BSA and other anti-money laundering (“AML”) rules and regulations including the AML Act due to our correspondent banking relationships with foreign financial institutions. Additionally, international private banking places additional pressure on our policies, procedures and systems for complying with the BSA, and AML statutes and regulations as well as the recently enacted CTA.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including the imposition of civil money penalties, formal agreements and cease and desist orders. Furthermore, failure to meet regulatory requirements could require us to incur additional significant costs in order to bring our BSA/AML processes and procedures into compliance, negatively impact our reputation, and have a material adverse effect on our business, financial condition and results of operations.</w:t>
      </w:r>
    </w:p>
    <w:p>
      <w:pPr>
        <w:spacing w:after="0" w:line="177"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recent years, sanctions that the regulators have imposed on banks that have not complied with all BSA and AML requirements have been especially severe. In order to comply with regulations, guidelines and examination procedures in this area, we have dedicated significant resources to our BSA/AML process and procedures. If our policies, procedures and systems are deemed deficient, we could be subject to liability, including fines and regulatory actions such as additional restrictions on our ability to pay dividends and the necessity to obtain regulatory approvals to proceed with certain aspects of our business plan, such as acquisitions.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not recover all amounts that are contractually owed to us by our borrowers.</w:t>
      </w:r>
    </w:p>
    <w:p>
      <w:pPr>
        <w:spacing w:after="0" w:line="22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0" w:name="page31"/>
    <w:bookmarkEnd w:id="30"/>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19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Some of our loans are secured by liens on specified collateral of the borrowers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 respect to loans that we originate for condominium or homeowners' associations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19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Non- performing assets take significant time to resolve and adversely affect our results of operations and financial condition, and could result in further losses in the future.</w:t>
      </w:r>
    </w:p>
    <w:p>
      <w:pPr>
        <w:spacing w:after="0" w:line="13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Non-performing assets adversely affect our net income in various ways. We do not record interest income on nonaccrual loans or other real estate owned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In addition, there are legal fees associated with the resolution of problem assets as well as carrying costs such as taxes, insurance, and maintenance related to OREO.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9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b w:val="1"/>
          <w:bCs w:val="1"/>
          <w:i w:val="1"/>
          <w:iCs w:val="1"/>
          <w:color w:val="auto"/>
        </w:rPr>
        <w:t>We engage in lending secured by real estate and may foreclose on the collateral and own the underlying real estate, subjecting us to the costs and potential risks associated with the ownership of real property, including exposure to environmental liability, or consumer protection initiatives or changes in state or federal law may substantially raise the cost of foreclosure or prevent us from foreclosing at all.</w:t>
      </w:r>
    </w:p>
    <w:p>
      <w:pPr>
        <w:spacing w:after="0" w:line="16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8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w:t>
      </w:r>
    </w:p>
    <w:p>
      <w:pPr>
        <w:spacing w:after="0" w:line="32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1" w:name="page32"/>
    <w:bookmarkEnd w:id="31"/>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are ultimately enacted that significantly raise the cost of residential foreclosures or raise outright barriers, they could have an adverse effect on our business, financial condition, and results of operations.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are exposed to risk of environmental liability when we take title to property.</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affected.</w:t>
      </w:r>
    </w:p>
    <w:p>
      <w:pPr>
        <w:spacing w:after="0" w:line="17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We are subject to certain operational risks, including, but not limited to, customer, employee or third-party fraud and data processing system failures and errors.</w:t>
      </w:r>
    </w:p>
    <w:p>
      <w:pPr>
        <w:spacing w:after="0" w:line="13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18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70"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We also rely on the integrity and security of a variety of third party processors, payment, clearing and settlement systems, as well as the various participants involved in these systems, many of which have no direct relationship with us. Failure by these participants or their systems to protect our customers' transaction data may put us at risk for possible losses due to fraud or operational disruption. At the date of this Annual Report Form 10-K, there is no knowledge or indication that customer sensitive information was compromised as a result of third parties system vulnerabilities, but management continues to monitor developments and vendor communications.</w:t>
      </w:r>
    </w:p>
    <w:p>
      <w:pPr>
        <w:spacing w:after="0" w:line="18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 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85"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20"/>
          <w:szCs w:val="20"/>
          <w:b w:val="1"/>
          <w:bCs w:val="1"/>
          <w:color w:val="auto"/>
        </w:rPr>
        <w:t>We face significant operational risks because the nature of the financial services business involves a high volume of transactions</w:t>
      </w:r>
      <w:r>
        <w:rPr>
          <w:rFonts w:ascii="Arial" w:cs="Arial" w:eastAsia="Arial" w:hAnsi="Arial"/>
          <w:sz w:val="20"/>
          <w:szCs w:val="20"/>
          <w:i w:val="1"/>
          <w:iCs w:val="1"/>
          <w:color w:val="auto"/>
        </w:rPr>
        <w:t>.</w:t>
      </w:r>
    </w:p>
    <w:p>
      <w:pPr>
        <w:spacing w:after="0" w:line="130"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We operate in diverse markets and rely on the ability of our employees and systems to process a high number of transactions. Operational risk is the risk of loss resulting from our operations, including but not limited to, the risk of fraud by employees or persons outside the Company, the execution of unauthorized transactions by employees, errors relating to transaction processing and technology, breaches of our internal control systems and compliance requirements. Insurance coverage may not be available for such losses, or where available, such losses may exceed insurance limits. This risk of loss also includes potential legal actions that could arise as a result of operational deficiencies or as a result of non-compliance with applicable regulatory standards, adverse business decisions or their implementation, or customer attrition</w:t>
      </w:r>
    </w:p>
    <w:p>
      <w:pPr>
        <w:spacing w:after="0" w:line="200" w:lineRule="exact"/>
        <w:rPr>
          <w:sz w:val="20"/>
          <w:szCs w:val="20"/>
          <w:color w:val="auto"/>
        </w:rPr>
      </w:pPr>
    </w:p>
    <w:p>
      <w:pPr>
        <w:spacing w:after="0" w:line="33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2" w:name="page33"/>
    <w:bookmarkEnd w:id="32"/>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due to potential adverse publicity. In the event of a breakdown in our internal control systems, improper operation of systems or improper employee actions, we could suffer financial loss, face regulatory action, and/or suffer damage to our reputation.</w:t>
      </w:r>
    </w:p>
    <w:p>
      <w:pPr>
        <w:spacing w:after="0" w:line="13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have several large depositor relationships, the loss of which could force us to fund our business through more expensive and less stable sources.</w:t>
      </w:r>
    </w:p>
    <w:p>
      <w:pPr>
        <w:spacing w:after="0" w:line="13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Withdrawals of deposits by any one of our largest depositors could force us to rely more heavily on more expensive and less stable funding sources. Consequently, the occurrence of such event could have a material adverse effect on our business, financial condition and results of operations. At December 31, 2025, our top 10 depositors held 15.5% of our total deposit portfolio. As of December 31, 2025, 49% of our deposits are estimated to be FDIC-insured. At such date, our public funds are 7% of total deposits and are partially collateralized. The estimated average account size of our deposit portfolio is $113 thousand as of December 31, 2025. In addition, the Bank was considered a “well capitalized” institution as of December 31, 2025 and 2024.</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Any change in the Bank's ability to gather brokered deposits may adversely impact the Bank.</w:t>
      </w:r>
    </w:p>
    <w:p>
      <w:pPr>
        <w:spacing w:after="0" w:line="22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Failure to maintain the Bank's status as a "well capitalized" institution could have an adverse effect on us, and our ability to fund our operations. The Bank uses brokered deposits to assist in funding its loan and other financing products. As of December 31, 2025, 11% of our total deposits consisted of brokered deposits. Should the Bank ever fail to be well capitalized in the future as a result of not meeting the well capitalized requirements or the imposition of an individual minimum capital requirement or similar formal requirement, then, the Bank would be prohibited, absent waiver from the FDIC, from utilizing brokered deposits (i.e., no insured depository institution that is deemed to be less than "well capitalized" may accept, renew or rollover brokered deposits absent a waiver from the FDIC). In such event, such a result could produce material adverse consequences for the Bank with respect to liquidity and could also have material adverse effects on our financial condition and results of operations. Further, depending on the Bank's condition in the future and its reliance on these deposits as a source of funding, the FDIC could increase the surcharge on our brokered deposits. If we are ever required to pay higher surcharge assessments with respect to these deposits, such payments could be material and therefore could have a material adverse effect on our financial condition and results of operations. In addition, changes to FDIC regulations regarding brokered deposits or interpretations of such regulations by federal banking agencies could have an adverse impact on the Bank’s ability to accept brokered deposits. Additionally, brokered deposits are highly sensitive to changes in interest rates and, accordingly, can be a more volatile source of funding. Use of brokered deposits involves the risk that growth supported by such deposits would be halted, or the Bank’s liquidity adversely impacted, if the rates offered by the Bank were less than those offered by other institutions seeking such deposits, or if depositors were to perceive a decline in the Bank’s safety and soundness, or both.</w:t>
      </w:r>
    </w:p>
    <w:p>
      <w:pPr>
        <w:spacing w:after="0" w:line="19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securities portfolio performance in difficult market conditions could have adverse effects on our results of operations</w:t>
      </w:r>
      <w:r>
        <w:rPr>
          <w:rFonts w:ascii="Arial" w:cs="Arial" w:eastAsia="Arial" w:hAnsi="Arial"/>
          <w:sz w:val="20"/>
          <w:szCs w:val="20"/>
          <w:b w:val="1"/>
          <w:bCs w:val="1"/>
          <w:color w:val="auto"/>
        </w:rPr>
        <w:t>.</w:t>
      </w:r>
    </w:p>
    <w:p>
      <w:pPr>
        <w:spacing w:after="0" w:line="13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Unrealized losses on investment securities result from changes in credit spreads and liquidity issues in the marketplace, along with changes in the credit profile of individual securities issuers. Under GAAP, we are required to review our investment portfolio periodically for the presence of credit losses of our securities, taking into consideration current and future market conditions, the extent and nature of changes in fair value, issuer rating changes and trends, volatility of earnings, current analysts’ evaluations, our ability and intent to hold investments until a recovery of fair value, as well as other factors. Adverse developments with respect to one or more of the foregoing factors may require us to deem particular securities to be impaired, with the credit-related portion of the reduction in the value recognized as a charge to our earnings through an allowance. Subsequent valuations, in light of factors prevailing at that time, may result in significant changes in 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8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may not effectively execute on our expansion strategy, which may adversely affect our ability to maintain our historical growth and earnings trends.</w:t>
      </w:r>
    </w:p>
    <w:p>
      <w:pPr>
        <w:spacing w:after="0" w:line="13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Our primary expansion strategy focuses on organic growth, supplemented by potential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w:t>
      </w:r>
    </w:p>
    <w:p>
      <w:pPr>
        <w:spacing w:after="0" w:line="31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3" w:name="page34"/>
    <w:bookmarkEnd w:id="33"/>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infrastructure to accommodate expanded operations. Even if we are successful in continuing our growth, such growth may 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New lines of business, products, product enhancements or services may subject us to additional risk.</w:t>
      </w:r>
    </w:p>
    <w:p>
      <w:pPr>
        <w:spacing w:after="0" w:line="22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9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business needs and future growth may require us to raise additional capital and that capital may not be available on terms acceptable to us or may be dilutive to existing shareholders.</w:t>
      </w:r>
    </w:p>
    <w:p>
      <w:pPr>
        <w:spacing w:after="0" w:line="1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We believe that we have sufficient capital to meet our capital needs for our current growth plans. However, we expect that we would need to raise additional capital, in the form of debt or equity securities, in the future to have sufficient capital resources to meet our longer- term growth plans, and/or if the quality of our assets or earnings were to deteriorate significantly. In addition, we are required by federal regulatory authorities to maintain adequate levels of capital to support our operations.</w:t>
      </w:r>
    </w:p>
    <w:p>
      <w:pPr>
        <w:spacing w:after="0" w:line="18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18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Federal law requires that a holding company act as a source of financial and managerial strength to its subsidiary bank and to commit resources to support such subsidiary bank. Under the “source of strength” doctrine, the Federal Reserve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 be required to attempt to borrow the funds or raise capital. Thus, any borrowing that must be done by the Company to make a required capital injection becomes more difficult and expensive and could have an adverse effect on our business, financial condition and results of operations. Moreover, it is possible that we will be unable to borrow funds or otherwise raise capital at a time when it is needed. 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1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59"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As part of our growth strategy, we may pursue mergers and acquisitions of banks and non-bank financial services companies within or outside our principal market areas that fit within the mission-driven values of our franchise and that we</w:t>
      </w:r>
    </w:p>
    <w:p>
      <w:pPr>
        <w:spacing w:after="0" w:line="2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4" w:name="page35"/>
    <w:bookmarkEnd w:id="34"/>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Mergers and acquisitions involve numerous risks, any of which could harm our business, including:</w:t>
      </w:r>
    </w:p>
    <w:p>
      <w:pPr>
        <w:spacing w:after="0" w:line="231" w:lineRule="exact"/>
        <w:rPr>
          <w:sz w:val="20"/>
          <w:szCs w:val="20"/>
          <w:color w:val="auto"/>
        </w:rPr>
      </w:pPr>
    </w:p>
    <w:p>
      <w:pPr>
        <w:ind w:left="720" w:hanging="360"/>
        <w:spacing w:after="0" w:line="252"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possibility that expected benefits may not materialize in the time frame expected or at all, or may be more costly to achieve, or that the acquired business will not perform to our expectations;</w:t>
      </w:r>
    </w:p>
    <w:p>
      <w:pPr>
        <w:spacing w:after="0" w:line="1" w:lineRule="exact"/>
        <w:rPr>
          <w:rFonts w:ascii="Arial" w:cs="Arial" w:eastAsia="Arial" w:hAnsi="Arial"/>
          <w:sz w:val="20"/>
          <w:szCs w:val="20"/>
          <w:color w:val="auto"/>
        </w:rPr>
      </w:pPr>
    </w:p>
    <w:p>
      <w:pPr>
        <w:jc w:val="both"/>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spacing w:after="0" w:line="1" w:lineRule="exact"/>
        <w:rPr>
          <w:rFonts w:ascii="Arial" w:cs="Arial" w:eastAsia="Arial" w:hAnsi="Arial"/>
          <w:sz w:val="20"/>
          <w:szCs w:val="20"/>
          <w:color w:val="auto"/>
        </w:rPr>
      </w:pPr>
    </w:p>
    <w:p>
      <w:pPr>
        <w:jc w:val="both"/>
        <w:ind w:left="720" w:hanging="360"/>
        <w:spacing w:after="0" w:line="239"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difficulties in supporting and transitioning customers of the target and disruption of our ongoing banking business;</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price we pay or other resources that we devote may exceed the value we realize, or the value we could have realized if we had allocated the purchase consideration or other resources to another opportunity;</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entering new markets or areas in which we have limited or no experience;</w:t>
      </w:r>
    </w:p>
    <w:p>
      <w:pPr>
        <w:ind w:left="720" w:hanging="360"/>
        <w:spacing w:after="0" w:line="238"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possibility that our culture is disrupted as a result of an acquisition;</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potential loss of key personnel and customers from either our business or the target’s business;</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assumption of unanticipated problems, claims or other liabilities of the acquired business;</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 inability to realize expected synergies or returns on investment;</w:t>
      </w:r>
    </w:p>
    <w:p>
      <w:pPr>
        <w:jc w:val="both"/>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possibility of regulatory approval for the acquisition being delayed, impeded, restrictively conditioned, including the requirement to divest various activities,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possibility that the acquisition may not be timely completed, if at all;</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need to raise capital; and</w:t>
      </w: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inability to generate sufficient revenue to offset acquisition costs.</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Any acquisition activities we engage in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 therefore, some dilution of our tangible book value and net income per common share may occur in connection with any future transaction.</w:t>
      </w:r>
    </w:p>
    <w:p>
      <w:pPr>
        <w:spacing w:after="0" w:line="186"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As a result, we may not achieve the anticipated benefits of any such merger or acquisition, and we may incur costs in excess of what we anticipate. Our failure to successfully evaluate and execute mergers, acquisitions or investments or otherwise adequately address and manage the risks associated with such transactions could have a material adverse effect on our business, results of operations and financial condition, including short-term and long-term liquidity.</w:t>
      </w:r>
    </w:p>
    <w:p>
      <w:pPr>
        <w:spacing w:after="0" w:line="18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 loss of one or more of our key personnel, or our failure to attract and retain other highly qualified personnel in the future, could harm our business.</w:t>
      </w:r>
    </w:p>
    <w:p>
      <w:pPr>
        <w:spacing w:after="0" w:line="13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Chairman, President and Chief Executive Officer, Robert Anderson, our Chief Financial Officer, Nicholas Bustle, our Chief Lending Officer, and William Turner, our Chief Credit Officer, is important to our continuing success. Although we have entered into employment or change-in-control agreements with certain members of our executive and senior management team, including Messrs. de la Aguilera, Anderson, Bustle and Turner,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5" w:name="page36"/>
    <w:bookmarkEnd w:id="35"/>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including equity awards, which may reduce our earnings or adversely affect our business, results of operations, financial condition or prospects.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Damage to our reputation could significantly harm our businesses.</w:t>
      </w:r>
    </w:p>
    <w:p>
      <w:pPr>
        <w:spacing w:after="0" w:line="22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 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9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face strong competition from financial services companies and other companies that offer banking services, which could materially and adversely affect our business.</w:t>
      </w:r>
    </w:p>
    <w:p>
      <w:pPr>
        <w:spacing w:after="0" w:line="13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 the levels of our loans and deposits and our results of operations and financial condition may be adversely affected as a result. Ultimately, we may not be able to compete successfully against current and future competitors.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must respond to rapid technological changes to remain competitive.</w:t>
      </w:r>
    </w:p>
    <w:p>
      <w:pPr>
        <w:spacing w:after="0" w:line="22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We will have to continue to respond to future technological changes, which are occurring at a rapid pace in the financial services industry in order to remain competitive.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 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6" w:name="page37"/>
    <w:bookmarkEnd w:id="36"/>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continually encounter technological change, and we may have fewer resources than many of our competitors to invest in technological improvements.</w:t>
      </w:r>
    </w:p>
    <w:p>
      <w:pPr>
        <w:spacing w:after="0" w:line="13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financial services industry continues to undergo rapid technological changes with frequent introductions of new technology -driven products and services, including recent and rapid developments in artificial intelligence (“AI”) including agentic AI. The effective use of technology increases efficiency and enables financial institutions to better serve customers and to reduce costs. Our future success will depend, in part, upon our ability to address the needs of our clients by using technology to provide products and services that will satisfy client demands for convenience, as well as to create additional efficiencies in our operations, including through AI capabilities. Many national vendors provide turn-key services to community banks, such as internet banking and remote deposit capture that allow smaller banks to compete with institutions that have substantially greater resources to invest in technological improvements. We may not be able, however, to effectively implement new technology-driven products and services or be successful in marketing these products and services to our customers.</w:t>
      </w:r>
    </w:p>
    <w:p>
      <w:pPr>
        <w:spacing w:after="0" w:line="196"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current and future uses of artificial intelligence and other emerging technologies may create additional risks.</w:t>
      </w:r>
    </w:p>
    <w:p>
      <w:pPr>
        <w:spacing w:after="0" w:line="13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The increasing adoption of AI in financial services presents significant opportunities but also introduces a range of risks that could impact our operations, regulatory compliance, and customer trust. AI introduces model risk, where flawed algorithms or biased data could result in inaccurate credit decisions, compliance violations, or discriminatory outcomes in lending or customer service. Cybersecurity threats, such as data breaches, adversarial attacks, and data poisoning, pose significant challenges, particularly as these systems handle large volumes of sensitive customer information. Additionally, the opaque nature of some AI models, often referred to as "black -box" systems, raises regulatory compliance concerns, as regulators increasingly require transparency and explainability in AI-driven decision-making. The legal and regulatory environment for AI is uncertain and rapidly evolving, potentially increasing compliance cost and risk of non-compliance.</w:t>
      </w:r>
    </w:p>
    <w:p>
      <w:pPr>
        <w:spacing w:after="0" w:line="186"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Operational risks also arise from potential system failures, over-reliance on AI, and integration challenges with existing infrastructure. Disruptions in AI systems could impact critical functions such as fraud detection, transaction monitoring, and customer support. Ethical and reputational risks, including unintended consequences or perceived unfairness in AI -driven decisions, may erode customer trust and expose us to regulatory scrutiny. Mitigating these risks requires a robust governance framework, regularly testing and auditing of AI models, and strong human oversight. Investments in cybersecurity, data privacy protections, and employee training are critical to managing these risks.</w:t>
      </w:r>
    </w:p>
    <w:p>
      <w:pPr>
        <w:spacing w:after="0" w:line="18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5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targeted attacks intended to obtain unauthorized access to confidential information, destroy data, disrupt or degrade service, sabotage systems or cause other damage, including through the introduction of computer viruses or malware, cyber-attacks and other means. At this point, although there is no knowledge or indication that we have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182"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 party service providers or other users of our systems to disclose sensitive information in order to gain access to our data or that of our customers or clients. Similar to other companies, our risks and exposures related to cybersecurity attacks have increased as a result of the related increased reliance on remote working and the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 Cybersecurity risk and other security matters are also a major focus of regulatory authorities.</w:t>
      </w:r>
    </w:p>
    <w:p>
      <w:pPr>
        <w:spacing w:after="0" w:line="33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7" w:name="page38"/>
    <w:bookmarkEnd w:id="37"/>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5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 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8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5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 -attack,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 and inherent risk to our business operations. Such risk is generally expected to remain elevated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200"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Our operations could be interrupted or materially impacted if any of our third-party service providers fail to comply with banking regulations and other applicable laws. The Federal Reserve, FDIC,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9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59"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and/or punitive damages or claims for indeterminate amounts of damages. Further, in the future our federal and/or state bank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8" w:name="page39"/>
    <w:bookmarkEnd w:id="38"/>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13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other institutions, may create conflicts of interest. To the extent 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97"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Pursuant to an agreement between us and each of our Significant Investors (as defined below), each of the Significant Investors has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 related investment fund thereof, directly or indirectly, pursues or acquires such opportunity for itself, directs such opportunity to another person, or does not present such opportunity to 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Risks Related to Our Tax, Accounting and Regulatory Compliance</w:t>
      </w:r>
    </w:p>
    <w:p>
      <w:pPr>
        <w:spacing w:after="0" w:line="237"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Our ability to recognize the benefits of our deferred tax assets is dependent on future cash flows and taxable income and may be materially impaired upon significant changes in ownership of our common stock.</w:t>
      </w:r>
    </w:p>
    <w:p>
      <w:pPr>
        <w:spacing w:after="0" w:line="13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recognize the expected future tax benefit from deferred tax assets when it is more likely than not that the tax benefit will be realized. Otherwise, a valuation allowance is applied against our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17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76"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of 1986, as amended. Future changes in tax law or changes in ownership structure could limit our ability to utilize our recorded net deferred tax assets.</w:t>
      </w:r>
    </w:p>
    <w:p>
      <w:pPr>
        <w:spacing w:after="0" w:line="18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13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w:t>
      </w:r>
    </w:p>
    <w:p>
      <w:pPr>
        <w:spacing w:after="0" w:line="306"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the section captioned "Management's Discussion and Analysis of Financial Condition and Results of Operations" in Item 7 of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19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b w:val="1"/>
          <w:bCs w:val="1"/>
          <w:i w:val="1"/>
          <w:iCs w:val="1"/>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74"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SOA and other rules that govern public companies that we previously were not required to comply with as a private company. In particular, we are required to certify our compliance with Section 404 of the SOA, which requires us to annually 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SOA. We periodically review our formal policies, processes and practices related to financial reporting and to the identification of key financial reporting risks, assess their potential impact and the linkage of those risks to specific areas and controls within our organization.</w:t>
      </w:r>
    </w:p>
    <w:p>
      <w:pPr>
        <w:spacing w:after="0" w:line="19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SOA. We cannot be certain as to the timing of completion of our evaluation, testing, and any remediation actions or the impact of the same on our operations. If we fail to adequately comply with the requirements of Section 404 of the SOA,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187"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While we remain an emerging growth company, we will not be required to include an attestation report on internal control over financial reporting issued by our independent registered public accounting firm. We will cease to be an emerging growth company no later than December 31, 2026. To prepare for compliance with the auditor attestation requirement of Section 404 of the SOA once we no longer qualify as an emerging growth company or as a non-accelerated smaller reporting company, we are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19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5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w:t>
      </w:r>
    </w:p>
    <w:p>
      <w:pPr>
        <w:spacing w:after="0" w:line="29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0" w:name="page41"/>
    <w:bookmarkEnd w:id="40"/>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 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8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Act and the 2018 Act, have significantly revised the laws and regulations under which we operate. Such regulations and laws may be modified or repealed at any time, and new legislation may be enacted that will affect us and our subsidiaries.</w:t>
      </w:r>
    </w:p>
    <w:p>
      <w:pPr>
        <w:spacing w:after="0" w:line="178"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2018 Act, could make compliance more difficult or expensive or otherwise adversely affect our business, prospects, cash flow, liquidity, financial condition and results of operations.</w:t>
      </w:r>
    </w:p>
    <w:p>
      <w:pPr>
        <w:spacing w:after="0" w:line="18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face a risk of noncompliance with the Bank Secrecy Act and other anti-money laundering statutes and regulations and corresponding enforcement proceedings.</w:t>
      </w:r>
    </w:p>
    <w:p>
      <w:pPr>
        <w:spacing w:after="0" w:line="13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9"/>
          <w:szCs w:val="19"/>
          <w:color w:val="auto"/>
        </w:rPr>
        <w:t>The BSA, the USA PATRIOT Act,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(“HIFCA”) by FinCEN and a “High Intensity Drug Trafficking Area” (“HIDTA”) by the Office of National Drug Control Policy. The HIFCA program is intended to concentrate law enforcement efforts to combat money laundering efforts in higher-risk areas. There is also increased scrutiny of compliance with the rules enforced by OFAC. Federal and state bank regulators have for many years focused on compliance with the BSA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 prevent the recurrence thereof. In recent years, sanctions that the regulators have imposed on banks that have not complied with all anti- 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The regulatory and political environment has generally been challenging for U.S. financial institutions, which have been subject to increased regulatory scrutiny, including in the wake of the failures of several regional banks and other banking stresses in recent periods. The general heightened scrutiny and expectations from regulators could lead to a more stringent regulatory posture by the regulators, investigations and other inquiries, as well as remediation requirements, regulatory and operational restrictions, more regulatory or other enforcement proceedings, civil litigation and substantial compliance, regulatory and other risks and costs. Our regulators have broad powers and discretion under their supervisory authority. A failure to comply with regulators’ expectations and requirements, even if inadvertent, or to resolve any identified deficiencies</w:t>
      </w:r>
    </w:p>
    <w:p>
      <w:pPr>
        <w:spacing w:after="0" w:line="30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1" w:name="page42"/>
    <w:bookmarkEnd w:id="41"/>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 a timely and sufficiently satisfactory manner to regulators, could result in increased regulatory oversight; material restrictions, including, among others, imposition of limitations on capital distributions or other business activities or operations; enforcement proceedings; penalties; and fines. Responding to regulatory inquiries and proceedings can be time consuming and costly and divert management attention from our other business activities. As a result of these regulatory efforts and pressures, like many other financial institutions, from time to time, we may be subject to public and non-public written agreements, cease and desist orders, consent orders, memoranda of understanding or other enforcement or supervisory actions by our regulators.</w:t>
      </w:r>
    </w:p>
    <w:p>
      <w:pPr>
        <w:spacing w:after="0" w:line="18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13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In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rules apply to us.</w:t>
      </w:r>
    </w:p>
    <w:p>
      <w:pPr>
        <w:spacing w:after="0" w:line="179"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 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 10.5% or more; and a Tier 1 leverage ratio of 4% or more. Institutions must also maintain a capital conservation buffer consisting of common equity Tier 1 capital (which amount (2.5%) is reflected above in the CET1, Tier 1 and total capital ratios). In addition to the higher required capital ratios and the new deductions and adjustments, the final rules increased the risk weights for certain assets, meaning that we will have to hold more capital against these assets. We are also required to hold capital against short-term commitments that are not unconditionally cancellable.</w:t>
      </w:r>
    </w:p>
    <w:p>
      <w:pPr>
        <w:spacing w:after="0" w:line="19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While we currently meet the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8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In addition, in the current economic and regulatory environment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8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5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9"/>
          <w:szCs w:val="19"/>
          <w:color w:val="auto"/>
        </w:rPr>
        <w:t>As part of the bank regulatory process, the Federal Reserve, the FDIC and the FOFR periodically conduct examinations of our business, including compliance with applicable laws and regulations. If, as a result of an examination, one of these 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results of operations and reputation may be negatively impacted.</w:t>
      </w:r>
    </w:p>
    <w:p>
      <w:pPr>
        <w:spacing w:after="0" w:line="31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6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5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19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Climate change and related legislative and regulatory initiatives may materially affect our business and results of operations.</w:t>
      </w:r>
    </w:p>
    <w:p>
      <w:pPr>
        <w:spacing w:after="0" w:line="13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effects of climate change continue to create a significant level of concern for the state of the global environment. The lack of empirical data surrounding the credit and other financial risks posed by climate change render it difficult, or even impossible, to predict how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adversely affect our customers and the communities in which we operate. Overall, climate change, its effects and the resulting unknown impact could have a material adverse effect on our financial condition and results of operations.</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Risks Related to Our Class A Common Stock</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ability to pay dividends is subject to restrictions.</w:t>
      </w:r>
    </w:p>
    <w:p>
      <w:pPr>
        <w:spacing w:after="0" w:line="22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 Due to the fact that the Bank has negative retained earnings, the Bank may not pay dividends to the Company without the prior approval of the FDIC. Similarly, we have agreed to notify the Federal Reserve before declaring and paying any dividends on our Class A common stock.</w:t>
      </w:r>
    </w:p>
    <w:p>
      <w:pPr>
        <w:spacing w:after="0" w:line="18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If we fail to pay interest on or otherwise default on our subordinated notes, we will be prohibited from paying dividends or distributions on our Class A common stock.</w:t>
      </w:r>
    </w:p>
    <w:p>
      <w:pPr>
        <w:spacing w:after="0" w:line="1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As of December 31, 2025, we had $40.0 million of subordinated notes outstanding. The indenture under which the subordinated notes were issued prohibits us from paying any dividends on our common stock or making any other distributions to our shareholders upon our failure to make any required payment of principal or interest or during the continuance of an event of default under the applicable agreement. Events of default generally consist of, among other things, certain events of bankruptcy, insolvency or liquidation relating to us. If we were to fail to make a required payment of principal or interest on our subordinated notes, it could have a material adverse effect on the market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may issue additional debt securities, which would be senior to our common stock and may cause the market price of our Class A common stock to decline.</w:t>
      </w:r>
    </w:p>
    <w:p>
      <w:pPr>
        <w:spacing w:after="0" w:line="13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9"/>
          <w:szCs w:val="19"/>
          <w:color w:val="auto"/>
        </w:rPr>
        <w:t>We have issued $40.0 million in aggregate principal amount of 7.625% Fixed-to-Floating Rate Subordinated Notes due 2035. In the future, we may increase our capital resources by making additional offerings of debt or equity securities, which may include senior or additional subordinated notes, classes of preferred shares and/or common shares. Holders of our common stock are not entitled to preemptive rights or other protections against dilution. Preferred shares and debt, if issued, have a preference on liquidating distributions or a preference on dividend or interest payments that could limit our ability to make a distribution to the holders of our common stock. Future issuances and sales of parity preferred stock, or the perception that such issuances and sales could occur, may also cause prevailing market price for our Class A common stock to decline and may adversely affect our ability to raise additional capital in the financial markets at times and prices favorable to us. Further issuances of our Class A common stock could be dilutive to holders of our Class A common stock.</w:t>
      </w:r>
    </w:p>
    <w:p>
      <w:pPr>
        <w:spacing w:after="0" w:line="18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 market price and trading volume of our Class A common stock may be volatile, which could result in rapid and substantial losses for our shareholders.</w:t>
      </w:r>
    </w:p>
    <w:p>
      <w:pPr>
        <w:spacing w:after="0" w:line="1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 but not limited to:</w:t>
      </w:r>
    </w:p>
    <w:p>
      <w:pPr>
        <w:spacing w:after="0" w:line="180" w:lineRule="exact"/>
        <w:rPr>
          <w:sz w:val="20"/>
          <w:szCs w:val="20"/>
          <w:color w:val="auto"/>
        </w:rPr>
      </w:pP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general market conditions;</w:t>
      </w:r>
    </w:p>
    <w:p>
      <w:pPr>
        <w:spacing w:after="0" w:line="26" w:lineRule="exact"/>
        <w:rPr>
          <w:rFonts w:ascii="Arial" w:cs="Arial" w:eastAsia="Arial" w:hAnsi="Arial"/>
          <w:sz w:val="20"/>
          <w:szCs w:val="20"/>
          <w:color w:val="auto"/>
        </w:rPr>
      </w:pP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domestic and international economic factors unrelated to our performance;</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variations in our quarterly operating results or failure to meet the market’s earnings expectations;</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publication of research reports about us or the financial services industry in general;</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determination of securities analysts to not cover our Class A common stock;</w:t>
      </w:r>
    </w:p>
    <w:p>
      <w:pPr>
        <w:ind w:left="720" w:hanging="360"/>
        <w:spacing w:after="0" w:line="23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opinion of securities analysts about our stock as an investment;</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additions to or departures of our key personnel;</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future sales of our Class A common stock;</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adverse market reactions to any indebtedness we may incur or securities we may issue in the future;</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actions by our shareholders;</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operating and securities price performance of companies that investors consider to be comparable to us;</w:t>
      </w:r>
    </w:p>
    <w:p>
      <w:pPr>
        <w:ind w:left="720" w:hanging="360"/>
        <w:spacing w:after="0" w:line="23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changes or proposed changes in laws or regulations affecting our business; and</w:t>
      </w:r>
    </w:p>
    <w:p>
      <w:pPr>
        <w:ind w:left="720" w:hanging="360"/>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actual or potential litigation and governmental investigations.</w:t>
      </w:r>
    </w:p>
    <w:p>
      <w:pPr>
        <w:spacing w:after="0" w:line="20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addition, if the market for stocks in our industry, or the stock market in general, experiences a loss of investor confidence, the trading price of the Class A common stock could decline for reasons unrelated to our business, financial condition or results of operations. If any of the foregoing occurs, it could cause our Class A common stock price to fall and may expose us to lawsuits that, even if unsuccessful, could be costly to defend and a distraction to management.</w:t>
      </w:r>
    </w:p>
    <w:p>
      <w:pPr>
        <w:spacing w:after="0" w:line="18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1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Because the continued availability of our "deferred tax assets" depends, in part, on the value of our stock owned by shareholders owning 5% or more of our stock, our amended Articles of Incorporation, except as otherwise may be approved by the Board or except for transfers by our Significant Investors, prohibits any direct or indirect transfer of stock or options to acquire stock to any person who, as a result of the transfer, would own 4.95% or more of our stock, as long as the Company continues to have "deferred tax assets." Such restrictions may limit the ability to transfer our stock.</w:t>
      </w:r>
    </w:p>
    <w:p>
      <w:pPr>
        <w:spacing w:after="0" w:line="18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5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69" w:lineRule="exact"/>
        <w:rPr>
          <w:sz w:val="20"/>
          <w:szCs w:val="20"/>
          <w:color w:val="auto"/>
        </w:rPr>
      </w:pPr>
    </w:p>
    <w:p>
      <w:pPr>
        <w:ind w:left="720" w:hanging="360"/>
        <w:spacing w:after="0" w:line="282"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may present only two years of audited financial statements and only two years of related management’s discussion and analysis of financial condition and results of operations</w:t>
      </w:r>
    </w:p>
    <w:p>
      <w:pPr>
        <w:spacing w:after="0" w:line="200" w:lineRule="exact"/>
        <w:rPr>
          <w:sz w:val="20"/>
          <w:szCs w:val="20"/>
          <w:color w:val="auto"/>
        </w:rPr>
      </w:pPr>
    </w:p>
    <w:p>
      <w:pPr>
        <w:spacing w:after="0" w:line="31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4" w:name="page45"/>
    <w:bookmarkEnd w:id="44"/>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left="720" w:hanging="360"/>
        <w:spacing w:after="0" w:line="254"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are exempt from the requirements to obtain an attestation and report from our auditors on management’s assessment of our internal control over financial reporting under the SOA;</w:t>
      </w: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are permitted to have less extensive disclosure about our executive compensation arrangements; and</w:t>
      </w:r>
    </w:p>
    <w:p>
      <w:pPr>
        <w:ind w:left="720" w:hanging="360"/>
        <w:spacing w:after="0" w:line="255"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are not required to give our shareholders non-binding advisory votes on executive compensation or golden parachute arrangements.</w:t>
      </w:r>
    </w:p>
    <w:p>
      <w:pPr>
        <w:spacing w:after="0" w:line="174"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to occur of (i) the last day of the first fiscal year in which our annual gross revenues exceed $1.235 billion, (ii) the date that the market value of our Class A common stock that is held by non-affiliates exceeds $700.0 million as of the last business day in June of that year, (iii) the date on which we have, during the previous three-year period, issued more than $1.0 billion in non-convertible debt, or (iv) the end of fiscal year following the fifth anniversary of the completion of our initial public offering (which will be December 31, 2026).</w:t>
      </w:r>
    </w:p>
    <w:p>
      <w:pPr>
        <w:spacing w:after="0" w:line="18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It is possible that some investors may find our Class A common stock less attractive since we chose to rely on these exemptions. If some investors find our Class A common stock less attractive, there may be a less active trading market for our Class A common stock and our stock price may be more volatile.</w:t>
      </w:r>
    </w:p>
    <w:p>
      <w:pPr>
        <w:spacing w:after="0" w:line="1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57"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As an emerging growth company, we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have relied on this exemption. If some investors find our Class A common stock less attractive as a result, there may be a less active trading market for our Class A common stock and our stock price may be more volatile.</w:t>
      </w:r>
    </w:p>
    <w:p>
      <w:pPr>
        <w:spacing w:after="0" w:line="19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We have existing investors that own a significant amount of our common stock whose individual interests may differ from yours.</w:t>
      </w:r>
    </w:p>
    <w:p>
      <w:pPr>
        <w:spacing w:after="0" w:line="13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20"/>
          <w:szCs w:val="20"/>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As of February 28, 2026 Patriot and Priam own approximately 10.4% and 21.8%, respectively, of our outstanding shares of Class A common stock. In addition, Patriot and Priam are each entitled to nominate a director to our Board and have certain subscription rights to purchase new equity securities that we issue in the future, in each case as long as certain equity ownership criteria are met. Patriot and Priam also have certain registration rights (which they have exercised),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 amendments to our amended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204"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20"/>
          <w:szCs w:val="20"/>
          <w:b w:val="1"/>
          <w:bCs w:val="1"/>
          <w:i w:val="1"/>
          <w:iCs w:val="1"/>
          <w:color w:val="auto"/>
        </w:rPr>
        <w:t>Provisions in our governing documents and Florida law may have an anti-takeover effect and there are substantial regulatory limitations on changes of control of the Company.</w:t>
      </w:r>
    </w:p>
    <w:p>
      <w:pPr>
        <w:spacing w:after="0" w:line="1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200" w:lineRule="exact"/>
        <w:rPr>
          <w:sz w:val="20"/>
          <w:szCs w:val="20"/>
          <w:color w:val="auto"/>
        </w:rPr>
      </w:pPr>
    </w:p>
    <w:p>
      <w:pPr>
        <w:spacing w:after="0" w:line="33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5" w:name="page46"/>
    <w:bookmarkEnd w:id="45"/>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governing documents include provisions that:</w:t>
      </w:r>
    </w:p>
    <w:p>
      <w:pPr>
        <w:spacing w:after="0" w:line="231" w:lineRule="exact"/>
        <w:rPr>
          <w:sz w:val="20"/>
          <w:szCs w:val="20"/>
          <w:color w:val="auto"/>
        </w:rPr>
      </w:pPr>
    </w:p>
    <w:p>
      <w:pPr>
        <w:ind w:left="720" w:hanging="360"/>
        <w:spacing w:after="0" w:line="254"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empower our Board, without shareholder approval, to issue shares of preferred stock, the terms of which, including voting power, are set by our Board;</w:t>
      </w:r>
    </w:p>
    <w:p>
      <w:pPr>
        <w:ind w:left="720" w:hanging="360"/>
        <w:spacing w:after="0" w:line="239"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provide that directors may be removed from office only for cause and only upon a majority vote of the shares of our Company with voting power;</w:t>
      </w:r>
    </w:p>
    <w:p>
      <w:pPr>
        <w:ind w:left="720" w:hanging="36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prohibit holders of our Class A common stock to take action by written consent in lieu of a shareholder meeting;</w:t>
      </w:r>
    </w:p>
    <w:p>
      <w:pPr>
        <w:ind w:left="720" w:hanging="36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require holders of at least 10% of our Class A common stock to call a special meeting;</w:t>
      </w:r>
    </w:p>
    <w:p>
      <w:pPr>
        <w:ind w:left="720" w:hanging="36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do not provide for cumulative voting in elections of our directors;</w:t>
      </w:r>
    </w:p>
    <w:p>
      <w:pPr>
        <w:ind w:left="720" w:hanging="360"/>
        <w:spacing w:after="0"/>
        <w:tabs>
          <w:tab w:leader="none" w:pos="7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provide that our Board has the authority to amend our Amended and Restated Bylaws without shareholder approval;</w:t>
      </w:r>
    </w:p>
    <w:p>
      <w:pPr>
        <w:spacing w:after="0" w:line="11" w:lineRule="exact"/>
        <w:rPr>
          <w:rFonts w:ascii="Arial" w:cs="Arial" w:eastAsia="Arial" w:hAnsi="Arial"/>
          <w:sz w:val="19"/>
          <w:szCs w:val="19"/>
          <w:color w:val="auto"/>
        </w:rPr>
      </w:pPr>
    </w:p>
    <w:p>
      <w:pPr>
        <w:jc w:val="both"/>
        <w:ind w:left="720" w:hanging="360"/>
        <w:spacing w:after="0" w:line="239"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spacing w:after="0" w:line="1" w:lineRule="exact"/>
        <w:rPr>
          <w:rFonts w:ascii="Arial" w:cs="Arial" w:eastAsia="Arial" w:hAnsi="Arial"/>
          <w:sz w:val="20"/>
          <w:szCs w:val="20"/>
          <w:color w:val="auto"/>
        </w:rPr>
      </w:pPr>
    </w:p>
    <w:p>
      <w:pPr>
        <w:jc w:val="both"/>
        <w:ind w:left="720" w:hanging="360"/>
        <w:spacing w:after="0" w:line="247"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8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 These laws could delay or prevent an acquisition. Also, for preservation and continued availability of our "deferred tax assets," our amended Articles of Incorporation prohibit any direct or indirect transfer of stock or options to acquire stock to any person who, as a result of the transfer, would own 4.95% or more of our stock, as long as we continue to have "deferred tax assets," subject to limited exceptions as provided in our amended Articles of Incorporation. Because of the requirements to overcome this restriction, this provision of the amended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 Overview</w:t>
      </w:r>
    </w:p>
    <w:p>
      <w:pPr>
        <w:spacing w:after="0" w:line="2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Customers depend on the Company to safeguard nonpublic personal information gathered and stored in connection with the services we provide. The Company understands that cyber incidents can have financial, reputational, legal, and operational impacts that can adversely affect our customers, capital, and earnings. Therefore, we integrate cybersecurity processes throughout the Company as part of our enterprise-wide governance process. Regulatory agencies are charged with ensuring the Company’s cybersecurity controls and procedures are compliant with the intent of the cybersecurity expectations set forth by the Federal Financial Institutions Examination Council (“FFIEC”). The FFIEC framework offers a set of guidelines and best practices to help financial institutions manage and mitigate cybersecurity risks effectively. It focuses on ensuring the confidentiality, integrity, and availability of sensitive information and systems.</w:t>
      </w:r>
    </w:p>
    <w:p>
      <w:pPr>
        <w:spacing w:after="0" w:line="184"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Information Security Officer (“ISO”) is an integral member of the Risk Management and Compliance Department (“RMCD”) of the Bank and provides expert counsel on matters of cybersecurity and presents periodic reports to the Risk Committee of our Board of Directors.</w:t>
      </w:r>
    </w:p>
    <w:p>
      <w:pPr>
        <w:spacing w:after="0" w:line="17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As part of the program, periodic risk assessments are performed to determine the Company’s inherent and residual cybersecurity risk, the maturity level of the program, the risk of cyber threats, and the effectiveness of controls currently in practice. The Company utilizes the National Institute of Standards and Technology (“NIST”) Framework and the Cyber Risk Institute Framework (“CRI Framework”) to help management identify its risks and determine the Company’s cybersecurity posture. Through the implementation of rigorous procedures and controls, augmented by ongoing training initiatives for both management and staff, the institution cultivates a safe cybersecurity environment. This approach encompasses diverse methodologies including defense-in-depth and proactive security awareness training aimed at fortifying the institutions’ cybersecurity controls and fostering a resilient operational framework.</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Assessment and Response to Cybersecurity Threats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It is the policy of the Company and its technology service providers (“TSPs”) to ensure that they can identify, mitigate, and respond to cyber-attacks involving destructive malware and invasive attacks such as phishing, ransomware, malware, DDoS attacks, etc. This commitment aligns with the Company’s risk appetite, Incident Response Policy, and Business Continuity Plan, which incorporates business continuity planning and testing activities to enhance response and recovery capabilities.</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Company recognizes that it faces a variety of risks from cyber-attacks involving destructive malware, including liquidity, capital, operational, and reputation risks, due to events such as fraud, data loss, and disruption of customer service. As such, it is the policy of the Company to ensure that its risk management processes, and business continuity planning address these risks by:</w:t>
      </w:r>
    </w:p>
    <w:p>
      <w:pPr>
        <w:spacing w:after="0" w:line="195" w:lineRule="exact"/>
        <w:rPr>
          <w:sz w:val="20"/>
          <w:szCs w:val="20"/>
          <w:color w:val="auto"/>
        </w:rPr>
      </w:pPr>
    </w:p>
    <w:p>
      <w:pPr>
        <w:jc w:val="both"/>
        <w:ind w:left="720" w:hanging="360"/>
        <w:spacing w:after="0" w:line="253"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Establishing a comprehensive governance program encompassing policies and procedures to administer and oversee the information/cybersecurity programs to ensure adherence to regulatory guidance and industry best practices.</w:t>
      </w:r>
    </w:p>
    <w:p>
      <w:pPr>
        <w:spacing w:after="0" w:line="1" w:lineRule="exact"/>
        <w:rPr>
          <w:rFonts w:ascii="Arial" w:cs="Arial" w:eastAsia="Arial" w:hAnsi="Arial"/>
          <w:sz w:val="20"/>
          <w:szCs w:val="20"/>
          <w:color w:val="auto"/>
        </w:rPr>
      </w:pPr>
    </w:p>
    <w:p>
      <w:pPr>
        <w:jc w:val="both"/>
        <w:ind w:left="720" w:hanging="360"/>
        <w:spacing w:after="0" w:line="243"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Securely configuring systems and services to mitigate the impact of cyber-threats. This includes measures such as logical network segmentation, backups, maintaining an inventory of authorized devices and software, and physical segmentation of critical systems. Consistency in system configuration fosters a secure network environment by removing or disabling unused applications, functions, or components.</w:t>
      </w:r>
    </w:p>
    <w:p>
      <w:pPr>
        <w:spacing w:after="0" w:line="2" w:lineRule="exact"/>
        <w:rPr>
          <w:rFonts w:ascii="Arial" w:cs="Arial" w:eastAsia="Arial" w:hAnsi="Arial"/>
          <w:sz w:val="20"/>
          <w:szCs w:val="20"/>
          <w:color w:val="auto"/>
        </w:rPr>
      </w:pPr>
    </w:p>
    <w:p>
      <w:pPr>
        <w:jc w:val="both"/>
        <w:ind w:left="720" w:hanging="360"/>
        <w:spacing w:after="0" w:line="242"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Implementing and testing controls around critical systems on a regular basis to ensure appropriate access control and segregation of duties. Limits on sign-on attempts for critical systems are enforced, with accounts being locked when the threshold are met. Alert systems notify of baseline control changes on critical systems, with the effectiveness and adequacy of controls periodically tested and the results reported to senior management and, if applicable, the Risk Committee, along with recommended risk mitigation strategies and the progress of actions taken to remediate findings.</w:t>
      </w:r>
    </w:p>
    <w:p>
      <w:pPr>
        <w:spacing w:after="0" w:line="3" w:lineRule="exact"/>
        <w:rPr>
          <w:rFonts w:ascii="Arial" w:cs="Arial" w:eastAsia="Arial" w:hAnsi="Arial"/>
          <w:sz w:val="20"/>
          <w:szCs w:val="20"/>
          <w:color w:val="auto"/>
        </w:rPr>
      </w:pPr>
    </w:p>
    <w:p>
      <w:pPr>
        <w:jc w:val="both"/>
        <w:ind w:left="720" w:hanging="361"/>
        <w:spacing w:after="0" w:line="244" w:lineRule="auto"/>
        <w:tabs>
          <w:tab w:leader="none" w:pos="721"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Performing security monitoring, prevention, and risk mitigation activities to ensure the effectiveness of protection and detection systems. This includes maintaining up-to-date intrusion detection systems, antivirus protection, and properly configured firewall rules. Systems are monitored to identify, prevent, and contain cyber-attack attempts from all sources.</w:t>
      </w:r>
    </w:p>
    <w:p>
      <w:pPr>
        <w:spacing w:after="0" w:line="200" w:lineRule="exact"/>
        <w:rPr>
          <w:sz w:val="20"/>
          <w:szCs w:val="20"/>
          <w:color w:val="auto"/>
        </w:rPr>
      </w:pPr>
    </w:p>
    <w:p>
      <w:pPr>
        <w:spacing w:after="0" w:line="30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0D248E"/>
        </w:rPr>
        <w:t>Table of Contents</w:t>
      </w:r>
    </w:p>
    <w:p>
      <w:pPr>
        <w:spacing w:after="0" w:line="243" w:lineRule="exact"/>
        <w:rPr>
          <w:sz w:val="20"/>
          <w:szCs w:val="20"/>
          <w:color w:val="auto"/>
        </w:rPr>
      </w:pPr>
    </w:p>
    <w:p>
      <w:pPr>
        <w:jc w:val="both"/>
        <w:ind w:left="720" w:hanging="360"/>
        <w:spacing w:after="0" w:line="250"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Maintaining robust business continuity planning processes to swiftly recover, resume, and maintain operations post-cyber-attack incidents involving destructive malware. These processes encompass data and business operations recovery, network capability rebuilding, and data protection for offline backups in the event of cyber-attacks impacting the Company and/or its critical service providers.</w:t>
      </w:r>
    </w:p>
    <w:p>
      <w:pPr>
        <w:spacing w:after="0" w:line="1" w:lineRule="exact"/>
        <w:rPr>
          <w:rFonts w:ascii="Arial" w:cs="Arial" w:eastAsia="Arial" w:hAnsi="Arial"/>
          <w:sz w:val="20"/>
          <w:szCs w:val="20"/>
          <w:color w:val="auto"/>
        </w:rPr>
      </w:pPr>
    </w:p>
    <w:p>
      <w:pPr>
        <w:jc w:val="both"/>
        <w:ind w:left="720" w:hanging="360"/>
        <w:spacing w:after="0" w:line="244"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Conducting ongoing information security risk assessments to address new and evolving threats to online deposit and loan accounts. This involves identifying, prioritizing, and assessing risks to critical systems, including threats to applications controlling various system parameters and implementing necessary security prevention measures.</w:t>
      </w:r>
    </w:p>
    <w:p>
      <w:pPr>
        <w:spacing w:after="0" w:line="1" w:lineRule="exact"/>
        <w:rPr>
          <w:rFonts w:ascii="Arial" w:cs="Arial" w:eastAsia="Arial" w:hAnsi="Arial"/>
          <w:sz w:val="20"/>
          <w:szCs w:val="20"/>
          <w:color w:val="auto"/>
        </w:rPr>
      </w:pPr>
    </w:p>
    <w:p>
      <w:pPr>
        <w:jc w:val="both"/>
        <w:ind w:left="720" w:hanging="360"/>
        <w:spacing w:after="0" w:line="248"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Reviewing, updating, and testing incident response and business continuity plans annually to ensure effectiveness. Testing encompasses both in-house and third-party processor scenarios to validate employee understanding of responsibilities and adherence to Company protocols.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Executive Oversight and Roles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responsibility for adopting and maintaining an effective cybersecurity program is assigned to the RMCD, who collaborates with functional area management, departmental level managers, and other relevant staff. Management committees and the Audit and Risk Committee of the Board (“ARC”) review reports submitted by the RMCD detailing the Company’s inherent and residual cybersecurity risk, program sophistication level, and high-risk threats identified in the cybersecurity risk assessment.</w:t>
      </w:r>
    </w:p>
    <w:p>
      <w:pPr>
        <w:spacing w:after="0" w:line="18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ARC oversees the development and maintenance of the information security program, holding management accountable. Management committees ensure program integration and effectiveness, with the RMCD responsible for cybersecurity controls and procedures. The ARC receives regular reports on cybersecurity risk assessment and program updates, providing expectations and requirements to management and holding them accountable for oversight and coordination, assignment of responsibility, and the effectiveness of the information and cybersecurity security program.</w:t>
      </w:r>
    </w:p>
    <w:p>
      <w:pPr>
        <w:spacing w:after="0" w:line="18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Annually, or as required, the RMCD provides a comprehensive report to the Board regarding the status of the cybersecurity program. This report encompasses internal assessments, utilization of the Cybersecurity Assessment, discussion of significant program matters such as the annual risk assessment, risk management decisions, monitoring of service provider compliance, results of key controls testing, security breaches or violations, management's responses, and recommendations for program enhancements.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Engagement with Third Party Vendors</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engagement of critical third-party providers introduces a range of potential risks that can affect the Bank’s strategic direction, reputation, daily operations, transaction integrity, credit exposures, financial stability, technological environment, and compliance posture. Providers whose services include the transmission, storage, or processing of non-public personal information present heightened compliance risks, particularly with respect to the requirements of the GLB Act and other applicable Privacy Laws and Regulations.</w:t>
      </w:r>
    </w:p>
    <w:p>
      <w:pPr>
        <w:spacing w:after="0" w:line="17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Bank has established general guidelines to support the identification, risk assessment, monitoring, and management of risks related to the engagement of third- party providers or vendors. This framework ensures that risks are addressed proactively and in accordance with regulatory expectations.</w:t>
      </w:r>
    </w:p>
    <w:p>
      <w:pPr>
        <w:spacing w:after="0" w:line="172"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Risk assessment for critical providers may require the involvement of specialized personnel, including the compliance officer, technology officers, finance officers, internal auditors, and legal counsel. Their participation is essential for identifying potential risks arising from third-party relationships, defining performance criteria, establishing internal controls, specifying reporting requirements, and ensuring contractual obligations are in place for ongoing risk assessment and mitigation. This collaborative approach helps maintain the integrity and security of the Bank’s operations while meeting regulatory and legal standards.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Compliance with Regulatory Standards</w:t>
      </w:r>
    </w:p>
    <w:p>
      <w:pPr>
        <w:spacing w:after="0" w:line="23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As noted above, annual testing, or more frequently if deemed necessary, of cybersecurity controls and procedures will be conducted to ensure compliance. In instances of identified deficiencies or vulnerabilities, remedial action plans will be implemented to rectify issues or establish mitigating controls. Any exceptions deemed significant will be promptly reported, with remediation efforts prioritized.</w:t>
      </w:r>
    </w:p>
    <w:p>
      <w:pPr>
        <w:spacing w:after="0" w:line="176"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Annually, or as required, the RMCD will provide a comprehensive report to the ARC or a designated committee regarding the status of the cybersecurity program. This report will encompass internal assessments, utilization of the Cybersecurity Assessment, and discussion of other significant program matters.</w:t>
      </w:r>
    </w:p>
    <w:p>
      <w:pPr>
        <w:spacing w:after="0" w:line="200" w:lineRule="exact"/>
        <w:rPr>
          <w:sz w:val="20"/>
          <w:szCs w:val="20"/>
          <w:color w:val="auto"/>
        </w:rPr>
      </w:pPr>
    </w:p>
    <w:p>
      <w:pPr>
        <w:spacing w:after="0" w:line="298"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As of the end of the reporting period set forth in this Annual Report on Form 10-K, there is no knowledge or indication that customer sensitive information was compromised as a result of third-parties’ system vulnerabilities. Management continues to monitor developments and vendor communications.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Company’s corporate offices are headquartered at 2301 N.W. 87th Avenue, Doral, Florida 33172. The Company, through the Bank, operates 10 banking centers in South Florida within Miami-Dade and Broward counties. Of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7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See Note 4 “Leases” and Note 5 “Premises and Equipment” to the Consolidated Financial Statements included in Item 8 in this Annual Report on Form 10-K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7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There can be no assurance that any future legal proceedings to which we are a party will not be decided adversely to our interests and have a material adverse effect on our financial condition and operations.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31" w:lineRule="exact"/>
        <w:rPr>
          <w:sz w:val="20"/>
          <w:szCs w:val="20"/>
          <w:color w:val="auto"/>
        </w:rPr>
      </w:pPr>
    </w:p>
    <w:p>
      <w:pPr>
        <w:jc w:val="both"/>
        <w:ind w:left="720" w:hanging="719"/>
        <w:spacing w:after="0" w:line="29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Market Information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 July 2021, the Bank’s Class A common stock began trading on the Nasdaq Stock Market under ticker symbol “USCB”.</w:t>
      </w:r>
    </w:p>
    <w:p>
      <w:pPr>
        <w:spacing w:after="0" w:line="24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Effective December 30, 2021, the Company acquired all issued and outstanding shares of Class A common stock of the Bank in connection with the bank holding company reorganization. Each of the outstanding shares of the Bank’s common stock formerly held by its shareholders was converted into and exchanged for one newly issued share of the Company’s Class A common stock. The Company’s Class A common stock is also listed on the Nasdaq Stock Market and uses the same ticker symbol.</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listing of our Class A common stock on the Nasdaq Stock Market has resulted in a more active trading market for our Class A common stock. However, we cannot assure investors that a liquid trading market for our Class A common stock will be sustained.</w:t>
      </w:r>
    </w:p>
    <w:p>
      <w:pPr>
        <w:spacing w:after="0" w:line="17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Prior to our listing on the Nasdaq Stock Market there was not an established public trading market for the Class A common shares.</w:t>
      </w:r>
    </w:p>
    <w:p>
      <w:pPr>
        <w:spacing w:after="0" w:line="14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As of December 31, 2025, our Class B common stock is not listed or traded on any stock exchange and no shares were issued and outstanding at such date.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As of February 28, 2026, the Company’s Class A common shares were held by approximately 550 shareholders of record, not including the number of persons or entities whose stock is held in nominee or “street” name through various brokerage firms and banks.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35"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As a bank holding company, the Company’s ability to declare and pay dividends depends on various federal regulatory considerations, including the guidelines of the Federal Reserve regarding capital adequacy and dividends. The Company has agreed to provide notice to the Federal Reserve prior to paying any cash dividends on its Class A common stock.</w:t>
      </w:r>
    </w:p>
    <w:p>
      <w:pPr>
        <w:spacing w:after="0" w:line="15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 The Bank cannot declare and pay and cash dividends to the Company without receiving the prior approval of the FDIC.</w:t>
      </w:r>
    </w:p>
    <w:p>
      <w:pPr>
        <w:spacing w:after="0" w:line="18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 amount that would be needed for the Company to satisfy the preferential rights upon dissolution of shareholders whose preferential rights are superior to those receiving the dividend, if 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See Note 10 ”Equity Based and Other Compensation Plans” to the Consolidated Financial Statements included in this Annual Report Form on 10-K for additional information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sell any of its equity securities during 2025 that were not registered under the Securities Act.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Issuer and Other Affiliates</w:t>
      </w:r>
    </w:p>
    <w:p>
      <w:pPr>
        <w:spacing w:after="0" w:line="233"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On January 24, 2022, the Board of Directors approved the first share repurchase program of up to 750,000 shares of Class A common stock. On April 22, 2024 the Board of Directors approved the second share repurchase program of up to 500,000 shares of Class A common stock. Under the repurchase programs, the Company may purchase shares of Class A common stock on a discretionary basis from time to time through open market repurchases, privately negotiated transactions, or otherwise in compliance with Rule 10b- 18 under the Exchange Act. As of December 31, 2025, the Company had repurchased 9,671 shares of Class A common stock under the first program and no shares under the second repurchase program. The Company did not repurchase any of its equity securities for the quarter ended December 31, 2025. As of December 31, 2025, 528,309 shares remained authorized for repurchase under the Company’s two stock repurchase programs.</w:t>
      </w:r>
    </w:p>
    <w:p>
      <w:pPr>
        <w:spacing w:after="0" w:line="18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During the year ended December 31, 2025, the Company repurchased 2.0 million shares of Class A common stock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2025 and 2024. This discussion and analysis is best read in conjunction with the Consolidated Financial Statements and related footnotes of the Company presented in Item 8 “Financial Statements and Supplementary Data” of this Annual Report on Form 10- 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9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20"/>
          <w:szCs w:val="20"/>
          <w:i w:val="1"/>
          <w:iCs w:val="1"/>
          <w:color w:val="auto"/>
        </w:rPr>
        <w:t>In this Annual Report on Form 10-K, unless the context indicated otherwise, references to “we,” “us,”, and “our” refer to the Company and the Bank, as the contest dictates.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“seek,” “continue,” and “intend,” the negative of these terms,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potential future additional balance sheet restructuring.</w:t>
      </w:r>
    </w:p>
    <w:p>
      <w:pPr>
        <w:spacing w:after="0" w:line="18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51" w:lineRule="exact"/>
        <w:rPr>
          <w:sz w:val="20"/>
          <w:szCs w:val="20"/>
          <w:color w:val="auto"/>
        </w:rPr>
      </w:pPr>
    </w:p>
    <w:p>
      <w:pPr>
        <w:ind w:left="720" w:hanging="360"/>
        <w:spacing w:after="0" w:line="252"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strength of the United States economy in general and the strength of the local economies in which we conduct operations;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our ability to successfully manage interest rate risk, credit risk, liquidity risk, and other risks inherent to our industry;</w:t>
      </w:r>
    </w:p>
    <w:p>
      <w:pPr>
        <w:spacing w:after="0" w:line="11" w:lineRule="exact"/>
        <w:rPr>
          <w:rFonts w:ascii="Arial" w:cs="Arial" w:eastAsia="Arial" w:hAnsi="Arial"/>
          <w:sz w:val="19"/>
          <w:szCs w:val="19"/>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accuracy of our financial statement estimates and assumptions, including the estimates used for our credit loss reserve and deferred tax asset valuation allowance;</w:t>
      </w: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efficiency and effectiveness of our internal control procedures and processes;</w:t>
      </w:r>
    </w:p>
    <w:p>
      <w:pPr>
        <w:ind w:left="720" w:hanging="360"/>
        <w:spacing w:after="0" w:line="239"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comply with the extensive laws and regulations to which we are subject, including the laws for each jurisdiction where we operate;</w:t>
      </w: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adverse changes or conditions in the capital and financial markets, including actual or potential stresses in the banking industry;</w:t>
      </w: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deposit attrition and the level of our uninsured deposits;</w:t>
      </w:r>
    </w:p>
    <w:p>
      <w:pPr>
        <w:ind w:left="720" w:hanging="361"/>
        <w:spacing w:after="0" w:line="251"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legislative or regulatory changes and changes including the enactment of the One Big Beautiful Bill Act and changes in accounting principles, policies, practices or guidelines, including the on-going effects of the CECL standard;</w:t>
      </w:r>
    </w:p>
    <w:p>
      <w:pPr>
        <w:spacing w:after="0" w:line="1" w:lineRule="exact"/>
        <w:rPr>
          <w:rFonts w:ascii="Arial" w:cs="Arial" w:eastAsia="Arial" w:hAnsi="Arial"/>
          <w:sz w:val="19"/>
          <w:szCs w:val="19"/>
          <w:color w:val="auto"/>
        </w:rPr>
      </w:pPr>
    </w:p>
    <w:p>
      <w:pPr>
        <w:jc w:val="both"/>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20"/>
          <w:szCs w:val="20"/>
          <w:color w:val="auto"/>
        </w:rPr>
      </w:pP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effects of climate change;</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concentration of ownership of our common stock;</w:t>
      </w:r>
    </w:p>
    <w:p>
      <w:pPr>
        <w:ind w:left="720" w:hanging="361"/>
        <w:spacing w:after="0" w:line="238"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fluctuations in the price of our common stock;</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fund or access the capital markets at attractive rates and terms and manage our growth, both organic growth as well as growth through other means, such as future acquisitions;</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inflation, interest rate, unemployment rate, market, and monetary fluctuations;</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effects of potential new or increased tariffs, retaliatory tariffs and trade restrictions;</w:t>
      </w:r>
    </w:p>
    <w:p>
      <w:pPr>
        <w:ind w:left="720" w:hanging="361"/>
        <w:spacing w:after="0" w:line="238"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impacts of international hostilities and geopolitical events;</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increased competition and its effect on the pricing of our products and services as well as our net interest rate spread and net interest margin;</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loss of key employees;</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effectiveness of our risk management strategies, including operational risks, including, but not limited to, client, employee, or third-party fraud and security breaches; and</w:t>
      </w:r>
    </w:p>
    <w:p>
      <w:pPr>
        <w:ind w:left="720" w:hanging="361"/>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other risks described in this Annual Report on Form 10-K and other filings we make with the SEC.</w:t>
      </w:r>
    </w:p>
    <w:p>
      <w:pPr>
        <w:spacing w:after="0" w:line="20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the Company filed or will file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w:t>
      </w:r>
    </w:p>
    <w:p>
      <w:pPr>
        <w:spacing w:after="0" w:line="32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3" w:name="page54"/>
    <w:bookmarkEnd w:id="53"/>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For the year ended December 31, 2025, the Company reported net income of $26.1 million compared with net income of $24.7 million for the year ended December 31, 2024.</w:t>
      </w:r>
    </w:p>
    <w:p>
      <w:pPr>
        <w:spacing w:after="0" w:line="14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In evaluating our financial performance, we consider the level of and trends in net interest income, the net interest margin, the cost of deposits, growth and composition of our loan portfolio, levels and composition of non-interest income and non-interest expense, performance ratios, asset quality ratios, regulatory capital ratios, and any significant event or transaction.</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significant highlights are of note for the year ended December 31, 2025:</w:t>
      </w:r>
    </w:p>
    <w:p>
      <w:pPr>
        <w:spacing w:after="0" w:line="229" w:lineRule="exact"/>
        <w:rPr>
          <w:sz w:val="20"/>
          <w:szCs w:val="20"/>
          <w:color w:val="auto"/>
        </w:rPr>
      </w:pPr>
    </w:p>
    <w:p>
      <w:pPr>
        <w:ind w:left="720" w:hanging="361"/>
        <w:spacing w:after="0" w:line="282"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Net interest income before provision for credit losses totaled $83.6 million, an increase of $13.7 million or 19.6%, compared to $69.9 million for the year ended December 31, 2024.</w:t>
      </w:r>
    </w:p>
    <w:p>
      <w:pPr>
        <w:spacing w:after="0" w:line="150" w:lineRule="exact"/>
        <w:rPr>
          <w:rFonts w:ascii="Arial" w:cs="Arial" w:eastAsia="Arial" w:hAnsi="Arial"/>
          <w:sz w:val="20"/>
          <w:szCs w:val="20"/>
          <w:color w:val="auto"/>
        </w:rPr>
      </w:pPr>
    </w:p>
    <w:p>
      <w:pPr>
        <w:ind w:left="720" w:hanging="361"/>
        <w:spacing w:after="0" w:line="280"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Net interest margin (“NIM”) was 3.20% for the year ended December 31, 2025, an improvement from 2.94% for the year ended December 31, 2024.</w:t>
      </w:r>
    </w:p>
    <w:p>
      <w:pPr>
        <w:spacing w:after="0" w:line="152" w:lineRule="exact"/>
        <w:rPr>
          <w:rFonts w:ascii="Arial" w:cs="Arial" w:eastAsia="Arial" w:hAnsi="Arial"/>
          <w:sz w:val="20"/>
          <w:szCs w:val="20"/>
          <w:color w:val="auto"/>
        </w:rPr>
      </w:pPr>
    </w:p>
    <w:p>
      <w:pPr>
        <w:ind w:left="720" w:hanging="361"/>
        <w:spacing w:after="0" w:line="282"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Total assets grew to $2.8 billion at December 31, 2025, an increase of $210.3 million or 8.1%, compared to $2.6 billion at December 31, 2024.</w:t>
      </w:r>
    </w:p>
    <w:p>
      <w:pPr>
        <w:spacing w:after="0" w:line="150" w:lineRule="exact"/>
        <w:rPr>
          <w:rFonts w:ascii="Arial" w:cs="Arial" w:eastAsia="Arial" w:hAnsi="Arial"/>
          <w:sz w:val="20"/>
          <w:szCs w:val="20"/>
          <w:color w:val="auto"/>
        </w:rPr>
      </w:pPr>
    </w:p>
    <w:p>
      <w:pPr>
        <w:ind w:left="720" w:hanging="362"/>
        <w:spacing w:after="0" w:line="280"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Total loans held for investment grew to $2.2 billion at December 31, 2025, an increase of $216.4 million or 11.0%, compared to $2.0 billion at December 31, 2024.</w:t>
      </w:r>
    </w:p>
    <w:p>
      <w:pPr>
        <w:spacing w:after="0" w:line="152" w:lineRule="exact"/>
        <w:rPr>
          <w:rFonts w:ascii="Arial" w:cs="Arial" w:eastAsia="Arial" w:hAnsi="Arial"/>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Return on average assets for the year ended December 31, 2025 was 0.96% compared to 0.99% for 2024.</w:t>
      </w:r>
    </w:p>
    <w:p>
      <w:pPr>
        <w:spacing w:after="0" w:line="230" w:lineRule="exact"/>
        <w:rPr>
          <w:rFonts w:ascii="Arial" w:cs="Arial" w:eastAsia="Arial" w:hAnsi="Arial"/>
          <w:sz w:val="20"/>
          <w:szCs w:val="20"/>
          <w:color w:val="auto"/>
        </w:rPr>
      </w:pPr>
    </w:p>
    <w:p>
      <w:pPr>
        <w:ind w:left="720" w:hanging="362"/>
        <w:spacing w:after="0" w:line="282"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Return on average stockholders’ equity for the year ended December 31, 2025 was 11.79% compared to 12.11% for 2024.</w:t>
      </w:r>
    </w:p>
    <w:p>
      <w:pPr>
        <w:spacing w:after="0" w:line="148" w:lineRule="exact"/>
        <w:rPr>
          <w:rFonts w:ascii="Arial" w:cs="Arial" w:eastAsia="Arial" w:hAnsi="Arial"/>
          <w:sz w:val="20"/>
          <w:szCs w:val="20"/>
          <w:color w:val="auto"/>
        </w:rPr>
      </w:pPr>
    </w:p>
    <w:p>
      <w:pPr>
        <w:ind w:left="720" w:hanging="362"/>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Nonperforming assets totaled $3.1 million at December 31, 2025 compared to $2.7 million at December 31, 2024.</w:t>
      </w:r>
    </w:p>
    <w:p>
      <w:pPr>
        <w:spacing w:after="0" w:line="230" w:lineRule="exact"/>
        <w:rPr>
          <w:rFonts w:ascii="Arial" w:cs="Arial" w:eastAsia="Arial" w:hAnsi="Arial"/>
          <w:sz w:val="20"/>
          <w:szCs w:val="20"/>
          <w:color w:val="auto"/>
        </w:rPr>
      </w:pPr>
    </w:p>
    <w:p>
      <w:pPr>
        <w:jc w:val="both"/>
        <w:ind w:left="720" w:hanging="363"/>
        <w:spacing w:after="0" w:line="248" w:lineRule="auto"/>
        <w:tabs>
          <w:tab w:leader="none" w:pos="721"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Bank maintained its strong capital position. As of December 31, 2025, the Bank was well-capitalized for regulatory capital purposes, with a total risk-based capital ratio of 13.67%, a tier 1 risk-based capital ratio of 12.47%, a common equity tier 1 capital ratio of 12.47%, and a leverage ratio of 9.65%. As of December 31, 2025 and December 31, 2024, all of the Bank’s regulatory capital ratios exceeded the thresholds to be well-capitalized under the applicable bank regulatory requirements. The Company, as a small bank holding company, is not subject to regulatory capital requirements.</w:t>
      </w:r>
    </w:p>
    <w:p>
      <w:pPr>
        <w:spacing w:after="0" w:line="185" w:lineRule="exact"/>
        <w:rPr>
          <w:rFonts w:ascii="Arial" w:cs="Arial" w:eastAsia="Arial" w:hAnsi="Arial"/>
          <w:sz w:val="20"/>
          <w:szCs w:val="20"/>
          <w:color w:val="auto"/>
        </w:rPr>
      </w:pPr>
    </w:p>
    <w:p>
      <w:pPr>
        <w:jc w:val="both"/>
        <w:ind w:left="720" w:hanging="364"/>
        <w:spacing w:after="0" w:line="244"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August 15, 2035 in a private placement transaction. This transaction was conducted under the provisions of Regulation D promulgated under the Securities Act 1933. The subordinated notes were issued by the Company to the purchasers at a price equal to 100% of their face amount. The majority of the net proceeds were used to repurchase 2.0 million shares of Class A common stock in September 2025,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w:t>
      </w:r>
    </w:p>
    <w:p>
      <w:pPr>
        <w:spacing w:after="0" w:line="192" w:lineRule="exact"/>
        <w:rPr>
          <w:rFonts w:ascii="Arial" w:cs="Arial" w:eastAsia="Arial" w:hAnsi="Arial"/>
          <w:sz w:val="20"/>
          <w:szCs w:val="20"/>
          <w:color w:val="auto"/>
        </w:rPr>
      </w:pPr>
    </w:p>
    <w:p>
      <w:pPr>
        <w:jc w:val="both"/>
        <w:ind w:left="720" w:hanging="364"/>
        <w:spacing w:after="0" w:line="260"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During the fourth quarter of 2025 the Company executed a portfolio restructuring strategy which resulted in a sale of $44.6 million of its lower-yielding available-for sale securities for a pre-tax loss of $7.5 million. The majority of proceeds from the sale were reinvested into loans at quarter-end.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Allowance for Credit Losses - Loans</w:t>
      </w:r>
    </w:p>
    <w:p>
      <w:pPr>
        <w:spacing w:after="0" w:line="22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or decrease the allowance. Management considers the policies related to the ACL as the most critical to the Company’s financial statement presentation.</w:t>
      </w:r>
    </w:p>
    <w:p>
      <w:pPr>
        <w:spacing w:after="0" w:line="18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ACL is calculated using CECL methodology. The CECL methodology measures expected credit losses and applies to financial assets measured at amortized cost, including loan receivables and held-to-maturity debt securities. It also applies to off-balance sheet credit exposures not accounted for as insurance (e.g., loan commitments, standby letters of credit, financial guarantees, and similar instruments), as well as net investments in leases recognized by lessors in accordance with Topic 842 on leases.The Company estimates the allowance for credit losses by utilizing pertinent available data, sourced both internally and externally, relating to past events, current conditions, and reasonable and supportable forecasts. Historical credit losses provide the foundation for the estimation of expected credit losses. Qualitative adjustments are applied to the estimated expected credit losses for the loan portfolio to account for potential constraints of the quantitative model. Management employs a scorecard to facilitate the evaluation of qualitative factor adjustments made to expected credit losses.</w:t>
      </w:r>
    </w:p>
    <w:p>
      <w:pPr>
        <w:spacing w:after="0" w:line="192"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estimation's quantitative aspect relies on the statistical correlation between the anticipated value of an economic indicator and the historical loss experience implied within a selected group of peers. The Company conducted regression analyses using peer data, inclusive of the Company itself, where observed credit losses and chosen economic indicators were utilized to identify appropriate drivers for modeling the lifetime probability of default (“PD”) rates. A loss given default rate (“LGD”) is assigned to each pool of loans for each period based on these PD outcomes. The model primarily employs an expected discounted cash flow (“DCF”) analysis for segments within the loan portfolio. This DCF analysis operates at the individual instrument level and incorporates various loan-specific data points and segment-specific assumptions to ascertain the lifetime expected loss associated with each instrument. An implicit "hypothetical loss" is determined for each period of the DCF, aiding in establishing the present value of future cash flows for each period. The reserve allocated to a particular loan represents the disparity between the sum of the present value of future cash flows and the book balance of the loan at the measurement date.</w:t>
      </w:r>
    </w:p>
    <w:p>
      <w:pPr>
        <w:spacing w:after="0" w:line="18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Management uses the Remaining Life (“WARM”) methodology for five segments within the loan portfolio. For each segment, a long-term average loss rate is computed and applied quarterly throughout the remaining life of the pool. Qualitative assessments are conducted to adjust for economic expectations. To estimate the remaining life, management employed a software solution utilizing an attrition-based calculation. This software conducts quarterly cohort-based attrition measurements based on the loan portfolio.</w:t>
      </w:r>
    </w:p>
    <w:p>
      <w:pPr>
        <w:spacing w:after="0" w:line="18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Portfolio segments represent the level at which loss assumptions are applied to a pool of loans, determined by the similarity of risk characteristics inherent in the included instruments, based on collateral codes and FFIEC Call Report codes. Currently, the Company segments the portfolio based on collateral codes to establish reserves. Each segment is linked to regression models (Loss Driver Analyses) using peer data for loans with similar risk characteristics. The Company has established connections between internal portfolio segmentation and FFIEC Call Report codes for this purpose. The loss driver for each loan portfolio segment is derived from a readily available and reasonable economic forecast, including Federal Reserve Bank projections of the U.S. civilian unemployment rate and year-over-year real GDP growth. For the residential loan segment, House Price Index (“HPI”) projections published by Fannie Mae’s Economic and Strategic Research Group are utilized for the forecast. Forecasts are applied for the first four quarters of the credit loss estimate and then linearly revert to the historical mean of the economic indicator over the expected life of the loans.</w:t>
      </w:r>
    </w:p>
    <w:p>
      <w:pPr>
        <w:spacing w:after="0" w:line="200" w:lineRule="exact"/>
        <w:rPr>
          <w:sz w:val="20"/>
          <w:szCs w:val="20"/>
          <w:color w:val="auto"/>
        </w:rPr>
      </w:pPr>
    </w:p>
    <w:p>
      <w:pPr>
        <w:spacing w:after="0" w:line="36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5" w:name="page56"/>
    <w:bookmarkEnd w:id="55"/>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9"/>
          <w:szCs w:val="19"/>
          <w:color w:val="auto"/>
        </w:rPr>
        <w:t>The model integrates qualitative factor adjustments to fine-tune risk calibration for each portfolio segment, addressing aspects that quantitative analysis may not fully capture. Decisions concerning qualitative adjustments reflect management's anticipation of loss conditions deviating from those already accounted for in the quantitative aspect of the model.</w:t>
      </w:r>
    </w:p>
    <w:p>
      <w:pPr>
        <w:spacing w:after="0" w:line="154"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December 31, 2025, for every 100 basis points increase in the HPI index, the forecast reduces reserves by approximately $398 thousand and about 2 basis points to the reserve coverage ratio, everything else being constant. This sensitivity analysis provides a hypothetical result to assess the sensitivity of the ACL and does not represent a change in management’s judgement.</w:t>
      </w:r>
    </w:p>
    <w:p>
      <w:pPr>
        <w:spacing w:after="0" w:line="18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As of December 31, 2025,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resulted in a $ 10.3 million or 39.6% increase in the ACL. This sensitivity analysis provides a hypothetical result to assess the sensitivity of the ACL and does not represent a change in management’s judgement.</w:t>
      </w:r>
    </w:p>
    <w:p>
      <w:pPr>
        <w:spacing w:after="0" w:line="17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calculates a reserve for unfunded commitments, distinct from the allowance for credit losses reported in accrued interest and other liabilities. This reserve is determined using both quantitative and qualitative factors identical to those applied to the collectively evaluated loan portfolio.</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w:t>
      </w:r>
    </w:p>
    <w:p>
      <w:pPr>
        <w:spacing w:after="0" w:line="22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tables present selected balance sheet, income statement, and profitability ratios for the dates and for the periods indicated (in thousands, except ratios):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As of December 31,</w:t>
            </w:r>
          </w:p>
        </w:tc>
      </w:tr>
      <w:tr>
        <w:trPr>
          <w:trHeight w:val="232"/>
        </w:trPr>
        <w:tc>
          <w:tcPr>
            <w:tcW w:w="710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D1EDF5"/>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30"/>
        </w:trPr>
        <w:tc>
          <w:tcPr>
            <w:tcW w:w="710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shd w:val="clear" w:color="auto" w:fill="D1EDF5"/>
          </w:tcPr>
          <w:p>
            <w:pPr>
              <w:spacing w:after="0"/>
              <w:rPr>
                <w:sz w:val="19"/>
                <w:szCs w:val="19"/>
                <w:color w:val="auto"/>
              </w:rPr>
            </w:pPr>
          </w:p>
        </w:tc>
        <w:tc>
          <w:tcPr>
            <w:tcW w:w="164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400" w:type="dxa"/>
            <w:vAlign w:val="bottom"/>
            <w:shd w:val="clear" w:color="auto" w:fill="D1EDF5"/>
          </w:tcPr>
          <w:p>
            <w:pPr>
              <w:spacing w:after="0"/>
              <w:rPr>
                <w:sz w:val="19"/>
                <w:szCs w:val="19"/>
                <w:color w:val="auto"/>
              </w:rPr>
            </w:pPr>
          </w:p>
        </w:tc>
        <w:tc>
          <w:tcPr>
            <w:tcW w:w="1420" w:type="dxa"/>
            <w:vAlign w:val="bottom"/>
            <w:shd w:val="clear" w:color="auto" w:fill="D1EDF5"/>
          </w:tcPr>
          <w:p>
            <w:pPr>
              <w:spacing w:after="0"/>
              <w:rPr>
                <w:sz w:val="19"/>
                <w:szCs w:val="19"/>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2,791,540</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2,581,216</w:t>
            </w:r>
          </w:p>
        </w:tc>
      </w:tr>
      <w:tr>
        <w:trPr>
          <w:trHeight w:val="240"/>
        </w:trPr>
        <w:tc>
          <w:tcPr>
            <w:tcW w:w="7100" w:type="dxa"/>
            <w:vAlign w:val="bottom"/>
            <w:shd w:val="clear" w:color="auto" w:fill="D1EDF5"/>
          </w:tcPr>
          <w:p>
            <w:pPr>
              <w:ind w:left="140"/>
              <w:spacing w:after="0" w:line="224" w:lineRule="exact"/>
              <w:rPr>
                <w:sz w:val="20"/>
                <w:szCs w:val="20"/>
                <w:color w:val="auto"/>
              </w:rPr>
            </w:pPr>
            <w:r>
              <w:rPr>
                <w:rFonts w:ascii="Arial" w:cs="Arial" w:eastAsia="Arial" w:hAnsi="Arial"/>
                <w:sz w:val="18"/>
                <w:szCs w:val="18"/>
                <w:color w:val="auto"/>
              </w:rPr>
              <w:t>Total loans held for investment</w:t>
            </w:r>
            <w:r>
              <w:rPr>
                <w:rFonts w:ascii="Arial" w:cs="Arial" w:eastAsia="Arial" w:hAnsi="Arial"/>
                <w:sz w:val="24"/>
                <w:szCs w:val="24"/>
                <w:color w:val="auto"/>
                <w:vertAlign w:val="superscript"/>
              </w:rPr>
              <w:t>(1)</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2,189,257</w:t>
            </w:r>
          </w:p>
        </w:tc>
        <w:tc>
          <w:tcPr>
            <w:tcW w:w="60" w:type="dxa"/>
            <w:vAlign w:val="bottom"/>
            <w:shd w:val="clear" w:color="auto" w:fill="D1EDF5"/>
          </w:tcPr>
          <w:p>
            <w:pPr>
              <w:spacing w:after="0"/>
              <w:rPr>
                <w:sz w:val="20"/>
                <w:szCs w:val="20"/>
                <w:color w:val="auto"/>
              </w:rPr>
            </w:pPr>
          </w:p>
        </w:tc>
        <w:tc>
          <w:tcPr>
            <w:tcW w:w="400" w:type="dxa"/>
            <w:vAlign w:val="bottom"/>
            <w:shd w:val="clear" w:color="auto" w:fill="D1ED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1,972,848</w:t>
            </w: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2,345,080</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2,174,004</w:t>
            </w:r>
          </w:p>
        </w:tc>
      </w:tr>
      <w:tr>
        <w:trPr>
          <w:trHeight w:val="240"/>
        </w:trPr>
        <w:tc>
          <w:tcPr>
            <w:tcW w:w="71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217,183</w:t>
            </w:r>
          </w:p>
        </w:tc>
        <w:tc>
          <w:tcPr>
            <w:tcW w:w="60" w:type="dxa"/>
            <w:vAlign w:val="bottom"/>
            <w:shd w:val="clear" w:color="auto" w:fill="D1EDF5"/>
          </w:tcPr>
          <w:p>
            <w:pPr>
              <w:spacing w:after="0"/>
              <w:rPr>
                <w:sz w:val="20"/>
                <w:szCs w:val="20"/>
                <w:color w:val="auto"/>
              </w:rPr>
            </w:pPr>
          </w:p>
        </w:tc>
        <w:tc>
          <w:tcPr>
            <w:tcW w:w="400" w:type="dxa"/>
            <w:vAlign w:val="bottom"/>
            <w:shd w:val="clear" w:color="auto" w:fill="D1EDF5"/>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215,388</w:t>
            </w:r>
          </w:p>
        </w:tc>
      </w:tr>
      <w:tr>
        <w:trPr>
          <w:trHeight w:val="206"/>
        </w:trPr>
        <w:tc>
          <w:tcPr>
            <w:tcW w:w="7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7"/>
        </w:trPr>
        <w:tc>
          <w:tcPr>
            <w:tcW w:w="7100" w:type="dxa"/>
            <w:vAlign w:val="bottom"/>
          </w:tcPr>
          <w:p>
            <w:pPr>
              <w:spacing w:after="0"/>
              <w:rPr>
                <w:sz w:val="20"/>
                <w:szCs w:val="20"/>
                <w:color w:val="auto"/>
              </w:rPr>
            </w:pPr>
            <w:r>
              <w:rPr>
                <w:rFonts w:ascii="Arial" w:cs="Arial" w:eastAsia="Arial" w:hAnsi="Arial"/>
                <w:sz w:val="16"/>
                <w:szCs w:val="16"/>
                <w:color w:val="auto"/>
              </w:rPr>
              <w:t>(1) Loan amounts include deferred fees/costs.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99"/>
              </w:rPr>
              <w:t>Years Ended December 31,</w:t>
            </w:r>
          </w:p>
        </w:tc>
        <w:tc>
          <w:tcPr>
            <w:tcW w:w="680" w:type="dxa"/>
            <w:vAlign w:val="bottom"/>
            <w:tcBorders>
              <w:bottom w:val="single" w:sz="8" w:color="auto"/>
            </w:tcBorders>
          </w:tcPr>
          <w:p>
            <w:pPr>
              <w:spacing w:after="0"/>
              <w:rPr>
                <w:sz w:val="19"/>
                <w:szCs w:val="19"/>
                <w:color w:val="auto"/>
              </w:rPr>
            </w:pPr>
          </w:p>
        </w:tc>
      </w:tr>
      <w:tr>
        <w:trPr>
          <w:trHeight w:val="230"/>
        </w:trPr>
        <w:tc>
          <w:tcPr>
            <w:tcW w:w="710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b w:val="1"/>
                <w:bCs w:val="1"/>
                <w:color w:val="auto"/>
                <w:w w:val="99"/>
              </w:rPr>
              <w:t>2025</w:t>
            </w:r>
          </w:p>
        </w:tc>
        <w:tc>
          <w:tcPr>
            <w:tcW w:w="7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2024</w:t>
            </w:r>
          </w:p>
        </w:tc>
        <w:tc>
          <w:tcPr>
            <w:tcW w:w="680" w:type="dxa"/>
            <w:vAlign w:val="bottom"/>
          </w:tcPr>
          <w:p>
            <w:pPr>
              <w:spacing w:after="0"/>
              <w:rPr>
                <w:sz w:val="19"/>
                <w:szCs w:val="19"/>
                <w:color w:val="auto"/>
              </w:rPr>
            </w:pPr>
          </w:p>
        </w:tc>
      </w:tr>
      <w:tr>
        <w:trPr>
          <w:trHeight w:val="230"/>
        </w:trPr>
        <w:tc>
          <w:tcPr>
            <w:tcW w:w="710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Borders>
              <w:top w:val="single" w:sz="8" w:color="auto"/>
            </w:tcBorders>
            <w:shd w:val="clear" w:color="auto" w:fill="D1EDF5"/>
          </w:tcPr>
          <w:p>
            <w:pPr>
              <w:spacing w:after="0"/>
              <w:rPr>
                <w:sz w:val="19"/>
                <w:szCs w:val="19"/>
                <w:color w:val="auto"/>
              </w:rPr>
            </w:pPr>
          </w:p>
        </w:tc>
        <w:tc>
          <w:tcPr>
            <w:tcW w:w="940" w:type="dxa"/>
            <w:vAlign w:val="bottom"/>
            <w:tcBorders>
              <w:top w:val="single" w:sz="8" w:color="auto"/>
            </w:tcBorders>
            <w:shd w:val="clear" w:color="auto" w:fill="D1EDF5"/>
          </w:tcPr>
          <w:p>
            <w:pPr>
              <w:spacing w:after="0"/>
              <w:rPr>
                <w:sz w:val="19"/>
                <w:szCs w:val="19"/>
                <w:color w:val="auto"/>
              </w:rPr>
            </w:pPr>
          </w:p>
        </w:tc>
        <w:tc>
          <w:tcPr>
            <w:tcW w:w="70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1140" w:type="dxa"/>
            <w:vAlign w:val="bottom"/>
            <w:tcBorders>
              <w:top w:val="single" w:sz="8" w:color="auto"/>
            </w:tcBorders>
            <w:shd w:val="clear" w:color="auto" w:fill="D1EDF5"/>
          </w:tcPr>
          <w:p>
            <w:pPr>
              <w:spacing w:after="0"/>
              <w:rPr>
                <w:sz w:val="19"/>
                <w:szCs w:val="19"/>
                <w:color w:val="auto"/>
              </w:rPr>
            </w:pPr>
          </w:p>
        </w:tc>
        <w:tc>
          <w:tcPr>
            <w:tcW w:w="680" w:type="dxa"/>
            <w:vAlign w:val="bottom"/>
            <w:tcBorders>
              <w:top w:val="single" w:sz="8" w:color="auto"/>
            </w:tcBorders>
            <w:shd w:val="clear" w:color="auto" w:fill="D1EDF5"/>
          </w:tcPr>
          <w:p>
            <w:pPr>
              <w:spacing w:after="0"/>
              <w:rPr>
                <w:sz w:val="19"/>
                <w:szCs w:val="19"/>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Net interest income before provision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83,630</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69,936</w:t>
            </w:r>
          </w:p>
        </w:tc>
      </w:tr>
      <w:tr>
        <w:trPr>
          <w:trHeight w:val="240"/>
        </w:trPr>
        <w:tc>
          <w:tcPr>
            <w:tcW w:w="71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EDF5"/>
          </w:tcPr>
          <w:p>
            <w:pPr>
              <w:spacing w:after="0"/>
              <w:rPr>
                <w:sz w:val="20"/>
                <w:szCs w:val="20"/>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2,297</w:t>
            </w:r>
          </w:p>
        </w:tc>
        <w:tc>
          <w:tcPr>
            <w:tcW w:w="60" w:type="dxa"/>
            <w:vAlign w:val="bottom"/>
            <w:shd w:val="clear" w:color="auto" w:fill="D1EDF5"/>
          </w:tcPr>
          <w:p>
            <w:pPr>
              <w:spacing w:after="0"/>
              <w:rPr>
                <w:sz w:val="20"/>
                <w:szCs w:val="20"/>
                <w:color w:val="auto"/>
              </w:rPr>
            </w:pPr>
          </w:p>
        </w:tc>
        <w:tc>
          <w:tcPr>
            <w:tcW w:w="1140" w:type="dxa"/>
            <w:vAlign w:val="bottom"/>
            <w:shd w:val="clear" w:color="auto" w:fill="D1EDF5"/>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3,157</w:t>
            </w: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6,592</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12,740</w:t>
            </w:r>
          </w:p>
        </w:tc>
      </w:tr>
      <w:tr>
        <w:trPr>
          <w:trHeight w:val="240"/>
        </w:trPr>
        <w:tc>
          <w:tcPr>
            <w:tcW w:w="71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Total non-interest expense</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EDF5"/>
          </w:tcPr>
          <w:p>
            <w:pPr>
              <w:spacing w:after="0"/>
              <w:rPr>
                <w:sz w:val="20"/>
                <w:szCs w:val="20"/>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52,009</w:t>
            </w:r>
          </w:p>
        </w:tc>
        <w:tc>
          <w:tcPr>
            <w:tcW w:w="60" w:type="dxa"/>
            <w:vAlign w:val="bottom"/>
            <w:shd w:val="clear" w:color="auto" w:fill="D1EDF5"/>
          </w:tcPr>
          <w:p>
            <w:pPr>
              <w:spacing w:after="0"/>
              <w:rPr>
                <w:sz w:val="20"/>
                <w:szCs w:val="20"/>
                <w:color w:val="auto"/>
              </w:rPr>
            </w:pPr>
          </w:p>
        </w:tc>
        <w:tc>
          <w:tcPr>
            <w:tcW w:w="1140" w:type="dxa"/>
            <w:vAlign w:val="bottom"/>
            <w:shd w:val="clear" w:color="auto" w:fill="D1EDF5"/>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47,042</w:t>
            </w:r>
          </w:p>
        </w:tc>
      </w:tr>
      <w:tr>
        <w:trPr>
          <w:trHeight w:val="240"/>
        </w:trPr>
        <w:tc>
          <w:tcPr>
            <w:tcW w:w="7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26,100</w:t>
            </w:r>
          </w:p>
        </w:tc>
        <w:tc>
          <w:tcPr>
            <w:tcW w:w="12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24,674</w:t>
            </w:r>
          </w:p>
        </w:tc>
      </w:tr>
      <w:tr>
        <w:trPr>
          <w:trHeight w:val="240"/>
        </w:trPr>
        <w:tc>
          <w:tcPr>
            <w:tcW w:w="71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Net income available to common stockholders</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1EDF5"/>
          </w:tcPr>
          <w:p>
            <w:pPr>
              <w:spacing w:after="0"/>
              <w:rPr>
                <w:sz w:val="20"/>
                <w:szCs w:val="20"/>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26,100</w:t>
            </w:r>
          </w:p>
        </w:tc>
        <w:tc>
          <w:tcPr>
            <w:tcW w:w="60" w:type="dxa"/>
            <w:vAlign w:val="bottom"/>
            <w:shd w:val="clear" w:color="auto" w:fill="D1EDF5"/>
          </w:tcPr>
          <w:p>
            <w:pPr>
              <w:spacing w:after="0"/>
              <w:rPr>
                <w:sz w:val="20"/>
                <w:szCs w:val="20"/>
                <w:color w:val="auto"/>
              </w:rPr>
            </w:pPr>
          </w:p>
        </w:tc>
        <w:tc>
          <w:tcPr>
            <w:tcW w:w="1140" w:type="dxa"/>
            <w:vAlign w:val="bottom"/>
            <w:shd w:val="clear" w:color="auto" w:fill="D1EDF5"/>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24,674</w:t>
            </w:r>
          </w:p>
        </w:tc>
      </w:tr>
      <w:tr>
        <w:trPr>
          <w:trHeight w:val="240"/>
        </w:trPr>
        <w:tc>
          <w:tcPr>
            <w:tcW w:w="710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0"/>
        </w:trPr>
        <w:tc>
          <w:tcPr>
            <w:tcW w:w="71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Efficiency ratio</w:t>
            </w:r>
          </w:p>
        </w:tc>
        <w:tc>
          <w:tcPr>
            <w:tcW w:w="18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57.65%</w:t>
            </w:r>
          </w:p>
        </w:tc>
        <w:tc>
          <w:tcPr>
            <w:tcW w:w="60" w:type="dxa"/>
            <w:vAlign w:val="bottom"/>
            <w:shd w:val="clear" w:color="auto" w:fill="D1EDF5"/>
          </w:tcPr>
          <w:p>
            <w:pPr>
              <w:spacing w:after="0"/>
              <w:rPr>
                <w:sz w:val="20"/>
                <w:szCs w:val="20"/>
                <w:color w:val="auto"/>
              </w:rPr>
            </w:pPr>
          </w:p>
        </w:tc>
        <w:tc>
          <w:tcPr>
            <w:tcW w:w="1140" w:type="dxa"/>
            <w:vAlign w:val="bottom"/>
            <w:shd w:val="clear" w:color="auto" w:fill="D1EDF5"/>
          </w:tcPr>
          <w:p>
            <w:pPr>
              <w:spacing w:after="0"/>
              <w:rPr>
                <w:sz w:val="20"/>
                <w:szCs w:val="20"/>
                <w:color w:val="auto"/>
              </w:rPr>
            </w:pPr>
          </w:p>
        </w:tc>
        <w:tc>
          <w:tcPr>
            <w:tcW w:w="6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98"/>
              </w:rPr>
              <w:t>56.90%</w:t>
            </w:r>
          </w:p>
        </w:tc>
      </w:tr>
      <w:tr>
        <w:trPr>
          <w:trHeight w:val="260"/>
        </w:trPr>
        <w:tc>
          <w:tcPr>
            <w:tcW w:w="7100" w:type="dxa"/>
            <w:vAlign w:val="bottom"/>
          </w:tcPr>
          <w:p>
            <w:pPr>
              <w:ind w:left="14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w:t>
            </w:r>
          </w:p>
        </w:tc>
      </w:tr>
    </w:tbl>
    <w:p>
      <w:pPr>
        <w:spacing w:after="0" w:line="19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Company’s results of operations depend substantially on net interest income and non-interest income. Other factors contributing to the results of operations include our provision for credit losses, non-interest expense, and the provision for income taxes.</w:t>
      </w:r>
    </w:p>
    <w:p>
      <w:pPr>
        <w:spacing w:after="0" w:line="16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Net income for the year ended December 31, 2025 was $26.1 million, compared with net income of $24.7 million for the same period in 2024. The Company reported net income per diluted share for the year ended December 31, 2025 of $1.33 compared to net income per diluted share for the same period in 2024 of $1.24.</w:t>
      </w:r>
    </w:p>
    <w:p>
      <w:pPr>
        <w:spacing w:after="0" w:line="200" w:lineRule="exact"/>
        <w:rPr>
          <w:sz w:val="20"/>
          <w:szCs w:val="20"/>
          <w:color w:val="auto"/>
        </w:rPr>
      </w:pPr>
    </w:p>
    <w:p>
      <w:pPr>
        <w:spacing w:after="0" w:line="34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6" w:name="page57"/>
    <w:bookmarkEnd w:id="56"/>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Interest Income</w:t>
      </w:r>
    </w:p>
    <w:p>
      <w:pPr>
        <w:spacing w:after="0" w:line="227" w:lineRule="exact"/>
        <w:rPr>
          <w:sz w:val="20"/>
          <w:szCs w:val="20"/>
          <w:color w:val="auto"/>
        </w:rPr>
      </w:pPr>
    </w:p>
    <w:p>
      <w:pPr>
        <w:jc w:val="both"/>
        <w:ind w:firstLine="361"/>
        <w:spacing w:after="0" w:line="250" w:lineRule="auto"/>
        <w:rPr>
          <w:sz w:val="20"/>
          <w:szCs w:val="20"/>
          <w:color w:val="auto"/>
        </w:rPr>
      </w:pPr>
      <w:r>
        <w:rPr>
          <w:rFonts w:ascii="Arial" w:cs="Arial" w:eastAsia="Arial" w:hAnsi="Arial"/>
          <w:sz w:val="20"/>
          <w:szCs w:val="20"/>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8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To evaluate net interest income, we measure and monitor (i) yields on loans and other interest -earning assets, (ii) the costs of deposits and other funding sources, (iii) net interest spread, and (iv) net interest margin. Net interest spread is equal to the difference between the weighted average yields earned on interest-earning assets and the weighted average rates paid on interest- bearing liabilities. Net interest margin is equal to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The Asset-Liability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57" w:name="page58"/>
    <w:bookmarkEnd w:id="57"/>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right="40" w:firstLine="360"/>
        <w:spacing w:after="0" w:line="282" w:lineRule="auto"/>
        <w:rPr>
          <w:sz w:val="20"/>
          <w:szCs w:val="20"/>
          <w:color w:val="auto"/>
        </w:rPr>
      </w:pPr>
      <w:r>
        <w:rPr>
          <w:rFonts w:ascii="Arial" w:cs="Arial" w:eastAsia="Arial" w:hAnsi="Arial"/>
          <w:sz w:val="20"/>
          <w:szCs w:val="20"/>
          <w:color w:val="auto"/>
        </w:rPr>
        <w:t>The following table contains information related to average balances, average yields on assets, and average costs of liabilities for the periods indicated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8"/>
                <w:szCs w:val="18"/>
                <w:b w:val="1"/>
                <w:bCs w:val="1"/>
                <w:color w:val="auto"/>
              </w:rPr>
              <w:t>Years Ended December 31,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right"/>
              <w:ind w:right="260"/>
              <w:spacing w:after="0" w:line="176" w:lineRule="exact"/>
              <w:rPr>
                <w:sz w:val="20"/>
                <w:szCs w:val="20"/>
                <w:color w:val="auto"/>
              </w:rPr>
            </w:pPr>
            <w:r>
              <w:rPr>
                <w:rFonts w:ascii="Arial" w:cs="Arial" w:eastAsia="Arial" w:hAnsi="Arial"/>
                <w:sz w:val="18"/>
                <w:szCs w:val="18"/>
                <w:b w:val="1"/>
                <w:bCs w:val="1"/>
                <w:color w:val="auto"/>
              </w:rPr>
              <w:t>Average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30"/>
              <w:spacing w:after="0" w:line="229" w:lineRule="exact"/>
              <w:rPr>
                <w:sz w:val="20"/>
                <w:szCs w:val="20"/>
                <w:color w:val="auto"/>
              </w:rPr>
            </w:pPr>
            <w:r>
              <w:rPr>
                <w:rFonts w:ascii="Arial" w:cs="Arial" w:eastAsia="Arial" w:hAnsi="Arial"/>
                <w:sz w:val="18"/>
                <w:szCs w:val="18"/>
                <w:b w:val="1"/>
                <w:bCs w:val="1"/>
                <w:color w:val="auto"/>
                <w:w w:val="96"/>
              </w:rPr>
              <w:t xml:space="preserve">Balance </w:t>
            </w:r>
            <w:r>
              <w:rPr>
                <w:rFonts w:ascii="Arial" w:cs="Arial" w:eastAsia="Arial" w:hAnsi="Arial"/>
                <w:sz w:val="24"/>
                <w:szCs w:val="24"/>
                <w:b w:val="1"/>
                <w:bCs w:val="1"/>
                <w:color w:val="auto"/>
                <w:w w:val="96"/>
                <w:vertAlign w:val="superscript"/>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40" w:type="dxa"/>
            <w:vAlign w:val="bottom"/>
          </w:tcPr>
          <w:p>
            <w:pPr>
              <w:spacing w:after="0"/>
              <w:rPr>
                <w:sz w:val="19"/>
                <w:szCs w:val="19"/>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Yield/Rate</w:t>
            </w:r>
          </w:p>
        </w:tc>
        <w:tc>
          <w:tcPr>
            <w:tcW w:w="1080" w:type="dxa"/>
            <w:vAlign w:val="bottom"/>
            <w:gridSpan w:val="3"/>
          </w:tcPr>
          <w:p>
            <w:pPr>
              <w:jc w:val="right"/>
              <w:ind w:right="180"/>
              <w:spacing w:after="0" w:line="229" w:lineRule="exact"/>
              <w:rPr>
                <w:sz w:val="20"/>
                <w:szCs w:val="20"/>
                <w:color w:val="auto"/>
              </w:rPr>
            </w:pPr>
            <w:r>
              <w:rPr>
                <w:rFonts w:ascii="Arial" w:cs="Arial" w:eastAsia="Arial" w:hAnsi="Arial"/>
                <w:sz w:val="18"/>
                <w:szCs w:val="18"/>
                <w:b w:val="1"/>
                <w:bCs w:val="1"/>
                <w:color w:val="auto"/>
                <w:w w:val="93"/>
              </w:rPr>
              <w:t xml:space="preserve">Balance </w:t>
            </w:r>
            <w:r>
              <w:rPr>
                <w:rFonts w:ascii="Arial" w:cs="Arial" w:eastAsia="Arial" w:hAnsi="Arial"/>
                <w:sz w:val="24"/>
                <w:szCs w:val="24"/>
                <w:b w:val="1"/>
                <w:bCs w:val="1"/>
                <w:color w:val="auto"/>
                <w:w w:val="93"/>
                <w:vertAlign w:val="superscript"/>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30"/>
        </w:trPr>
        <w:tc>
          <w:tcPr>
            <w:tcW w:w="380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140" w:type="dxa"/>
            <w:vAlign w:val="bottom"/>
            <w:tcBorders>
              <w:top w:val="single" w:sz="8" w:color="auto"/>
              <w:right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90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700" w:type="dxa"/>
            <w:vAlign w:val="bottom"/>
            <w:tcBorders>
              <w:top w:val="single" w:sz="8" w:color="auto"/>
            </w:tcBorders>
            <w:shd w:val="clear" w:color="auto" w:fill="D1EDF5"/>
          </w:tcPr>
          <w:p>
            <w:pPr>
              <w:spacing w:after="0"/>
              <w:rPr>
                <w:sz w:val="19"/>
                <w:szCs w:val="19"/>
                <w:color w:val="auto"/>
              </w:rPr>
            </w:pPr>
          </w:p>
        </w:tc>
        <w:tc>
          <w:tcPr>
            <w:tcW w:w="24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98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88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680" w:type="dxa"/>
            <w:vAlign w:val="bottom"/>
            <w:tcBorders>
              <w:top w:val="single" w:sz="8" w:color="auto"/>
            </w:tcBorders>
            <w:shd w:val="clear" w:color="auto" w:fill="D1EDF5"/>
          </w:tcPr>
          <w:p>
            <w:pPr>
              <w:spacing w:after="0"/>
              <w:rPr>
                <w:sz w:val="19"/>
                <w:szCs w:val="19"/>
                <w:color w:val="auto"/>
              </w:rPr>
            </w:pPr>
          </w:p>
        </w:tc>
        <w:tc>
          <w:tcPr>
            <w:tcW w:w="240" w:type="dxa"/>
            <w:vAlign w:val="bottom"/>
            <w:tcBorders>
              <w:top w:val="single" w:sz="8" w:color="auto"/>
            </w:tcBorders>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Interest-earning assets: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8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Loans</w:t>
            </w:r>
          </w:p>
        </w:tc>
        <w:tc>
          <w:tcPr>
            <w:tcW w:w="30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w w:val="90"/>
              </w:rPr>
              <w:t>(2)</w:t>
            </w:r>
          </w:p>
        </w:tc>
        <w:tc>
          <w:tcPr>
            <w:tcW w:w="14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40" w:type="dxa"/>
            <w:vAlign w:val="bottom"/>
            <w:tcBorders>
              <w:right w:val="single" w:sz="8" w:color="D1EDF5"/>
            </w:tcBorders>
            <w:vMerge w:val="restart"/>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2,069,039</w:t>
            </w:r>
          </w:p>
        </w:tc>
        <w:tc>
          <w:tcPr>
            <w:tcW w:w="40" w:type="dxa"/>
            <w:vAlign w:val="bottom"/>
            <w:shd w:val="clear" w:color="auto" w:fill="D1EDF5"/>
          </w:tcPr>
          <w:p>
            <w:pPr>
              <w:spacing w:after="0"/>
              <w:rPr>
                <w:sz w:val="24"/>
                <w:szCs w:val="24"/>
                <w:color w:val="auto"/>
              </w:rPr>
            </w:pPr>
          </w:p>
        </w:tc>
        <w:tc>
          <w:tcPr>
            <w:tcW w:w="12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90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128,160</w:t>
            </w:r>
          </w:p>
        </w:tc>
        <w:tc>
          <w:tcPr>
            <w:tcW w:w="6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70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6.19</w:t>
            </w:r>
          </w:p>
        </w:tc>
        <w:tc>
          <w:tcPr>
            <w:tcW w:w="24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D1EDF5"/>
          </w:tcPr>
          <w:p>
            <w:pPr>
              <w:jc w:val="right"/>
              <w:ind w:right="40"/>
              <w:spacing w:after="0"/>
              <w:rPr>
                <w:sz w:val="20"/>
                <w:szCs w:val="20"/>
                <w:color w:val="auto"/>
              </w:rPr>
            </w:pPr>
            <w:r>
              <w:rPr>
                <w:rFonts w:ascii="Arial" w:cs="Arial" w:eastAsia="Arial" w:hAnsi="Arial"/>
                <w:sz w:val="18"/>
                <w:szCs w:val="18"/>
                <w:color w:val="auto"/>
                <w:shd w:val="clear" w:color="auto" w:fill="D1EDF5"/>
              </w:rPr>
              <w:t>$</w:t>
            </w:r>
          </w:p>
        </w:tc>
        <w:tc>
          <w:tcPr>
            <w:tcW w:w="1020" w:type="dxa"/>
            <w:vAlign w:val="bottom"/>
            <w:gridSpan w:val="2"/>
            <w:vMerge w:val="restart"/>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1,862,013</w:t>
            </w:r>
          </w:p>
        </w:tc>
        <w:tc>
          <w:tcPr>
            <w:tcW w:w="60" w:type="dxa"/>
            <w:vAlign w:val="bottom"/>
            <w:shd w:val="clear" w:color="auto" w:fill="D1EDF5"/>
          </w:tcPr>
          <w:p>
            <w:pPr>
              <w:spacing w:after="0"/>
              <w:rPr>
                <w:sz w:val="24"/>
                <w:szCs w:val="24"/>
                <w:color w:val="auto"/>
              </w:rPr>
            </w:pPr>
          </w:p>
        </w:tc>
        <w:tc>
          <w:tcPr>
            <w:tcW w:w="60" w:type="dxa"/>
            <w:vAlign w:val="bottom"/>
            <w:shd w:val="clear" w:color="auto" w:fill="D1EDF5"/>
          </w:tcPr>
          <w:p>
            <w:pPr>
              <w:spacing w:after="0"/>
              <w:rPr>
                <w:sz w:val="24"/>
                <w:szCs w:val="24"/>
                <w:color w:val="auto"/>
              </w:rPr>
            </w:pPr>
          </w:p>
        </w:tc>
        <w:tc>
          <w:tcPr>
            <w:tcW w:w="14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88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115,236</w:t>
            </w:r>
          </w:p>
        </w:tc>
        <w:tc>
          <w:tcPr>
            <w:tcW w:w="60" w:type="dxa"/>
            <w:vAlign w:val="bottom"/>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68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6.19</w:t>
            </w:r>
          </w:p>
        </w:tc>
        <w:tc>
          <w:tcPr>
            <w:tcW w:w="24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280" w:type="dxa"/>
            <w:vAlign w:val="bottom"/>
            <w:shd w:val="clear" w:color="auto" w:fill="D1EDF5"/>
          </w:tcPr>
          <w:p>
            <w:pPr>
              <w:spacing w:after="0"/>
              <w:rPr>
                <w:sz w:val="11"/>
                <w:szCs w:val="11"/>
                <w:color w:val="auto"/>
              </w:rPr>
            </w:pPr>
          </w:p>
        </w:tc>
        <w:tc>
          <w:tcPr>
            <w:tcW w:w="3520" w:type="dxa"/>
            <w:vAlign w:val="bottom"/>
            <w:shd w:val="clear" w:color="auto" w:fill="D1EDF5"/>
          </w:tcPr>
          <w:p>
            <w:pPr>
              <w:spacing w:after="0"/>
              <w:rPr>
                <w:sz w:val="11"/>
                <w:szCs w:val="11"/>
                <w:color w:val="auto"/>
              </w:rPr>
            </w:pPr>
          </w:p>
        </w:tc>
        <w:tc>
          <w:tcPr>
            <w:tcW w:w="300" w:type="dxa"/>
            <w:vAlign w:val="bottom"/>
            <w:vMerge w:val="continue"/>
            <w:shd w:val="clear" w:color="auto" w:fill="D1EDF5"/>
          </w:tcPr>
          <w:p>
            <w:pPr>
              <w:spacing w:after="0"/>
              <w:rPr>
                <w:sz w:val="11"/>
                <w:szCs w:val="11"/>
                <w:color w:val="auto"/>
              </w:rPr>
            </w:pPr>
          </w:p>
        </w:tc>
        <w:tc>
          <w:tcPr>
            <w:tcW w:w="140" w:type="dxa"/>
            <w:vAlign w:val="bottom"/>
            <w:vMerge w:val="continue"/>
            <w:shd w:val="clear" w:color="auto" w:fill="D1EDF5"/>
          </w:tcPr>
          <w:p>
            <w:pPr>
              <w:spacing w:after="0"/>
              <w:rPr>
                <w:sz w:val="11"/>
                <w:szCs w:val="11"/>
                <w:color w:val="auto"/>
              </w:rPr>
            </w:pPr>
          </w:p>
        </w:tc>
        <w:tc>
          <w:tcPr>
            <w:tcW w:w="1140" w:type="dxa"/>
            <w:vAlign w:val="bottom"/>
            <w:tcBorders>
              <w:right w:val="single" w:sz="8" w:color="D1EDF5"/>
            </w:tcBorders>
            <w:vMerge w:val="continue"/>
            <w:shd w:val="clear" w:color="auto" w:fill="D1EDF5"/>
          </w:tcPr>
          <w:p>
            <w:pPr>
              <w:spacing w:after="0"/>
              <w:rPr>
                <w:sz w:val="11"/>
                <w:szCs w:val="11"/>
                <w:color w:val="auto"/>
              </w:rPr>
            </w:pPr>
          </w:p>
        </w:tc>
        <w:tc>
          <w:tcPr>
            <w:tcW w:w="40" w:type="dxa"/>
            <w:vAlign w:val="bottom"/>
            <w:shd w:val="clear" w:color="auto" w:fill="D1EDF5"/>
          </w:tcPr>
          <w:p>
            <w:pPr>
              <w:spacing w:after="0"/>
              <w:rPr>
                <w:sz w:val="11"/>
                <w:szCs w:val="11"/>
                <w:color w:val="auto"/>
              </w:rPr>
            </w:pPr>
          </w:p>
        </w:tc>
        <w:tc>
          <w:tcPr>
            <w:tcW w:w="120" w:type="dxa"/>
            <w:vAlign w:val="bottom"/>
            <w:vMerge w:val="continue"/>
            <w:shd w:val="clear" w:color="auto" w:fill="D1EDF5"/>
          </w:tcPr>
          <w:p>
            <w:pPr>
              <w:spacing w:after="0"/>
              <w:rPr>
                <w:sz w:val="11"/>
                <w:szCs w:val="11"/>
                <w:color w:val="auto"/>
              </w:rPr>
            </w:pPr>
          </w:p>
        </w:tc>
        <w:tc>
          <w:tcPr>
            <w:tcW w:w="900" w:type="dxa"/>
            <w:vAlign w:val="bottom"/>
            <w:vMerge w:val="continue"/>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40" w:type="dxa"/>
            <w:vAlign w:val="bottom"/>
            <w:shd w:val="clear" w:color="auto" w:fill="D1EDF5"/>
          </w:tcPr>
          <w:p>
            <w:pPr>
              <w:spacing w:after="0"/>
              <w:rPr>
                <w:sz w:val="11"/>
                <w:szCs w:val="11"/>
                <w:color w:val="auto"/>
              </w:rPr>
            </w:pPr>
          </w:p>
        </w:tc>
        <w:tc>
          <w:tcPr>
            <w:tcW w:w="700" w:type="dxa"/>
            <w:vAlign w:val="bottom"/>
            <w:vMerge w:val="continue"/>
            <w:shd w:val="clear" w:color="auto" w:fill="D1EDF5"/>
          </w:tcPr>
          <w:p>
            <w:pPr>
              <w:spacing w:after="0"/>
              <w:rPr>
                <w:sz w:val="11"/>
                <w:szCs w:val="11"/>
                <w:color w:val="auto"/>
              </w:rPr>
            </w:pPr>
          </w:p>
        </w:tc>
        <w:tc>
          <w:tcPr>
            <w:tcW w:w="240" w:type="dxa"/>
            <w:vAlign w:val="bottom"/>
            <w:vMerge w:val="continue"/>
            <w:shd w:val="clear" w:color="auto" w:fill="D1EDF5"/>
          </w:tcPr>
          <w:p>
            <w:pPr>
              <w:spacing w:after="0"/>
              <w:rPr>
                <w:sz w:val="11"/>
                <w:szCs w:val="11"/>
                <w:color w:val="auto"/>
              </w:rPr>
            </w:pPr>
          </w:p>
        </w:tc>
        <w:tc>
          <w:tcPr>
            <w:tcW w:w="180" w:type="dxa"/>
            <w:vAlign w:val="bottom"/>
            <w:gridSpan w:val="2"/>
            <w:vMerge w:val="continue"/>
            <w:shd w:val="clear" w:color="auto" w:fill="D1EDF5"/>
          </w:tcPr>
          <w:p>
            <w:pPr>
              <w:spacing w:after="0"/>
              <w:rPr>
                <w:sz w:val="11"/>
                <w:szCs w:val="11"/>
                <w:color w:val="auto"/>
              </w:rPr>
            </w:pPr>
          </w:p>
        </w:tc>
        <w:tc>
          <w:tcPr>
            <w:tcW w:w="1020" w:type="dxa"/>
            <w:vAlign w:val="bottom"/>
            <w:gridSpan w:val="2"/>
            <w:vMerge w:val="continue"/>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140" w:type="dxa"/>
            <w:vAlign w:val="bottom"/>
            <w:vMerge w:val="continue"/>
            <w:shd w:val="clear" w:color="auto" w:fill="D1EDF5"/>
          </w:tcPr>
          <w:p>
            <w:pPr>
              <w:spacing w:after="0"/>
              <w:rPr>
                <w:sz w:val="11"/>
                <w:szCs w:val="11"/>
                <w:color w:val="auto"/>
              </w:rPr>
            </w:pPr>
          </w:p>
        </w:tc>
        <w:tc>
          <w:tcPr>
            <w:tcW w:w="880" w:type="dxa"/>
            <w:vAlign w:val="bottom"/>
            <w:vMerge w:val="continue"/>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40" w:type="dxa"/>
            <w:vAlign w:val="bottom"/>
            <w:shd w:val="clear" w:color="auto" w:fill="D1EDF5"/>
          </w:tcPr>
          <w:p>
            <w:pPr>
              <w:spacing w:after="0"/>
              <w:rPr>
                <w:sz w:val="11"/>
                <w:szCs w:val="11"/>
                <w:color w:val="auto"/>
              </w:rPr>
            </w:pPr>
          </w:p>
        </w:tc>
        <w:tc>
          <w:tcPr>
            <w:tcW w:w="680" w:type="dxa"/>
            <w:vAlign w:val="bottom"/>
            <w:vMerge w:val="continue"/>
            <w:shd w:val="clear" w:color="auto" w:fill="D1EDF5"/>
          </w:tcPr>
          <w:p>
            <w:pPr>
              <w:spacing w:after="0"/>
              <w:rPr>
                <w:sz w:val="11"/>
                <w:szCs w:val="11"/>
                <w:color w:val="auto"/>
              </w:rPr>
            </w:pPr>
          </w:p>
        </w:tc>
        <w:tc>
          <w:tcPr>
            <w:tcW w:w="240" w:type="dxa"/>
            <w:vAlign w:val="bottom"/>
            <w:vMerge w:val="continue"/>
            <w:shd w:val="clear" w:color="auto" w:fill="D1EDF5"/>
          </w:tcPr>
          <w:p>
            <w:pPr>
              <w:spacing w:after="0"/>
              <w:rPr>
                <w:sz w:val="11"/>
                <w:szCs w:val="11"/>
                <w:color w:val="auto"/>
              </w:rPr>
            </w:pPr>
          </w:p>
        </w:tc>
        <w:tc>
          <w:tcPr>
            <w:tcW w:w="0" w:type="dxa"/>
            <w:vAlign w:val="bottom"/>
          </w:tcPr>
          <w:p>
            <w:pPr>
              <w:spacing w:after="0"/>
              <w:rPr>
                <w:sz w:val="1"/>
                <w:szCs w:val="1"/>
                <w:color w:val="auto"/>
              </w:rPr>
            </w:pPr>
          </w:p>
        </w:tc>
      </w:tr>
      <w:tr>
        <w:trPr>
          <w:trHeight w:val="3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Investment securities</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0"/>
              </w:rPr>
              <w:t>(3)</w:t>
            </w:r>
          </w:p>
        </w:tc>
        <w:tc>
          <w:tcPr>
            <w:tcW w:w="1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460,089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13,715</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2.98 %</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427,567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11,480</w:t>
            </w: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3800" w:type="dxa"/>
            <w:vAlign w:val="bottom"/>
            <w:tcBorders>
              <w:bottom w:val="single" w:sz="8" w:color="D1EDF5"/>
            </w:tcBorders>
            <w:gridSpan w:val="2"/>
            <w:shd w:val="clear" w:color="auto" w:fill="D1EDF5"/>
          </w:tcPr>
          <w:p>
            <w:pPr>
              <w:ind w:left="140"/>
              <w:spacing w:after="0"/>
              <w:rPr>
                <w:sz w:val="20"/>
                <w:szCs w:val="20"/>
                <w:color w:val="auto"/>
              </w:rPr>
            </w:pPr>
            <w:r>
              <w:rPr>
                <w:rFonts w:ascii="Arial" w:cs="Arial" w:eastAsia="Arial" w:hAnsi="Arial"/>
                <w:sz w:val="18"/>
                <w:szCs w:val="18"/>
                <w:color w:val="auto"/>
              </w:rPr>
              <w:t>Other interest-earning assets</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86,183</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3,612</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020" w:type="dxa"/>
            <w:vAlign w:val="bottom"/>
            <w:tcBorders>
              <w:bottom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rPr>
              <w:t>88,758</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4,517</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2,615,311</w:t>
            </w: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145,487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5.56 %</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2,378,338</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131,233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5.52 %</w:t>
            </w:r>
          </w:p>
        </w:tc>
        <w:tc>
          <w:tcPr>
            <w:tcW w:w="0" w:type="dxa"/>
            <w:vAlign w:val="bottom"/>
          </w:tcPr>
          <w:p>
            <w:pPr>
              <w:spacing w:after="0"/>
              <w:rPr>
                <w:sz w:val="1"/>
                <w:szCs w:val="1"/>
                <w:color w:val="auto"/>
              </w:rPr>
            </w:pPr>
          </w:p>
        </w:tc>
      </w:tr>
      <w:tr>
        <w:trPr>
          <w:trHeight w:val="305"/>
        </w:trPr>
        <w:tc>
          <w:tcPr>
            <w:tcW w:w="3800" w:type="dxa"/>
            <w:vAlign w:val="bottom"/>
            <w:tcBorders>
              <w:bottom w:val="single" w:sz="8" w:color="D1EDF5"/>
            </w:tcBorders>
            <w:gridSpan w:val="2"/>
            <w:shd w:val="clear" w:color="auto" w:fill="D1EDF5"/>
          </w:tcPr>
          <w:p>
            <w:pPr>
              <w:ind w:left="140"/>
              <w:spacing w:after="0"/>
              <w:rPr>
                <w:sz w:val="20"/>
                <w:szCs w:val="20"/>
                <w:color w:val="auto"/>
              </w:rPr>
            </w:pPr>
            <w:r>
              <w:rPr>
                <w:rFonts w:ascii="Arial" w:cs="Arial" w:eastAsia="Arial" w:hAnsi="Arial"/>
                <w:sz w:val="18"/>
                <w:szCs w:val="18"/>
                <w:color w:val="auto"/>
              </w:rPr>
              <w:t>Non-interest earning assets</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105,874</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9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108,215</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D1EDF5"/>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D1EDF5"/>
            </w:tcBorders>
          </w:tcPr>
          <w:p>
            <w:pPr>
              <w:spacing w:after="0" w:line="20" w:lineRule="exact"/>
              <w:rPr>
                <w:sz w:val="1"/>
                <w:szCs w:val="1"/>
                <w:color w:val="auto"/>
              </w:rPr>
            </w:pPr>
          </w:p>
        </w:tc>
        <w:tc>
          <w:tcPr>
            <w:tcW w:w="3520" w:type="dxa"/>
            <w:vAlign w:val="bottom"/>
            <w:tcBorders>
              <w:top w:val="single" w:sz="8" w:color="D1EDF5"/>
            </w:tcBorders>
            <w:vMerge w:val="restart"/>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tcBorders>
          </w:tcPr>
          <w:p>
            <w:pPr>
              <w:spacing w:after="0" w:line="20" w:lineRule="exact"/>
              <w:rPr>
                <w:sz w:val="1"/>
                <w:szCs w:val="1"/>
                <w:color w:val="auto"/>
              </w:rPr>
            </w:pPr>
          </w:p>
        </w:tc>
        <w:tc>
          <w:tcPr>
            <w:tcW w:w="900" w:type="dxa"/>
            <w:vAlign w:val="bottom"/>
            <w:tcBorders>
              <w:top w:val="single" w:sz="8" w:color="D1EDF5"/>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020" w:type="dxa"/>
            <w:vAlign w:val="bottom"/>
            <w:tcBorders>
              <w:top w:val="single" w:sz="8" w:color="D1EDF5"/>
            </w:tcBorders>
            <w:gridSpan w:val="4"/>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gridSpan w:val="3"/>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tcBorders>
          </w:tcPr>
          <w:p>
            <w:pPr>
              <w:spacing w:after="0" w:line="20" w:lineRule="exact"/>
              <w:rPr>
                <w:sz w:val="1"/>
                <w:szCs w:val="1"/>
                <w:color w:val="auto"/>
              </w:rPr>
            </w:pPr>
          </w:p>
        </w:tc>
        <w:tc>
          <w:tcPr>
            <w:tcW w:w="880" w:type="dxa"/>
            <w:vAlign w:val="bottom"/>
            <w:tcBorders>
              <w:top w:val="single" w:sz="8" w:color="D1EDF5"/>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6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2,721,185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2,486,553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800" w:type="dxa"/>
            <w:vAlign w:val="bottom"/>
            <w:tcBorders>
              <w:top w:val="single" w:sz="8" w:color="D1EDF5"/>
              <w:bottom w:val="single" w:sz="8" w:color="D1EDF5"/>
            </w:tcBorders>
            <w:gridSpan w:val="2"/>
            <w:shd w:val="clear" w:color="auto" w:fill="D1EDF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D1EDF5"/>
              <w:bottom w:val="single" w:sz="8" w:color="D1EDF5"/>
            </w:tcBorders>
            <w:shd w:val="clear" w:color="auto" w:fill="D1EDF5"/>
          </w:tcPr>
          <w:p>
            <w:pPr>
              <w:spacing w:after="0"/>
              <w:rPr>
                <w:sz w:val="24"/>
                <w:szCs w:val="24"/>
                <w:color w:val="auto"/>
              </w:rPr>
            </w:pPr>
          </w:p>
        </w:tc>
        <w:tc>
          <w:tcPr>
            <w:tcW w:w="140" w:type="dxa"/>
            <w:vAlign w:val="bottom"/>
            <w:tcBorders>
              <w:top w:val="single" w:sz="8" w:color="auto"/>
              <w:bottom w:val="single" w:sz="8" w:color="D1EDF5"/>
            </w:tcBorders>
            <w:shd w:val="clear" w:color="auto" w:fill="D1EDF5"/>
          </w:tcPr>
          <w:p>
            <w:pPr>
              <w:spacing w:after="0"/>
              <w:rPr>
                <w:sz w:val="24"/>
                <w:szCs w:val="24"/>
                <w:color w:val="auto"/>
              </w:rPr>
            </w:pPr>
          </w:p>
        </w:tc>
        <w:tc>
          <w:tcPr>
            <w:tcW w:w="1140" w:type="dxa"/>
            <w:vAlign w:val="bottom"/>
            <w:tcBorders>
              <w:top w:val="single" w:sz="8" w:color="auto"/>
              <w:bottom w:val="single" w:sz="8" w:color="D1EDF5"/>
              <w:right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120" w:type="dxa"/>
            <w:vAlign w:val="bottom"/>
            <w:tcBorders>
              <w:top w:val="single" w:sz="8" w:color="D1EDF5"/>
              <w:bottom w:val="single" w:sz="8" w:color="D1EDF5"/>
            </w:tcBorders>
            <w:shd w:val="clear" w:color="auto" w:fill="D1EDF5"/>
          </w:tcPr>
          <w:p>
            <w:pPr>
              <w:spacing w:after="0"/>
              <w:rPr>
                <w:sz w:val="24"/>
                <w:szCs w:val="24"/>
                <w:color w:val="auto"/>
              </w:rPr>
            </w:pPr>
          </w:p>
        </w:tc>
        <w:tc>
          <w:tcPr>
            <w:tcW w:w="900" w:type="dxa"/>
            <w:vAlign w:val="bottom"/>
            <w:tcBorders>
              <w:top w:val="single" w:sz="8" w:color="D1EDF5"/>
              <w:bottom w:val="single" w:sz="8" w:color="D1EDF5"/>
            </w:tcBorders>
            <w:shd w:val="clear" w:color="auto" w:fill="D1EDF5"/>
          </w:tcPr>
          <w:p>
            <w:pPr>
              <w:spacing w:after="0"/>
              <w:rPr>
                <w:sz w:val="24"/>
                <w:szCs w:val="24"/>
                <w:color w:val="auto"/>
              </w:rPr>
            </w:pP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700" w:type="dxa"/>
            <w:vAlign w:val="bottom"/>
            <w:tcBorders>
              <w:top w:val="single" w:sz="8" w:color="D1EDF5"/>
              <w:bottom w:val="single" w:sz="8" w:color="D1EDF5"/>
            </w:tcBorders>
            <w:shd w:val="clear" w:color="auto" w:fill="D1EDF5"/>
          </w:tcPr>
          <w:p>
            <w:pPr>
              <w:spacing w:after="0"/>
              <w:rPr>
                <w:sz w:val="24"/>
                <w:szCs w:val="24"/>
                <w:color w:val="auto"/>
              </w:rPr>
            </w:pPr>
          </w:p>
        </w:tc>
        <w:tc>
          <w:tcPr>
            <w:tcW w:w="24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140" w:type="dxa"/>
            <w:vAlign w:val="bottom"/>
            <w:tcBorders>
              <w:top w:val="single" w:sz="8" w:color="auto"/>
              <w:bottom w:val="single" w:sz="8" w:color="D1EDF5"/>
            </w:tcBorders>
            <w:shd w:val="clear" w:color="auto" w:fill="D1EDF5"/>
          </w:tcPr>
          <w:p>
            <w:pPr>
              <w:spacing w:after="0"/>
              <w:rPr>
                <w:sz w:val="24"/>
                <w:szCs w:val="24"/>
                <w:color w:val="auto"/>
              </w:rPr>
            </w:pPr>
          </w:p>
        </w:tc>
        <w:tc>
          <w:tcPr>
            <w:tcW w:w="40" w:type="dxa"/>
            <w:vAlign w:val="bottom"/>
            <w:tcBorders>
              <w:top w:val="single" w:sz="8" w:color="auto"/>
              <w:bottom w:val="single" w:sz="8" w:color="D1EDF5"/>
            </w:tcBorders>
            <w:shd w:val="clear" w:color="auto" w:fill="D1EDF5"/>
          </w:tcPr>
          <w:p>
            <w:pPr>
              <w:spacing w:after="0"/>
              <w:rPr>
                <w:sz w:val="24"/>
                <w:szCs w:val="24"/>
                <w:color w:val="auto"/>
              </w:rPr>
            </w:pPr>
          </w:p>
        </w:tc>
        <w:tc>
          <w:tcPr>
            <w:tcW w:w="980" w:type="dxa"/>
            <w:vAlign w:val="bottom"/>
            <w:tcBorders>
              <w:top w:val="single" w:sz="8" w:color="auto"/>
              <w:bottom w:val="single" w:sz="8" w:color="D1EDF5"/>
            </w:tcBorders>
            <w:shd w:val="clear" w:color="auto" w:fill="D1EDF5"/>
          </w:tcPr>
          <w:p>
            <w:pPr>
              <w:spacing w:after="0"/>
              <w:rPr>
                <w:sz w:val="24"/>
                <w:szCs w:val="24"/>
                <w:color w:val="auto"/>
              </w:rPr>
            </w:pPr>
          </w:p>
        </w:tc>
        <w:tc>
          <w:tcPr>
            <w:tcW w:w="60" w:type="dxa"/>
            <w:vAlign w:val="bottom"/>
            <w:tcBorders>
              <w:top w:val="single" w:sz="8" w:color="auto"/>
              <w:bottom w:val="single" w:sz="8" w:color="D1EDF5"/>
            </w:tcBorders>
            <w:shd w:val="clear" w:color="auto" w:fill="D1EDF5"/>
          </w:tcPr>
          <w:p>
            <w:pPr>
              <w:spacing w:after="0"/>
              <w:rPr>
                <w:sz w:val="24"/>
                <w:szCs w:val="24"/>
                <w:color w:val="auto"/>
              </w:rPr>
            </w:pP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140" w:type="dxa"/>
            <w:vAlign w:val="bottom"/>
            <w:tcBorders>
              <w:top w:val="single" w:sz="8" w:color="D1EDF5"/>
              <w:bottom w:val="single" w:sz="8" w:color="D1EDF5"/>
            </w:tcBorders>
            <w:shd w:val="clear" w:color="auto" w:fill="D1EDF5"/>
          </w:tcPr>
          <w:p>
            <w:pPr>
              <w:spacing w:after="0"/>
              <w:rPr>
                <w:sz w:val="24"/>
                <w:szCs w:val="24"/>
                <w:color w:val="auto"/>
              </w:rPr>
            </w:pPr>
          </w:p>
        </w:tc>
        <w:tc>
          <w:tcPr>
            <w:tcW w:w="880" w:type="dxa"/>
            <w:vAlign w:val="bottom"/>
            <w:tcBorders>
              <w:top w:val="single" w:sz="8" w:color="D1EDF5"/>
              <w:bottom w:val="single" w:sz="8" w:color="D1EDF5"/>
            </w:tcBorders>
            <w:shd w:val="clear" w:color="auto" w:fill="D1EDF5"/>
          </w:tcPr>
          <w:p>
            <w:pPr>
              <w:spacing w:after="0"/>
              <w:rPr>
                <w:sz w:val="24"/>
                <w:szCs w:val="24"/>
                <w:color w:val="auto"/>
              </w:rPr>
            </w:pP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680" w:type="dxa"/>
            <w:vAlign w:val="bottom"/>
            <w:tcBorders>
              <w:top w:val="single" w:sz="8" w:color="D1EDF5"/>
              <w:bottom w:val="single" w:sz="8" w:color="D1EDF5"/>
            </w:tcBorders>
            <w:shd w:val="clear" w:color="auto" w:fill="D1EDF5"/>
          </w:tcPr>
          <w:p>
            <w:pPr>
              <w:spacing w:after="0"/>
              <w:rPr>
                <w:sz w:val="24"/>
                <w:szCs w:val="24"/>
                <w:color w:val="auto"/>
              </w:rPr>
            </w:pPr>
          </w:p>
        </w:tc>
        <w:tc>
          <w:tcPr>
            <w:tcW w:w="240" w:type="dxa"/>
            <w:vAlign w:val="bottom"/>
            <w:tcBorders>
              <w:top w:val="single" w:sz="8" w:color="D1EDF5"/>
              <w:bottom w:val="single" w:sz="8" w:color="D1EDF5"/>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Interest-bearing liabilities: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800" w:type="dxa"/>
            <w:vAlign w:val="bottom"/>
            <w:tcBorders>
              <w:bottom w:val="single" w:sz="8" w:color="D1EDF5"/>
            </w:tcBorders>
            <w:gridSpan w:val="2"/>
            <w:shd w:val="clear" w:color="auto" w:fill="D1EDF5"/>
          </w:tcPr>
          <w:p>
            <w:pPr>
              <w:ind w:left="140"/>
              <w:spacing w:after="0"/>
              <w:rPr>
                <w:sz w:val="20"/>
                <w:szCs w:val="20"/>
                <w:color w:val="auto"/>
              </w:rPr>
            </w:pPr>
            <w:r>
              <w:rPr>
                <w:rFonts w:ascii="Arial" w:cs="Arial" w:eastAsia="Arial" w:hAnsi="Arial"/>
                <w:sz w:val="18"/>
                <w:szCs w:val="18"/>
                <w:color w:val="auto"/>
              </w:rPr>
              <w:t>Interest-bearing demand deposits</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51,803</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1,283</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1EDF5"/>
            </w:tcBorders>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rPr>
              <w:t>54,667</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Savings and money market deposits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1,255,719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38,027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3.03 %</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1,109,853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40,098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325"/>
        </w:trPr>
        <w:tc>
          <w:tcPr>
            <w:tcW w:w="3800" w:type="dxa"/>
            <w:vAlign w:val="bottom"/>
            <w:tcBorders>
              <w:bottom w:val="single" w:sz="8" w:color="D1EDF5"/>
            </w:tcBorders>
            <w:gridSpan w:val="2"/>
            <w:shd w:val="clear" w:color="auto" w:fill="D1EDF5"/>
          </w:tcPr>
          <w:p>
            <w:pPr>
              <w:ind w:left="140"/>
              <w:spacing w:after="0"/>
              <w:rPr>
                <w:sz w:val="20"/>
                <w:szCs w:val="20"/>
                <w:color w:val="auto"/>
              </w:rPr>
            </w:pPr>
            <w:r>
              <w:rPr>
                <w:rFonts w:ascii="Arial" w:cs="Arial" w:eastAsia="Arial" w:hAnsi="Arial"/>
                <w:sz w:val="18"/>
                <w:szCs w:val="18"/>
                <w:color w:val="auto"/>
              </w:rPr>
              <w:t>Time deposits</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470,213</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18,104</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020" w:type="dxa"/>
            <w:vAlign w:val="bottom"/>
            <w:tcBorders>
              <w:bottom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rPr>
              <w:t>326,373</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13,354</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tcBorders>
              <w:top w:val="single" w:sz="8" w:color="D1EDF5"/>
            </w:tcBorders>
          </w:tcPr>
          <w:p>
            <w:pPr>
              <w:spacing w:after="0"/>
              <w:rPr>
                <w:sz w:val="23"/>
                <w:szCs w:val="23"/>
                <w:color w:val="auto"/>
              </w:rPr>
            </w:pPr>
          </w:p>
        </w:tc>
        <w:tc>
          <w:tcPr>
            <w:tcW w:w="3520" w:type="dxa"/>
            <w:vAlign w:val="bottom"/>
            <w:tcBorders>
              <w:top w:val="single" w:sz="8" w:color="D1EDF5"/>
            </w:tcBorders>
          </w:tcPr>
          <w:p>
            <w:pPr>
              <w:spacing w:after="0"/>
              <w:rPr>
                <w:sz w:val="20"/>
                <w:szCs w:val="20"/>
                <w:color w:val="auto"/>
              </w:rPr>
            </w:pPr>
            <w:r>
              <w:rPr>
                <w:rFonts w:ascii="Arial" w:cs="Arial" w:eastAsia="Arial" w:hAnsi="Arial"/>
                <w:sz w:val="18"/>
                <w:szCs w:val="18"/>
                <w:color w:val="auto"/>
              </w:rPr>
              <w:t>Total interest-bearing deposits</w:t>
            </w:r>
          </w:p>
        </w:tc>
        <w:tc>
          <w:tcPr>
            <w:tcW w:w="300" w:type="dxa"/>
            <w:vAlign w:val="bottom"/>
            <w:tcBorders>
              <w:top w:val="single" w:sz="8" w:color="D1EDF5"/>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1,777,735</w:t>
            </w:r>
          </w:p>
        </w:tc>
        <w:tc>
          <w:tcPr>
            <w:tcW w:w="40" w:type="dxa"/>
            <w:vAlign w:val="bottom"/>
            <w:tcBorders>
              <w:top w:val="single" w:sz="8" w:color="D1EDF5"/>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57,414</w:t>
            </w:r>
          </w:p>
        </w:tc>
        <w:tc>
          <w:tcPr>
            <w:tcW w:w="980" w:type="dxa"/>
            <w:vAlign w:val="bottom"/>
            <w:tcBorders>
              <w:top w:val="single" w:sz="8" w:color="D1EDF5"/>
            </w:tcBorders>
            <w:gridSpan w:val="3"/>
          </w:tcPr>
          <w:p>
            <w:pPr>
              <w:jc w:val="right"/>
              <w:spacing w:after="0"/>
              <w:rPr>
                <w:sz w:val="20"/>
                <w:szCs w:val="20"/>
                <w:color w:val="auto"/>
              </w:rPr>
            </w:pPr>
            <w:r>
              <w:rPr>
                <w:rFonts w:ascii="Arial" w:cs="Arial" w:eastAsia="Arial" w:hAnsi="Arial"/>
                <w:sz w:val="18"/>
                <w:szCs w:val="18"/>
                <w:color w:val="auto"/>
              </w:rPr>
              <w:t>3.23 %</w:t>
            </w:r>
          </w:p>
        </w:tc>
        <w:tc>
          <w:tcPr>
            <w:tcW w:w="40" w:type="dxa"/>
            <w:vAlign w:val="bottom"/>
            <w:tcBorders>
              <w:top w:val="single" w:sz="8" w:color="D1EDF5"/>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1,490,893</w:t>
            </w:r>
          </w:p>
        </w:tc>
        <w:tc>
          <w:tcPr>
            <w:tcW w:w="60" w:type="dxa"/>
            <w:vAlign w:val="bottom"/>
            <w:tcBorders>
              <w:top w:val="single" w:sz="8" w:color="D1EDF5"/>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54,961</w:t>
            </w:r>
          </w:p>
        </w:tc>
        <w:tc>
          <w:tcPr>
            <w:tcW w:w="960" w:type="dxa"/>
            <w:vAlign w:val="bottom"/>
            <w:tcBorders>
              <w:top w:val="single" w:sz="8" w:color="D1EDF5"/>
            </w:tcBorders>
            <w:gridSpan w:val="3"/>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80"/>
        </w:trPr>
        <w:tc>
          <w:tcPr>
            <w:tcW w:w="280" w:type="dxa"/>
            <w:vAlign w:val="bottom"/>
            <w:tcBorders>
              <w:bottom w:val="single" w:sz="8" w:color="D1EDF5"/>
            </w:tcBorders>
            <w:shd w:val="clear" w:color="auto" w:fill="D1EDF5"/>
          </w:tcPr>
          <w:p>
            <w:pPr>
              <w:spacing w:after="0"/>
              <w:rPr>
                <w:sz w:val="24"/>
                <w:szCs w:val="24"/>
                <w:color w:val="auto"/>
              </w:rPr>
            </w:pPr>
          </w:p>
        </w:tc>
        <w:tc>
          <w:tcPr>
            <w:tcW w:w="35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FHLB advances</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86,382</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3,238</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020" w:type="dxa"/>
            <w:vAlign w:val="bottom"/>
            <w:tcBorders>
              <w:bottom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rPr>
              <w:t>158,484</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6,336</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280" w:type="dxa"/>
            <w:vAlign w:val="bottom"/>
            <w:tcBorders>
              <w:bottom w:val="single" w:sz="8" w:color="D1EDF5"/>
            </w:tcBorders>
          </w:tcPr>
          <w:p>
            <w:pPr>
              <w:spacing w:after="0"/>
              <w:rPr>
                <w:sz w:val="24"/>
                <w:szCs w:val="24"/>
                <w:color w:val="auto"/>
              </w:rPr>
            </w:pPr>
          </w:p>
        </w:tc>
        <w:tc>
          <w:tcPr>
            <w:tcW w:w="352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Subordinated notes</w:t>
            </w:r>
          </w:p>
        </w:tc>
        <w:tc>
          <w:tcPr>
            <w:tcW w:w="30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16,463</w:t>
            </w:r>
          </w:p>
        </w:tc>
        <w:tc>
          <w:tcPr>
            <w:tcW w:w="40" w:type="dxa"/>
            <w:vAlign w:val="bottom"/>
            <w:tcBorders>
              <w:bottom w:val="single" w:sz="8" w:color="D1EDF5"/>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1,205</w:t>
            </w:r>
          </w:p>
        </w:tc>
        <w:tc>
          <w:tcPr>
            <w:tcW w:w="980" w:type="dxa"/>
            <w:vAlign w:val="bottom"/>
            <w:tcBorders>
              <w:bottom w:val="single" w:sz="8" w:color="D1EDF5"/>
            </w:tcBorders>
            <w:gridSpan w:val="3"/>
          </w:tcPr>
          <w:p>
            <w:pPr>
              <w:jc w:val="right"/>
              <w:spacing w:after="0"/>
              <w:rPr>
                <w:sz w:val="20"/>
                <w:szCs w:val="20"/>
                <w:color w:val="auto"/>
              </w:rPr>
            </w:pPr>
            <w:r>
              <w:rPr>
                <w:rFonts w:ascii="Arial" w:cs="Arial" w:eastAsia="Arial" w:hAnsi="Arial"/>
                <w:sz w:val="18"/>
                <w:szCs w:val="18"/>
                <w:color w:val="auto"/>
              </w:rPr>
              <w:t>7.32 %</w:t>
            </w:r>
          </w:p>
        </w:tc>
        <w:tc>
          <w:tcPr>
            <w:tcW w:w="40" w:type="dxa"/>
            <w:vAlign w:val="bottom"/>
            <w:tcBorders>
              <w:bottom w:val="single" w:sz="8" w:color="D1EDF5"/>
            </w:tcBorders>
          </w:tcPr>
          <w:p>
            <w:pPr>
              <w:spacing w:after="0"/>
              <w:rPr>
                <w:sz w:val="24"/>
                <w:szCs w:val="24"/>
                <w:color w:val="auto"/>
              </w:rPr>
            </w:pPr>
          </w:p>
        </w:tc>
        <w:tc>
          <w:tcPr>
            <w:tcW w:w="140" w:type="dxa"/>
            <w:vAlign w:val="bottom"/>
            <w:tcBorders>
              <w:bottom w:val="single" w:sz="8" w:color="D1EDF5"/>
            </w:tcBorders>
          </w:tcPr>
          <w:p>
            <w:pPr>
              <w:spacing w:after="0"/>
              <w:rPr>
                <w:sz w:val="24"/>
                <w:szCs w:val="24"/>
                <w:color w:val="auto"/>
              </w:rPr>
            </w:pPr>
          </w:p>
        </w:tc>
        <w:tc>
          <w:tcPr>
            <w:tcW w:w="1020" w:type="dxa"/>
            <w:vAlign w:val="bottom"/>
            <w:tcBorders>
              <w:bottom w:val="single" w:sz="8" w:color="D1EDF5"/>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tcPr>
          <w:p>
            <w:pPr>
              <w:spacing w:after="0"/>
              <w:rPr>
                <w:sz w:val="24"/>
                <w:szCs w:val="24"/>
                <w:color w:val="auto"/>
              </w:rPr>
            </w:pPr>
          </w:p>
        </w:tc>
        <w:tc>
          <w:tcPr>
            <w:tcW w:w="6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D1EDF5"/>
            </w:tcBorders>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280" w:type="dxa"/>
            <w:vAlign w:val="bottom"/>
            <w:tcBorders>
              <w:bottom w:val="single" w:sz="8" w:color="D1EDF5"/>
            </w:tcBorders>
            <w:shd w:val="clear" w:color="auto" w:fill="D1EDF5"/>
          </w:tcPr>
          <w:p>
            <w:pPr>
              <w:spacing w:after="0"/>
              <w:rPr>
                <w:sz w:val="23"/>
                <w:szCs w:val="23"/>
                <w:color w:val="auto"/>
              </w:rPr>
            </w:pPr>
          </w:p>
        </w:tc>
        <w:tc>
          <w:tcPr>
            <w:tcW w:w="35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Total interest-bearing liabilities</w:t>
            </w:r>
          </w:p>
        </w:tc>
        <w:tc>
          <w:tcPr>
            <w:tcW w:w="300" w:type="dxa"/>
            <w:vAlign w:val="bottom"/>
            <w:tcBorders>
              <w:bottom w:val="single" w:sz="8" w:color="D1EDF5"/>
            </w:tcBorders>
            <w:shd w:val="clear" w:color="auto" w:fill="D1EDF5"/>
          </w:tcPr>
          <w:p>
            <w:pPr>
              <w:spacing w:after="0"/>
              <w:rPr>
                <w:sz w:val="23"/>
                <w:szCs w:val="23"/>
                <w:color w:val="auto"/>
              </w:rPr>
            </w:pPr>
          </w:p>
        </w:tc>
        <w:tc>
          <w:tcPr>
            <w:tcW w:w="140" w:type="dxa"/>
            <w:vAlign w:val="bottom"/>
            <w:tcBorders>
              <w:bottom w:val="single" w:sz="8" w:color="D1EDF5"/>
            </w:tcBorders>
            <w:shd w:val="clear" w:color="auto" w:fill="D1EDF5"/>
          </w:tcPr>
          <w:p>
            <w:pPr>
              <w:spacing w:after="0"/>
              <w:rPr>
                <w:sz w:val="23"/>
                <w:szCs w:val="23"/>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1,880,580</w:t>
            </w:r>
          </w:p>
        </w:tc>
        <w:tc>
          <w:tcPr>
            <w:tcW w:w="40" w:type="dxa"/>
            <w:vAlign w:val="bottom"/>
            <w:tcBorders>
              <w:bottom w:val="single" w:sz="8" w:color="D1EDF5"/>
            </w:tcBorders>
            <w:shd w:val="clear" w:color="auto" w:fill="D1EDF5"/>
          </w:tcPr>
          <w:p>
            <w:pPr>
              <w:spacing w:after="0"/>
              <w:rPr>
                <w:sz w:val="23"/>
                <w:szCs w:val="23"/>
                <w:color w:val="auto"/>
              </w:rPr>
            </w:pPr>
          </w:p>
        </w:tc>
        <w:tc>
          <w:tcPr>
            <w:tcW w:w="120" w:type="dxa"/>
            <w:vAlign w:val="bottom"/>
            <w:tcBorders>
              <w:bottom w:val="single" w:sz="8" w:color="D1EDF5"/>
            </w:tcBorders>
            <w:shd w:val="clear" w:color="auto" w:fill="D1EDF5"/>
          </w:tcPr>
          <w:p>
            <w:pPr>
              <w:spacing w:after="0"/>
              <w:rPr>
                <w:sz w:val="23"/>
                <w:szCs w:val="23"/>
                <w:color w:val="auto"/>
              </w:rPr>
            </w:pP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61,857</w:t>
            </w:r>
          </w:p>
        </w:tc>
        <w:tc>
          <w:tcPr>
            <w:tcW w:w="60" w:type="dxa"/>
            <w:vAlign w:val="bottom"/>
            <w:tcBorders>
              <w:bottom w:val="single" w:sz="8" w:color="D1EDF5"/>
            </w:tcBorders>
            <w:shd w:val="clear" w:color="auto" w:fill="D1EDF5"/>
          </w:tcPr>
          <w:p>
            <w:pPr>
              <w:spacing w:after="0"/>
              <w:rPr>
                <w:sz w:val="23"/>
                <w:szCs w:val="23"/>
                <w:color w:val="auto"/>
              </w:rPr>
            </w:pPr>
          </w:p>
        </w:tc>
        <w:tc>
          <w:tcPr>
            <w:tcW w:w="40" w:type="dxa"/>
            <w:vAlign w:val="bottom"/>
            <w:tcBorders>
              <w:bottom w:val="single" w:sz="8" w:color="D1EDF5"/>
            </w:tcBorders>
            <w:shd w:val="clear" w:color="auto" w:fill="D1EDF5"/>
          </w:tcPr>
          <w:p>
            <w:pPr>
              <w:spacing w:after="0"/>
              <w:rPr>
                <w:sz w:val="23"/>
                <w:szCs w:val="23"/>
                <w:color w:val="auto"/>
              </w:rPr>
            </w:pPr>
          </w:p>
        </w:tc>
        <w:tc>
          <w:tcPr>
            <w:tcW w:w="7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3"/>
                <w:szCs w:val="23"/>
                <w:color w:val="auto"/>
              </w:rPr>
            </w:pPr>
          </w:p>
        </w:tc>
        <w:tc>
          <w:tcPr>
            <w:tcW w:w="140" w:type="dxa"/>
            <w:vAlign w:val="bottom"/>
            <w:tcBorders>
              <w:bottom w:val="single" w:sz="8" w:color="D1EDF5"/>
            </w:tcBorders>
            <w:shd w:val="clear" w:color="auto" w:fill="D1EDF5"/>
          </w:tcPr>
          <w:p>
            <w:pPr>
              <w:spacing w:after="0"/>
              <w:rPr>
                <w:sz w:val="23"/>
                <w:szCs w:val="23"/>
                <w:color w:val="auto"/>
              </w:rPr>
            </w:pPr>
          </w:p>
        </w:tc>
        <w:tc>
          <w:tcPr>
            <w:tcW w:w="1020" w:type="dxa"/>
            <w:vAlign w:val="bottom"/>
            <w:tcBorders>
              <w:bottom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rPr>
              <w:t>1,649,377</w:t>
            </w:r>
          </w:p>
        </w:tc>
        <w:tc>
          <w:tcPr>
            <w:tcW w:w="60" w:type="dxa"/>
            <w:vAlign w:val="bottom"/>
            <w:tcBorders>
              <w:bottom w:val="single" w:sz="8" w:color="D1EDF5"/>
            </w:tcBorders>
            <w:shd w:val="clear" w:color="auto" w:fill="D1EDF5"/>
          </w:tcPr>
          <w:p>
            <w:pPr>
              <w:spacing w:after="0"/>
              <w:rPr>
                <w:sz w:val="23"/>
                <w:szCs w:val="23"/>
                <w:color w:val="auto"/>
              </w:rPr>
            </w:pPr>
          </w:p>
        </w:tc>
        <w:tc>
          <w:tcPr>
            <w:tcW w:w="60" w:type="dxa"/>
            <w:vAlign w:val="bottom"/>
            <w:tcBorders>
              <w:bottom w:val="single" w:sz="8" w:color="D1EDF5"/>
            </w:tcBorders>
            <w:shd w:val="clear" w:color="auto" w:fill="D1EDF5"/>
          </w:tcPr>
          <w:p>
            <w:pPr>
              <w:spacing w:after="0"/>
              <w:rPr>
                <w:sz w:val="23"/>
                <w:szCs w:val="23"/>
                <w:color w:val="auto"/>
              </w:rPr>
            </w:pPr>
          </w:p>
        </w:tc>
        <w:tc>
          <w:tcPr>
            <w:tcW w:w="140" w:type="dxa"/>
            <w:vAlign w:val="bottom"/>
            <w:tcBorders>
              <w:bottom w:val="single" w:sz="8" w:color="D1EDF5"/>
            </w:tcBorders>
            <w:shd w:val="clear" w:color="auto" w:fill="D1EDF5"/>
          </w:tcPr>
          <w:p>
            <w:pPr>
              <w:spacing w:after="0"/>
              <w:rPr>
                <w:sz w:val="23"/>
                <w:szCs w:val="23"/>
                <w:color w:val="auto"/>
              </w:rPr>
            </w:pPr>
          </w:p>
        </w:tc>
        <w:tc>
          <w:tcPr>
            <w:tcW w:w="8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61,297</w:t>
            </w:r>
          </w:p>
        </w:tc>
        <w:tc>
          <w:tcPr>
            <w:tcW w:w="60" w:type="dxa"/>
            <w:vAlign w:val="bottom"/>
            <w:tcBorders>
              <w:bottom w:val="single" w:sz="8" w:color="D1EDF5"/>
            </w:tcBorders>
            <w:shd w:val="clear" w:color="auto" w:fill="D1EDF5"/>
          </w:tcPr>
          <w:p>
            <w:pPr>
              <w:spacing w:after="0"/>
              <w:rPr>
                <w:sz w:val="23"/>
                <w:szCs w:val="23"/>
                <w:color w:val="auto"/>
              </w:rPr>
            </w:pPr>
          </w:p>
        </w:tc>
        <w:tc>
          <w:tcPr>
            <w:tcW w:w="40" w:type="dxa"/>
            <w:vAlign w:val="bottom"/>
            <w:tcBorders>
              <w:bottom w:val="single" w:sz="8" w:color="D1EDF5"/>
            </w:tcBorders>
            <w:shd w:val="clear" w:color="auto" w:fill="D1EDF5"/>
          </w:tcPr>
          <w:p>
            <w:pPr>
              <w:spacing w:after="0"/>
              <w:rPr>
                <w:sz w:val="23"/>
                <w:szCs w:val="23"/>
                <w:color w:val="auto"/>
              </w:rPr>
            </w:pPr>
          </w:p>
        </w:tc>
        <w:tc>
          <w:tcPr>
            <w:tcW w:w="6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Non-interest-bearing demand deposits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577,232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596,073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00" w:type="dxa"/>
            <w:vAlign w:val="bottom"/>
            <w:tcBorders>
              <w:bottom w:val="single" w:sz="8" w:color="D1EDF5"/>
            </w:tcBorders>
            <w:gridSpan w:val="2"/>
            <w:shd w:val="clear" w:color="auto" w:fill="D1EDF5"/>
          </w:tcPr>
          <w:p>
            <w:pPr>
              <w:ind w:left="140"/>
              <w:spacing w:after="0"/>
              <w:rPr>
                <w:sz w:val="20"/>
                <w:szCs w:val="20"/>
                <w:color w:val="auto"/>
              </w:rPr>
            </w:pPr>
            <w:r>
              <w:rPr>
                <w:rFonts w:ascii="Arial" w:cs="Arial" w:eastAsia="Arial" w:hAnsi="Arial"/>
                <w:sz w:val="18"/>
                <w:szCs w:val="18"/>
                <w:color w:val="auto"/>
              </w:rPr>
              <w:t>Other non-interest-bearing liabilities</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41,955</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9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37,399</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D1EDF5"/>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2,499,767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2,282,849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800" w:type="dxa"/>
            <w:vAlign w:val="bottom"/>
            <w:tcBorders>
              <w:bottom w:val="single" w:sz="8" w:color="D1EDF5"/>
            </w:tcBorders>
            <w:gridSpan w:val="2"/>
            <w:shd w:val="clear" w:color="auto" w:fill="D1EDF5"/>
          </w:tcPr>
          <w:p>
            <w:pPr>
              <w:ind w:left="1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140" w:type="dxa"/>
            <w:vAlign w:val="bottom"/>
            <w:tcBorders>
              <w:bottom w:val="single" w:sz="8" w:color="D1EDF5"/>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221,418</w:t>
            </w:r>
          </w:p>
        </w:tc>
        <w:tc>
          <w:tcPr>
            <w:tcW w:w="40" w:type="dxa"/>
            <w:vAlign w:val="bottom"/>
            <w:tcBorders>
              <w:bottom w:val="single" w:sz="8" w:color="D1EDF5"/>
            </w:tcBorders>
            <w:shd w:val="clear" w:color="auto" w:fill="D1EDF5"/>
          </w:tcPr>
          <w:p>
            <w:pPr>
              <w:spacing w:after="0"/>
              <w:rPr>
                <w:sz w:val="24"/>
                <w:szCs w:val="24"/>
                <w:color w:val="auto"/>
              </w:rPr>
            </w:pPr>
          </w:p>
        </w:tc>
        <w:tc>
          <w:tcPr>
            <w:tcW w:w="120" w:type="dxa"/>
            <w:vAlign w:val="bottom"/>
            <w:tcBorders>
              <w:bottom w:val="single" w:sz="8" w:color="D1EDF5"/>
            </w:tcBorders>
            <w:shd w:val="clear" w:color="auto" w:fill="D1EDF5"/>
          </w:tcPr>
          <w:p>
            <w:pPr>
              <w:spacing w:after="0"/>
              <w:rPr>
                <w:sz w:val="24"/>
                <w:szCs w:val="24"/>
                <w:color w:val="auto"/>
              </w:rPr>
            </w:pPr>
          </w:p>
        </w:tc>
        <w:tc>
          <w:tcPr>
            <w:tcW w:w="90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70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9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203,704</w:t>
            </w:r>
          </w:p>
        </w:tc>
        <w:tc>
          <w:tcPr>
            <w:tcW w:w="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680" w:type="dxa"/>
            <w:vAlign w:val="bottom"/>
            <w:tcBorders>
              <w:bottom w:val="single" w:sz="8" w:color="D1EDF5"/>
            </w:tcBorders>
            <w:shd w:val="clear" w:color="auto" w:fill="D1EDF5"/>
          </w:tcPr>
          <w:p>
            <w:pPr>
              <w:spacing w:after="0"/>
              <w:rPr>
                <w:sz w:val="24"/>
                <w:szCs w:val="24"/>
                <w:color w:val="auto"/>
              </w:rPr>
            </w:pPr>
          </w:p>
        </w:tc>
        <w:tc>
          <w:tcPr>
            <w:tcW w:w="240" w:type="dxa"/>
            <w:vAlign w:val="bottom"/>
            <w:tcBorders>
              <w:bottom w:val="single" w:sz="8" w:color="D1EDF5"/>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D1EDF5"/>
            </w:tcBorders>
          </w:tcPr>
          <w:p>
            <w:pPr>
              <w:spacing w:after="0" w:line="20" w:lineRule="exact"/>
              <w:rPr>
                <w:sz w:val="1"/>
                <w:szCs w:val="1"/>
                <w:color w:val="auto"/>
              </w:rPr>
            </w:pPr>
          </w:p>
        </w:tc>
        <w:tc>
          <w:tcPr>
            <w:tcW w:w="3520" w:type="dxa"/>
            <w:vAlign w:val="bottom"/>
            <w:tcBorders>
              <w:top w:val="single" w:sz="8" w:color="D1EDF5"/>
            </w:tcBorders>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tcBorders>
          </w:tcPr>
          <w:p>
            <w:pPr>
              <w:spacing w:after="0" w:line="20" w:lineRule="exact"/>
              <w:rPr>
                <w:sz w:val="1"/>
                <w:szCs w:val="1"/>
                <w:color w:val="auto"/>
              </w:rPr>
            </w:pPr>
          </w:p>
        </w:tc>
        <w:tc>
          <w:tcPr>
            <w:tcW w:w="900" w:type="dxa"/>
            <w:vAlign w:val="bottom"/>
            <w:tcBorders>
              <w:top w:val="single" w:sz="8" w:color="D1EDF5"/>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020" w:type="dxa"/>
            <w:vAlign w:val="bottom"/>
            <w:tcBorders>
              <w:top w:val="single" w:sz="8" w:color="D1EDF5"/>
            </w:tcBorders>
            <w:gridSpan w:val="4"/>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gridSpan w:val="3"/>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tcBorders>
          </w:tcPr>
          <w:p>
            <w:pPr>
              <w:spacing w:after="0" w:line="20" w:lineRule="exact"/>
              <w:rPr>
                <w:sz w:val="1"/>
                <w:szCs w:val="1"/>
                <w:color w:val="auto"/>
              </w:rPr>
            </w:pPr>
          </w:p>
        </w:tc>
        <w:tc>
          <w:tcPr>
            <w:tcW w:w="880" w:type="dxa"/>
            <w:vAlign w:val="bottom"/>
            <w:tcBorders>
              <w:top w:val="single" w:sz="8" w:color="D1EDF5"/>
            </w:tcBorders>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6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2,721,185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2,486,553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tcBorders>
              <w:top w:val="single" w:sz="8" w:color="D1EDF5"/>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tcBorders>
              <w:top w:val="single" w:sz="8" w:color="D1EDF5"/>
              <w:bottom w:val="single" w:sz="8" w:color="D1EDF5"/>
            </w:tcBorders>
            <w:shd w:val="clear" w:color="auto" w:fill="D1EDF5"/>
          </w:tcPr>
          <w:p>
            <w:pPr>
              <w:spacing w:after="0"/>
              <w:rPr>
                <w:sz w:val="24"/>
                <w:szCs w:val="24"/>
                <w:color w:val="auto"/>
              </w:rPr>
            </w:pPr>
          </w:p>
        </w:tc>
        <w:tc>
          <w:tcPr>
            <w:tcW w:w="140" w:type="dxa"/>
            <w:vAlign w:val="bottom"/>
            <w:tcBorders>
              <w:top w:val="single" w:sz="8" w:color="auto"/>
              <w:bottom w:val="single" w:sz="8" w:color="D1EDF5"/>
            </w:tcBorders>
            <w:shd w:val="clear" w:color="auto" w:fill="D1EDF5"/>
          </w:tcPr>
          <w:p>
            <w:pPr>
              <w:spacing w:after="0"/>
              <w:rPr>
                <w:sz w:val="24"/>
                <w:szCs w:val="24"/>
                <w:color w:val="auto"/>
              </w:rPr>
            </w:pPr>
          </w:p>
        </w:tc>
        <w:tc>
          <w:tcPr>
            <w:tcW w:w="1140" w:type="dxa"/>
            <w:vAlign w:val="bottom"/>
            <w:tcBorders>
              <w:top w:val="single" w:sz="8" w:color="auto"/>
              <w:bottom w:val="single" w:sz="8" w:color="D1EDF5"/>
              <w:right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120" w:type="dxa"/>
            <w:vAlign w:val="bottom"/>
            <w:tcBorders>
              <w:top w:val="single" w:sz="8" w:color="D1EDF5"/>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D1EDF5"/>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83,630</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700" w:type="dxa"/>
            <w:vAlign w:val="bottom"/>
            <w:tcBorders>
              <w:top w:val="single" w:sz="8" w:color="D1EDF5"/>
              <w:bottom w:val="single" w:sz="8" w:color="D1EDF5"/>
            </w:tcBorders>
            <w:shd w:val="clear" w:color="auto" w:fill="D1EDF5"/>
          </w:tcPr>
          <w:p>
            <w:pPr>
              <w:spacing w:after="0"/>
              <w:rPr>
                <w:sz w:val="24"/>
                <w:szCs w:val="24"/>
                <w:color w:val="auto"/>
              </w:rPr>
            </w:pPr>
          </w:p>
        </w:tc>
        <w:tc>
          <w:tcPr>
            <w:tcW w:w="24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140" w:type="dxa"/>
            <w:vAlign w:val="bottom"/>
            <w:tcBorders>
              <w:top w:val="single" w:sz="8" w:color="auto"/>
              <w:bottom w:val="single" w:sz="8" w:color="D1EDF5"/>
            </w:tcBorders>
            <w:shd w:val="clear" w:color="auto" w:fill="D1EDF5"/>
          </w:tcPr>
          <w:p>
            <w:pPr>
              <w:spacing w:after="0"/>
              <w:rPr>
                <w:sz w:val="24"/>
                <w:szCs w:val="24"/>
                <w:color w:val="auto"/>
              </w:rPr>
            </w:pPr>
          </w:p>
        </w:tc>
        <w:tc>
          <w:tcPr>
            <w:tcW w:w="40" w:type="dxa"/>
            <w:vAlign w:val="bottom"/>
            <w:tcBorders>
              <w:top w:val="single" w:sz="8" w:color="auto"/>
              <w:bottom w:val="single" w:sz="8" w:color="D1EDF5"/>
            </w:tcBorders>
            <w:shd w:val="clear" w:color="auto" w:fill="D1EDF5"/>
          </w:tcPr>
          <w:p>
            <w:pPr>
              <w:spacing w:after="0"/>
              <w:rPr>
                <w:sz w:val="24"/>
                <w:szCs w:val="24"/>
                <w:color w:val="auto"/>
              </w:rPr>
            </w:pPr>
          </w:p>
        </w:tc>
        <w:tc>
          <w:tcPr>
            <w:tcW w:w="980" w:type="dxa"/>
            <w:vAlign w:val="bottom"/>
            <w:tcBorders>
              <w:top w:val="single" w:sz="8" w:color="auto"/>
              <w:bottom w:val="single" w:sz="8" w:color="D1EDF5"/>
            </w:tcBorders>
            <w:shd w:val="clear" w:color="auto" w:fill="D1EDF5"/>
          </w:tcPr>
          <w:p>
            <w:pPr>
              <w:spacing w:after="0"/>
              <w:rPr>
                <w:sz w:val="24"/>
                <w:szCs w:val="24"/>
                <w:color w:val="auto"/>
              </w:rPr>
            </w:pPr>
          </w:p>
        </w:tc>
        <w:tc>
          <w:tcPr>
            <w:tcW w:w="60" w:type="dxa"/>
            <w:vAlign w:val="bottom"/>
            <w:tcBorders>
              <w:top w:val="single" w:sz="8" w:color="auto"/>
              <w:bottom w:val="single" w:sz="8" w:color="D1EDF5"/>
            </w:tcBorders>
            <w:shd w:val="clear" w:color="auto" w:fill="D1EDF5"/>
          </w:tcPr>
          <w:p>
            <w:pPr>
              <w:spacing w:after="0"/>
              <w:rPr>
                <w:sz w:val="24"/>
                <w:szCs w:val="24"/>
                <w:color w:val="auto"/>
              </w:rPr>
            </w:pP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140" w:type="dxa"/>
            <w:vAlign w:val="bottom"/>
            <w:tcBorders>
              <w:top w:val="single" w:sz="8" w:color="D1EDF5"/>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D1EDF5"/>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69,936</w:t>
            </w:r>
          </w:p>
        </w:tc>
        <w:tc>
          <w:tcPr>
            <w:tcW w:w="60" w:type="dxa"/>
            <w:vAlign w:val="bottom"/>
            <w:tcBorders>
              <w:top w:val="single" w:sz="8" w:color="D1EDF5"/>
              <w:bottom w:val="single" w:sz="8" w:color="D1EDF5"/>
            </w:tcBorders>
            <w:shd w:val="clear" w:color="auto" w:fill="D1EDF5"/>
          </w:tcPr>
          <w:p>
            <w:pPr>
              <w:spacing w:after="0"/>
              <w:rPr>
                <w:sz w:val="24"/>
                <w:szCs w:val="24"/>
                <w:color w:val="auto"/>
              </w:rPr>
            </w:pPr>
          </w:p>
        </w:tc>
        <w:tc>
          <w:tcPr>
            <w:tcW w:w="40" w:type="dxa"/>
            <w:vAlign w:val="bottom"/>
            <w:tcBorders>
              <w:top w:val="single" w:sz="8" w:color="D1EDF5"/>
              <w:bottom w:val="single" w:sz="8" w:color="D1EDF5"/>
            </w:tcBorders>
            <w:shd w:val="clear" w:color="auto" w:fill="D1EDF5"/>
          </w:tcPr>
          <w:p>
            <w:pPr>
              <w:spacing w:after="0"/>
              <w:rPr>
                <w:sz w:val="24"/>
                <w:szCs w:val="24"/>
                <w:color w:val="auto"/>
              </w:rPr>
            </w:pPr>
          </w:p>
        </w:tc>
        <w:tc>
          <w:tcPr>
            <w:tcW w:w="680" w:type="dxa"/>
            <w:vAlign w:val="bottom"/>
            <w:tcBorders>
              <w:top w:val="single" w:sz="8" w:color="D1EDF5"/>
              <w:bottom w:val="single" w:sz="8" w:color="D1EDF5"/>
            </w:tcBorders>
            <w:shd w:val="clear" w:color="auto" w:fill="D1EDF5"/>
          </w:tcPr>
          <w:p>
            <w:pPr>
              <w:spacing w:after="0"/>
              <w:rPr>
                <w:sz w:val="24"/>
                <w:szCs w:val="24"/>
                <w:color w:val="auto"/>
              </w:rPr>
            </w:pPr>
          </w:p>
        </w:tc>
        <w:tc>
          <w:tcPr>
            <w:tcW w:w="240" w:type="dxa"/>
            <w:vAlign w:val="bottom"/>
            <w:tcBorders>
              <w:top w:val="single" w:sz="8" w:color="D1EDF5"/>
              <w:bottom w:val="single" w:sz="8" w:color="D1EDF5"/>
            </w:tcBorders>
            <w:shd w:val="clear" w:color="auto" w:fill="D1EDF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Net interest spread</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0"/>
              </w:rPr>
              <w:t>(4)</w:t>
            </w: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2.27 %</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line="20" w:lineRule="exact"/>
              <w:rPr>
                <w:sz w:val="1"/>
                <w:szCs w:val="1"/>
                <w:color w:val="auto"/>
              </w:rPr>
            </w:pPr>
          </w:p>
        </w:tc>
      </w:tr>
      <w:tr>
        <w:trPr>
          <w:trHeight w:val="370"/>
        </w:trPr>
        <w:tc>
          <w:tcPr>
            <w:tcW w:w="380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80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Net interest margin</w:t>
            </w:r>
          </w:p>
        </w:tc>
        <w:tc>
          <w:tcPr>
            <w:tcW w:w="300" w:type="dxa"/>
            <w:vAlign w:val="bottom"/>
            <w:tcBorders>
              <w:top w:val="single" w:sz="8" w:color="D1EDF5"/>
            </w:tcBorders>
            <w:vMerge w:val="restart"/>
            <w:shd w:val="clear" w:color="auto" w:fill="D1EDF5"/>
          </w:tcPr>
          <w:p>
            <w:pPr>
              <w:jc w:val="right"/>
              <w:spacing w:after="0"/>
              <w:rPr>
                <w:sz w:val="20"/>
                <w:szCs w:val="20"/>
                <w:color w:val="auto"/>
              </w:rPr>
            </w:pPr>
            <w:r>
              <w:rPr>
                <w:rFonts w:ascii="Arial" w:cs="Arial" w:eastAsia="Arial" w:hAnsi="Arial"/>
                <w:sz w:val="18"/>
                <w:szCs w:val="18"/>
                <w:color w:val="auto"/>
                <w:w w:val="90"/>
              </w:rPr>
              <w:t>(5)</w:t>
            </w:r>
          </w:p>
        </w:tc>
        <w:tc>
          <w:tcPr>
            <w:tcW w:w="140" w:type="dxa"/>
            <w:vAlign w:val="bottom"/>
            <w:tcBorders>
              <w:top w:val="single" w:sz="8" w:color="D1EDF5"/>
            </w:tcBorders>
            <w:shd w:val="clear" w:color="auto" w:fill="D1EDF5"/>
          </w:tcPr>
          <w:p>
            <w:pPr>
              <w:spacing w:after="0"/>
              <w:rPr>
                <w:sz w:val="24"/>
                <w:szCs w:val="24"/>
                <w:color w:val="auto"/>
              </w:rPr>
            </w:pPr>
          </w:p>
        </w:tc>
        <w:tc>
          <w:tcPr>
            <w:tcW w:w="1140" w:type="dxa"/>
            <w:vAlign w:val="bottom"/>
            <w:tcBorders>
              <w:top w:val="single" w:sz="8" w:color="D1EDF5"/>
              <w:right w:val="single" w:sz="8" w:color="D1EDF5"/>
            </w:tcBorders>
            <w:shd w:val="clear" w:color="auto" w:fill="D1EDF5"/>
          </w:tcPr>
          <w:p>
            <w:pPr>
              <w:spacing w:after="0"/>
              <w:rPr>
                <w:sz w:val="24"/>
                <w:szCs w:val="24"/>
                <w:color w:val="auto"/>
              </w:rPr>
            </w:pPr>
          </w:p>
        </w:tc>
        <w:tc>
          <w:tcPr>
            <w:tcW w:w="40" w:type="dxa"/>
            <w:vAlign w:val="bottom"/>
            <w:tcBorders>
              <w:top w:val="single" w:sz="8" w:color="D1EDF5"/>
            </w:tcBorders>
            <w:shd w:val="clear" w:color="auto" w:fill="D1EDF5"/>
          </w:tcPr>
          <w:p>
            <w:pPr>
              <w:spacing w:after="0"/>
              <w:rPr>
                <w:sz w:val="24"/>
                <w:szCs w:val="24"/>
                <w:color w:val="auto"/>
              </w:rPr>
            </w:pPr>
          </w:p>
        </w:tc>
        <w:tc>
          <w:tcPr>
            <w:tcW w:w="120" w:type="dxa"/>
            <w:vAlign w:val="bottom"/>
            <w:tcBorders>
              <w:top w:val="single" w:sz="8" w:color="D1EDF5"/>
            </w:tcBorders>
            <w:shd w:val="clear" w:color="auto" w:fill="D1EDF5"/>
          </w:tcPr>
          <w:p>
            <w:pPr>
              <w:spacing w:after="0"/>
              <w:rPr>
                <w:sz w:val="24"/>
                <w:szCs w:val="24"/>
                <w:color w:val="auto"/>
              </w:rPr>
            </w:pPr>
          </w:p>
        </w:tc>
        <w:tc>
          <w:tcPr>
            <w:tcW w:w="900" w:type="dxa"/>
            <w:vAlign w:val="bottom"/>
            <w:tcBorders>
              <w:top w:val="single" w:sz="8" w:color="D1EDF5"/>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40" w:type="dxa"/>
            <w:vAlign w:val="bottom"/>
            <w:tcBorders>
              <w:top w:val="single" w:sz="8" w:color="D1EDF5"/>
            </w:tcBorders>
            <w:shd w:val="clear" w:color="auto" w:fill="D1EDF5"/>
          </w:tcPr>
          <w:p>
            <w:pPr>
              <w:spacing w:after="0"/>
              <w:rPr>
                <w:sz w:val="24"/>
                <w:szCs w:val="24"/>
                <w:color w:val="auto"/>
              </w:rPr>
            </w:pPr>
          </w:p>
        </w:tc>
        <w:tc>
          <w:tcPr>
            <w:tcW w:w="70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D1EDF5"/>
            </w:tcBorders>
            <w:shd w:val="clear" w:color="auto" w:fill="D1EDF5"/>
          </w:tcPr>
          <w:p>
            <w:pPr>
              <w:spacing w:after="0"/>
              <w:rPr>
                <w:sz w:val="24"/>
                <w:szCs w:val="24"/>
                <w:color w:val="auto"/>
              </w:rPr>
            </w:pPr>
          </w:p>
        </w:tc>
        <w:tc>
          <w:tcPr>
            <w:tcW w:w="140" w:type="dxa"/>
            <w:vAlign w:val="bottom"/>
            <w:tcBorders>
              <w:top w:val="single" w:sz="8" w:color="D1EDF5"/>
            </w:tcBorders>
            <w:shd w:val="clear" w:color="auto" w:fill="D1EDF5"/>
          </w:tcPr>
          <w:p>
            <w:pPr>
              <w:spacing w:after="0"/>
              <w:rPr>
                <w:sz w:val="24"/>
                <w:szCs w:val="24"/>
                <w:color w:val="auto"/>
              </w:rPr>
            </w:pPr>
          </w:p>
        </w:tc>
        <w:tc>
          <w:tcPr>
            <w:tcW w:w="40" w:type="dxa"/>
            <w:vAlign w:val="bottom"/>
            <w:tcBorders>
              <w:top w:val="single" w:sz="8" w:color="D1EDF5"/>
            </w:tcBorders>
            <w:shd w:val="clear" w:color="auto" w:fill="D1EDF5"/>
          </w:tcPr>
          <w:p>
            <w:pPr>
              <w:spacing w:after="0"/>
              <w:rPr>
                <w:sz w:val="24"/>
                <w:szCs w:val="24"/>
                <w:color w:val="auto"/>
              </w:rPr>
            </w:pPr>
          </w:p>
        </w:tc>
        <w:tc>
          <w:tcPr>
            <w:tcW w:w="980" w:type="dxa"/>
            <w:vAlign w:val="bottom"/>
            <w:tcBorders>
              <w:top w:val="single" w:sz="8" w:color="D1EDF5"/>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140" w:type="dxa"/>
            <w:vAlign w:val="bottom"/>
            <w:tcBorders>
              <w:top w:val="single" w:sz="8" w:color="D1EDF5"/>
            </w:tcBorders>
            <w:shd w:val="clear" w:color="auto" w:fill="D1EDF5"/>
          </w:tcPr>
          <w:p>
            <w:pPr>
              <w:spacing w:after="0"/>
              <w:rPr>
                <w:sz w:val="24"/>
                <w:szCs w:val="24"/>
                <w:color w:val="auto"/>
              </w:rPr>
            </w:pPr>
          </w:p>
        </w:tc>
        <w:tc>
          <w:tcPr>
            <w:tcW w:w="880" w:type="dxa"/>
            <w:vAlign w:val="bottom"/>
            <w:tcBorders>
              <w:top w:val="single" w:sz="8" w:color="D1EDF5"/>
            </w:tcBorders>
            <w:shd w:val="clear" w:color="auto" w:fill="D1EDF5"/>
          </w:tcPr>
          <w:p>
            <w:pPr>
              <w:spacing w:after="0"/>
              <w:rPr>
                <w:sz w:val="24"/>
                <w:szCs w:val="24"/>
                <w:color w:val="auto"/>
              </w:rPr>
            </w:pPr>
          </w:p>
        </w:tc>
        <w:tc>
          <w:tcPr>
            <w:tcW w:w="60" w:type="dxa"/>
            <w:vAlign w:val="bottom"/>
            <w:tcBorders>
              <w:top w:val="single" w:sz="8" w:color="D1EDF5"/>
            </w:tcBorders>
            <w:shd w:val="clear" w:color="auto" w:fill="D1EDF5"/>
          </w:tcPr>
          <w:p>
            <w:pPr>
              <w:spacing w:after="0"/>
              <w:rPr>
                <w:sz w:val="24"/>
                <w:szCs w:val="24"/>
                <w:color w:val="auto"/>
              </w:rPr>
            </w:pPr>
          </w:p>
        </w:tc>
        <w:tc>
          <w:tcPr>
            <w:tcW w:w="40" w:type="dxa"/>
            <w:vAlign w:val="bottom"/>
            <w:tcBorders>
              <w:top w:val="single" w:sz="8" w:color="D1EDF5"/>
            </w:tcBorders>
            <w:shd w:val="clear" w:color="auto" w:fill="D1EDF5"/>
          </w:tcPr>
          <w:p>
            <w:pPr>
              <w:spacing w:after="0"/>
              <w:rPr>
                <w:sz w:val="24"/>
                <w:szCs w:val="24"/>
                <w:color w:val="auto"/>
              </w:rPr>
            </w:pPr>
          </w:p>
        </w:tc>
        <w:tc>
          <w:tcPr>
            <w:tcW w:w="68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6"/>
        </w:trPr>
        <w:tc>
          <w:tcPr>
            <w:tcW w:w="280" w:type="dxa"/>
            <w:vAlign w:val="bottom"/>
            <w:shd w:val="clear" w:color="auto" w:fill="D1EDF5"/>
          </w:tcPr>
          <w:p>
            <w:pPr>
              <w:spacing w:after="0"/>
              <w:rPr>
                <w:sz w:val="12"/>
                <w:szCs w:val="12"/>
                <w:color w:val="auto"/>
              </w:rPr>
            </w:pPr>
          </w:p>
        </w:tc>
        <w:tc>
          <w:tcPr>
            <w:tcW w:w="3520" w:type="dxa"/>
            <w:vAlign w:val="bottom"/>
            <w:shd w:val="clear" w:color="auto" w:fill="D1EDF5"/>
          </w:tcPr>
          <w:p>
            <w:pPr>
              <w:spacing w:after="0"/>
              <w:rPr>
                <w:sz w:val="12"/>
                <w:szCs w:val="12"/>
                <w:color w:val="auto"/>
              </w:rPr>
            </w:pPr>
          </w:p>
        </w:tc>
        <w:tc>
          <w:tcPr>
            <w:tcW w:w="300" w:type="dxa"/>
            <w:vAlign w:val="bottom"/>
            <w:vMerge w:val="continue"/>
            <w:shd w:val="clear" w:color="auto" w:fill="D1EDF5"/>
          </w:tcPr>
          <w:p>
            <w:pPr>
              <w:spacing w:after="0"/>
              <w:rPr>
                <w:sz w:val="12"/>
                <w:szCs w:val="12"/>
                <w:color w:val="auto"/>
              </w:rPr>
            </w:pPr>
          </w:p>
        </w:tc>
        <w:tc>
          <w:tcPr>
            <w:tcW w:w="140" w:type="dxa"/>
            <w:vAlign w:val="bottom"/>
            <w:shd w:val="clear" w:color="auto" w:fill="D1EDF5"/>
          </w:tcPr>
          <w:p>
            <w:pPr>
              <w:spacing w:after="0"/>
              <w:rPr>
                <w:sz w:val="12"/>
                <w:szCs w:val="12"/>
                <w:color w:val="auto"/>
              </w:rPr>
            </w:pPr>
          </w:p>
        </w:tc>
        <w:tc>
          <w:tcPr>
            <w:tcW w:w="1140" w:type="dxa"/>
            <w:vAlign w:val="bottom"/>
            <w:tcBorders>
              <w:right w:val="single" w:sz="8" w:color="D1EDF5"/>
            </w:tcBorders>
            <w:shd w:val="clear" w:color="auto" w:fill="D1EDF5"/>
          </w:tcPr>
          <w:p>
            <w:pPr>
              <w:spacing w:after="0"/>
              <w:rPr>
                <w:sz w:val="12"/>
                <w:szCs w:val="12"/>
                <w:color w:val="auto"/>
              </w:rPr>
            </w:pPr>
          </w:p>
        </w:tc>
        <w:tc>
          <w:tcPr>
            <w:tcW w:w="40" w:type="dxa"/>
            <w:vAlign w:val="bottom"/>
            <w:shd w:val="clear" w:color="auto" w:fill="D1EDF5"/>
          </w:tcPr>
          <w:p>
            <w:pPr>
              <w:spacing w:after="0"/>
              <w:rPr>
                <w:sz w:val="12"/>
                <w:szCs w:val="12"/>
                <w:color w:val="auto"/>
              </w:rPr>
            </w:pPr>
          </w:p>
        </w:tc>
        <w:tc>
          <w:tcPr>
            <w:tcW w:w="120" w:type="dxa"/>
            <w:vAlign w:val="bottom"/>
            <w:shd w:val="clear" w:color="auto" w:fill="D1EDF5"/>
          </w:tcPr>
          <w:p>
            <w:pPr>
              <w:spacing w:after="0"/>
              <w:rPr>
                <w:sz w:val="12"/>
                <w:szCs w:val="12"/>
                <w:color w:val="auto"/>
              </w:rPr>
            </w:pPr>
          </w:p>
        </w:tc>
        <w:tc>
          <w:tcPr>
            <w:tcW w:w="900" w:type="dxa"/>
            <w:vAlign w:val="bottom"/>
            <w:shd w:val="clear" w:color="auto" w:fill="D1EDF5"/>
          </w:tcPr>
          <w:p>
            <w:pPr>
              <w:spacing w:after="0"/>
              <w:rPr>
                <w:sz w:val="12"/>
                <w:szCs w:val="12"/>
                <w:color w:val="auto"/>
              </w:rPr>
            </w:pPr>
          </w:p>
        </w:tc>
        <w:tc>
          <w:tcPr>
            <w:tcW w:w="60" w:type="dxa"/>
            <w:vAlign w:val="bottom"/>
            <w:shd w:val="clear" w:color="auto" w:fill="D1EDF5"/>
          </w:tcPr>
          <w:p>
            <w:pPr>
              <w:spacing w:after="0"/>
              <w:rPr>
                <w:sz w:val="12"/>
                <w:szCs w:val="12"/>
                <w:color w:val="auto"/>
              </w:rPr>
            </w:pPr>
          </w:p>
        </w:tc>
        <w:tc>
          <w:tcPr>
            <w:tcW w:w="40" w:type="dxa"/>
            <w:vAlign w:val="bottom"/>
            <w:shd w:val="clear" w:color="auto" w:fill="D1EDF5"/>
          </w:tcPr>
          <w:p>
            <w:pPr>
              <w:spacing w:after="0"/>
              <w:rPr>
                <w:sz w:val="12"/>
                <w:szCs w:val="12"/>
                <w:color w:val="auto"/>
              </w:rPr>
            </w:pPr>
          </w:p>
        </w:tc>
        <w:tc>
          <w:tcPr>
            <w:tcW w:w="700" w:type="dxa"/>
            <w:vAlign w:val="bottom"/>
            <w:tcBorders>
              <w:bottom w:val="single" w:sz="8" w:color="auto"/>
            </w:tcBorders>
            <w:vMerge w:val="continue"/>
            <w:shd w:val="clear" w:color="auto" w:fill="D1EDF5"/>
          </w:tcPr>
          <w:p>
            <w:pPr>
              <w:spacing w:after="0"/>
              <w:rPr>
                <w:sz w:val="12"/>
                <w:szCs w:val="12"/>
                <w:color w:val="auto"/>
              </w:rPr>
            </w:pPr>
          </w:p>
        </w:tc>
        <w:tc>
          <w:tcPr>
            <w:tcW w:w="240" w:type="dxa"/>
            <w:vAlign w:val="bottom"/>
            <w:tcBorders>
              <w:bottom w:val="single" w:sz="8" w:color="auto"/>
            </w:tcBorders>
            <w:vMerge w:val="continue"/>
            <w:shd w:val="clear" w:color="auto" w:fill="D1EDF5"/>
          </w:tcPr>
          <w:p>
            <w:pPr>
              <w:spacing w:after="0"/>
              <w:rPr>
                <w:sz w:val="12"/>
                <w:szCs w:val="12"/>
                <w:color w:val="auto"/>
              </w:rPr>
            </w:pPr>
          </w:p>
        </w:tc>
        <w:tc>
          <w:tcPr>
            <w:tcW w:w="40" w:type="dxa"/>
            <w:vAlign w:val="bottom"/>
            <w:shd w:val="clear" w:color="auto" w:fill="D1EDF5"/>
          </w:tcPr>
          <w:p>
            <w:pPr>
              <w:spacing w:after="0"/>
              <w:rPr>
                <w:sz w:val="12"/>
                <w:szCs w:val="12"/>
                <w:color w:val="auto"/>
              </w:rPr>
            </w:pPr>
          </w:p>
        </w:tc>
        <w:tc>
          <w:tcPr>
            <w:tcW w:w="140" w:type="dxa"/>
            <w:vAlign w:val="bottom"/>
            <w:shd w:val="clear" w:color="auto" w:fill="D1EDF5"/>
          </w:tcPr>
          <w:p>
            <w:pPr>
              <w:spacing w:after="0"/>
              <w:rPr>
                <w:sz w:val="12"/>
                <w:szCs w:val="12"/>
                <w:color w:val="auto"/>
              </w:rPr>
            </w:pPr>
          </w:p>
        </w:tc>
        <w:tc>
          <w:tcPr>
            <w:tcW w:w="40" w:type="dxa"/>
            <w:vAlign w:val="bottom"/>
            <w:shd w:val="clear" w:color="auto" w:fill="D1EDF5"/>
          </w:tcPr>
          <w:p>
            <w:pPr>
              <w:spacing w:after="0"/>
              <w:rPr>
                <w:sz w:val="12"/>
                <w:szCs w:val="12"/>
                <w:color w:val="auto"/>
              </w:rPr>
            </w:pPr>
          </w:p>
        </w:tc>
        <w:tc>
          <w:tcPr>
            <w:tcW w:w="980" w:type="dxa"/>
            <w:vAlign w:val="bottom"/>
            <w:shd w:val="clear" w:color="auto" w:fill="D1EDF5"/>
          </w:tcPr>
          <w:p>
            <w:pPr>
              <w:spacing w:after="0"/>
              <w:rPr>
                <w:sz w:val="12"/>
                <w:szCs w:val="12"/>
                <w:color w:val="auto"/>
              </w:rPr>
            </w:pPr>
          </w:p>
        </w:tc>
        <w:tc>
          <w:tcPr>
            <w:tcW w:w="60" w:type="dxa"/>
            <w:vAlign w:val="bottom"/>
            <w:shd w:val="clear" w:color="auto" w:fill="D1EDF5"/>
          </w:tcPr>
          <w:p>
            <w:pPr>
              <w:spacing w:after="0"/>
              <w:rPr>
                <w:sz w:val="12"/>
                <w:szCs w:val="12"/>
                <w:color w:val="auto"/>
              </w:rPr>
            </w:pPr>
          </w:p>
        </w:tc>
        <w:tc>
          <w:tcPr>
            <w:tcW w:w="60" w:type="dxa"/>
            <w:vAlign w:val="bottom"/>
            <w:shd w:val="clear" w:color="auto" w:fill="D1EDF5"/>
          </w:tcPr>
          <w:p>
            <w:pPr>
              <w:spacing w:after="0"/>
              <w:rPr>
                <w:sz w:val="12"/>
                <w:szCs w:val="12"/>
                <w:color w:val="auto"/>
              </w:rPr>
            </w:pPr>
          </w:p>
        </w:tc>
        <w:tc>
          <w:tcPr>
            <w:tcW w:w="140" w:type="dxa"/>
            <w:vAlign w:val="bottom"/>
            <w:shd w:val="clear" w:color="auto" w:fill="D1EDF5"/>
          </w:tcPr>
          <w:p>
            <w:pPr>
              <w:spacing w:after="0"/>
              <w:rPr>
                <w:sz w:val="12"/>
                <w:szCs w:val="12"/>
                <w:color w:val="auto"/>
              </w:rPr>
            </w:pPr>
          </w:p>
        </w:tc>
        <w:tc>
          <w:tcPr>
            <w:tcW w:w="880" w:type="dxa"/>
            <w:vAlign w:val="bottom"/>
            <w:shd w:val="clear" w:color="auto" w:fill="D1EDF5"/>
          </w:tcPr>
          <w:p>
            <w:pPr>
              <w:spacing w:after="0"/>
              <w:rPr>
                <w:sz w:val="12"/>
                <w:szCs w:val="12"/>
                <w:color w:val="auto"/>
              </w:rPr>
            </w:pPr>
          </w:p>
        </w:tc>
        <w:tc>
          <w:tcPr>
            <w:tcW w:w="60" w:type="dxa"/>
            <w:vAlign w:val="bottom"/>
            <w:shd w:val="clear" w:color="auto" w:fill="D1EDF5"/>
          </w:tcPr>
          <w:p>
            <w:pPr>
              <w:spacing w:after="0"/>
              <w:rPr>
                <w:sz w:val="12"/>
                <w:szCs w:val="12"/>
                <w:color w:val="auto"/>
              </w:rPr>
            </w:pPr>
          </w:p>
        </w:tc>
        <w:tc>
          <w:tcPr>
            <w:tcW w:w="40" w:type="dxa"/>
            <w:vAlign w:val="bottom"/>
            <w:shd w:val="clear" w:color="auto" w:fill="D1EDF5"/>
          </w:tcPr>
          <w:p>
            <w:pPr>
              <w:spacing w:after="0"/>
              <w:rPr>
                <w:sz w:val="12"/>
                <w:szCs w:val="12"/>
                <w:color w:val="auto"/>
              </w:rPr>
            </w:pPr>
          </w:p>
        </w:tc>
        <w:tc>
          <w:tcPr>
            <w:tcW w:w="680" w:type="dxa"/>
            <w:vAlign w:val="bottom"/>
            <w:tcBorders>
              <w:bottom w:val="single" w:sz="8" w:color="auto"/>
            </w:tcBorders>
            <w:vMerge w:val="continue"/>
            <w:shd w:val="clear" w:color="auto" w:fill="D1EDF5"/>
          </w:tcPr>
          <w:p>
            <w:pPr>
              <w:spacing w:after="0"/>
              <w:rPr>
                <w:sz w:val="12"/>
                <w:szCs w:val="12"/>
                <w:color w:val="auto"/>
              </w:rPr>
            </w:pPr>
          </w:p>
        </w:tc>
        <w:tc>
          <w:tcPr>
            <w:tcW w:w="240" w:type="dxa"/>
            <w:vAlign w:val="bottom"/>
            <w:tcBorders>
              <w:bottom w:val="single" w:sz="8" w:color="auto"/>
            </w:tcBorders>
            <w:vMerge w:val="continue"/>
            <w:shd w:val="clear" w:color="auto" w:fill="D1EDF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4123690</wp:posOffset>
                </wp:positionH>
                <wp:positionV relativeFrom="paragraph">
                  <wp:posOffset>-5484495</wp:posOffset>
                </wp:positionV>
                <wp:extent cx="29210" cy="1206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1EDF5"/>
                        </a:solidFill>
                      </wps:spPr>
                      <wps:bodyPr/>
                    </wps:wsp>
                  </a:graphicData>
                </a:graphic>
              </wp:anchor>
            </w:drawing>
          </mc:Choice>
          <mc:Fallback>
            <w:pict>
              <v:rect id="Shape 3" o:spid="_x0000_s1028" style="position:absolute;margin-left:324.7pt;margin-top:-431.8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4744085</wp:posOffset>
                </wp:positionH>
                <wp:positionV relativeFrom="paragraph">
                  <wp:posOffset>-5484495</wp:posOffset>
                </wp:positionV>
                <wp:extent cx="27305" cy="1206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065"/>
                        </a:xfrm>
                        <a:prstGeom prst="rect">
                          <a:avLst/>
                        </a:prstGeom>
                        <a:solidFill>
                          <a:srgbClr val="D1EDF5"/>
                        </a:solidFill>
                      </wps:spPr>
                      <wps:bodyPr/>
                    </wps:wsp>
                  </a:graphicData>
                </a:graphic>
              </wp:anchor>
            </w:drawing>
          </mc:Choice>
          <mc:Fallback>
            <w:pict>
              <v:rect id="Shape 4" o:spid="_x0000_s1029" style="position:absolute;margin-left:373.55pt;margin-top:-431.8499pt;width:2.1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5553075</wp:posOffset>
                </wp:positionH>
                <wp:positionV relativeFrom="paragraph">
                  <wp:posOffset>-5484495</wp:posOffset>
                </wp:positionV>
                <wp:extent cx="29210" cy="1206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1EDF5"/>
                        </a:solidFill>
                      </wps:spPr>
                      <wps:bodyPr/>
                    </wps:wsp>
                  </a:graphicData>
                </a:graphic>
              </wp:anchor>
            </w:drawing>
          </mc:Choice>
          <mc:Fallback>
            <w:pict>
              <v:rect id="Shape 5" o:spid="_x0000_s1030" style="position:absolute;margin-left:437.25pt;margin-top:-431.8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6268085</wp:posOffset>
                </wp:positionH>
                <wp:positionV relativeFrom="paragraph">
                  <wp:posOffset>-5484495</wp:posOffset>
                </wp:positionV>
                <wp:extent cx="27305" cy="1206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065"/>
                        </a:xfrm>
                        <a:prstGeom prst="rect">
                          <a:avLst/>
                        </a:prstGeom>
                        <a:solidFill>
                          <a:srgbClr val="D1EDF5"/>
                        </a:solidFill>
                      </wps:spPr>
                      <wps:bodyPr/>
                    </wps:wsp>
                  </a:graphicData>
                </a:graphic>
              </wp:anchor>
            </w:drawing>
          </mc:Choice>
          <mc:Fallback>
            <w:pict>
              <v:rect id="Shape 6" o:spid="_x0000_s1031" style="position:absolute;margin-left:493.55pt;margin-top:-431.8499pt;width:2.1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32" w:lineRule="exact"/>
        <w:rPr>
          <w:sz w:val="20"/>
          <w:szCs w:val="20"/>
          <w:color w:val="auto"/>
        </w:rPr>
      </w:pPr>
    </w:p>
    <w:p>
      <w:pPr>
        <w:ind w:left="280" w:hanging="280"/>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balances - Daily average balances are used to calculate yields/rates.</w:t>
      </w:r>
    </w:p>
    <w:p>
      <w:pPr>
        <w:spacing w:after="0" w:line="56" w:lineRule="exact"/>
        <w:rPr>
          <w:rFonts w:ascii="Arial" w:cs="Arial" w:eastAsia="Arial" w:hAnsi="Arial"/>
          <w:sz w:val="16"/>
          <w:szCs w:val="16"/>
          <w:color w:val="auto"/>
        </w:rPr>
      </w:pPr>
    </w:p>
    <w:p>
      <w:pPr>
        <w:ind w:left="280" w:hanging="280"/>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loan balances include non-accrual loans. Interest income on loans includes accretion of deferred loan fees, net of deferred loan costs.</w:t>
      </w:r>
    </w:p>
    <w:p>
      <w:pPr>
        <w:spacing w:after="0" w:line="56" w:lineRule="exact"/>
        <w:rPr>
          <w:rFonts w:ascii="Arial" w:cs="Arial" w:eastAsia="Arial" w:hAnsi="Arial"/>
          <w:sz w:val="16"/>
          <w:szCs w:val="16"/>
          <w:color w:val="auto"/>
        </w:rPr>
      </w:pPr>
    </w:p>
    <w:p>
      <w:pPr>
        <w:ind w:left="280" w:hanging="280"/>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fair value except for securities held to maturity. This amount includes FHLB stock.</w:t>
      </w:r>
    </w:p>
    <w:p>
      <w:pPr>
        <w:spacing w:after="0" w:line="56" w:lineRule="exact"/>
        <w:rPr>
          <w:rFonts w:ascii="Arial" w:cs="Arial" w:eastAsia="Arial" w:hAnsi="Arial"/>
          <w:sz w:val="16"/>
          <w:szCs w:val="16"/>
          <w:color w:val="auto"/>
        </w:rPr>
      </w:pPr>
    </w:p>
    <w:p>
      <w:pPr>
        <w:ind w:right="420"/>
        <w:spacing w:after="0" w:line="252" w:lineRule="auto"/>
        <w:tabs>
          <w:tab w:leader="none" w:pos="2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interest spread is the weighted average yield earned on total interest-earning assets minus the weighted average rate paid on total interest-bearing liabilities.</w:t>
      </w:r>
    </w:p>
    <w:p>
      <w:pPr>
        <w:ind w:left="280" w:hanging="280"/>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interest margin is the ratio of net interest income to average total interest-earning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-813435</wp:posOffset>
                </wp:positionV>
                <wp:extent cx="24091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91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0499pt" to="189.7pt,-64.0499pt" o:allowincell="f" strokecolor="#000000" strokeweight="0.4799pt"/>
            </w:pict>
          </mc:Fallback>
        </mc:AlternateContent>
      </w:r>
    </w:p>
    <w:p>
      <w:pPr>
        <w:spacing w:after="0" w:line="242" w:lineRule="exact"/>
        <w:rPr>
          <w:sz w:val="20"/>
          <w:szCs w:val="20"/>
          <w:color w:val="auto"/>
        </w:rPr>
      </w:pPr>
    </w:p>
    <w:p>
      <w:pPr>
        <w:jc w:val="both"/>
        <w:ind w:right="40" w:firstLine="361"/>
        <w:spacing w:after="0" w:line="194" w:lineRule="auto"/>
        <w:rPr>
          <w:sz w:val="20"/>
          <w:szCs w:val="20"/>
          <w:color w:val="auto"/>
        </w:rPr>
      </w:pPr>
      <w:r>
        <w:rPr>
          <w:rFonts w:ascii="Arial" w:cs="Arial" w:eastAsia="Arial" w:hAnsi="Arial"/>
          <w:sz w:val="13"/>
          <w:szCs w:val="13"/>
          <w:color w:val="auto"/>
        </w:rPr>
        <w:t>Net interest income before the provision for credit losses was $83.6 million for the year ended December 31, 2025, a increase of $13.7 million or 19.6%, from $69.9 million for the year ended December 31, 2024. The increase was primarily driven by a decrease in the weighted</w:t>
      </w:r>
      <w:r>
        <w:rPr>
          <w:rFonts w:ascii="Cambria Math" w:cs="Cambria Math" w:eastAsia="Cambria Math" w:hAnsi="Cambria Math"/>
          <w:sz w:val="13"/>
          <w:szCs w:val="13"/>
          <w:color w:val="auto"/>
        </w:rPr>
        <w:t>-</w:t>
      </w:r>
      <w:r>
        <w:rPr>
          <w:rFonts w:ascii="Arial" w:cs="Arial" w:eastAsia="Arial" w:hAnsi="Arial"/>
          <w:sz w:val="13"/>
          <w:szCs w:val="13"/>
          <w:color w:val="auto"/>
        </w:rPr>
        <w:t>average rates paid on interest</w:t>
      </w:r>
      <w:r>
        <w:rPr>
          <w:rFonts w:ascii="Cambria Math" w:cs="Cambria Math" w:eastAsia="Cambria Math" w:hAnsi="Cambria Math"/>
          <w:sz w:val="13"/>
          <w:szCs w:val="13"/>
          <w:color w:val="auto"/>
        </w:rPr>
        <w:t>-</w:t>
      </w:r>
      <w:r>
        <w:rPr>
          <w:rFonts w:ascii="Arial" w:cs="Arial" w:eastAsia="Arial" w:hAnsi="Arial"/>
          <w:sz w:val="13"/>
          <w:szCs w:val="13"/>
          <w:color w:val="auto"/>
        </w:rPr>
        <w:t>bearing liabilities, which lowered overall funding costs, combined with higher weighted</w:t>
      </w:r>
      <w:r>
        <w:rPr>
          <w:rFonts w:ascii="Cambria Math" w:cs="Cambria Math" w:eastAsia="Cambria Math" w:hAnsi="Cambria Math"/>
          <w:sz w:val="13"/>
          <w:szCs w:val="13"/>
          <w:color w:val="auto"/>
        </w:rPr>
        <w:t>-</w:t>
      </w:r>
      <w:r>
        <w:rPr>
          <w:rFonts w:ascii="Arial" w:cs="Arial" w:eastAsia="Arial" w:hAnsi="Arial"/>
          <w:sz w:val="13"/>
          <w:szCs w:val="13"/>
          <w:color w:val="auto"/>
        </w:rPr>
        <w:t xml:space="preserve">average yields on interest </w:t>
      </w:r>
      <w:r>
        <w:rPr>
          <w:rFonts w:ascii="Cambria Math" w:cs="Cambria Math" w:eastAsia="Cambria Math" w:hAnsi="Cambria Math"/>
          <w:sz w:val="13"/>
          <w:szCs w:val="13"/>
          <w:color w:val="auto"/>
        </w:rPr>
        <w:t>-</w:t>
      </w:r>
      <w:r>
        <w:rPr>
          <w:rFonts w:ascii="Arial" w:cs="Arial" w:eastAsia="Arial" w:hAnsi="Arial"/>
          <w:sz w:val="13"/>
          <w:szCs w:val="13"/>
          <w:color w:val="auto"/>
        </w:rPr>
        <w:t>earning assets. In addition, growth in the loan portfolio increased the volume of interest</w:t>
      </w:r>
      <w:r>
        <w:rPr>
          <w:rFonts w:ascii="Cambria Math" w:cs="Cambria Math" w:eastAsia="Cambria Math" w:hAnsi="Cambria Math"/>
          <w:sz w:val="13"/>
          <w:szCs w:val="13"/>
          <w:color w:val="auto"/>
        </w:rPr>
        <w:t>-</w:t>
      </w:r>
      <w:r>
        <w:rPr>
          <w:rFonts w:ascii="Arial" w:cs="Arial" w:eastAsia="Arial" w:hAnsi="Arial"/>
          <w:sz w:val="13"/>
          <w:szCs w:val="13"/>
          <w:color w:val="auto"/>
        </w:rPr>
        <w:t>earning assets, further contributing to the increase in net interest income.</w:t>
      </w:r>
    </w:p>
    <w:p>
      <w:pPr>
        <w:spacing w:after="0" w:line="4" w:lineRule="exact"/>
        <w:rPr>
          <w:sz w:val="20"/>
          <w:szCs w:val="20"/>
          <w:color w:val="auto"/>
        </w:rPr>
      </w:pPr>
    </w:p>
    <w:p>
      <w:pPr>
        <w:jc w:val="both"/>
        <w:ind w:right="40" w:firstLine="360"/>
        <w:spacing w:after="0" w:line="255" w:lineRule="auto"/>
        <w:rPr>
          <w:sz w:val="20"/>
          <w:szCs w:val="20"/>
          <w:color w:val="auto"/>
        </w:rPr>
      </w:pPr>
      <w:r>
        <w:rPr>
          <w:rFonts w:ascii="Arial" w:cs="Arial" w:eastAsia="Arial" w:hAnsi="Arial"/>
          <w:sz w:val="20"/>
          <w:szCs w:val="20"/>
          <w:color w:val="auto"/>
        </w:rPr>
        <w:t>The net interest margin (“NIM”) was 3.20% for the year ended December 31, 2025 and 2.94% for the year ended December 31, 2024. The NIM increased primarily due to a decrease in the weighted average rate paid on interest-bearing</w:t>
      </w:r>
    </w:p>
    <w:p>
      <w:pPr>
        <w:spacing w:after="0" w:line="200" w:lineRule="exact"/>
        <w:rPr>
          <w:sz w:val="20"/>
          <w:szCs w:val="20"/>
          <w:color w:val="auto"/>
        </w:rPr>
      </w:pPr>
    </w:p>
    <w:p>
      <w:pPr>
        <w:spacing w:after="0" w:line="278" w:lineRule="exact"/>
        <w:rPr>
          <w:sz w:val="20"/>
          <w:szCs w:val="20"/>
          <w:color w:val="auto"/>
        </w:rPr>
      </w:pPr>
    </w:p>
    <w:p>
      <w:pPr>
        <w:jc w:val="center"/>
        <w:ind w:right="40"/>
        <w:spacing w:after="0"/>
        <w:tabs>
          <w:tab w:leader="none" w:pos="380" w:val="left"/>
          <w:tab w:leader="none" w:pos="20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40"/>
          </w:cols>
          <w:pgMar w:left="720" w:top="355" w:right="680" w:bottom="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liabilities, in particular a decrease in weighted average rate paid on saving and money market deposits. The decrease in our cost of funds was primarily due to the interest rate market.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Credit Losses</w:t>
      </w:r>
    </w:p>
    <w:p>
      <w:pPr>
        <w:spacing w:after="0" w:line="22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ACL represents expected credit losses in our portfolio as the measurement date. We maintain an adequate ACL that can mitigate expected credit losses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 statistical trends and economic conditions and other applicable factors.</w:t>
      </w:r>
    </w:p>
    <w:p>
      <w:pPr>
        <w:spacing w:after="0" w:line="18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provision for credit loss for the year ended December 31, 2025, was $2.3 million compared to $3.2 million in provision expense for the same period in 2024. The ACL as a percentage of total loans was 1.16% at December 31, 2025 compared to 1.22% at December 31, 2024. The ratio of ACL to total loans decreased due to several payoffs of individually reserved loans during 2025 and the improvement of the expected loss rate for various categories of pooled loans.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“Allowance for Credit Losses” below for further discussion on how the ACL was calculated for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Income</w:t>
      </w:r>
    </w:p>
    <w:p>
      <w:pPr>
        <w:spacing w:after="0" w:line="22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Net interest income and other types of recurring non-interest income are generated from our operations. Our services and products generate service charges and fees, mainly from our depository accounts. We also generate income from our interest swap program and from the gain on sale of loans though our SBA program. In addition, we own life insurance policies on several key employees and generate income reflecting the increase in the cash surrender value of these policies.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components of non-interest income for the periods indicated (in thousands):</w:t>
      </w:r>
    </w:p>
    <w:p>
      <w:pPr>
        <w:sectPr>
          <w:pgSz w:w="12240" w:h="15840"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Service fees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6028690" cy="15176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1765"/>
                        </a:xfrm>
                        <a:prstGeom prst="rect">
                          <a:avLst/>
                        </a:prstGeom>
                        <a:solidFill>
                          <a:srgbClr val="D1EDF5"/>
                        </a:solidFill>
                      </wps:spPr>
                      <wps:bodyPr/>
                    </wps:wsp>
                  </a:graphicData>
                </a:graphic>
              </wp:anchor>
            </w:drawing>
          </mc:Choice>
          <mc:Fallback>
            <w:pict>
              <v:rect id="Shape 8" o:spid="_x0000_s1033" style="position:absolute;margin-left:0pt;margin-top:-10.1999pt;width:474.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-135890</wp:posOffset>
                </wp:positionV>
                <wp:extent cx="5152390" cy="15811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2390" cy="158115"/>
                        </a:xfrm>
                        <a:prstGeom prst="rect">
                          <a:avLst/>
                        </a:prstGeom>
                        <a:solidFill>
                          <a:srgbClr val="D1EDF5"/>
                        </a:solidFill>
                      </wps:spPr>
                      <wps:bodyPr/>
                    </wps:wsp>
                  </a:graphicData>
                </a:graphic>
              </wp:anchor>
            </w:drawing>
          </mc:Choice>
          <mc:Fallback>
            <w:pict>
              <v:rect id="Shape 9" o:spid="_x0000_s1034" style="position:absolute;margin-left:0pt;margin-top:-10.6999pt;width:405.7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 w:lineRule="exact"/>
        <w:rPr>
          <w:sz w:val="20"/>
          <w:szCs w:val="20"/>
          <w:color w:val="auto"/>
        </w:rPr>
      </w:pPr>
    </w:p>
    <w:p>
      <w:pPr>
        <w:ind w:right="3100"/>
        <w:spacing w:after="0" w:line="282" w:lineRule="auto"/>
        <w:rPr>
          <w:sz w:val="20"/>
          <w:szCs w:val="20"/>
          <w:color w:val="auto"/>
        </w:rPr>
      </w:pPr>
      <w:r>
        <w:rPr>
          <w:rFonts w:ascii="Arial" w:cs="Arial" w:eastAsia="Arial" w:hAnsi="Arial"/>
          <w:sz w:val="18"/>
          <w:szCs w:val="18"/>
          <w:color w:val="auto"/>
        </w:rPr>
        <w:t>(Loss) gain on sale of securities available for sale, net Gain on sale of loans held for sale, net Other non-interest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-312420</wp:posOffset>
                </wp:positionV>
                <wp:extent cx="6028690" cy="1524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52400"/>
                        </a:xfrm>
                        <a:prstGeom prst="rect">
                          <a:avLst/>
                        </a:prstGeom>
                        <a:solidFill>
                          <a:srgbClr val="D1EDF5"/>
                        </a:solidFill>
                      </wps:spPr>
                      <wps:bodyPr/>
                    </wps:wsp>
                  </a:graphicData>
                </a:graphic>
              </wp:anchor>
            </w:drawing>
          </mc:Choice>
          <mc:Fallback>
            <w:pict>
              <v:rect id="Shape 10" o:spid="_x0000_s1035" style="position:absolute;margin-left:0pt;margin-top:-24.5999pt;width:474.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028690" cy="16129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8690" cy="161290"/>
                        </a:xfrm>
                        <a:prstGeom prst="rect">
                          <a:avLst/>
                        </a:prstGeom>
                        <a:solidFill>
                          <a:srgbClr val="D1EDF5"/>
                        </a:solidFill>
                      </wps:spPr>
                      <wps:bodyPr/>
                    </wps:wsp>
                  </a:graphicData>
                </a:graphic>
              </wp:anchor>
            </w:drawing>
          </mc:Choice>
          <mc:Fallback>
            <w:pict>
              <v:rect id="Shape 11" o:spid="_x0000_s1036" style="position:absolute;margin-left:0pt;margin-top:-0.0999pt;width:474.7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-4445</wp:posOffset>
                </wp:positionV>
                <wp:extent cx="515239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52390" cy="4763"/>
                        </a:xfrm>
                        <a:prstGeom prst="line">
                          <a:avLst/>
                        </a:prstGeom>
                        <a:solidFill>
                          <a:srgbClr val="FFFFFF"/>
                        </a:solidFill>
                        <a:ln w="6096">
                          <a:solidFill>
                            <a:srgbClr val="D1EDF5"/>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499pt" to="405.7pt,-0.3499pt" o:allowincell="f" strokecolor="#D1EDF5" strokeweight="0.48pt"/>
            </w:pict>
          </mc:Fallback>
        </mc:AlternateContent>
      </w:r>
    </w:p>
    <w:p>
      <w:pPr>
        <w:ind w:left="140"/>
        <w:spacing w:after="0"/>
        <w:rPr>
          <w:sz w:val="20"/>
          <w:szCs w:val="20"/>
          <w:color w:val="auto"/>
        </w:rPr>
      </w:pPr>
      <w:r>
        <w:rPr>
          <w:rFonts w:ascii="Arial" w:cs="Arial" w:eastAsia="Arial" w:hAnsi="Arial"/>
          <w:sz w:val="18"/>
          <w:szCs w:val="18"/>
          <w:color w:val="auto"/>
        </w:rPr>
        <w:t>Total non-interest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85090</wp:posOffset>
                </wp:positionH>
                <wp:positionV relativeFrom="paragraph">
                  <wp:posOffset>-119380</wp:posOffset>
                </wp:positionV>
                <wp:extent cx="5067300" cy="13081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0" cy="130810"/>
                        </a:xfrm>
                        <a:prstGeom prst="rect">
                          <a:avLst/>
                        </a:prstGeom>
                        <a:solidFill>
                          <a:srgbClr val="D1EDF5"/>
                        </a:solidFill>
                      </wps:spPr>
                      <wps:bodyPr/>
                    </wps:wsp>
                  </a:graphicData>
                </a:graphic>
              </wp:anchor>
            </w:drawing>
          </mc:Choice>
          <mc:Fallback>
            <w:pict>
              <v:rect id="Shape 13" o:spid="_x0000_s1038" style="position:absolute;margin-left:6.7pt;margin-top:-9.3999pt;width:399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17145</wp:posOffset>
                </wp:positionV>
                <wp:extent cx="170561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56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pt,1.35pt" to="135pt,1.35pt" o:allowincell="f" strokecolor="#000000" strokeweight="0.48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9,603</w:t>
            </w:r>
          </w:p>
        </w:tc>
        <w:tc>
          <w:tcPr>
            <w:tcW w:w="60" w:type="dxa"/>
            <w:vAlign w:val="bottom"/>
            <w:vMerge w:val="continue"/>
          </w:tcPr>
          <w:p>
            <w:pPr>
              <w:spacing w:after="0"/>
              <w:rPr>
                <w:sz w:val="17"/>
                <w:szCs w:val="17"/>
                <w:color w:val="auto"/>
              </w:rPr>
            </w:pPr>
          </w:p>
        </w:tc>
        <w:tc>
          <w:tcPr>
            <w:tcW w:w="80" w:type="dxa"/>
            <w:vAlign w:val="bottom"/>
            <w:tcBorders>
              <w:left w:val="single" w:sz="8" w:color="D1EDF5"/>
            </w:tcBorders>
            <w:shd w:val="clear" w:color="auto" w:fill="D1EDF5"/>
          </w:tcPr>
          <w:p>
            <w:pPr>
              <w:spacing w:after="0"/>
              <w:rPr>
                <w:sz w:val="17"/>
                <w:szCs w:val="17"/>
                <w:color w:val="auto"/>
              </w:rPr>
            </w:pPr>
          </w:p>
        </w:tc>
        <w:tc>
          <w:tcPr>
            <w:tcW w:w="180" w:type="dxa"/>
            <w:vAlign w:val="bottom"/>
            <w:vMerge w:val="continue"/>
            <w:shd w:val="clear" w:color="auto" w:fill="D1EDF5"/>
          </w:tcPr>
          <w:p>
            <w:pPr>
              <w:spacing w:after="0"/>
              <w:rPr>
                <w:sz w:val="17"/>
                <w:szCs w:val="17"/>
                <w:color w:val="auto"/>
              </w:rPr>
            </w:pPr>
          </w:p>
        </w:tc>
        <w:tc>
          <w:tcPr>
            <w:tcW w:w="1120" w:type="dxa"/>
            <w:vAlign w:val="bottom"/>
            <w:vMerge w:val="continue"/>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1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7"/>
                <w:szCs w:val="17"/>
                <w:color w:val="auto"/>
              </w:rPr>
            </w:pPr>
          </w:p>
        </w:tc>
        <w:tc>
          <w:tcPr>
            <w:tcW w:w="80" w:type="dxa"/>
            <w:vAlign w:val="bottom"/>
            <w:tcBorders>
              <w:left w:val="single" w:sz="8" w:color="D1EDF5"/>
            </w:tcBorders>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3,514</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38"/>
        </w:trPr>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12,740</w:t>
            </w:r>
          </w:p>
        </w:tc>
        <w:tc>
          <w:tcPr>
            <w:tcW w:w="0" w:type="dxa"/>
            <w:vAlign w:val="bottom"/>
          </w:tcPr>
          <w:p>
            <w:pPr>
              <w:spacing w:after="0" w:line="20" w:lineRule="exact"/>
              <w:rPr>
                <w:sz w:val="1"/>
                <w:szCs w:val="1"/>
                <w:color w:val="auto"/>
              </w:rPr>
            </w:pPr>
          </w:p>
        </w:tc>
      </w:tr>
      <w:tr>
        <w:trPr>
          <w:trHeight w:val="208"/>
        </w:trPr>
        <w:tc>
          <w:tcPr>
            <w:tcW w:w="200" w:type="dxa"/>
            <w:vAlign w:val="bottom"/>
            <w:tcBorders>
              <w:bottom w:val="single" w:sz="8" w:color="auto"/>
            </w:tcBorders>
            <w:gridSpan w:val="2"/>
            <w:vMerge w:val="continue"/>
          </w:tcPr>
          <w:p>
            <w:pPr>
              <w:spacing w:after="0"/>
              <w:rPr>
                <w:sz w:val="18"/>
                <w:szCs w:val="18"/>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6,592</w:t>
            </w:r>
          </w:p>
        </w:tc>
        <w:tc>
          <w:tcPr>
            <w:tcW w:w="60" w:type="dxa"/>
            <w:vAlign w:val="bottom"/>
            <w:tcBorders>
              <w:bottom w:val="single" w:sz="8" w:color="auto"/>
            </w:tcBorders>
            <w:vMerge w:val="continue"/>
          </w:tcPr>
          <w:p>
            <w:pPr>
              <w:spacing w:after="0"/>
              <w:rPr>
                <w:sz w:val="18"/>
                <w:szCs w:val="18"/>
                <w:color w:val="auto"/>
              </w:rPr>
            </w:pPr>
          </w:p>
        </w:tc>
        <w:tc>
          <w:tcPr>
            <w:tcW w:w="80" w:type="dxa"/>
            <w:vAlign w:val="bottom"/>
            <w:tcBorders>
              <w:left w:val="single" w:sz="8" w:color="D1EDF5"/>
              <w:bottom w:val="single" w:sz="8" w:color="auto"/>
            </w:tcBorders>
            <w:shd w:val="clear" w:color="auto" w:fill="D1EDF5"/>
          </w:tcPr>
          <w:p>
            <w:pPr>
              <w:spacing w:after="0"/>
              <w:rPr>
                <w:sz w:val="18"/>
                <w:szCs w:val="18"/>
                <w:color w:val="auto"/>
              </w:rPr>
            </w:pPr>
          </w:p>
        </w:tc>
        <w:tc>
          <w:tcPr>
            <w:tcW w:w="180" w:type="dxa"/>
            <w:vAlign w:val="bottom"/>
            <w:tcBorders>
              <w:bottom w:val="single" w:sz="8" w:color="auto"/>
            </w:tcBorders>
            <w:vMerge w:val="continue"/>
            <w:shd w:val="clear" w:color="auto" w:fill="D1EDF5"/>
          </w:tcPr>
          <w:p>
            <w:pPr>
              <w:spacing w:after="0"/>
              <w:rPr>
                <w:sz w:val="18"/>
                <w:szCs w:val="18"/>
                <w:color w:val="auto"/>
              </w:rPr>
            </w:pPr>
          </w:p>
        </w:tc>
        <w:tc>
          <w:tcPr>
            <w:tcW w:w="1120" w:type="dxa"/>
            <w:vAlign w:val="bottom"/>
            <w:tcBorders>
              <w:bottom w:val="single" w:sz="8" w:color="auto"/>
            </w:tcBorders>
            <w:vMerge w:val="continue"/>
            <w:shd w:val="clear" w:color="auto" w:fill="D1ED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380" w:space="720"/>
            <w:col w:w="2700"/>
          </w:cols>
          <w:pgMar w:left="720" w:top="355" w:right="720" w:bottom="0" w:gutter="0" w:footer="0" w:header="0"/>
          <w:type w:val="continuous"/>
        </w:sectPr>
      </w:pPr>
    </w:p>
    <w:p>
      <w:pPr>
        <w:spacing w:after="0" w:line="1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Non- interest income for the year ended December 31, 2025 was $6.6 million compared to $12.7 million for the same period in 2024. This decrease was primarily driven by a $7.5 million loss on sale of securities available for sale resulting from a portfolio restructuring strategy approved by the Board of Directors and implemented in December 2025. The portfolio restructuring strategy resulted in the sale of lower-yielding available-for-sale securities at a loss in order to better position our securities portfolio. Proceeds from the sale transactions were primarily reinvested in assets bearing higher yields than those on the securities that were sold. Service fees increased $764 thousand or 8.6%, primarily due to title insurance fees and prepayment penalties. The gain on sale of SBA 7a loans increased $254 thousand or 34.0%, and other non-interest income increased $374 thousand or 11.9%, primarily due to increases in the cash surrender values of bank-owned life insurance policies.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Non-Interest Expense</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components of non-interest expense for the periods indicated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9"/>
              </w:rPr>
              <w:t>Years Ended December 31,</w:t>
            </w:r>
          </w:p>
        </w:tc>
      </w:tr>
      <w:tr>
        <w:trPr>
          <w:trHeight w:val="232"/>
        </w:trPr>
        <w:tc>
          <w:tcPr>
            <w:tcW w:w="140" w:type="dxa"/>
            <w:vAlign w:val="bottom"/>
            <w:tcBorders>
              <w:bottom w:val="single" w:sz="8" w:color="D1EDF5"/>
            </w:tcBorders>
          </w:tcPr>
          <w:p>
            <w:pPr>
              <w:spacing w:after="0"/>
              <w:rPr>
                <w:sz w:val="20"/>
                <w:szCs w:val="20"/>
                <w:color w:val="auto"/>
              </w:rPr>
            </w:pPr>
          </w:p>
        </w:tc>
        <w:tc>
          <w:tcPr>
            <w:tcW w:w="79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30"/>
        </w:trPr>
        <w:tc>
          <w:tcPr>
            <w:tcW w:w="810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Salaries and employee benefits</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32,167</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28,793</w:t>
            </w:r>
          </w:p>
        </w:tc>
      </w:tr>
      <w:tr>
        <w:trPr>
          <w:trHeight w:val="240"/>
        </w:trPr>
        <w:tc>
          <w:tcPr>
            <w:tcW w:w="810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40"/>
        </w:trPr>
        <w:tc>
          <w:tcPr>
            <w:tcW w:w="810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Regulatory assessment and fees</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1,637</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1,766</w:t>
            </w:r>
          </w:p>
        </w:tc>
      </w:tr>
      <w:tr>
        <w:trPr>
          <w:trHeight w:val="240"/>
        </w:trPr>
        <w:tc>
          <w:tcPr>
            <w:tcW w:w="8100" w:type="dxa"/>
            <w:vAlign w:val="bottom"/>
            <w:gridSpan w:val="2"/>
          </w:tcPr>
          <w:p>
            <w:pPr>
              <w:spacing w:after="0"/>
              <w:rPr>
                <w:sz w:val="20"/>
                <w:szCs w:val="20"/>
                <w:color w:val="auto"/>
              </w:rPr>
            </w:pPr>
            <w:r>
              <w:rPr>
                <w:rFonts w:ascii="Arial" w:cs="Arial" w:eastAsia="Arial" w:hAnsi="Arial"/>
                <w:sz w:val="18"/>
                <w:szCs w:val="18"/>
                <w:color w:val="auto"/>
              </w:rPr>
              <w:t>Consulting and legal fees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40"/>
        </w:trPr>
        <w:tc>
          <w:tcPr>
            <w:tcW w:w="810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Network and information technology services</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2,324</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1,993</w:t>
            </w:r>
          </w:p>
        </w:tc>
      </w:tr>
      <w:tr>
        <w:trPr>
          <w:trHeight w:val="240"/>
        </w:trPr>
        <w:tc>
          <w:tcPr>
            <w:tcW w:w="810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Other operating</w:t>
            </w: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D1EDF5"/>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w:t>
            </w:r>
          </w:p>
        </w:tc>
      </w:tr>
      <w:tr>
        <w:trPr>
          <w:trHeight w:val="245"/>
        </w:trPr>
        <w:tc>
          <w:tcPr>
            <w:tcW w:w="140" w:type="dxa"/>
            <w:vAlign w:val="bottom"/>
            <w:tcBorders>
              <w:bottom w:val="single" w:sz="8" w:color="D1EDF5"/>
            </w:tcBorders>
            <w:shd w:val="clear" w:color="auto" w:fill="D1EDF5"/>
          </w:tcPr>
          <w:p>
            <w:pPr>
              <w:spacing w:after="0"/>
              <w:rPr>
                <w:sz w:val="21"/>
                <w:szCs w:val="21"/>
                <w:color w:val="auto"/>
              </w:rPr>
            </w:pPr>
          </w:p>
        </w:tc>
        <w:tc>
          <w:tcPr>
            <w:tcW w:w="79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52,009</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47,042</w:t>
            </w:r>
          </w:p>
        </w:tc>
      </w:tr>
      <w:tr>
        <w:trPr>
          <w:trHeight w:val="20"/>
        </w:trPr>
        <w:tc>
          <w:tcPr>
            <w:tcW w:w="1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2"/>
        <w:spacing w:after="0" w:line="246" w:lineRule="auto"/>
        <w:rPr>
          <w:sz w:val="20"/>
          <w:szCs w:val="20"/>
          <w:color w:val="auto"/>
        </w:rPr>
      </w:pPr>
      <w:r>
        <w:rPr>
          <w:rFonts w:ascii="Arial" w:cs="Arial" w:eastAsia="Arial" w:hAnsi="Arial"/>
          <w:sz w:val="20"/>
          <w:szCs w:val="20"/>
          <w:color w:val="auto"/>
        </w:rPr>
        <w:t>Non-interest expense for the year ended December 31, 2025 increased $5.0 million or 10.6%, compared to the year ended December 31, 2024. The increase is primarily due to $3.4 million or 11.7% increase in salaries and employee benefits consisting of a $2.2 million or 11.0% increase due to merit promotions and new hires, a $455 thousand or 13.6% increase in benefits (health insurance) and payroll taxes, and a $876 thousand increase in stock-based compensation due to the Company’s favorable financial performance in 2025. Other operating expense had an increase of $946 thousand or 12.3% consisting of an increase of $204 thousand in item processing, $146 thousand in internet banking fees, a $169 thousand increase in promotional expense, a $207 thousand increase in director fees, and a $220 thousand in other operating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w:t>
      </w:r>
    </w:p>
    <w:p>
      <w:pPr>
        <w:spacing w:after="0" w:line="22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Fluctuations in the effective tax rate reflect the effect of the differences in the inclusion or deductibility of certain income and expense for income tax purposes. Therefore, future decisions on the investments we choose will affect our effective tax rate. Changes in the cash surrender value of bank- owned life insurance policies for key employees, purchasing municipal bonds, and overall taxable income will be important elements in determining our effective tax rate.</w:t>
      </w:r>
    </w:p>
    <w:p>
      <w:pPr>
        <w:spacing w:after="0" w:line="179" w:lineRule="exact"/>
        <w:rPr>
          <w:sz w:val="20"/>
          <w:szCs w:val="20"/>
          <w:color w:val="auto"/>
        </w:rPr>
      </w:pPr>
    </w:p>
    <w:p>
      <w:pPr>
        <w:jc w:val="both"/>
        <w:ind w:firstLine="416"/>
        <w:spacing w:after="0" w:line="250" w:lineRule="auto"/>
        <w:rPr>
          <w:sz w:val="20"/>
          <w:szCs w:val="20"/>
          <w:color w:val="auto"/>
        </w:rPr>
      </w:pPr>
      <w:r>
        <w:rPr>
          <w:rFonts w:ascii="Arial" w:cs="Arial" w:eastAsia="Arial" w:hAnsi="Arial"/>
          <w:sz w:val="20"/>
          <w:szCs w:val="20"/>
          <w:color w:val="auto"/>
        </w:rPr>
        <w:t>Income tax expense for the year ended December 31, 2025 was $9.8 million, compared to $7.8 million for the year ended December 31, 2024. The effective tax rate increased to 27.3% for the year ended December 31, 2025 from 24.0% for the year ended December 31, 2024. The increase in effective tax rate in 2025 was due primarily to the recognition of $1.1 million of state tax liability expense for the year ended December 31, 2024. The state tax liability expense was related to taxes due on interest income on loans whose collateral is located outside the State of Florida.</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have any tax-exempt securities at both December 31, 2025 and December 31, 2024.</w:t>
      </w:r>
    </w:p>
    <w:p>
      <w:pPr>
        <w:spacing w:after="0" w:line="23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For a further discussion on income taxes, see Note 6 “Income Taxes” to the Consolidated Financial Statements set forth in Item 8 of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Rate/Volume Analysis</w:t>
      </w:r>
    </w:p>
    <w:p>
      <w:pPr>
        <w:spacing w:after="0" w:line="22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table below sets forth information regarding changes in interest income and interest expense for the periods indicated (in thousands) .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 volume are proportionately allocated between rate and volume variance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8"/>
                <w:szCs w:val="18"/>
                <w:b w:val="1"/>
                <w:bCs w:val="1"/>
                <w:color w:val="auto"/>
              </w:rPr>
              <w:t>Years Ended 2025 vs. 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8"/>
          </w:tcPr>
          <w:p>
            <w:pPr>
              <w:jc w:val="right"/>
              <w:ind w:right="470"/>
              <w:spacing w:after="0"/>
              <w:rPr>
                <w:sz w:val="20"/>
                <w:szCs w:val="20"/>
                <w:color w:val="auto"/>
              </w:rPr>
            </w:pPr>
            <w:r>
              <w:rPr>
                <w:rFonts w:ascii="Arial" w:cs="Arial" w:eastAsia="Arial" w:hAnsi="Arial"/>
                <w:sz w:val="18"/>
                <w:szCs w:val="18"/>
                <w:b w:val="1"/>
                <w:bCs w:val="1"/>
                <w:color w:val="auto"/>
              </w:rPr>
              <w:t>Years Ended 2024 vs. 2023</w:t>
            </w:r>
          </w:p>
        </w:tc>
      </w:tr>
      <w:tr>
        <w:trPr>
          <w:trHeight w:val="215"/>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rPr>
              <w:t>Increase (decrease) due to change 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8"/>
          </w:tcPr>
          <w:p>
            <w:pPr>
              <w:jc w:val="right"/>
              <w:ind w:right="30"/>
              <w:spacing w:after="0"/>
              <w:rPr>
                <w:sz w:val="20"/>
                <w:szCs w:val="20"/>
                <w:color w:val="auto"/>
              </w:rPr>
            </w:pPr>
            <w:r>
              <w:rPr>
                <w:rFonts w:ascii="Arial" w:cs="Arial" w:eastAsia="Arial" w:hAnsi="Arial"/>
                <w:sz w:val="18"/>
                <w:szCs w:val="18"/>
                <w:b w:val="1"/>
                <w:bCs w:val="1"/>
                <w:color w:val="auto"/>
                <w:w w:val="99"/>
              </w:rPr>
              <w:t>Increase (decrease) due to change in</w:t>
            </w:r>
          </w:p>
        </w:tc>
      </w:tr>
      <w:tr>
        <w:trPr>
          <w:trHeight w:val="175"/>
        </w:trPr>
        <w:tc>
          <w:tcPr>
            <w:tcW w:w="39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6"/>
              </w:rPr>
              <w:t>Net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0"/>
              <w:spacing w:after="0" w:line="176" w:lineRule="exact"/>
              <w:rPr>
                <w:sz w:val="20"/>
                <w:szCs w:val="20"/>
                <w:color w:val="auto"/>
              </w:rPr>
            </w:pPr>
            <w:r>
              <w:rPr>
                <w:rFonts w:ascii="Arial" w:cs="Arial" w:eastAsia="Arial" w:hAnsi="Arial"/>
                <w:sz w:val="18"/>
                <w:szCs w:val="18"/>
                <w:b w:val="1"/>
                <w:bCs w:val="1"/>
                <w:color w:val="auto"/>
              </w:rPr>
              <w:t>Net</w:t>
            </w:r>
          </w:p>
        </w:tc>
      </w:tr>
      <w:tr>
        <w:trPr>
          <w:trHeight w:val="230"/>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Volume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Change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Volume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Change</w:t>
            </w:r>
          </w:p>
        </w:tc>
      </w:tr>
      <w:tr>
        <w:trPr>
          <w:trHeight w:val="230"/>
        </w:trPr>
        <w:tc>
          <w:tcPr>
            <w:tcW w:w="39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Interest-earning assets:</w:t>
            </w:r>
          </w:p>
        </w:tc>
        <w:tc>
          <w:tcPr>
            <w:tcW w:w="120" w:type="dxa"/>
            <w:vAlign w:val="bottom"/>
            <w:tcBorders>
              <w:top w:val="single" w:sz="8" w:color="auto"/>
            </w:tcBorders>
            <w:shd w:val="clear" w:color="auto" w:fill="D1EDF5"/>
          </w:tcPr>
          <w:p>
            <w:pPr>
              <w:spacing w:after="0"/>
              <w:rPr>
                <w:sz w:val="19"/>
                <w:szCs w:val="19"/>
                <w:color w:val="auto"/>
              </w:rPr>
            </w:pPr>
          </w:p>
        </w:tc>
        <w:tc>
          <w:tcPr>
            <w:tcW w:w="110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20" w:type="dxa"/>
            <w:vAlign w:val="bottom"/>
            <w:tcBorders>
              <w:top w:val="single" w:sz="8" w:color="auto"/>
            </w:tcBorders>
            <w:shd w:val="clear" w:color="auto" w:fill="D1EDF5"/>
          </w:tcPr>
          <w:p>
            <w:pPr>
              <w:spacing w:after="0"/>
              <w:rPr>
                <w:sz w:val="19"/>
                <w:szCs w:val="19"/>
                <w:color w:val="auto"/>
              </w:rPr>
            </w:pPr>
          </w:p>
        </w:tc>
        <w:tc>
          <w:tcPr>
            <w:tcW w:w="84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0" w:type="dxa"/>
            <w:vAlign w:val="bottom"/>
            <w:tcBorders>
              <w:top w:val="single" w:sz="8" w:color="auto"/>
            </w:tcBorders>
            <w:shd w:val="clear" w:color="auto" w:fill="D1EDF5"/>
          </w:tcPr>
          <w:p>
            <w:pPr>
              <w:spacing w:after="0"/>
              <w:rPr>
                <w:sz w:val="19"/>
                <w:szCs w:val="19"/>
                <w:color w:val="auto"/>
              </w:rPr>
            </w:pPr>
          </w:p>
        </w:tc>
        <w:tc>
          <w:tcPr>
            <w:tcW w:w="8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06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200" w:type="dxa"/>
            <w:vAlign w:val="bottom"/>
            <w:tcBorders>
              <w:top w:val="single" w:sz="8" w:color="auto"/>
            </w:tcBorders>
            <w:shd w:val="clear" w:color="auto" w:fill="D1EDF5"/>
          </w:tcPr>
          <w:p>
            <w:pPr>
              <w:spacing w:after="0"/>
              <w:rPr>
                <w:sz w:val="19"/>
                <w:szCs w:val="19"/>
                <w:color w:val="auto"/>
              </w:rPr>
            </w:pPr>
          </w:p>
        </w:tc>
        <w:tc>
          <w:tcPr>
            <w:tcW w:w="84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860" w:type="dxa"/>
            <w:vAlign w:val="bottom"/>
            <w:tcBorders>
              <w:top w:val="single" w:sz="8" w:color="auto"/>
            </w:tcBorders>
            <w:shd w:val="clear" w:color="auto" w:fill="D1EDF5"/>
          </w:tcPr>
          <w:p>
            <w:pPr>
              <w:spacing w:after="0"/>
              <w:rPr>
                <w:sz w:val="19"/>
                <w:szCs w:val="19"/>
                <w:color w:val="auto"/>
              </w:rPr>
            </w:pPr>
          </w:p>
        </w:tc>
      </w:tr>
      <w:tr>
        <w:trPr>
          <w:trHeight w:val="240"/>
        </w:trPr>
        <w:tc>
          <w:tcPr>
            <w:tcW w:w="3940" w:type="dxa"/>
            <w:vAlign w:val="bottom"/>
          </w:tcPr>
          <w:p>
            <w:pPr>
              <w:ind w:left="140"/>
              <w:spacing w:after="0" w:line="240" w:lineRule="exact"/>
              <w:rPr>
                <w:sz w:val="20"/>
                <w:szCs w:val="20"/>
                <w:color w:val="auto"/>
              </w:rPr>
            </w:pPr>
            <w:r>
              <w:rPr>
                <w:rFonts w:ascii="Arial" w:cs="Arial" w:eastAsia="Arial" w:hAnsi="Arial"/>
                <w:sz w:val="18"/>
                <w:szCs w:val="18"/>
                <w:color w:val="auto"/>
              </w:rPr>
              <w:t xml:space="preserve">Loans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12,812</w:t>
            </w:r>
          </w:p>
        </w:tc>
        <w:tc>
          <w:tcPr>
            <w:tcW w:w="20" w:type="dxa"/>
            <w:vAlign w:val="bottom"/>
          </w:tcPr>
          <w:p>
            <w:pPr>
              <w:spacing w:after="0"/>
              <w:rPr>
                <w:sz w:val="20"/>
                <w:szCs w:val="20"/>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12,924</w:t>
            </w: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13,949</w:t>
            </w:r>
          </w:p>
        </w:tc>
        <w:tc>
          <w:tcPr>
            <w:tcW w:w="60" w:type="dxa"/>
            <w:vAlign w:val="bottom"/>
          </w:tcPr>
          <w:p>
            <w:pPr>
              <w:spacing w:after="0"/>
              <w:rPr>
                <w:sz w:val="20"/>
                <w:szCs w:val="20"/>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27,352</w:t>
            </w:r>
          </w:p>
        </w:tc>
      </w:tr>
      <w:tr>
        <w:trPr>
          <w:trHeight w:val="280"/>
        </w:trPr>
        <w:tc>
          <w:tcPr>
            <w:tcW w:w="3940" w:type="dxa"/>
            <w:vAlign w:val="bottom"/>
            <w:tcBorders>
              <w:bottom w:val="single" w:sz="8" w:color="D1EDF5"/>
            </w:tcBorders>
            <w:shd w:val="clear" w:color="auto" w:fill="D1EDF5"/>
          </w:tcPr>
          <w:p>
            <w:pPr>
              <w:ind w:left="140"/>
              <w:spacing w:after="0" w:line="262" w:lineRule="exact"/>
              <w:rPr>
                <w:sz w:val="20"/>
                <w:szCs w:val="20"/>
                <w:color w:val="auto"/>
              </w:rPr>
            </w:pPr>
            <w:r>
              <w:rPr>
                <w:rFonts w:ascii="Arial" w:cs="Arial" w:eastAsia="Arial" w:hAnsi="Arial"/>
                <w:sz w:val="18"/>
                <w:szCs w:val="18"/>
                <w:color w:val="auto"/>
              </w:rPr>
              <w:t xml:space="preserve">Investment securities </w:t>
            </w:r>
            <w:r>
              <w:rPr>
                <w:rFonts w:ascii="Arial" w:cs="Arial" w:eastAsia="Arial" w:hAnsi="Arial"/>
                <w:sz w:val="24"/>
                <w:szCs w:val="24"/>
                <w:color w:val="auto"/>
                <w:vertAlign w:val="superscript"/>
              </w:rPr>
              <w:t>(2)</w:t>
            </w:r>
          </w:p>
        </w:tc>
        <w:tc>
          <w:tcPr>
            <w:tcW w:w="120" w:type="dxa"/>
            <w:vAlign w:val="bottom"/>
            <w:tcBorders>
              <w:bottom w:val="single" w:sz="8" w:color="D1EDF5"/>
            </w:tcBorders>
            <w:shd w:val="clear" w:color="auto" w:fill="D1EDF5"/>
          </w:tcPr>
          <w:p>
            <w:pPr>
              <w:spacing w:after="0"/>
              <w:rPr>
                <w:sz w:val="24"/>
                <w:szCs w:val="24"/>
                <w:color w:val="auto"/>
              </w:rPr>
            </w:pPr>
          </w:p>
        </w:tc>
        <w:tc>
          <w:tcPr>
            <w:tcW w:w="11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D1EDF5"/>
            </w:tcBorders>
            <w:shd w:val="clear" w:color="auto" w:fill="D1EDF5"/>
          </w:tcPr>
          <w:p>
            <w:pPr>
              <w:spacing w:after="0"/>
              <w:rPr>
                <w:sz w:val="24"/>
                <w:szCs w:val="24"/>
                <w:color w:val="auto"/>
              </w:rPr>
            </w:pPr>
          </w:p>
        </w:tc>
        <w:tc>
          <w:tcPr>
            <w:tcW w:w="8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100" w:type="dxa"/>
            <w:vAlign w:val="bottom"/>
            <w:tcBorders>
              <w:bottom w:val="single" w:sz="8" w:color="D1EDF5"/>
            </w:tcBorders>
            <w:shd w:val="clear" w:color="auto" w:fill="D1EDF5"/>
          </w:tcPr>
          <w:p>
            <w:pPr>
              <w:spacing w:after="0"/>
              <w:rPr>
                <w:sz w:val="24"/>
                <w:szCs w:val="24"/>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1,378</w:t>
            </w:r>
          </w:p>
        </w:tc>
        <w:tc>
          <w:tcPr>
            <w:tcW w:w="6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1,468</w:t>
            </w:r>
          </w:p>
        </w:tc>
      </w:tr>
      <w:tr>
        <w:trPr>
          <w:trHeight w:val="300"/>
        </w:trPr>
        <w:tc>
          <w:tcPr>
            <w:tcW w:w="3940" w:type="dxa"/>
            <w:vAlign w:val="bottom"/>
          </w:tcPr>
          <w:p>
            <w:pPr>
              <w:ind w:left="140"/>
              <w:spacing w:after="0"/>
              <w:rPr>
                <w:sz w:val="20"/>
                <w:szCs w:val="20"/>
                <w:color w:val="auto"/>
              </w:rPr>
            </w:pPr>
            <w:r>
              <w:rPr>
                <w:rFonts w:ascii="Arial" w:cs="Arial" w:eastAsia="Arial" w:hAnsi="Arial"/>
                <w:sz w:val="18"/>
                <w:szCs w:val="18"/>
                <w:color w:val="auto"/>
              </w:rPr>
              <w:t>Other interest-earning assets</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90"/>
        </w:trPr>
        <w:tc>
          <w:tcPr>
            <w:tcW w:w="39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Total increase in interest income</w:t>
            </w:r>
          </w:p>
        </w:tc>
        <w:tc>
          <w:tcPr>
            <w:tcW w:w="1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13,555</w:t>
            </w:r>
          </w:p>
        </w:tc>
        <w:tc>
          <w:tcPr>
            <w:tcW w:w="20" w:type="dxa"/>
            <w:vAlign w:val="bottom"/>
            <w:tcBorders>
              <w:top w:val="single" w:sz="8" w:color="D1EDF5"/>
            </w:tcBorders>
            <w:shd w:val="clear" w:color="auto" w:fill="D1EDF5"/>
          </w:tcPr>
          <w:p>
            <w:pPr>
              <w:spacing w:after="0"/>
              <w:rPr>
                <w:sz w:val="24"/>
                <w:szCs w:val="24"/>
                <w:color w:val="auto"/>
              </w:rPr>
            </w:pPr>
          </w:p>
        </w:tc>
        <w:tc>
          <w:tcPr>
            <w:tcW w:w="20" w:type="dxa"/>
            <w:vAlign w:val="bottom"/>
            <w:tcBorders>
              <w:top w:val="single" w:sz="8" w:color="D1EDF5"/>
            </w:tcBorders>
            <w:shd w:val="clear" w:color="auto" w:fill="D1EDF5"/>
          </w:tcPr>
          <w:p>
            <w:pPr>
              <w:spacing w:after="0"/>
              <w:rPr>
                <w:sz w:val="24"/>
                <w:szCs w:val="24"/>
                <w:color w:val="auto"/>
              </w:rPr>
            </w:pPr>
          </w:p>
        </w:tc>
        <w:tc>
          <w:tcPr>
            <w:tcW w:w="220" w:type="dxa"/>
            <w:vAlign w:val="bottom"/>
            <w:tcBorders>
              <w:top w:val="single" w:sz="8" w:color="auto"/>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top w:val="single" w:sz="8" w:color="D1EDF5"/>
            </w:tcBorders>
            <w:shd w:val="clear" w:color="auto" w:fill="D1EDF5"/>
          </w:tcPr>
          <w:p>
            <w:pPr>
              <w:spacing w:after="0"/>
              <w:rPr>
                <w:sz w:val="24"/>
                <w:szCs w:val="24"/>
                <w:color w:val="auto"/>
              </w:rPr>
            </w:pPr>
          </w:p>
        </w:tc>
        <w:tc>
          <w:tcPr>
            <w:tcW w:w="20" w:type="dxa"/>
            <w:vAlign w:val="bottom"/>
            <w:tcBorders>
              <w:top w:val="single" w:sz="8" w:color="D1EDF5"/>
            </w:tcBorders>
            <w:shd w:val="clear" w:color="auto" w:fill="D1EDF5"/>
          </w:tcPr>
          <w:p>
            <w:pPr>
              <w:spacing w:after="0"/>
              <w:rPr>
                <w:sz w:val="24"/>
                <w:szCs w:val="24"/>
                <w:color w:val="auto"/>
              </w:rPr>
            </w:pPr>
          </w:p>
        </w:tc>
        <w:tc>
          <w:tcPr>
            <w:tcW w:w="20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14,254</w:t>
            </w:r>
          </w:p>
        </w:tc>
        <w:tc>
          <w:tcPr>
            <w:tcW w:w="20" w:type="dxa"/>
            <w:vAlign w:val="bottom"/>
            <w:tcBorders>
              <w:top w:val="single" w:sz="8" w:color="auto"/>
            </w:tcBorders>
            <w:shd w:val="clear" w:color="auto" w:fill="D1EDF5"/>
          </w:tcPr>
          <w:p>
            <w:pPr>
              <w:spacing w:after="0"/>
              <w:rPr>
                <w:sz w:val="24"/>
                <w:szCs w:val="24"/>
                <w:color w:val="auto"/>
              </w:rPr>
            </w:pPr>
          </w:p>
        </w:tc>
        <w:tc>
          <w:tcPr>
            <w:tcW w:w="20" w:type="dxa"/>
            <w:vAlign w:val="bottom"/>
            <w:tcBorders>
              <w:top w:val="single" w:sz="8" w:color="D1EDF5"/>
            </w:tcBorders>
            <w:shd w:val="clear" w:color="auto" w:fill="D1EDF5"/>
          </w:tcPr>
          <w:p>
            <w:pPr>
              <w:spacing w:after="0"/>
              <w:rPr>
                <w:sz w:val="24"/>
                <w:szCs w:val="24"/>
                <w:color w:val="auto"/>
              </w:rPr>
            </w:pPr>
          </w:p>
        </w:tc>
        <w:tc>
          <w:tcPr>
            <w:tcW w:w="1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15,116</w:t>
            </w:r>
          </w:p>
        </w:tc>
        <w:tc>
          <w:tcPr>
            <w:tcW w:w="60" w:type="dxa"/>
            <w:vAlign w:val="bottom"/>
            <w:tcBorders>
              <w:top w:val="single" w:sz="8" w:color="auto"/>
            </w:tcBorders>
            <w:shd w:val="clear" w:color="auto" w:fill="D1EDF5"/>
          </w:tcPr>
          <w:p>
            <w:pPr>
              <w:spacing w:after="0"/>
              <w:rPr>
                <w:sz w:val="24"/>
                <w:szCs w:val="24"/>
                <w:color w:val="auto"/>
              </w:rPr>
            </w:pPr>
          </w:p>
        </w:tc>
        <w:tc>
          <w:tcPr>
            <w:tcW w:w="40" w:type="dxa"/>
            <w:vAlign w:val="bottom"/>
            <w:tcBorders>
              <w:top w:val="single" w:sz="8" w:color="D1EDF5"/>
            </w:tcBorders>
            <w:shd w:val="clear" w:color="auto" w:fill="D1EDF5"/>
          </w:tcPr>
          <w:p>
            <w:pPr>
              <w:spacing w:after="0"/>
              <w:rPr>
                <w:sz w:val="24"/>
                <w:szCs w:val="24"/>
                <w:color w:val="auto"/>
              </w:rPr>
            </w:pPr>
          </w:p>
        </w:tc>
        <w:tc>
          <w:tcPr>
            <w:tcW w:w="20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15,100</w:t>
            </w:r>
          </w:p>
        </w:tc>
        <w:tc>
          <w:tcPr>
            <w:tcW w:w="60" w:type="dxa"/>
            <w:vAlign w:val="bottom"/>
            <w:tcBorders>
              <w:top w:val="single" w:sz="8" w:color="D1EDF5"/>
            </w:tcBorders>
            <w:shd w:val="clear" w:color="auto" w:fill="D1EDF5"/>
          </w:tcPr>
          <w:p>
            <w:pPr>
              <w:spacing w:after="0"/>
              <w:rPr>
                <w:sz w:val="24"/>
                <w:szCs w:val="24"/>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30,216</w:t>
            </w:r>
          </w:p>
        </w:tc>
      </w:tr>
      <w:tr>
        <w:trPr>
          <w:trHeight w:val="300"/>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0"/>
        </w:trPr>
        <w:tc>
          <w:tcPr>
            <w:tcW w:w="394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Interest-bearing liabilities:</w:t>
            </w:r>
          </w:p>
        </w:tc>
        <w:tc>
          <w:tcPr>
            <w:tcW w:w="120" w:type="dxa"/>
            <w:vAlign w:val="bottom"/>
            <w:tcBorders>
              <w:bottom w:val="single" w:sz="8" w:color="D1EDF5"/>
            </w:tcBorders>
            <w:shd w:val="clear" w:color="auto" w:fill="D1EDF5"/>
          </w:tcPr>
          <w:p>
            <w:pPr>
              <w:spacing w:after="0"/>
              <w:rPr>
                <w:sz w:val="24"/>
                <w:szCs w:val="24"/>
                <w:color w:val="auto"/>
              </w:rPr>
            </w:pPr>
          </w:p>
        </w:tc>
        <w:tc>
          <w:tcPr>
            <w:tcW w:w="110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D1EDF5"/>
            </w:tcBorders>
            <w:shd w:val="clear" w:color="auto" w:fill="D1EDF5"/>
          </w:tcPr>
          <w:p>
            <w:pPr>
              <w:spacing w:after="0"/>
              <w:rPr>
                <w:sz w:val="24"/>
                <w:szCs w:val="24"/>
                <w:color w:val="auto"/>
              </w:rPr>
            </w:pPr>
          </w:p>
        </w:tc>
        <w:tc>
          <w:tcPr>
            <w:tcW w:w="84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100" w:type="dxa"/>
            <w:vAlign w:val="bottom"/>
            <w:tcBorders>
              <w:bottom w:val="single" w:sz="8" w:color="D1EDF5"/>
            </w:tcBorders>
            <w:shd w:val="clear" w:color="auto" w:fill="D1EDF5"/>
          </w:tcPr>
          <w:p>
            <w:pPr>
              <w:spacing w:after="0"/>
              <w:rPr>
                <w:sz w:val="24"/>
                <w:szCs w:val="24"/>
                <w:color w:val="auto"/>
              </w:rPr>
            </w:pPr>
          </w:p>
        </w:tc>
        <w:tc>
          <w:tcPr>
            <w:tcW w:w="106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40" w:type="dxa"/>
            <w:vAlign w:val="bottom"/>
            <w:tcBorders>
              <w:bottom w:val="single" w:sz="8" w:color="D1EDF5"/>
            </w:tcBorders>
            <w:shd w:val="clear" w:color="auto" w:fill="D1EDF5"/>
          </w:tcPr>
          <w:p>
            <w:pPr>
              <w:spacing w:after="0"/>
              <w:rPr>
                <w:sz w:val="24"/>
                <w:szCs w:val="24"/>
                <w:color w:val="auto"/>
              </w:rPr>
            </w:pPr>
          </w:p>
        </w:tc>
        <w:tc>
          <w:tcPr>
            <w:tcW w:w="6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shd w:val="clear" w:color="auto" w:fill="D1EDF5"/>
          </w:tcPr>
          <w:p>
            <w:pPr>
              <w:spacing w:after="0"/>
              <w:rPr>
                <w:sz w:val="24"/>
                <w:szCs w:val="24"/>
                <w:color w:val="auto"/>
              </w:rPr>
            </w:pPr>
          </w:p>
        </w:tc>
      </w:tr>
      <w:tr>
        <w:trPr>
          <w:trHeight w:val="300"/>
        </w:trPr>
        <w:tc>
          <w:tcPr>
            <w:tcW w:w="3940" w:type="dxa"/>
            <w:vAlign w:val="bottom"/>
          </w:tcPr>
          <w:p>
            <w:pPr>
              <w:ind w:left="140"/>
              <w:spacing w:after="0"/>
              <w:rPr>
                <w:sz w:val="20"/>
                <w:szCs w:val="20"/>
                <w:color w:val="auto"/>
              </w:rPr>
            </w:pPr>
            <w:r>
              <w:rPr>
                <w:rFonts w:ascii="Arial" w:cs="Arial" w:eastAsia="Arial" w:hAnsi="Arial"/>
                <w:sz w:val="18"/>
                <w:szCs w:val="18"/>
                <w:color w:val="auto"/>
              </w:rPr>
              <w:t>Interest-bearing demand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80"/>
        </w:trPr>
        <w:tc>
          <w:tcPr>
            <w:tcW w:w="394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Savings and money market deposits</w:t>
            </w:r>
          </w:p>
        </w:tc>
        <w:tc>
          <w:tcPr>
            <w:tcW w:w="120" w:type="dxa"/>
            <w:vAlign w:val="bottom"/>
            <w:tcBorders>
              <w:bottom w:val="single" w:sz="8" w:color="D1EDF5"/>
            </w:tcBorders>
            <w:shd w:val="clear" w:color="auto" w:fill="D1EDF5"/>
          </w:tcPr>
          <w:p>
            <w:pPr>
              <w:spacing w:after="0"/>
              <w:rPr>
                <w:sz w:val="24"/>
                <w:szCs w:val="24"/>
                <w:color w:val="auto"/>
              </w:rPr>
            </w:pPr>
          </w:p>
        </w:tc>
        <w:tc>
          <w:tcPr>
            <w:tcW w:w="11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5,270</w:t>
            </w: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(7,341)</w:t>
            </w:r>
          </w:p>
        </w:tc>
        <w:tc>
          <w:tcPr>
            <w:tcW w:w="2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(2,071)</w:t>
            </w:r>
          </w:p>
        </w:tc>
        <w:tc>
          <w:tcPr>
            <w:tcW w:w="20" w:type="dxa"/>
            <w:vAlign w:val="bottom"/>
            <w:tcBorders>
              <w:bottom w:val="single" w:sz="8" w:color="D1EDF5"/>
            </w:tcBorders>
            <w:shd w:val="clear" w:color="auto" w:fill="D1EDF5"/>
          </w:tcPr>
          <w:p>
            <w:pPr>
              <w:spacing w:after="0"/>
              <w:rPr>
                <w:sz w:val="24"/>
                <w:szCs w:val="24"/>
                <w:color w:val="auto"/>
              </w:rPr>
            </w:pPr>
          </w:p>
        </w:tc>
        <w:tc>
          <w:tcPr>
            <w:tcW w:w="100" w:type="dxa"/>
            <w:vAlign w:val="bottom"/>
            <w:tcBorders>
              <w:bottom w:val="single" w:sz="8" w:color="D1EDF5"/>
            </w:tcBorders>
            <w:shd w:val="clear" w:color="auto" w:fill="D1EDF5"/>
          </w:tcPr>
          <w:p>
            <w:pPr>
              <w:spacing w:after="0"/>
              <w:rPr>
                <w:sz w:val="24"/>
                <w:szCs w:val="24"/>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4,498</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5,942</w:t>
            </w:r>
          </w:p>
        </w:tc>
        <w:tc>
          <w:tcPr>
            <w:tcW w:w="6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10,440</w:t>
            </w:r>
          </w:p>
        </w:tc>
      </w:tr>
      <w:tr>
        <w:trPr>
          <w:trHeight w:val="300"/>
        </w:trPr>
        <w:tc>
          <w:tcPr>
            <w:tcW w:w="394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4,854</w:t>
            </w:r>
          </w:p>
        </w:tc>
      </w:tr>
      <w:tr>
        <w:trPr>
          <w:trHeight w:val="280"/>
        </w:trPr>
        <w:tc>
          <w:tcPr>
            <w:tcW w:w="394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FHLB advances</w:t>
            </w:r>
          </w:p>
        </w:tc>
        <w:tc>
          <w:tcPr>
            <w:tcW w:w="120" w:type="dxa"/>
            <w:vAlign w:val="bottom"/>
            <w:tcBorders>
              <w:bottom w:val="single" w:sz="8" w:color="D1EDF5"/>
            </w:tcBorders>
            <w:shd w:val="clear" w:color="auto" w:fill="D1EDF5"/>
          </w:tcPr>
          <w:p>
            <w:pPr>
              <w:spacing w:after="0"/>
              <w:rPr>
                <w:sz w:val="24"/>
                <w:szCs w:val="24"/>
                <w:color w:val="auto"/>
              </w:rPr>
            </w:pPr>
          </w:p>
        </w:tc>
        <w:tc>
          <w:tcPr>
            <w:tcW w:w="11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Borders>
              <w:bottom w:val="single" w:sz="8" w:color="D1EDF5"/>
            </w:tcBorders>
            <w:shd w:val="clear" w:color="auto" w:fill="D1EDF5"/>
          </w:tcPr>
          <w:p>
            <w:pPr>
              <w:spacing w:after="0"/>
              <w:rPr>
                <w:sz w:val="24"/>
                <w:szCs w:val="24"/>
                <w:color w:val="auto"/>
              </w:rPr>
            </w:pPr>
          </w:p>
        </w:tc>
        <w:tc>
          <w:tcPr>
            <w:tcW w:w="20" w:type="dxa"/>
            <w:vAlign w:val="bottom"/>
            <w:tcBorders>
              <w:bottom w:val="single" w:sz="8" w:color="D1EDF5"/>
            </w:tcBorders>
            <w:shd w:val="clear" w:color="auto" w:fill="D1EDF5"/>
          </w:tcPr>
          <w:p>
            <w:pPr>
              <w:spacing w:after="0"/>
              <w:rPr>
                <w:sz w:val="24"/>
                <w:szCs w:val="24"/>
                <w:color w:val="auto"/>
              </w:rPr>
            </w:pPr>
          </w:p>
        </w:tc>
        <w:tc>
          <w:tcPr>
            <w:tcW w:w="22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80" w:type="dxa"/>
            <w:vAlign w:val="bottom"/>
            <w:tcBorders>
              <w:bottom w:val="single" w:sz="8" w:color="D1EDF5"/>
            </w:tcBorders>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(3,098)</w:t>
            </w:r>
          </w:p>
        </w:tc>
        <w:tc>
          <w:tcPr>
            <w:tcW w:w="20" w:type="dxa"/>
            <w:vAlign w:val="bottom"/>
            <w:tcBorders>
              <w:bottom w:val="single" w:sz="8" w:color="D1EDF5"/>
            </w:tcBorders>
            <w:shd w:val="clear" w:color="auto" w:fill="D1EDF5"/>
          </w:tcPr>
          <w:p>
            <w:pPr>
              <w:spacing w:after="0"/>
              <w:rPr>
                <w:sz w:val="24"/>
                <w:szCs w:val="24"/>
                <w:color w:val="auto"/>
              </w:rPr>
            </w:pPr>
          </w:p>
        </w:tc>
        <w:tc>
          <w:tcPr>
            <w:tcW w:w="100" w:type="dxa"/>
            <w:vAlign w:val="bottom"/>
            <w:tcBorders>
              <w:bottom w:val="single" w:sz="8" w:color="D1EDF5"/>
            </w:tcBorders>
            <w:shd w:val="clear" w:color="auto" w:fill="D1EDF5"/>
          </w:tcPr>
          <w:p>
            <w:pPr>
              <w:spacing w:after="0"/>
              <w:rPr>
                <w:sz w:val="24"/>
                <w:szCs w:val="24"/>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2,269</w:t>
            </w:r>
          </w:p>
        </w:tc>
        <w:tc>
          <w:tcPr>
            <w:tcW w:w="6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spacing w:after="0"/>
              <w:rPr>
                <w:sz w:val="24"/>
                <w:szCs w:val="24"/>
                <w:color w:val="auto"/>
              </w:rPr>
            </w:pPr>
          </w:p>
        </w:tc>
        <w:tc>
          <w:tcPr>
            <w:tcW w:w="8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677</w:t>
            </w:r>
          </w:p>
        </w:tc>
        <w:tc>
          <w:tcPr>
            <w:tcW w:w="6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D1EDF5"/>
            </w:tcBorders>
            <w:shd w:val="clear" w:color="auto" w:fill="D1EDF5"/>
          </w:tcPr>
          <w:p>
            <w:pPr>
              <w:spacing w:after="0"/>
              <w:rPr>
                <w:sz w:val="24"/>
                <w:szCs w:val="24"/>
                <w:color w:val="auto"/>
              </w:rPr>
            </w:pPr>
          </w:p>
        </w:tc>
        <w:tc>
          <w:tcPr>
            <w:tcW w:w="8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2,946</w:t>
            </w:r>
          </w:p>
        </w:tc>
      </w:tr>
      <w:tr>
        <w:trPr>
          <w:trHeight w:val="300"/>
        </w:trPr>
        <w:tc>
          <w:tcPr>
            <w:tcW w:w="3940" w:type="dxa"/>
            <w:vAlign w:val="bottom"/>
            <w:tcBorders>
              <w:bottom w:val="single" w:sz="8" w:color="D1EDF5"/>
            </w:tcBorders>
          </w:tcPr>
          <w:p>
            <w:pPr>
              <w:ind w:left="140"/>
              <w:spacing w:after="0"/>
              <w:rPr>
                <w:sz w:val="20"/>
                <w:szCs w:val="20"/>
                <w:color w:val="auto"/>
              </w:rPr>
            </w:pPr>
            <w:r>
              <w:rPr>
                <w:rFonts w:ascii="Arial" w:cs="Arial" w:eastAsia="Arial" w:hAnsi="Arial"/>
                <w:sz w:val="18"/>
                <w:szCs w:val="18"/>
                <w:color w:val="auto"/>
              </w:rPr>
              <w:t>Subordinated notes</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D1ED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3940" w:type="dxa"/>
            <w:vAlign w:val="bottom"/>
            <w:shd w:val="clear" w:color="auto" w:fill="D1EDF5"/>
          </w:tcPr>
          <w:p>
            <w:pPr>
              <w:spacing w:after="0"/>
              <w:rPr>
                <w:sz w:val="20"/>
                <w:szCs w:val="20"/>
                <w:color w:val="auto"/>
              </w:rPr>
            </w:pPr>
            <w:r>
              <w:rPr>
                <w:rFonts w:ascii="Arial" w:cs="Arial" w:eastAsia="Arial" w:hAnsi="Arial"/>
                <w:sz w:val="18"/>
                <w:szCs w:val="18"/>
                <w:b w:val="1"/>
                <w:bCs w:val="1"/>
                <w:color w:val="auto"/>
                <w:shd w:val="clear" w:color="auto" w:fill="D1EDF5"/>
              </w:rPr>
              <w:t>Total increase (decrease) in interest expense</w:t>
            </w:r>
          </w:p>
        </w:tc>
        <w:tc>
          <w:tcPr>
            <w:tcW w:w="120" w:type="dxa"/>
            <w:vAlign w:val="bottom"/>
            <w:tcBorders>
              <w:bottom w:val="single" w:sz="8" w:color="auto"/>
            </w:tcBorders>
            <w:shd w:val="clear" w:color="auto" w:fill="D1EDF5"/>
          </w:tcPr>
          <w:p>
            <w:pPr>
              <w:spacing w:after="0"/>
              <w:rPr>
                <w:sz w:val="24"/>
                <w:szCs w:val="24"/>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9,399</w:t>
            </w:r>
          </w:p>
        </w:tc>
        <w:tc>
          <w:tcPr>
            <w:tcW w:w="2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20" w:type="dxa"/>
            <w:vAlign w:val="bottom"/>
            <w:tcBorders>
              <w:bottom w:val="single" w:sz="8" w:color="auto"/>
            </w:tcBorders>
            <w:shd w:val="clear" w:color="auto" w:fill="D1EDF5"/>
          </w:tcPr>
          <w:p>
            <w:pPr>
              <w:spacing w:after="0"/>
              <w:rPr>
                <w:sz w:val="24"/>
                <w:szCs w:val="24"/>
                <w:color w:val="auto"/>
              </w:rPr>
            </w:pPr>
          </w:p>
        </w:tc>
        <w:tc>
          <w:tcPr>
            <w:tcW w:w="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(8,839)</w:t>
            </w:r>
          </w:p>
        </w:tc>
        <w:tc>
          <w:tcPr>
            <w:tcW w:w="20" w:type="dxa"/>
            <w:vAlign w:val="bottom"/>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spacing w:after="0"/>
              <w:rPr>
                <w:sz w:val="24"/>
                <w:szCs w:val="24"/>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560</w:t>
            </w:r>
          </w:p>
        </w:tc>
        <w:tc>
          <w:tcPr>
            <w:tcW w:w="20" w:type="dxa"/>
            <w:vAlign w:val="bottom"/>
            <w:tcBorders>
              <w:bottom w:val="single" w:sz="8" w:color="auto"/>
            </w:tcBorders>
            <w:shd w:val="clear" w:color="auto" w:fill="D1EDF5"/>
          </w:tcPr>
          <w:p>
            <w:pPr>
              <w:spacing w:after="0"/>
              <w:rPr>
                <w:sz w:val="24"/>
                <w:szCs w:val="24"/>
                <w:color w:val="auto"/>
              </w:rPr>
            </w:pPr>
          </w:p>
        </w:tc>
        <w:tc>
          <w:tcPr>
            <w:tcW w:w="20" w:type="dxa"/>
            <w:vAlign w:val="bottom"/>
            <w:shd w:val="clear" w:color="auto" w:fill="D1EDF5"/>
          </w:tcPr>
          <w:p>
            <w:pPr>
              <w:spacing w:after="0"/>
              <w:rPr>
                <w:sz w:val="24"/>
                <w:szCs w:val="24"/>
                <w:color w:val="auto"/>
              </w:rPr>
            </w:pPr>
          </w:p>
        </w:tc>
        <w:tc>
          <w:tcPr>
            <w:tcW w:w="100" w:type="dxa"/>
            <w:vAlign w:val="bottom"/>
            <w:tcBorders>
              <w:bottom w:val="single" w:sz="8" w:color="auto"/>
            </w:tcBorders>
            <w:shd w:val="clear" w:color="auto" w:fill="D1EDF5"/>
          </w:tcPr>
          <w:p>
            <w:pPr>
              <w:spacing w:after="0"/>
              <w:rPr>
                <w:sz w:val="24"/>
                <w:szCs w:val="24"/>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8,614</w:t>
            </w:r>
          </w:p>
        </w:tc>
        <w:tc>
          <w:tcPr>
            <w:tcW w:w="60" w:type="dxa"/>
            <w:vAlign w:val="bottom"/>
            <w:tcBorders>
              <w:bottom w:val="single" w:sz="8" w:color="auto"/>
            </w:tcBorders>
            <w:shd w:val="clear" w:color="auto" w:fill="D1EDF5"/>
          </w:tcPr>
          <w:p>
            <w:pPr>
              <w:spacing w:after="0"/>
              <w:rPr>
                <w:sz w:val="24"/>
                <w:szCs w:val="24"/>
                <w:color w:val="auto"/>
              </w:rPr>
            </w:pPr>
          </w:p>
        </w:tc>
        <w:tc>
          <w:tcPr>
            <w:tcW w:w="40" w:type="dxa"/>
            <w:vAlign w:val="bottom"/>
            <w:shd w:val="clear" w:color="auto" w:fill="D1EDF5"/>
          </w:tcPr>
          <w:p>
            <w:pPr>
              <w:spacing w:after="0"/>
              <w:rPr>
                <w:sz w:val="24"/>
                <w:szCs w:val="24"/>
                <w:color w:val="auto"/>
              </w:rPr>
            </w:pPr>
          </w:p>
        </w:tc>
        <w:tc>
          <w:tcPr>
            <w:tcW w:w="200" w:type="dxa"/>
            <w:vAlign w:val="bottom"/>
            <w:tcBorders>
              <w:bottom w:val="single" w:sz="8" w:color="auto"/>
            </w:tcBorders>
            <w:shd w:val="clear" w:color="auto" w:fill="D1EDF5"/>
          </w:tcPr>
          <w:p>
            <w:pPr>
              <w:spacing w:after="0"/>
              <w:rPr>
                <w:sz w:val="24"/>
                <w:szCs w:val="24"/>
                <w:color w:val="auto"/>
              </w:rPr>
            </w:pPr>
          </w:p>
        </w:tc>
        <w:tc>
          <w:tcPr>
            <w:tcW w:w="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10,235</w:t>
            </w:r>
          </w:p>
        </w:tc>
        <w:tc>
          <w:tcPr>
            <w:tcW w:w="60" w:type="dxa"/>
            <w:vAlign w:val="bottom"/>
            <w:shd w:val="clear" w:color="auto" w:fill="D1EDF5"/>
          </w:tcPr>
          <w:p>
            <w:pPr>
              <w:spacing w:after="0"/>
              <w:rPr>
                <w:sz w:val="24"/>
                <w:szCs w:val="24"/>
                <w:color w:val="auto"/>
              </w:rPr>
            </w:pPr>
          </w:p>
        </w:tc>
        <w:tc>
          <w:tcPr>
            <w:tcW w:w="180" w:type="dxa"/>
            <w:vAlign w:val="bottom"/>
            <w:tcBorders>
              <w:bottom w:val="single" w:sz="8" w:color="auto"/>
            </w:tcBorders>
            <w:shd w:val="clear" w:color="auto" w:fill="D1EDF5"/>
          </w:tcPr>
          <w:p>
            <w:pPr>
              <w:spacing w:after="0"/>
              <w:rPr>
                <w:sz w:val="24"/>
                <w:szCs w:val="24"/>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18,848</w:t>
            </w:r>
          </w:p>
        </w:tc>
      </w:tr>
      <w:tr>
        <w:trPr>
          <w:trHeight w:val="306"/>
        </w:trPr>
        <w:tc>
          <w:tcPr>
            <w:tcW w:w="3940" w:type="dxa"/>
            <w:vAlign w:val="bottom"/>
          </w:tcPr>
          <w:p>
            <w:pPr>
              <w:spacing w:after="0"/>
              <w:rPr>
                <w:sz w:val="20"/>
                <w:szCs w:val="20"/>
                <w:color w:val="auto"/>
              </w:rPr>
            </w:pPr>
            <w:r>
              <w:rPr>
                <w:rFonts w:ascii="Arial" w:cs="Arial" w:eastAsia="Arial" w:hAnsi="Arial"/>
                <w:sz w:val="18"/>
                <w:szCs w:val="18"/>
                <w:b w:val="1"/>
                <w:bCs w:val="1"/>
                <w:color w:val="auto"/>
              </w:rPr>
              <w:t>Increase in net 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4,156</w:t>
            </w:r>
          </w:p>
        </w:tc>
        <w:tc>
          <w:tcPr>
            <w:tcW w:w="20" w:type="dxa"/>
            <w:vAlign w:val="bottom"/>
          </w:tcPr>
          <w:p>
            <w:pPr>
              <w:spacing w:after="0"/>
              <w:rPr>
                <w:sz w:val="24"/>
                <w:szCs w:val="24"/>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9,538</w:t>
            </w:r>
          </w:p>
        </w:tc>
        <w:tc>
          <w:tcPr>
            <w:tcW w:w="2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13,694</w:t>
            </w:r>
          </w:p>
        </w:tc>
        <w:tc>
          <w:tcPr>
            <w:tcW w:w="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6,502</w:t>
            </w:r>
          </w:p>
        </w:tc>
        <w:tc>
          <w:tcPr>
            <w:tcW w:w="60" w:type="dxa"/>
            <w:vAlign w:val="bottom"/>
          </w:tcPr>
          <w:p>
            <w:pPr>
              <w:spacing w:after="0"/>
              <w:rPr>
                <w:sz w:val="24"/>
                <w:szCs w:val="24"/>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11,368</w:t>
            </w:r>
          </w:p>
        </w:tc>
      </w:tr>
      <w:tr>
        <w:trPr>
          <w:trHeight w:val="20"/>
        </w:trPr>
        <w:tc>
          <w:tcPr>
            <w:tcW w:w="3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3971290</wp:posOffset>
                </wp:positionH>
                <wp:positionV relativeFrom="paragraph">
                  <wp:posOffset>-2656205</wp:posOffset>
                </wp:positionV>
                <wp:extent cx="29210" cy="12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15" o:spid="_x0000_s1040" style="position:absolute;margin-left:312.7pt;margin-top:-209.1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4667885</wp:posOffset>
                </wp:positionH>
                <wp:positionV relativeFrom="paragraph">
                  <wp:posOffset>-2656205</wp:posOffset>
                </wp:positionV>
                <wp:extent cx="27305" cy="127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1EDF5"/>
                        </a:solidFill>
                      </wps:spPr>
                      <wps:bodyPr/>
                    </wps:wsp>
                  </a:graphicData>
                </a:graphic>
              </wp:anchor>
            </w:drawing>
          </mc:Choice>
          <mc:Fallback>
            <w:pict>
              <v:rect id="Shape 16" o:spid="_x0000_s1041" style="position:absolute;margin-left:367.55pt;margin-top:-209.14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5467985</wp:posOffset>
                </wp:positionH>
                <wp:positionV relativeFrom="paragraph">
                  <wp:posOffset>-2656205</wp:posOffset>
                </wp:positionV>
                <wp:extent cx="27305"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1EDF5"/>
                        </a:solidFill>
                      </wps:spPr>
                      <wps:bodyPr/>
                    </wps:wsp>
                  </a:graphicData>
                </a:graphic>
              </wp:anchor>
            </w:drawing>
          </mc:Choice>
          <mc:Fallback>
            <w:pict>
              <v:rect id="Shape 17" o:spid="_x0000_s1042" style="position:absolute;margin-left:430.55pt;margin-top:-209.14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-2656205</wp:posOffset>
                </wp:positionV>
                <wp:extent cx="29210" cy="127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18" o:spid="_x0000_s1043" style="position:absolute;margin-left:485.25pt;margin-top:-209.1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3971290</wp:posOffset>
                </wp:positionH>
                <wp:positionV relativeFrom="paragraph">
                  <wp:posOffset>-434340</wp:posOffset>
                </wp:positionV>
                <wp:extent cx="29210" cy="127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19" o:spid="_x0000_s1044" style="position:absolute;margin-left:312.7pt;margin-top:-34.1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1" w:lineRule="exact"/>
        <w:rPr>
          <w:sz w:val="20"/>
          <w:szCs w:val="20"/>
          <w:color w:val="auto"/>
        </w:rPr>
      </w:pPr>
    </w:p>
    <w:p>
      <w:pPr>
        <w:ind w:left="280" w:hanging="280"/>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loan balances include non-accrual loans. Interest income on loans includes accretion of deferred loan fees, net of deferred loan costs.</w:t>
      </w:r>
    </w:p>
    <w:p>
      <w:pPr>
        <w:spacing w:after="0" w:line="41" w:lineRule="exact"/>
        <w:rPr>
          <w:rFonts w:ascii="Arial" w:cs="Arial" w:eastAsia="Arial" w:hAnsi="Arial"/>
          <w:sz w:val="16"/>
          <w:szCs w:val="16"/>
          <w:color w:val="auto"/>
        </w:rPr>
      </w:pPr>
    </w:p>
    <w:p>
      <w:pPr>
        <w:ind w:left="280" w:hanging="280"/>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fair value except for securities held to maturity. This amount includes FHLB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-254000</wp:posOffset>
                </wp:positionV>
                <wp:extent cx="25050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pt" to="197.25pt,-20pt" o:allowincell="f" strokecolor="#000000" strokeweight="0.48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0" w:name="page61"/>
    <w:bookmarkEnd w:id="60"/>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During the year ended December 31, 2025 average rates paid on interest-bearing liabilities decreased, while yields earned on interest-earning assets increased slightly. The Company was able to reprice its interest-bearing liabilities downward more rapidly than its interest-earning assets.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Financial Condition</w:t>
      </w:r>
    </w:p>
    <w:p>
      <w:pPr>
        <w:spacing w:after="0" w:line="235"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Total assets at December 31, 2025, were $2.8 billion, an increase of $210.3 million, or 8.1%, over total assets of $2.6 billion at December 31, 2024. Total loans held for investment increased $216.4 million, or 11.0%, to $2.2 billion at December 31, 2025 compared to $2.0 billion at December 31, 2024. Total deposits increased by $171.1 million, or 7.9%, to $2.3 billion at December 31, 2025 compared to $2.2 billion at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27"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operating philosophy of the portfolio is to maximize the Company’s profitability, taking into consideration the Company’s risk appetite and tolerance, manage it’s asset composition and diversification, and maintain adequate risk-based capital ratios.</w:t>
      </w:r>
    </w:p>
    <w:p>
      <w:pPr>
        <w:spacing w:after="0" w:line="18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objectives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8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Our investment portfolio consists primarily of securities issued by U.S. government-sponsored agencies,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and/or the ALCO of the Company to ensure an appropriate risk and return profile as well as for adherence to the Company’s investment policy.</w:t>
      </w:r>
    </w:p>
    <w:p>
      <w:pPr>
        <w:spacing w:after="0" w:line="185"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As of December 31, 2025, the investment portfolio consisted of available-for-sale (“AFS”) and held-to-maturity (“HTM”) debt securities. In 2022, the Company transferred investment securities from AFS to HTM with an amortized cost basis and fair value amount of $74.4 million and $63.8 million, respectively. On the date of transfer, these securities had a total net unrealized loss of $10.6 million. The transfer of the debt securities from the AFS to HTM category was made at fair value at the date of transfer. The unrealized gain or loss at the date of transfer is retained in accumulated other comprehensive loss and in the carrying value of the HTM securities. Such amounts are amortized over the remaining life of the security. There was no impact to net income on the date of transfer. There were no securities transferred from AFS to HTM in 2025 or 2024.</w:t>
      </w:r>
    </w:p>
    <w:p>
      <w:pPr>
        <w:spacing w:after="0" w:line="17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The book value of the AFS securities is adjusted quarterly for unrealized gain or loss as a valuation allowance, and any gain or loss is reported on an after-tax basis as a component of other comprehensive loss in stockholders’ equity.</w:t>
      </w:r>
    </w:p>
    <w:p>
      <w:pPr>
        <w:spacing w:after="0" w:line="15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87"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monitors the credit quality of HTM securities through the use of credit ratings. Credit ratings are monitored by the Company on at least a quarterly basis. As of December 31, 2025 and December 31, 2024, all HTM securities held by the Company were rated investment grade.</w:t>
      </w:r>
    </w:p>
    <w:p>
      <w:pPr>
        <w:spacing w:after="0" w:line="200" w:lineRule="exact"/>
        <w:rPr>
          <w:sz w:val="20"/>
          <w:szCs w:val="20"/>
          <w:color w:val="auto"/>
        </w:rPr>
      </w:pPr>
    </w:p>
    <w:p>
      <w:pPr>
        <w:spacing w:after="0" w:line="33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1" w:name="page62"/>
    <w:bookmarkEnd w:id="61"/>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At December 31, 2025, HTM securities included $144.9 million of U.S. Government and U.S. Agency issued bonds and mortgage-backed securities. Because of the explicit and/or implicit guarantee on these bonds, the Company holds no reserves on these holdings. The remaining portion of the HTM portfolio is made up of $9.0 million in investment grade corporate bonds. The required reserve for these holdings is determined each quarter using the model described above. For the portion of the HTM exposed to non-government credit risk, the Company utilized the PD/LGD methodology to estimate a $2 thousand ACL as of December 31, 2025. The book value for debt securities classified as HTM represents amortized cost less ACL.</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securities with a fair value of $43.5 million were pledged to secure public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2" w:name="page63"/>
    <w:bookmarkEnd w:id="62"/>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presents the amortized cost and fair value of investment securities for the dates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9"/>
              </w:rPr>
              <w:t>December 31, 2025</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57"/>
        </w:trPr>
        <w:tc>
          <w:tcPr>
            <w:tcW w:w="5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7"/>
        </w:trPr>
        <w:tc>
          <w:tcPr>
            <w:tcW w:w="5360" w:type="dxa"/>
            <w:vAlign w:val="bottom"/>
            <w:tcBorders>
              <w:bottom w:val="single" w:sz="8" w:color="D1EDF5"/>
            </w:tcBorders>
          </w:tcPr>
          <w:p>
            <w:pPr>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Losses</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32"/>
        </w:trPr>
        <w:tc>
          <w:tcPr>
            <w:tcW w:w="5360" w:type="dxa"/>
            <w:vAlign w:val="bottom"/>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15,169</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14,144</w:t>
            </w: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(17,043)</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75,828</w:t>
            </w:r>
          </w:p>
        </w:tc>
      </w:tr>
      <w:tr>
        <w:trPr>
          <w:trHeight w:val="240"/>
        </w:trPr>
        <w:tc>
          <w:tcPr>
            <w:tcW w:w="536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160" w:type="dxa"/>
            <w:vAlign w:val="bottom"/>
            <w:shd w:val="clear" w:color="auto" w:fill="D1EDF5"/>
          </w:tcPr>
          <w:p>
            <w:pPr>
              <w:spacing w:after="0"/>
              <w:rPr>
                <w:sz w:val="20"/>
                <w:szCs w:val="20"/>
                <w:color w:val="auto"/>
              </w:rPr>
            </w:pP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35,865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(6,083)</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29,917</w:t>
            </w: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174,622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(6,861)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168,108</w:t>
            </w:r>
          </w:p>
        </w:tc>
      </w:tr>
      <w:tr>
        <w:trPr>
          <w:trHeight w:val="240"/>
        </w:trPr>
        <w:tc>
          <w:tcPr>
            <w:tcW w:w="5360" w:type="dxa"/>
            <w:vAlign w:val="bottom"/>
            <w:shd w:val="clear" w:color="auto" w:fill="D1EDF5"/>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D1EDF5"/>
          </w:tcPr>
          <w:p>
            <w:pPr>
              <w:spacing w:after="0"/>
              <w:rPr>
                <w:sz w:val="20"/>
                <w:szCs w:val="20"/>
                <w:color w:val="auto"/>
              </w:rPr>
            </w:pP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5,196</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4,263</w:t>
            </w: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Bank subordinated debt securities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15,230</w:t>
            </w:r>
          </w:p>
        </w:tc>
      </w:tr>
      <w:tr>
        <w:trPr>
          <w:trHeight w:val="20"/>
        </w:trPr>
        <w:tc>
          <w:tcPr>
            <w:tcW w:w="5360" w:type="dxa"/>
            <w:vAlign w:val="bottom"/>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44"/>
        </w:trPr>
        <w:tc>
          <w:tcPr>
            <w:tcW w:w="5360" w:type="dxa"/>
            <w:vAlign w:val="bottom"/>
            <w:shd w:val="clear" w:color="auto" w:fill="D1EDF5"/>
          </w:tcPr>
          <w:p>
            <w:pPr>
              <w:spacing w:after="0"/>
              <w:rPr>
                <w:sz w:val="21"/>
                <w:szCs w:val="21"/>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339,007</w:t>
            </w:r>
          </w:p>
        </w:tc>
        <w:tc>
          <w:tcPr>
            <w:tcW w:w="80" w:type="dxa"/>
            <w:vAlign w:val="bottom"/>
            <w:shd w:val="clear" w:color="auto" w:fill="D1EDF5"/>
          </w:tcPr>
          <w:p>
            <w:pPr>
              <w:spacing w:after="0"/>
              <w:rPr>
                <w:sz w:val="21"/>
                <w:szCs w:val="21"/>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D1EDF5"/>
          </w:tcPr>
          <w:p>
            <w:pPr>
              <w:spacing w:after="0"/>
              <w:rPr>
                <w:sz w:val="21"/>
                <w:szCs w:val="21"/>
                <w:color w:val="auto"/>
              </w:rPr>
            </w:pPr>
          </w:p>
        </w:tc>
        <w:tc>
          <w:tcPr>
            <w:tcW w:w="140" w:type="dxa"/>
            <w:vAlign w:val="bottom"/>
            <w:shd w:val="clear" w:color="auto" w:fill="D1EDF5"/>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(32,206)</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307,490</w:t>
            </w: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2025</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4"/>
                <w:szCs w:val="24"/>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Unrecognized</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Unrecognized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D1EDF5"/>
            </w:tcBorders>
          </w:tcPr>
          <w:p>
            <w:pPr>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D1EDF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Gains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5360" w:type="dxa"/>
            <w:vAlign w:val="bottom"/>
            <w:tcBorders>
              <w:right w:val="single" w:sz="8" w:color="D1EDF5"/>
            </w:tcBorders>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41,158</w:t>
            </w:r>
          </w:p>
        </w:tc>
        <w:tc>
          <w:tcPr>
            <w:tcW w:w="80" w:type="dxa"/>
            <w:vAlign w:val="bottom"/>
            <w:shd w:val="clear" w:color="auto" w:fill="D1EDF5"/>
          </w:tcPr>
          <w:p>
            <w:pPr>
              <w:spacing w:after="0"/>
              <w:rPr>
                <w:sz w:val="19"/>
                <w:szCs w:val="19"/>
                <w:color w:val="auto"/>
              </w:rPr>
            </w:pPr>
          </w:p>
        </w:tc>
        <w:tc>
          <w:tcPr>
            <w:tcW w:w="240" w:type="dxa"/>
            <w:vAlign w:val="bottom"/>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D1EDF5"/>
          </w:tcPr>
          <w:p>
            <w:pPr>
              <w:jc w:val="center"/>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(3,279)</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37,970</w:t>
            </w: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46,786</w:t>
            </w:r>
          </w:p>
        </w:tc>
        <w:tc>
          <w:tcPr>
            <w:tcW w:w="0" w:type="dxa"/>
            <w:vAlign w:val="bottom"/>
          </w:tcPr>
          <w:p>
            <w:pPr>
              <w:spacing w:after="0"/>
              <w:rPr>
                <w:sz w:val="1"/>
                <w:szCs w:val="1"/>
                <w:color w:val="auto"/>
              </w:rPr>
            </w:pPr>
          </w:p>
        </w:tc>
      </w:tr>
      <w:tr>
        <w:trPr>
          <w:trHeight w:val="240"/>
        </w:trPr>
        <w:tc>
          <w:tcPr>
            <w:tcW w:w="5360" w:type="dxa"/>
            <w:vAlign w:val="bottom"/>
            <w:tcBorders>
              <w:right w:val="single" w:sz="8" w:color="D1EDF5"/>
            </w:tcBorders>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37,221</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1140" w:type="dxa"/>
            <w:vAlign w:val="bottom"/>
            <w:tcBorders>
              <w:right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D1EDF5"/>
          </w:tcPr>
          <w:p>
            <w:pPr>
              <w:spacing w:after="0"/>
              <w:rPr>
                <w:sz w:val="20"/>
                <w:szCs w:val="20"/>
                <w:color w:val="auto"/>
              </w:rPr>
            </w:pPr>
          </w:p>
        </w:tc>
        <w:tc>
          <w:tcPr>
            <w:tcW w:w="1160" w:type="dxa"/>
            <w:vAlign w:val="bottom"/>
            <w:tcBorders>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(3,263)</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34,718</w:t>
            </w: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40"/>
        </w:trPr>
        <w:tc>
          <w:tcPr>
            <w:tcW w:w="5360" w:type="dxa"/>
            <w:vAlign w:val="bottom"/>
            <w:tcBorders>
              <w:right w:val="single" w:sz="8" w:color="D1EDF5"/>
            </w:tcBorders>
            <w:shd w:val="clear" w:color="auto" w:fill="D1EDF5"/>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9,045</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1140" w:type="dxa"/>
            <w:vAlign w:val="bottom"/>
            <w:tcBorders>
              <w:right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EDF5"/>
          </w:tcPr>
          <w:p>
            <w:pPr>
              <w:spacing w:after="0"/>
              <w:rPr>
                <w:sz w:val="20"/>
                <w:szCs w:val="20"/>
                <w:color w:val="auto"/>
              </w:rPr>
            </w:pPr>
          </w:p>
        </w:tc>
        <w:tc>
          <w:tcPr>
            <w:tcW w:w="1160" w:type="dxa"/>
            <w:vAlign w:val="bottom"/>
            <w:tcBorders>
              <w:right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0"/>
        </w:trPr>
        <w:tc>
          <w:tcPr>
            <w:tcW w:w="5360" w:type="dxa"/>
            <w:vAlign w:val="bottom"/>
            <w:tcBorders>
              <w:right w:val="single" w:sz="8" w:color="D1EDF5"/>
            </w:tcBorders>
            <w:shd w:val="clear" w:color="auto" w:fill="D1ED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D1EDF5"/>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Borders>
              <w:right w:val="single" w:sz="8" w:color="D1EDF5"/>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153,943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1,705</w:t>
            </w: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142,508</w:t>
            </w:r>
          </w:p>
        </w:tc>
        <w:tc>
          <w:tcPr>
            <w:tcW w:w="0" w:type="dxa"/>
            <w:vAlign w:val="bottom"/>
          </w:tcPr>
          <w:p>
            <w:pPr>
              <w:spacing w:after="0"/>
              <w:rPr>
                <w:sz w:val="1"/>
                <w:szCs w:val="1"/>
                <w:color w:val="auto"/>
              </w:rPr>
            </w:pPr>
          </w:p>
        </w:tc>
      </w:tr>
      <w:tr>
        <w:trPr>
          <w:trHeight w:val="234"/>
        </w:trPr>
        <w:tc>
          <w:tcPr>
            <w:tcW w:w="5360" w:type="dxa"/>
            <w:vAlign w:val="bottom"/>
            <w:tcBorders>
              <w:top w:val="single" w:sz="8" w:color="D1EDF5"/>
              <w:right w:val="single" w:sz="8" w:color="D1EDF5"/>
            </w:tcBorders>
            <w:shd w:val="clear" w:color="auto" w:fill="D1EDF5"/>
          </w:tcPr>
          <w:p>
            <w:pPr>
              <w:spacing w:after="0"/>
              <w:rPr>
                <w:sz w:val="20"/>
                <w:szCs w:val="20"/>
                <w:color w:val="auto"/>
              </w:rPr>
            </w:pPr>
            <w:r>
              <w:rPr>
                <w:rFonts w:ascii="Arial" w:cs="Arial" w:eastAsia="Arial" w:hAnsi="Arial"/>
                <w:sz w:val="18"/>
                <w:szCs w:val="18"/>
                <w:color w:val="auto"/>
              </w:rPr>
              <w:t>Allowance for credit losses - securities held-to-maturity</w:t>
            </w:r>
          </w:p>
        </w:tc>
        <w:tc>
          <w:tcPr>
            <w:tcW w:w="180" w:type="dxa"/>
            <w:vAlign w:val="bottom"/>
            <w:tcBorders>
              <w:top w:val="single" w:sz="8" w:color="auto"/>
              <w:bottom w:val="single" w:sz="8" w:color="auto"/>
            </w:tcBorders>
            <w:shd w:val="clear" w:color="auto" w:fill="D1EDF5"/>
          </w:tcPr>
          <w:p>
            <w:pPr>
              <w:spacing w:after="0"/>
              <w:rPr>
                <w:sz w:val="20"/>
                <w:szCs w:val="20"/>
                <w:color w:val="auto"/>
              </w:rPr>
            </w:pPr>
          </w:p>
        </w:tc>
        <w:tc>
          <w:tcPr>
            <w:tcW w:w="1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D1EDF5"/>
            </w:tcBorders>
            <w:shd w:val="clear" w:color="auto" w:fill="D1EDF5"/>
          </w:tcPr>
          <w:p>
            <w:pPr>
              <w:spacing w:after="0"/>
              <w:rPr>
                <w:sz w:val="20"/>
                <w:szCs w:val="20"/>
                <w:color w:val="auto"/>
              </w:rPr>
            </w:pPr>
          </w:p>
        </w:tc>
        <w:tc>
          <w:tcPr>
            <w:tcW w:w="240" w:type="dxa"/>
            <w:vAlign w:val="bottom"/>
            <w:tcBorders>
              <w:top w:val="single" w:sz="8" w:color="auto"/>
            </w:tcBorders>
            <w:shd w:val="clear" w:color="auto" w:fill="D1EDF5"/>
          </w:tcPr>
          <w:p>
            <w:pPr>
              <w:spacing w:after="0"/>
              <w:rPr>
                <w:sz w:val="20"/>
                <w:szCs w:val="20"/>
                <w:color w:val="auto"/>
              </w:rPr>
            </w:pPr>
          </w:p>
        </w:tc>
        <w:tc>
          <w:tcPr>
            <w:tcW w:w="1140" w:type="dxa"/>
            <w:vAlign w:val="bottom"/>
            <w:tcBorders>
              <w:top w:val="single" w:sz="8" w:color="auto"/>
              <w:right w:val="single" w:sz="8" w:color="D1EDF5"/>
            </w:tcBorders>
            <w:shd w:val="clear" w:color="auto" w:fill="D1EDF5"/>
          </w:tcPr>
          <w:p>
            <w:pPr>
              <w:spacing w:after="0"/>
              <w:rPr>
                <w:sz w:val="20"/>
                <w:szCs w:val="20"/>
                <w:color w:val="auto"/>
              </w:rPr>
            </w:pPr>
          </w:p>
        </w:tc>
        <w:tc>
          <w:tcPr>
            <w:tcW w:w="220" w:type="dxa"/>
            <w:vAlign w:val="bottom"/>
            <w:tcBorders>
              <w:top w:val="single" w:sz="8" w:color="auto"/>
            </w:tcBorders>
            <w:shd w:val="clear" w:color="auto" w:fill="D1EDF5"/>
          </w:tcPr>
          <w:p>
            <w:pPr>
              <w:spacing w:after="0"/>
              <w:rPr>
                <w:sz w:val="20"/>
                <w:szCs w:val="20"/>
                <w:color w:val="auto"/>
              </w:rPr>
            </w:pPr>
          </w:p>
        </w:tc>
        <w:tc>
          <w:tcPr>
            <w:tcW w:w="1160" w:type="dxa"/>
            <w:vAlign w:val="bottom"/>
            <w:tcBorders>
              <w:top w:val="single" w:sz="8" w:color="auto"/>
              <w:right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120" w:type="dxa"/>
            <w:vAlign w:val="bottom"/>
            <w:tcBorders>
              <w:top w:val="single" w:sz="8" w:color="auto"/>
            </w:tcBorders>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60" w:type="dxa"/>
            <w:vAlign w:val="bottom"/>
            <w:vMerge w:val="continue"/>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153,941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Losses</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528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14,279</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2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12,625</w:t>
            </w: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101,808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78,905</w:t>
            </w:r>
          </w:p>
        </w:tc>
      </w:tr>
      <w:tr>
        <w:trPr>
          <w:trHeight w:val="240"/>
        </w:trPr>
        <w:tc>
          <w:tcPr>
            <w:tcW w:w="40" w:type="dxa"/>
            <w:vAlign w:val="bottom"/>
            <w:shd w:val="clear" w:color="auto" w:fill="D1EDF5"/>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58,995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(12,063)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46,933</w:t>
            </w: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86,604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78,739</w:t>
            </w:r>
          </w:p>
        </w:tc>
      </w:tr>
      <w:tr>
        <w:trPr>
          <w:trHeight w:val="240"/>
        </w:trPr>
        <w:tc>
          <w:tcPr>
            <w:tcW w:w="40" w:type="dxa"/>
            <w:vAlign w:val="bottom"/>
            <w:shd w:val="clear" w:color="auto" w:fill="D1EDF5"/>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Arial" w:cs="Arial" w:eastAsia="Arial" w:hAnsi="Arial"/>
                <w:sz w:val="18"/>
                <w:szCs w:val="18"/>
                <w:color w:val="auto"/>
              </w:rPr>
              <w:t>Municipal securities</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24,925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(5,614)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19,311</w:t>
            </w:r>
          </w:p>
        </w:tc>
      </w:tr>
      <w:tr>
        <w:trPr>
          <w:trHeight w:val="240"/>
        </w:trPr>
        <w:tc>
          <w:tcPr>
            <w:tcW w:w="40" w:type="dxa"/>
            <w:vAlign w:val="bottom"/>
            <w:tcBorders>
              <w:bottom w:val="single" w:sz="8" w:color="D1EDF5"/>
            </w:tcBorders>
          </w:tcPr>
          <w:p>
            <w:pPr>
              <w:spacing w:after="0"/>
              <w:rPr>
                <w:sz w:val="20"/>
                <w:szCs w:val="20"/>
                <w:color w:val="auto"/>
              </w:rPr>
            </w:pPr>
          </w:p>
        </w:tc>
        <w:tc>
          <w:tcPr>
            <w:tcW w:w="532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Bank subordinated debt securities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24,314</w:t>
            </w:r>
          </w:p>
        </w:tc>
        <w:tc>
          <w:tcPr>
            <w:tcW w:w="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23,708</w:t>
            </w:r>
          </w:p>
        </w:tc>
      </w:tr>
      <w:tr>
        <w:trPr>
          <w:trHeight w:val="244"/>
        </w:trPr>
        <w:tc>
          <w:tcPr>
            <w:tcW w:w="40" w:type="dxa"/>
            <w:vAlign w:val="bottom"/>
            <w:shd w:val="clear" w:color="auto" w:fill="D1EDF5"/>
          </w:tcPr>
          <w:p>
            <w:pPr>
              <w:spacing w:after="0"/>
              <w:rPr>
                <w:sz w:val="21"/>
                <w:szCs w:val="21"/>
                <w:color w:val="auto"/>
              </w:rPr>
            </w:pPr>
          </w:p>
        </w:tc>
        <w:tc>
          <w:tcPr>
            <w:tcW w:w="5280" w:type="dxa"/>
            <w:vAlign w:val="bottom"/>
            <w:shd w:val="clear" w:color="auto" w:fill="D1EDF5"/>
          </w:tcPr>
          <w:p>
            <w:pPr>
              <w:spacing w:after="0"/>
              <w:rPr>
                <w:sz w:val="21"/>
                <w:szCs w:val="21"/>
                <w:color w:val="auto"/>
              </w:rPr>
            </w:pPr>
          </w:p>
        </w:tc>
        <w:tc>
          <w:tcPr>
            <w:tcW w:w="4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310,925</w:t>
            </w:r>
          </w:p>
        </w:tc>
        <w:tc>
          <w:tcPr>
            <w:tcW w:w="8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(51,212)</w:t>
            </w:r>
          </w:p>
        </w:tc>
        <w:tc>
          <w:tcPr>
            <w:tcW w:w="80" w:type="dxa"/>
            <w:vAlign w:val="bottom"/>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260,221</w:t>
            </w: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w:t>
            </w:r>
          </w:p>
        </w:tc>
        <w:tc>
          <w:tcPr>
            <w:tcW w:w="80" w:type="dxa"/>
            <w:vAlign w:val="bottom"/>
          </w:tcPr>
          <w:p>
            <w:pPr>
              <w:spacing w:after="0"/>
              <w:rPr>
                <w:sz w:val="23"/>
                <w:szCs w:val="23"/>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Unrecognized</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Held-to-maturity:</w:t>
            </w:r>
          </w:p>
        </w:tc>
        <w:tc>
          <w:tcPr>
            <w:tcW w:w="14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528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42,538</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w w:val="79"/>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w w:val="79"/>
                <w:shd w:val="clear" w:color="auto" w:fill="D1EDF5"/>
              </w:rPr>
              <w:t>$</w:t>
            </w:r>
          </w:p>
        </w:tc>
        <w:tc>
          <w:tcPr>
            <w:tcW w:w="11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(5,094)</w:t>
            </w:r>
          </w:p>
        </w:tc>
        <w:tc>
          <w:tcPr>
            <w:tcW w:w="8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2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37,444</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56,987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49,259</w:t>
            </w:r>
          </w:p>
        </w:tc>
        <w:tc>
          <w:tcPr>
            <w:tcW w:w="0" w:type="dxa"/>
            <w:vAlign w:val="bottom"/>
          </w:tcPr>
          <w:p>
            <w:pPr>
              <w:spacing w:after="0"/>
              <w:rPr>
                <w:sz w:val="1"/>
                <w:szCs w:val="1"/>
                <w:color w:val="auto"/>
              </w:rPr>
            </w:pPr>
          </w:p>
        </w:tc>
      </w:tr>
      <w:tr>
        <w:trPr>
          <w:trHeight w:val="240"/>
        </w:trPr>
        <w:tc>
          <w:tcPr>
            <w:tcW w:w="40" w:type="dxa"/>
            <w:vAlign w:val="bottom"/>
            <w:shd w:val="clear" w:color="auto" w:fill="D1EDF5"/>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40,681</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53</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(4,613)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36,121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13,887</w:t>
            </w:r>
          </w:p>
        </w:tc>
        <w:tc>
          <w:tcPr>
            <w:tcW w:w="0" w:type="dxa"/>
            <w:vAlign w:val="bottom"/>
          </w:tcPr>
          <w:p>
            <w:pPr>
              <w:spacing w:after="0"/>
              <w:rPr>
                <w:sz w:val="1"/>
                <w:szCs w:val="1"/>
                <w:color w:val="auto"/>
              </w:rPr>
            </w:pPr>
          </w:p>
        </w:tc>
      </w:tr>
      <w:tr>
        <w:trPr>
          <w:trHeight w:val="232"/>
        </w:trPr>
        <w:tc>
          <w:tcPr>
            <w:tcW w:w="40" w:type="dxa"/>
            <w:vAlign w:val="bottom"/>
            <w:tcBorders>
              <w:bottom w:val="single" w:sz="8" w:color="D1EDF5"/>
            </w:tcBorders>
            <w:shd w:val="clear" w:color="auto" w:fill="D1EDF5"/>
          </w:tcPr>
          <w:p>
            <w:pPr>
              <w:spacing w:after="0"/>
              <w:rPr>
                <w:sz w:val="20"/>
                <w:szCs w:val="20"/>
                <w:color w:val="auto"/>
              </w:rPr>
            </w:pPr>
          </w:p>
        </w:tc>
        <w:tc>
          <w:tcPr>
            <w:tcW w:w="52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Corporate bonds</w:t>
            </w:r>
          </w:p>
        </w:tc>
        <w:tc>
          <w:tcPr>
            <w:tcW w:w="4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9,222</w:t>
            </w:r>
          </w:p>
        </w:tc>
        <w:tc>
          <w:tcPr>
            <w:tcW w:w="8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1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164,700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(19,270)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145,540</w:t>
            </w:r>
          </w:p>
        </w:tc>
        <w:tc>
          <w:tcPr>
            <w:tcW w:w="0" w:type="dxa"/>
            <w:vAlign w:val="bottom"/>
          </w:tcPr>
          <w:p>
            <w:pPr>
              <w:spacing w:after="0"/>
              <w:rPr>
                <w:sz w:val="1"/>
                <w:szCs w:val="1"/>
                <w:color w:val="auto"/>
              </w:rPr>
            </w:pPr>
          </w:p>
        </w:tc>
      </w:tr>
      <w:tr>
        <w:trPr>
          <w:trHeight w:val="257"/>
        </w:trPr>
        <w:tc>
          <w:tcPr>
            <w:tcW w:w="40" w:type="dxa"/>
            <w:vAlign w:val="bottom"/>
            <w:tcBorders>
              <w:top w:val="single" w:sz="8" w:color="D1EDF5"/>
              <w:bottom w:val="single" w:sz="8" w:color="D1EDF5"/>
            </w:tcBorders>
            <w:shd w:val="clear" w:color="auto" w:fill="D1EDF5"/>
          </w:tcPr>
          <w:p>
            <w:pPr>
              <w:spacing w:after="0"/>
              <w:rPr>
                <w:sz w:val="22"/>
                <w:szCs w:val="22"/>
                <w:color w:val="auto"/>
              </w:rPr>
            </w:pPr>
          </w:p>
        </w:tc>
        <w:tc>
          <w:tcPr>
            <w:tcW w:w="5280" w:type="dxa"/>
            <w:vAlign w:val="bottom"/>
            <w:tcBorders>
              <w:top w:val="single" w:sz="8" w:color="D1EDF5"/>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Allowance for credit losses - securities held-to-maturity</w:t>
            </w:r>
          </w:p>
        </w:tc>
        <w:tc>
          <w:tcPr>
            <w:tcW w:w="40" w:type="dxa"/>
            <w:vAlign w:val="bottom"/>
            <w:tcBorders>
              <w:top w:val="single" w:sz="8" w:color="D1EDF5"/>
              <w:bottom w:val="single" w:sz="8" w:color="D1EDF5"/>
            </w:tcBorders>
            <w:shd w:val="clear" w:color="auto" w:fill="D1EDF5"/>
          </w:tcPr>
          <w:p>
            <w:pPr>
              <w:spacing w:after="0"/>
              <w:rPr>
                <w:sz w:val="22"/>
                <w:szCs w:val="22"/>
                <w:color w:val="auto"/>
              </w:rPr>
            </w:pPr>
          </w:p>
        </w:tc>
        <w:tc>
          <w:tcPr>
            <w:tcW w:w="140" w:type="dxa"/>
            <w:vAlign w:val="bottom"/>
            <w:tcBorders>
              <w:top w:val="single" w:sz="8" w:color="auto"/>
              <w:bottom w:val="single" w:sz="8" w:color="D1EDF5"/>
            </w:tcBorders>
            <w:shd w:val="clear" w:color="auto" w:fill="D1EDF5"/>
          </w:tcPr>
          <w:p>
            <w:pPr>
              <w:spacing w:after="0"/>
              <w:rPr>
                <w:sz w:val="22"/>
                <w:szCs w:val="22"/>
                <w:color w:val="auto"/>
              </w:rPr>
            </w:pPr>
          </w:p>
        </w:tc>
        <w:tc>
          <w:tcPr>
            <w:tcW w:w="1160" w:type="dxa"/>
            <w:vAlign w:val="bottom"/>
            <w:tcBorders>
              <w:top w:val="single" w:sz="8" w:color="auto"/>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140" w:type="dxa"/>
            <w:vAlign w:val="bottom"/>
            <w:tcBorders>
              <w:top w:val="single" w:sz="8" w:color="auto"/>
              <w:bottom w:val="single" w:sz="8" w:color="D1EDF5"/>
            </w:tcBorders>
            <w:shd w:val="clear" w:color="auto" w:fill="D1EDF5"/>
          </w:tcPr>
          <w:p>
            <w:pPr>
              <w:spacing w:after="0"/>
              <w:rPr>
                <w:sz w:val="22"/>
                <w:szCs w:val="22"/>
                <w:color w:val="auto"/>
              </w:rPr>
            </w:pPr>
          </w:p>
        </w:tc>
        <w:tc>
          <w:tcPr>
            <w:tcW w:w="1160" w:type="dxa"/>
            <w:vAlign w:val="bottom"/>
            <w:tcBorders>
              <w:top w:val="single" w:sz="8" w:color="auto"/>
              <w:bottom w:val="single" w:sz="8" w:color="D1EDF5"/>
            </w:tcBorders>
            <w:shd w:val="clear" w:color="auto" w:fill="D1EDF5"/>
          </w:tcPr>
          <w:p>
            <w:pPr>
              <w:spacing w:after="0"/>
              <w:rPr>
                <w:sz w:val="22"/>
                <w:szCs w:val="22"/>
                <w:color w:val="auto"/>
              </w:rPr>
            </w:pP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140" w:type="dxa"/>
            <w:vAlign w:val="bottom"/>
            <w:tcBorders>
              <w:top w:val="single" w:sz="8" w:color="auto"/>
              <w:bottom w:val="single" w:sz="8" w:color="D1EDF5"/>
            </w:tcBorders>
            <w:shd w:val="clear" w:color="auto" w:fill="D1EDF5"/>
          </w:tcPr>
          <w:p>
            <w:pPr>
              <w:spacing w:after="0"/>
              <w:rPr>
                <w:sz w:val="22"/>
                <w:szCs w:val="22"/>
                <w:color w:val="auto"/>
              </w:rPr>
            </w:pPr>
          </w:p>
        </w:tc>
        <w:tc>
          <w:tcPr>
            <w:tcW w:w="1160" w:type="dxa"/>
            <w:vAlign w:val="bottom"/>
            <w:tcBorders>
              <w:top w:val="single" w:sz="8" w:color="auto"/>
              <w:bottom w:val="single" w:sz="8" w:color="D1EDF5"/>
            </w:tcBorders>
            <w:shd w:val="clear" w:color="auto" w:fill="D1EDF5"/>
          </w:tcPr>
          <w:p>
            <w:pPr>
              <w:spacing w:after="0"/>
              <w:rPr>
                <w:sz w:val="22"/>
                <w:szCs w:val="22"/>
                <w:color w:val="auto"/>
              </w:rPr>
            </w:pP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180" w:type="dxa"/>
            <w:vAlign w:val="bottom"/>
            <w:tcBorders>
              <w:top w:val="single" w:sz="8" w:color="auto"/>
              <w:bottom w:val="single" w:sz="8" w:color="D1EDF5"/>
            </w:tcBorders>
            <w:shd w:val="clear" w:color="auto" w:fill="D1EDF5"/>
          </w:tcPr>
          <w:p>
            <w:pPr>
              <w:spacing w:after="0"/>
              <w:rPr>
                <w:sz w:val="22"/>
                <w:szCs w:val="22"/>
                <w:color w:val="auto"/>
              </w:rPr>
            </w:pPr>
          </w:p>
        </w:tc>
        <w:tc>
          <w:tcPr>
            <w:tcW w:w="1120" w:type="dxa"/>
            <w:vAlign w:val="bottom"/>
            <w:tcBorders>
              <w:top w:val="single" w:sz="8" w:color="auto"/>
              <w:bottom w:val="single" w:sz="8" w:color="D1EDF5"/>
            </w:tcBorders>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5320" w:type="dxa"/>
            <w:vAlign w:val="bottom"/>
            <w:gridSpan w:val="2"/>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164,694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3" w:name="page64"/>
    <w:bookmarkEnd w:id="63"/>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AFS and HTM investment securities in aggregate increased $36.5 million or 8.6% to $461.4 million at December 31, 2025 from $424.9 million at December 31, 2024.</w:t>
      </w:r>
    </w:p>
    <w:p>
      <w:pPr>
        <w:spacing w:after="0" w:line="15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shows the weighted average yields, categorized by contractual maturity, for investment securities as of December 31, 2025 (in thousands, except ratios):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Within 1 year</w:t>
            </w:r>
          </w:p>
        </w:tc>
        <w:tc>
          <w:tcPr>
            <w:tcW w:w="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rPr>
              <w:t>After 1 year</w:t>
            </w:r>
          </w:p>
        </w:tc>
        <w:tc>
          <w:tcPr>
            <w:tcW w:w="1420" w:type="dxa"/>
            <w:vAlign w:val="bottom"/>
            <w:gridSpan w:val="3"/>
          </w:tcPr>
          <w:p>
            <w:pPr>
              <w:ind w:left="180"/>
              <w:spacing w:after="0"/>
              <w:rPr>
                <w:sz w:val="20"/>
                <w:szCs w:val="20"/>
                <w:color w:val="auto"/>
              </w:rPr>
            </w:pPr>
            <w:r>
              <w:rPr>
                <w:rFonts w:ascii="Arial" w:cs="Arial" w:eastAsia="Arial" w:hAnsi="Arial"/>
                <w:sz w:val="16"/>
                <w:szCs w:val="16"/>
                <w:b w:val="1"/>
                <w:bCs w:val="1"/>
                <w:color w:val="auto"/>
              </w:rPr>
              <w:t>After 5 years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After 10 years</w:t>
            </w:r>
          </w:p>
        </w:tc>
        <w:tc>
          <w:tcPr>
            <w:tcW w:w="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w w:val="99"/>
              </w:rPr>
              <w:t>Total</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through 5 years</w:t>
            </w:r>
          </w:p>
        </w:tc>
        <w:tc>
          <w:tcPr>
            <w:tcW w:w="40" w:type="dxa"/>
            <w:vAlign w:val="bottom"/>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9"/>
              </w:rPr>
              <w:t>through 10 years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Yield</w:t>
            </w:r>
          </w:p>
        </w:tc>
        <w:tc>
          <w:tcPr>
            <w:tcW w:w="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Amortized</w:t>
            </w:r>
          </w:p>
        </w:tc>
        <w:tc>
          <w:tcPr>
            <w:tcW w:w="6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Yield</w:t>
            </w:r>
          </w:p>
        </w:tc>
        <w:tc>
          <w:tcPr>
            <w:tcW w:w="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Amortized</w:t>
            </w:r>
          </w:p>
        </w:tc>
        <w:tc>
          <w:tcPr>
            <w:tcW w:w="5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Yield</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80"/>
              <w:spacing w:after="0"/>
              <w:rPr>
                <w:sz w:val="20"/>
                <w:szCs w:val="20"/>
                <w:color w:val="auto"/>
              </w:rPr>
            </w:pPr>
            <w:r>
              <w:rPr>
                <w:rFonts w:ascii="Arial" w:cs="Arial" w:eastAsia="Arial" w:hAnsi="Arial"/>
                <w:sz w:val="16"/>
                <w:szCs w:val="16"/>
                <w:b w:val="1"/>
                <w:bCs w:val="1"/>
                <w:color w:val="auto"/>
              </w:rPr>
              <w:t>Cost</w:t>
            </w:r>
          </w:p>
        </w:tc>
        <w:tc>
          <w:tcPr>
            <w:tcW w:w="760" w:type="dxa"/>
            <w:vAlign w:val="bottom"/>
            <w:gridSpan w:val="3"/>
          </w:tcPr>
          <w:p>
            <w:pPr>
              <w:ind w:left="100"/>
              <w:spacing w:after="0"/>
              <w:rPr>
                <w:sz w:val="20"/>
                <w:szCs w:val="20"/>
                <w:color w:val="auto"/>
              </w:rPr>
            </w:pPr>
            <w:r>
              <w:rPr>
                <w:rFonts w:ascii="Arial" w:cs="Arial" w:eastAsia="Arial" w:hAnsi="Arial"/>
                <w:sz w:val="16"/>
                <w:szCs w:val="16"/>
                <w:b w:val="1"/>
                <w:bCs w:val="1"/>
                <w:color w:val="auto"/>
              </w:rPr>
              <w:t>Yield</w:t>
            </w:r>
          </w:p>
        </w:tc>
        <w:tc>
          <w:tcPr>
            <w:tcW w:w="760" w:type="dxa"/>
            <w:vAlign w:val="bottom"/>
          </w:tcPr>
          <w:p>
            <w:pPr>
              <w:jc w:val="right"/>
              <w:ind w:right="180"/>
              <w:spacing w:after="0"/>
              <w:rPr>
                <w:sz w:val="20"/>
                <w:szCs w:val="20"/>
                <w:color w:val="auto"/>
              </w:rPr>
            </w:pPr>
            <w:r>
              <w:rPr>
                <w:rFonts w:ascii="Arial" w:cs="Arial" w:eastAsia="Arial" w:hAnsi="Arial"/>
                <w:sz w:val="16"/>
                <w:szCs w:val="16"/>
                <w:b w:val="1"/>
                <w:bCs w:val="1"/>
                <w:color w:val="auto"/>
              </w:rPr>
              <w:t>Cost</w:t>
            </w:r>
          </w:p>
        </w:tc>
        <w:tc>
          <w:tcPr>
            <w:tcW w:w="720" w:type="dxa"/>
            <w:vAlign w:val="bottom"/>
            <w:gridSpan w:val="4"/>
          </w:tcPr>
          <w:p>
            <w:pPr>
              <w:ind w:left="100"/>
              <w:spacing w:after="0"/>
              <w:rPr>
                <w:sz w:val="20"/>
                <w:szCs w:val="20"/>
                <w:color w:val="auto"/>
              </w:rPr>
            </w:pPr>
            <w:r>
              <w:rPr>
                <w:rFonts w:ascii="Arial" w:cs="Arial" w:eastAsia="Arial" w:hAnsi="Arial"/>
                <w:sz w:val="16"/>
                <w:szCs w:val="16"/>
                <w:b w:val="1"/>
                <w:bCs w:val="1"/>
                <w:color w:val="auto"/>
              </w:rPr>
              <w:t>Yield</w:t>
            </w:r>
          </w:p>
        </w:tc>
        <w:tc>
          <w:tcPr>
            <w:tcW w:w="780" w:type="dxa"/>
            <w:vAlign w:val="bottom"/>
          </w:tcPr>
          <w:p>
            <w:pPr>
              <w:ind w:left="180"/>
              <w:spacing w:after="0"/>
              <w:rPr>
                <w:sz w:val="20"/>
                <w:szCs w:val="20"/>
                <w:color w:val="auto"/>
              </w:rPr>
            </w:pPr>
            <w:r>
              <w:rPr>
                <w:rFonts w:ascii="Arial" w:cs="Arial" w:eastAsia="Arial" w:hAnsi="Arial"/>
                <w:sz w:val="16"/>
                <w:szCs w:val="16"/>
                <w:b w:val="1"/>
                <w:bCs w:val="1"/>
                <w:color w:val="auto"/>
              </w:rPr>
              <w:t>Cost</w:t>
            </w:r>
          </w:p>
        </w:tc>
        <w:tc>
          <w:tcPr>
            <w:tcW w:w="6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80"/>
              <w:spacing w:after="0"/>
              <w:rPr>
                <w:sz w:val="20"/>
                <w:szCs w:val="20"/>
                <w:color w:val="auto"/>
              </w:rPr>
            </w:pPr>
            <w:r>
              <w:rPr>
                <w:rFonts w:ascii="Arial" w:cs="Arial" w:eastAsia="Arial" w:hAnsi="Arial"/>
                <w:sz w:val="16"/>
                <w:szCs w:val="16"/>
                <w:b w:val="1"/>
                <w:bCs w:val="1"/>
                <w:color w:val="auto"/>
              </w:rPr>
              <w:t>Cost</w:t>
            </w:r>
          </w:p>
        </w:tc>
        <w:tc>
          <w:tcPr>
            <w:tcW w:w="6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8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6"/>
                <w:szCs w:val="16"/>
                <w:b w:val="1"/>
                <w:bCs w:val="1"/>
                <w:color w:val="auto"/>
              </w:rPr>
              <w:t>Available-for-sale:</w:t>
            </w:r>
          </w:p>
        </w:tc>
        <w:tc>
          <w:tcPr>
            <w:tcW w:w="100" w:type="dxa"/>
            <w:vAlign w:val="bottom"/>
            <w:tcBorders>
              <w:top w:val="single" w:sz="8" w:color="auto"/>
            </w:tcBorders>
            <w:shd w:val="clear" w:color="auto" w:fill="D1EDF5"/>
          </w:tcPr>
          <w:p>
            <w:pPr>
              <w:spacing w:after="0"/>
              <w:rPr>
                <w:sz w:val="18"/>
                <w:szCs w:val="18"/>
                <w:color w:val="auto"/>
              </w:rPr>
            </w:pPr>
          </w:p>
        </w:tc>
        <w:tc>
          <w:tcPr>
            <w:tcW w:w="760" w:type="dxa"/>
            <w:vAlign w:val="bottom"/>
            <w:tcBorders>
              <w:top w:val="single" w:sz="8" w:color="auto"/>
            </w:tcBorders>
            <w:shd w:val="clear" w:color="auto" w:fill="D1EDF5"/>
          </w:tcPr>
          <w:p>
            <w:pPr>
              <w:spacing w:after="0"/>
              <w:rPr>
                <w:sz w:val="18"/>
                <w:szCs w:val="18"/>
                <w:color w:val="auto"/>
              </w:rPr>
            </w:pPr>
          </w:p>
        </w:tc>
        <w:tc>
          <w:tcPr>
            <w:tcW w:w="620" w:type="dxa"/>
            <w:vAlign w:val="bottom"/>
            <w:tcBorders>
              <w:top w:val="single" w:sz="8" w:color="auto"/>
            </w:tcBorders>
            <w:shd w:val="clear" w:color="auto" w:fill="D1EDF5"/>
          </w:tcPr>
          <w:p>
            <w:pPr>
              <w:spacing w:after="0"/>
              <w:rPr>
                <w:sz w:val="18"/>
                <w:szCs w:val="18"/>
                <w:color w:val="auto"/>
              </w:rPr>
            </w:pPr>
          </w:p>
        </w:tc>
        <w:tc>
          <w:tcPr>
            <w:tcW w:w="20" w:type="dxa"/>
            <w:vAlign w:val="bottom"/>
            <w:tcBorders>
              <w:top w:val="single" w:sz="8" w:color="D1EDF5"/>
            </w:tcBorders>
            <w:shd w:val="clear" w:color="auto" w:fill="D1EDF5"/>
          </w:tcPr>
          <w:p>
            <w:pPr>
              <w:spacing w:after="0"/>
              <w:rPr>
                <w:sz w:val="18"/>
                <w:szCs w:val="18"/>
                <w:color w:val="auto"/>
              </w:rPr>
            </w:pPr>
          </w:p>
        </w:tc>
        <w:tc>
          <w:tcPr>
            <w:tcW w:w="120" w:type="dxa"/>
            <w:vAlign w:val="bottom"/>
            <w:tcBorders>
              <w:top w:val="single" w:sz="8" w:color="auto"/>
            </w:tcBorders>
            <w:shd w:val="clear" w:color="auto" w:fill="D1EDF5"/>
          </w:tcPr>
          <w:p>
            <w:pPr>
              <w:spacing w:after="0"/>
              <w:rPr>
                <w:sz w:val="18"/>
                <w:szCs w:val="18"/>
                <w:color w:val="auto"/>
              </w:rPr>
            </w:pPr>
          </w:p>
        </w:tc>
        <w:tc>
          <w:tcPr>
            <w:tcW w:w="760" w:type="dxa"/>
            <w:vAlign w:val="bottom"/>
            <w:tcBorders>
              <w:top w:val="single" w:sz="8" w:color="auto"/>
            </w:tcBorders>
            <w:shd w:val="clear" w:color="auto" w:fill="D1EDF5"/>
          </w:tcPr>
          <w:p>
            <w:pPr>
              <w:spacing w:after="0"/>
              <w:rPr>
                <w:sz w:val="18"/>
                <w:szCs w:val="18"/>
                <w:color w:val="auto"/>
              </w:rPr>
            </w:pPr>
          </w:p>
        </w:tc>
        <w:tc>
          <w:tcPr>
            <w:tcW w:w="600" w:type="dxa"/>
            <w:vAlign w:val="bottom"/>
            <w:tcBorders>
              <w:top w:val="single" w:sz="8" w:color="auto"/>
            </w:tcBorders>
            <w:shd w:val="clear" w:color="auto" w:fill="D1EDF5"/>
          </w:tcPr>
          <w:p>
            <w:pPr>
              <w:spacing w:after="0"/>
              <w:rPr>
                <w:sz w:val="18"/>
                <w:szCs w:val="18"/>
                <w:color w:val="auto"/>
              </w:rPr>
            </w:pPr>
          </w:p>
        </w:tc>
        <w:tc>
          <w:tcPr>
            <w:tcW w:w="20" w:type="dxa"/>
            <w:vAlign w:val="bottom"/>
            <w:tcBorders>
              <w:top w:val="single" w:sz="8" w:color="D1EDF5"/>
            </w:tcBorders>
            <w:shd w:val="clear" w:color="auto" w:fill="D1EDF5"/>
          </w:tcPr>
          <w:p>
            <w:pPr>
              <w:spacing w:after="0"/>
              <w:rPr>
                <w:sz w:val="18"/>
                <w:szCs w:val="18"/>
                <w:color w:val="auto"/>
              </w:rPr>
            </w:pPr>
          </w:p>
        </w:tc>
        <w:tc>
          <w:tcPr>
            <w:tcW w:w="20" w:type="dxa"/>
            <w:vAlign w:val="bottom"/>
            <w:tcBorders>
              <w:top w:val="single" w:sz="8" w:color="D1EDF5"/>
            </w:tcBorders>
            <w:shd w:val="clear" w:color="auto" w:fill="D1EDF5"/>
          </w:tcPr>
          <w:p>
            <w:pPr>
              <w:spacing w:after="0"/>
              <w:rPr>
                <w:sz w:val="18"/>
                <w:szCs w:val="18"/>
                <w:color w:val="auto"/>
              </w:rPr>
            </w:pPr>
          </w:p>
        </w:tc>
        <w:tc>
          <w:tcPr>
            <w:tcW w:w="80" w:type="dxa"/>
            <w:vAlign w:val="bottom"/>
            <w:tcBorders>
              <w:top w:val="single" w:sz="8" w:color="auto"/>
            </w:tcBorders>
            <w:shd w:val="clear" w:color="auto" w:fill="D1EDF5"/>
          </w:tcPr>
          <w:p>
            <w:pPr>
              <w:spacing w:after="0"/>
              <w:rPr>
                <w:sz w:val="18"/>
                <w:szCs w:val="18"/>
                <w:color w:val="auto"/>
              </w:rPr>
            </w:pPr>
          </w:p>
        </w:tc>
        <w:tc>
          <w:tcPr>
            <w:tcW w:w="780" w:type="dxa"/>
            <w:vAlign w:val="bottom"/>
            <w:tcBorders>
              <w:top w:val="single" w:sz="8" w:color="auto"/>
            </w:tcBorders>
            <w:shd w:val="clear" w:color="auto" w:fill="D1EDF5"/>
          </w:tcPr>
          <w:p>
            <w:pPr>
              <w:spacing w:after="0"/>
              <w:rPr>
                <w:sz w:val="18"/>
                <w:szCs w:val="18"/>
                <w:color w:val="auto"/>
              </w:rPr>
            </w:pPr>
          </w:p>
        </w:tc>
        <w:tc>
          <w:tcPr>
            <w:tcW w:w="620" w:type="dxa"/>
            <w:vAlign w:val="bottom"/>
            <w:tcBorders>
              <w:top w:val="single" w:sz="8" w:color="auto"/>
            </w:tcBorders>
            <w:shd w:val="clear" w:color="auto" w:fill="D1EDF5"/>
          </w:tcPr>
          <w:p>
            <w:pPr>
              <w:spacing w:after="0"/>
              <w:rPr>
                <w:sz w:val="18"/>
                <w:szCs w:val="18"/>
                <w:color w:val="auto"/>
              </w:rPr>
            </w:pPr>
          </w:p>
        </w:tc>
        <w:tc>
          <w:tcPr>
            <w:tcW w:w="20" w:type="dxa"/>
            <w:vAlign w:val="bottom"/>
            <w:tcBorders>
              <w:top w:val="single" w:sz="8" w:color="D1EDF5"/>
            </w:tcBorders>
            <w:shd w:val="clear" w:color="auto" w:fill="D1EDF5"/>
          </w:tcPr>
          <w:p>
            <w:pPr>
              <w:spacing w:after="0"/>
              <w:rPr>
                <w:sz w:val="18"/>
                <w:szCs w:val="18"/>
                <w:color w:val="auto"/>
              </w:rPr>
            </w:pPr>
          </w:p>
        </w:tc>
        <w:tc>
          <w:tcPr>
            <w:tcW w:w="20" w:type="dxa"/>
            <w:vAlign w:val="bottom"/>
            <w:tcBorders>
              <w:top w:val="single" w:sz="8" w:color="D1EDF5"/>
            </w:tcBorders>
            <w:shd w:val="clear" w:color="auto" w:fill="D1EDF5"/>
          </w:tcPr>
          <w:p>
            <w:pPr>
              <w:spacing w:after="0"/>
              <w:rPr>
                <w:sz w:val="18"/>
                <w:szCs w:val="18"/>
                <w:color w:val="auto"/>
              </w:rPr>
            </w:pPr>
          </w:p>
        </w:tc>
        <w:tc>
          <w:tcPr>
            <w:tcW w:w="140" w:type="dxa"/>
            <w:vAlign w:val="bottom"/>
            <w:tcBorders>
              <w:top w:val="single" w:sz="8" w:color="auto"/>
            </w:tcBorders>
            <w:shd w:val="clear" w:color="auto" w:fill="D1EDF5"/>
          </w:tcPr>
          <w:p>
            <w:pPr>
              <w:spacing w:after="0"/>
              <w:rPr>
                <w:sz w:val="18"/>
                <w:szCs w:val="18"/>
                <w:color w:val="auto"/>
              </w:rPr>
            </w:pPr>
          </w:p>
        </w:tc>
        <w:tc>
          <w:tcPr>
            <w:tcW w:w="720" w:type="dxa"/>
            <w:vAlign w:val="bottom"/>
            <w:tcBorders>
              <w:top w:val="single" w:sz="8" w:color="auto"/>
            </w:tcBorders>
            <w:shd w:val="clear" w:color="auto" w:fill="D1EDF5"/>
          </w:tcPr>
          <w:p>
            <w:pPr>
              <w:spacing w:after="0"/>
              <w:rPr>
                <w:sz w:val="18"/>
                <w:szCs w:val="18"/>
                <w:color w:val="auto"/>
              </w:rPr>
            </w:pPr>
          </w:p>
        </w:tc>
        <w:tc>
          <w:tcPr>
            <w:tcW w:w="620" w:type="dxa"/>
            <w:vAlign w:val="bottom"/>
            <w:tcBorders>
              <w:top w:val="single" w:sz="8" w:color="auto"/>
            </w:tcBorders>
            <w:shd w:val="clear" w:color="auto" w:fill="D1EDF5"/>
          </w:tcPr>
          <w:p>
            <w:pPr>
              <w:spacing w:after="0"/>
              <w:rPr>
                <w:sz w:val="18"/>
                <w:szCs w:val="18"/>
                <w:color w:val="auto"/>
              </w:rPr>
            </w:pPr>
          </w:p>
        </w:tc>
        <w:tc>
          <w:tcPr>
            <w:tcW w:w="20" w:type="dxa"/>
            <w:vAlign w:val="bottom"/>
            <w:tcBorders>
              <w:top w:val="single" w:sz="8" w:color="D1EDF5"/>
            </w:tcBorders>
            <w:shd w:val="clear" w:color="auto" w:fill="D1EDF5"/>
          </w:tcPr>
          <w:p>
            <w:pPr>
              <w:spacing w:after="0"/>
              <w:rPr>
                <w:sz w:val="18"/>
                <w:szCs w:val="18"/>
                <w:color w:val="auto"/>
              </w:rPr>
            </w:pPr>
          </w:p>
        </w:tc>
        <w:tc>
          <w:tcPr>
            <w:tcW w:w="160" w:type="dxa"/>
            <w:vAlign w:val="bottom"/>
            <w:tcBorders>
              <w:top w:val="single" w:sz="8" w:color="auto"/>
            </w:tcBorders>
            <w:shd w:val="clear" w:color="auto" w:fill="D1EDF5"/>
          </w:tcPr>
          <w:p>
            <w:pPr>
              <w:spacing w:after="0"/>
              <w:rPr>
                <w:sz w:val="18"/>
                <w:szCs w:val="18"/>
                <w:color w:val="auto"/>
              </w:rPr>
            </w:pPr>
          </w:p>
        </w:tc>
        <w:tc>
          <w:tcPr>
            <w:tcW w:w="720" w:type="dxa"/>
            <w:vAlign w:val="bottom"/>
            <w:tcBorders>
              <w:top w:val="single" w:sz="8" w:color="auto"/>
            </w:tcBorders>
            <w:shd w:val="clear" w:color="auto" w:fill="D1EDF5"/>
          </w:tcPr>
          <w:p>
            <w:pPr>
              <w:spacing w:after="0"/>
              <w:rPr>
                <w:sz w:val="18"/>
                <w:szCs w:val="18"/>
                <w:color w:val="auto"/>
              </w:rPr>
            </w:pPr>
          </w:p>
        </w:tc>
        <w:tc>
          <w:tcPr>
            <w:tcW w:w="80" w:type="dxa"/>
            <w:vAlign w:val="bottom"/>
            <w:tcBorders>
              <w:top w:val="single" w:sz="8" w:color="auto"/>
            </w:tcBorders>
            <w:shd w:val="clear" w:color="auto" w:fill="D1EDF5"/>
          </w:tcPr>
          <w:p>
            <w:pPr>
              <w:spacing w:after="0"/>
              <w:rPr>
                <w:sz w:val="18"/>
                <w:szCs w:val="18"/>
                <w:color w:val="auto"/>
              </w:rPr>
            </w:pPr>
          </w:p>
        </w:tc>
        <w:tc>
          <w:tcPr>
            <w:tcW w:w="540" w:type="dxa"/>
            <w:vAlign w:val="bottom"/>
            <w:tcBorders>
              <w:top w:val="single" w:sz="8" w:color="auto"/>
            </w:tcBorders>
            <w:shd w:val="clear" w:color="auto" w:fill="D1EDF5"/>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U.S. Government Agency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tcPr>
          <w:p>
            <w:pPr>
              <w:ind w:left="500"/>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15,169</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15,169</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26"/>
        </w:trPr>
        <w:tc>
          <w:tcPr>
            <w:tcW w:w="3180" w:type="dxa"/>
            <w:vAlign w:val="bottom"/>
            <w:gridSpan w:val="2"/>
            <w:shd w:val="clear" w:color="auto" w:fill="D1EDF5"/>
          </w:tcPr>
          <w:p>
            <w:pPr>
              <w:spacing w:after="0"/>
              <w:rPr>
                <w:sz w:val="20"/>
                <w:szCs w:val="20"/>
                <w:color w:val="auto"/>
              </w:rPr>
            </w:pPr>
            <w:r>
              <w:rPr>
                <w:rFonts w:ascii="Arial" w:cs="Arial" w:eastAsia="Arial" w:hAnsi="Arial"/>
                <w:sz w:val="16"/>
                <w:szCs w:val="16"/>
                <w:color w:val="auto"/>
              </w:rPr>
              <w:t>Collateralized mortgage obligations</w:t>
            </w:r>
          </w:p>
        </w:tc>
        <w:tc>
          <w:tcPr>
            <w:tcW w:w="10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7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92,871</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1.74%</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92,871</w:t>
            </w:r>
          </w:p>
        </w:tc>
        <w:tc>
          <w:tcPr>
            <w:tcW w:w="80" w:type="dxa"/>
            <w:vAlign w:val="bottom"/>
            <w:shd w:val="clear" w:color="auto" w:fill="D1EDF5"/>
          </w:tcPr>
          <w:p>
            <w:pPr>
              <w:spacing w:after="0"/>
              <w:rPr>
                <w:sz w:val="19"/>
                <w:szCs w:val="19"/>
                <w:color w:val="auto"/>
              </w:rPr>
            </w:pPr>
          </w:p>
        </w:tc>
        <w:tc>
          <w:tcPr>
            <w:tcW w:w="54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Mortgage-backed securities - residential</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5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35,865</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2.41%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35,865</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D1EDF5"/>
          </w:tcPr>
          <w:p>
            <w:pPr>
              <w:spacing w:after="0"/>
              <w:rPr>
                <w:sz w:val="20"/>
                <w:szCs w:val="20"/>
                <w:color w:val="auto"/>
              </w:rPr>
            </w:pPr>
            <w:r>
              <w:rPr>
                <w:rFonts w:ascii="Arial" w:cs="Arial" w:eastAsia="Arial" w:hAnsi="Arial"/>
                <w:sz w:val="16"/>
                <w:szCs w:val="16"/>
                <w:color w:val="auto"/>
              </w:rPr>
              <w:t>Mortgage-backed securities - commercial</w:t>
            </w:r>
          </w:p>
        </w:tc>
        <w:tc>
          <w:tcPr>
            <w:tcW w:w="10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7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174,622</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4.02%</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174,622</w:t>
            </w:r>
          </w:p>
        </w:tc>
        <w:tc>
          <w:tcPr>
            <w:tcW w:w="80" w:type="dxa"/>
            <w:vAlign w:val="bottom"/>
            <w:shd w:val="clear" w:color="auto" w:fill="D1EDF5"/>
          </w:tcPr>
          <w:p>
            <w:pPr>
              <w:spacing w:after="0"/>
              <w:rPr>
                <w:sz w:val="19"/>
                <w:szCs w:val="19"/>
                <w:color w:val="auto"/>
              </w:rPr>
            </w:pPr>
          </w:p>
        </w:tc>
        <w:tc>
          <w:tcPr>
            <w:tcW w:w="540" w:type="dxa"/>
            <w:vAlign w:val="bottom"/>
            <w:shd w:val="clear" w:color="auto" w:fill="D1EDF5"/>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Municipal securities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5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ind w:left="5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5,196</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5,196</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26"/>
        </w:trPr>
        <w:tc>
          <w:tcPr>
            <w:tcW w:w="31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6"/>
                <w:szCs w:val="16"/>
                <w:color w:val="auto"/>
              </w:rPr>
              <w:t>Bank subordinated debt securities</w:t>
            </w:r>
          </w:p>
        </w:tc>
        <w:tc>
          <w:tcPr>
            <w:tcW w:w="100" w:type="dxa"/>
            <w:vAlign w:val="bottom"/>
            <w:tcBorders>
              <w:bottom w:val="single" w:sz="8" w:color="auto"/>
            </w:tcBorders>
            <w:shd w:val="clear" w:color="auto" w:fill="D1EDF5"/>
          </w:tcPr>
          <w:p>
            <w:pPr>
              <w:spacing w:after="0"/>
              <w:rPr>
                <w:sz w:val="19"/>
                <w:szCs w:val="19"/>
                <w:color w:val="auto"/>
              </w:rPr>
            </w:pPr>
          </w:p>
        </w:tc>
        <w:tc>
          <w:tcPr>
            <w:tcW w:w="7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1EDF5"/>
            </w:tcBorders>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1EDF5"/>
            </w:tcBorders>
            <w:shd w:val="clear" w:color="auto" w:fill="D1EDF5"/>
          </w:tcPr>
          <w:p>
            <w:pPr>
              <w:spacing w:after="0"/>
              <w:rPr>
                <w:sz w:val="19"/>
                <w:szCs w:val="19"/>
                <w:color w:val="auto"/>
              </w:rPr>
            </w:pPr>
          </w:p>
        </w:tc>
        <w:tc>
          <w:tcPr>
            <w:tcW w:w="120" w:type="dxa"/>
            <w:vAlign w:val="bottom"/>
            <w:tcBorders>
              <w:bottom w:val="single" w:sz="8" w:color="auto"/>
            </w:tcBorders>
            <w:shd w:val="clear" w:color="auto" w:fill="D1EDF5"/>
          </w:tcPr>
          <w:p>
            <w:pPr>
              <w:spacing w:after="0"/>
              <w:rPr>
                <w:sz w:val="19"/>
                <w:szCs w:val="19"/>
                <w:color w:val="auto"/>
              </w:rPr>
            </w:pPr>
          </w:p>
        </w:tc>
        <w:tc>
          <w:tcPr>
            <w:tcW w:w="7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4,473</w:t>
            </w:r>
          </w:p>
        </w:tc>
        <w:tc>
          <w:tcPr>
            <w:tcW w:w="6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6"/>
                <w:szCs w:val="16"/>
                <w:color w:val="auto"/>
              </w:rPr>
              <w:t>8.14%</w:t>
            </w:r>
          </w:p>
        </w:tc>
        <w:tc>
          <w:tcPr>
            <w:tcW w:w="20" w:type="dxa"/>
            <w:vAlign w:val="bottom"/>
            <w:tcBorders>
              <w:bottom w:val="single" w:sz="8" w:color="D1EDF5"/>
            </w:tcBorders>
            <w:shd w:val="clear" w:color="auto" w:fill="D1EDF5"/>
          </w:tcPr>
          <w:p>
            <w:pPr>
              <w:spacing w:after="0"/>
              <w:rPr>
                <w:sz w:val="19"/>
                <w:szCs w:val="19"/>
                <w:color w:val="auto"/>
              </w:rPr>
            </w:pPr>
          </w:p>
        </w:tc>
        <w:tc>
          <w:tcPr>
            <w:tcW w:w="20" w:type="dxa"/>
            <w:vAlign w:val="bottom"/>
            <w:tcBorders>
              <w:bottom w:val="single" w:sz="8" w:color="D1EDF5"/>
            </w:tcBorders>
            <w:shd w:val="clear" w:color="auto" w:fill="D1EDF5"/>
          </w:tcPr>
          <w:p>
            <w:pPr>
              <w:spacing w:after="0"/>
              <w:rPr>
                <w:sz w:val="19"/>
                <w:szCs w:val="19"/>
                <w:color w:val="auto"/>
              </w:rPr>
            </w:pPr>
          </w:p>
        </w:tc>
        <w:tc>
          <w:tcPr>
            <w:tcW w:w="80" w:type="dxa"/>
            <w:vAlign w:val="bottom"/>
            <w:tcBorders>
              <w:bottom w:val="single" w:sz="8" w:color="auto"/>
            </w:tcBorders>
            <w:shd w:val="clear" w:color="auto" w:fill="D1EDF5"/>
          </w:tcPr>
          <w:p>
            <w:pPr>
              <w:spacing w:after="0"/>
              <w:rPr>
                <w:sz w:val="19"/>
                <w:szCs w:val="19"/>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10,811</w:t>
            </w:r>
          </w:p>
        </w:tc>
        <w:tc>
          <w:tcPr>
            <w:tcW w:w="6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6"/>
                <w:szCs w:val="16"/>
                <w:color w:val="auto"/>
              </w:rPr>
              <w:t>5.65%</w:t>
            </w:r>
          </w:p>
        </w:tc>
        <w:tc>
          <w:tcPr>
            <w:tcW w:w="20" w:type="dxa"/>
            <w:vAlign w:val="bottom"/>
            <w:tcBorders>
              <w:bottom w:val="single" w:sz="8" w:color="D1EDF5"/>
            </w:tcBorders>
            <w:shd w:val="clear" w:color="auto" w:fill="D1EDF5"/>
          </w:tcPr>
          <w:p>
            <w:pPr>
              <w:spacing w:after="0"/>
              <w:rPr>
                <w:sz w:val="19"/>
                <w:szCs w:val="19"/>
                <w:color w:val="auto"/>
              </w:rPr>
            </w:pPr>
          </w:p>
        </w:tc>
        <w:tc>
          <w:tcPr>
            <w:tcW w:w="20" w:type="dxa"/>
            <w:vAlign w:val="bottom"/>
            <w:tcBorders>
              <w:bottom w:val="single" w:sz="8" w:color="D1EDF5"/>
            </w:tcBorders>
            <w:shd w:val="clear" w:color="auto" w:fill="D1EDF5"/>
          </w:tcPr>
          <w:p>
            <w:pPr>
              <w:spacing w:after="0"/>
              <w:rPr>
                <w:sz w:val="19"/>
                <w:szCs w:val="19"/>
                <w:color w:val="auto"/>
              </w:rPr>
            </w:pPr>
          </w:p>
        </w:tc>
        <w:tc>
          <w:tcPr>
            <w:tcW w:w="140" w:type="dxa"/>
            <w:vAlign w:val="bottom"/>
            <w:tcBorders>
              <w:bottom w:val="single" w:sz="8" w:color="auto"/>
            </w:tcBorders>
            <w:shd w:val="clear" w:color="auto" w:fill="D1EDF5"/>
          </w:tcPr>
          <w:p>
            <w:pPr>
              <w:spacing w:after="0"/>
              <w:rPr>
                <w:sz w:val="19"/>
                <w:szCs w:val="19"/>
                <w:color w:val="auto"/>
              </w:rPr>
            </w:pPr>
          </w:p>
        </w:tc>
        <w:tc>
          <w:tcPr>
            <w:tcW w:w="7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1EDF5"/>
            </w:tcBorders>
            <w:shd w:val="clear" w:color="auto" w:fill="D1EDF5"/>
          </w:tcPr>
          <w:p>
            <w:pPr>
              <w:spacing w:after="0"/>
              <w:rPr>
                <w:sz w:val="19"/>
                <w:szCs w:val="19"/>
                <w:color w:val="auto"/>
              </w:rPr>
            </w:pPr>
          </w:p>
        </w:tc>
        <w:tc>
          <w:tcPr>
            <w:tcW w:w="160" w:type="dxa"/>
            <w:vAlign w:val="bottom"/>
            <w:tcBorders>
              <w:bottom w:val="single" w:sz="8" w:color="auto"/>
            </w:tcBorders>
            <w:shd w:val="clear" w:color="auto" w:fill="D1EDF5"/>
          </w:tcPr>
          <w:p>
            <w:pPr>
              <w:spacing w:after="0"/>
              <w:rPr>
                <w:sz w:val="19"/>
                <w:szCs w:val="19"/>
                <w:color w:val="auto"/>
              </w:rPr>
            </w:pPr>
          </w:p>
        </w:tc>
        <w:tc>
          <w:tcPr>
            <w:tcW w:w="7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15,284</w:t>
            </w:r>
          </w:p>
        </w:tc>
        <w:tc>
          <w:tcPr>
            <w:tcW w:w="80" w:type="dxa"/>
            <w:vAlign w:val="bottom"/>
            <w:tcBorders>
              <w:bottom w:val="single" w:sz="8" w:color="D1EDF5"/>
            </w:tcBorders>
            <w:shd w:val="clear" w:color="auto" w:fill="D1EDF5"/>
          </w:tcPr>
          <w:p>
            <w:pPr>
              <w:spacing w:after="0"/>
              <w:rPr>
                <w:sz w:val="19"/>
                <w:szCs w:val="19"/>
                <w:color w:val="auto"/>
              </w:rPr>
            </w:pPr>
          </w:p>
        </w:tc>
        <w:tc>
          <w:tcPr>
            <w:tcW w:w="5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4,473</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8.14% $</w:t>
            </w:r>
          </w:p>
        </w:tc>
        <w:tc>
          <w:tcPr>
            <w:tcW w:w="780" w:type="dxa"/>
            <w:vAlign w:val="bottom"/>
          </w:tcPr>
          <w:p>
            <w:pPr>
              <w:jc w:val="right"/>
              <w:spacing w:after="0"/>
              <w:rPr>
                <w:sz w:val="20"/>
                <w:szCs w:val="20"/>
                <w:color w:val="auto"/>
              </w:rPr>
            </w:pPr>
            <w:r>
              <w:rPr>
                <w:rFonts w:ascii="Arial" w:cs="Arial" w:eastAsia="Arial" w:hAnsi="Arial"/>
                <w:sz w:val="16"/>
                <w:szCs w:val="16"/>
                <w:color w:val="auto"/>
              </w:rPr>
              <w:t>16,007</w:t>
            </w: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4.42% $</w:t>
            </w:r>
          </w:p>
        </w:tc>
        <w:tc>
          <w:tcPr>
            <w:tcW w:w="720" w:type="dxa"/>
            <w:vAlign w:val="bottom"/>
          </w:tcPr>
          <w:p>
            <w:pPr>
              <w:jc w:val="right"/>
              <w:spacing w:after="0"/>
              <w:rPr>
                <w:sz w:val="20"/>
                <w:szCs w:val="20"/>
                <w:color w:val="auto"/>
              </w:rPr>
            </w:pPr>
            <w:r>
              <w:rPr>
                <w:rFonts w:ascii="Arial" w:cs="Arial" w:eastAsia="Arial" w:hAnsi="Arial"/>
                <w:sz w:val="16"/>
                <w:szCs w:val="16"/>
                <w:color w:val="auto"/>
              </w:rPr>
              <w:t>318,527</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339,006</w:t>
            </w:r>
          </w:p>
        </w:tc>
        <w:tc>
          <w:tcPr>
            <w:tcW w:w="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26"/>
        </w:trPr>
        <w:tc>
          <w:tcPr>
            <w:tcW w:w="318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6"/>
                <w:szCs w:val="16"/>
                <w:b w:val="1"/>
                <w:bCs w:val="1"/>
                <w:color w:val="auto"/>
              </w:rPr>
              <w:t>Held-to-maturity:</w:t>
            </w:r>
          </w:p>
        </w:tc>
        <w:tc>
          <w:tcPr>
            <w:tcW w:w="100" w:type="dxa"/>
            <w:vAlign w:val="bottom"/>
            <w:tcBorders>
              <w:top w:val="single" w:sz="8" w:color="auto"/>
            </w:tcBorders>
            <w:shd w:val="clear" w:color="auto" w:fill="D1EDF5"/>
          </w:tcPr>
          <w:p>
            <w:pPr>
              <w:spacing w:after="0"/>
              <w:rPr>
                <w:sz w:val="19"/>
                <w:szCs w:val="19"/>
                <w:color w:val="auto"/>
              </w:rPr>
            </w:pPr>
          </w:p>
        </w:tc>
        <w:tc>
          <w:tcPr>
            <w:tcW w:w="760" w:type="dxa"/>
            <w:vAlign w:val="bottom"/>
            <w:tcBorders>
              <w:top w:val="single" w:sz="8" w:color="auto"/>
            </w:tcBorders>
            <w:shd w:val="clear" w:color="auto" w:fill="D1EDF5"/>
          </w:tcPr>
          <w:p>
            <w:pPr>
              <w:spacing w:after="0"/>
              <w:rPr>
                <w:sz w:val="19"/>
                <w:szCs w:val="19"/>
                <w:color w:val="auto"/>
              </w:rPr>
            </w:pPr>
          </w:p>
        </w:tc>
        <w:tc>
          <w:tcPr>
            <w:tcW w:w="6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760" w:type="dxa"/>
            <w:vAlign w:val="bottom"/>
            <w:tcBorders>
              <w:top w:val="single" w:sz="8" w:color="auto"/>
            </w:tcBorders>
            <w:shd w:val="clear" w:color="auto" w:fill="D1EDF5"/>
          </w:tcPr>
          <w:p>
            <w:pPr>
              <w:spacing w:after="0"/>
              <w:rPr>
                <w:sz w:val="19"/>
                <w:szCs w:val="19"/>
                <w:color w:val="auto"/>
              </w:rPr>
            </w:pPr>
          </w:p>
        </w:tc>
        <w:tc>
          <w:tcPr>
            <w:tcW w:w="60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80" w:type="dxa"/>
            <w:vAlign w:val="bottom"/>
            <w:tcBorders>
              <w:top w:val="single" w:sz="8" w:color="auto"/>
            </w:tcBorders>
            <w:shd w:val="clear" w:color="auto" w:fill="D1EDF5"/>
          </w:tcPr>
          <w:p>
            <w:pPr>
              <w:spacing w:after="0"/>
              <w:rPr>
                <w:sz w:val="19"/>
                <w:szCs w:val="19"/>
                <w:color w:val="auto"/>
              </w:rPr>
            </w:pPr>
          </w:p>
        </w:tc>
        <w:tc>
          <w:tcPr>
            <w:tcW w:w="780" w:type="dxa"/>
            <w:vAlign w:val="bottom"/>
            <w:tcBorders>
              <w:top w:val="single" w:sz="8" w:color="auto"/>
            </w:tcBorders>
            <w:shd w:val="clear" w:color="auto" w:fill="D1EDF5"/>
          </w:tcPr>
          <w:p>
            <w:pPr>
              <w:spacing w:after="0"/>
              <w:rPr>
                <w:sz w:val="19"/>
                <w:szCs w:val="19"/>
                <w:color w:val="auto"/>
              </w:rPr>
            </w:pPr>
          </w:p>
        </w:tc>
        <w:tc>
          <w:tcPr>
            <w:tcW w:w="6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720" w:type="dxa"/>
            <w:vAlign w:val="bottom"/>
            <w:tcBorders>
              <w:top w:val="single" w:sz="8" w:color="auto"/>
            </w:tcBorders>
            <w:shd w:val="clear" w:color="auto" w:fill="D1EDF5"/>
          </w:tcPr>
          <w:p>
            <w:pPr>
              <w:spacing w:after="0"/>
              <w:rPr>
                <w:sz w:val="19"/>
                <w:szCs w:val="19"/>
                <w:color w:val="auto"/>
              </w:rPr>
            </w:pPr>
          </w:p>
        </w:tc>
        <w:tc>
          <w:tcPr>
            <w:tcW w:w="6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60" w:type="dxa"/>
            <w:vAlign w:val="bottom"/>
            <w:tcBorders>
              <w:top w:val="single" w:sz="8" w:color="auto"/>
            </w:tcBorders>
            <w:shd w:val="clear" w:color="auto" w:fill="D1EDF5"/>
          </w:tcPr>
          <w:p>
            <w:pPr>
              <w:spacing w:after="0"/>
              <w:rPr>
                <w:sz w:val="19"/>
                <w:szCs w:val="19"/>
                <w:color w:val="auto"/>
              </w:rPr>
            </w:pPr>
          </w:p>
        </w:tc>
        <w:tc>
          <w:tcPr>
            <w:tcW w:w="72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540" w:type="dxa"/>
            <w:vAlign w:val="bottom"/>
            <w:tcBorders>
              <w:top w:val="single" w:sz="8" w:color="D1EDF5"/>
            </w:tcBorders>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6"/>
                <w:szCs w:val="16"/>
                <w:color w:val="auto"/>
              </w:rPr>
              <w:t>U.S. Government Agency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2,999</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0.64% $</w:t>
            </w:r>
          </w:p>
        </w:tc>
        <w:tc>
          <w:tcPr>
            <w:tcW w:w="760" w:type="dxa"/>
            <w:vAlign w:val="bottom"/>
          </w:tcPr>
          <w:p>
            <w:pPr>
              <w:jc w:val="right"/>
              <w:spacing w:after="0"/>
              <w:rPr>
                <w:sz w:val="20"/>
                <w:szCs w:val="20"/>
                <w:color w:val="auto"/>
              </w:rPr>
            </w:pPr>
            <w:r>
              <w:rPr>
                <w:rFonts w:ascii="Arial" w:cs="Arial" w:eastAsia="Arial" w:hAnsi="Arial"/>
                <w:sz w:val="16"/>
                <w:szCs w:val="16"/>
                <w:color w:val="auto"/>
              </w:rPr>
              <w:t>19,773</w:t>
            </w: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1.25% $</w:t>
            </w:r>
          </w:p>
        </w:tc>
        <w:tc>
          <w:tcPr>
            <w:tcW w:w="780" w:type="dxa"/>
            <w:vAlign w:val="bottom"/>
          </w:tcPr>
          <w:p>
            <w:pPr>
              <w:jc w:val="right"/>
              <w:spacing w:after="0"/>
              <w:rPr>
                <w:sz w:val="20"/>
                <w:szCs w:val="20"/>
                <w:color w:val="auto"/>
              </w:rPr>
            </w:pPr>
            <w:r>
              <w:rPr>
                <w:rFonts w:ascii="Arial" w:cs="Arial" w:eastAsia="Arial" w:hAnsi="Arial"/>
                <w:sz w:val="16"/>
                <w:szCs w:val="16"/>
                <w:color w:val="auto"/>
              </w:rPr>
              <w:t>5,001</w:t>
            </w: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1.99% $</w:t>
            </w:r>
          </w:p>
        </w:tc>
        <w:tc>
          <w:tcPr>
            <w:tcW w:w="720" w:type="dxa"/>
            <w:vAlign w:val="bottom"/>
          </w:tcPr>
          <w:p>
            <w:pPr>
              <w:jc w:val="right"/>
              <w:spacing w:after="0"/>
              <w:rPr>
                <w:sz w:val="20"/>
                <w:szCs w:val="20"/>
                <w:color w:val="auto"/>
              </w:rPr>
            </w:pPr>
            <w:r>
              <w:rPr>
                <w:rFonts w:ascii="Arial" w:cs="Arial" w:eastAsia="Arial" w:hAnsi="Arial"/>
                <w:sz w:val="16"/>
                <w:szCs w:val="16"/>
                <w:color w:val="auto"/>
              </w:rPr>
              <w:t>13,385</w:t>
            </w:r>
          </w:p>
        </w:tc>
        <w:tc>
          <w:tcPr>
            <w:tcW w:w="62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41,158</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6"/>
              </w:rPr>
              <w:t>1.49%</w:t>
            </w:r>
          </w:p>
        </w:tc>
        <w:tc>
          <w:tcPr>
            <w:tcW w:w="0" w:type="dxa"/>
            <w:vAlign w:val="bottom"/>
          </w:tcPr>
          <w:p>
            <w:pPr>
              <w:spacing w:after="0"/>
              <w:rPr>
                <w:sz w:val="1"/>
                <w:szCs w:val="1"/>
                <w:color w:val="auto"/>
              </w:rPr>
            </w:pPr>
          </w:p>
        </w:tc>
      </w:tr>
      <w:tr>
        <w:trPr>
          <w:trHeight w:val="226"/>
        </w:trPr>
        <w:tc>
          <w:tcPr>
            <w:tcW w:w="3180" w:type="dxa"/>
            <w:vAlign w:val="bottom"/>
            <w:gridSpan w:val="2"/>
            <w:shd w:val="clear" w:color="auto" w:fill="D1EDF5"/>
          </w:tcPr>
          <w:p>
            <w:pPr>
              <w:spacing w:after="0"/>
              <w:rPr>
                <w:sz w:val="20"/>
                <w:szCs w:val="20"/>
                <w:color w:val="auto"/>
              </w:rPr>
            </w:pPr>
            <w:r>
              <w:rPr>
                <w:rFonts w:ascii="Arial" w:cs="Arial" w:eastAsia="Arial" w:hAnsi="Arial"/>
                <w:sz w:val="16"/>
                <w:szCs w:val="16"/>
                <w:color w:val="auto"/>
              </w:rPr>
              <w:t>Collateralized mortgage obligations</w:t>
            </w:r>
          </w:p>
        </w:tc>
        <w:tc>
          <w:tcPr>
            <w:tcW w:w="10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7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51,431</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1.67%</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51,431</w:t>
            </w:r>
          </w:p>
        </w:tc>
        <w:tc>
          <w:tcPr>
            <w:tcW w:w="80" w:type="dxa"/>
            <w:vAlign w:val="bottom"/>
            <w:shd w:val="clear" w:color="auto" w:fill="D1EDF5"/>
          </w:tcPr>
          <w:p>
            <w:pPr>
              <w:spacing w:after="0"/>
              <w:rPr>
                <w:sz w:val="19"/>
                <w:szCs w:val="19"/>
                <w:color w:val="auto"/>
              </w:rPr>
            </w:pPr>
          </w:p>
        </w:tc>
        <w:tc>
          <w:tcPr>
            <w:tcW w:w="540" w:type="dxa"/>
            <w:vAlign w:val="bottom"/>
            <w:shd w:val="clear" w:color="auto" w:fill="D1EDF5"/>
          </w:tcPr>
          <w:p>
            <w:pPr>
              <w:jc w:val="right"/>
              <w:spacing w:after="0"/>
              <w:rPr>
                <w:sz w:val="20"/>
                <w:szCs w:val="20"/>
                <w:color w:val="auto"/>
              </w:rPr>
            </w:pPr>
            <w:r>
              <w:rPr>
                <w:rFonts w:ascii="Arial" w:cs="Arial" w:eastAsia="Arial" w:hAnsi="Arial"/>
                <w:sz w:val="16"/>
                <w:szCs w:val="16"/>
                <w:color w:val="auto"/>
                <w:w w:val="96"/>
              </w:rPr>
              <w:t>1.67%</w:t>
            </w:r>
          </w:p>
        </w:tc>
        <w:tc>
          <w:tcPr>
            <w:tcW w:w="0" w:type="dxa"/>
            <w:vAlign w:val="bottom"/>
          </w:tcPr>
          <w:p>
            <w:pPr>
              <w:spacing w:after="0"/>
              <w:rPr>
                <w:sz w:val="1"/>
                <w:szCs w:val="1"/>
                <w:color w:val="auto"/>
              </w:rPr>
            </w:pPr>
          </w:p>
        </w:tc>
      </w:tr>
      <w:tr>
        <w:trPr>
          <w:trHeight w:val="226"/>
        </w:trPr>
        <w:tc>
          <w:tcPr>
            <w:tcW w:w="3180" w:type="dxa"/>
            <w:vAlign w:val="bottom"/>
            <w:gridSpan w:val="2"/>
          </w:tcPr>
          <w:p>
            <w:pPr>
              <w:spacing w:after="0"/>
              <w:rPr>
                <w:sz w:val="20"/>
                <w:szCs w:val="20"/>
                <w:color w:val="auto"/>
              </w:rPr>
            </w:pPr>
            <w:r>
              <w:rPr>
                <w:rFonts w:ascii="Arial" w:cs="Arial" w:eastAsia="Arial" w:hAnsi="Arial"/>
                <w:sz w:val="16"/>
                <w:szCs w:val="16"/>
                <w:color w:val="auto"/>
              </w:rPr>
              <w:t>Mortgage-backed securities - residential</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675</w:t>
            </w:r>
          </w:p>
        </w:tc>
        <w:tc>
          <w:tcPr>
            <w:tcW w:w="620" w:type="dxa"/>
            <w:vAlign w:val="bottom"/>
          </w:tcPr>
          <w:p>
            <w:pPr>
              <w:jc w:val="right"/>
              <w:spacing w:after="0"/>
              <w:rPr>
                <w:sz w:val="20"/>
                <w:szCs w:val="20"/>
                <w:color w:val="auto"/>
              </w:rPr>
            </w:pPr>
            <w:r>
              <w:rPr>
                <w:rFonts w:ascii="Arial" w:cs="Arial" w:eastAsia="Arial" w:hAnsi="Arial"/>
                <w:sz w:val="16"/>
                <w:szCs w:val="16"/>
                <w:color w:val="auto"/>
              </w:rPr>
              <w:t>2.96%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3,888</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5,051</w:t>
            </w:r>
          </w:p>
        </w:tc>
        <w:tc>
          <w:tcPr>
            <w:tcW w:w="62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27,607</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2.18%</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37,221</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6"/>
              </w:rPr>
              <w:t>2.06%</w:t>
            </w:r>
          </w:p>
        </w:tc>
        <w:tc>
          <w:tcPr>
            <w:tcW w:w="0" w:type="dxa"/>
            <w:vAlign w:val="bottom"/>
          </w:tcPr>
          <w:p>
            <w:pPr>
              <w:spacing w:after="0"/>
              <w:rPr>
                <w:sz w:val="1"/>
                <w:szCs w:val="1"/>
                <w:color w:val="auto"/>
              </w:rPr>
            </w:pPr>
          </w:p>
        </w:tc>
      </w:tr>
      <w:tr>
        <w:trPr>
          <w:trHeight w:val="226"/>
        </w:trPr>
        <w:tc>
          <w:tcPr>
            <w:tcW w:w="3180" w:type="dxa"/>
            <w:vAlign w:val="bottom"/>
            <w:gridSpan w:val="2"/>
            <w:shd w:val="clear" w:color="auto" w:fill="D1EDF5"/>
          </w:tcPr>
          <w:p>
            <w:pPr>
              <w:spacing w:after="0"/>
              <w:rPr>
                <w:sz w:val="20"/>
                <w:szCs w:val="20"/>
                <w:color w:val="auto"/>
              </w:rPr>
            </w:pPr>
            <w:r>
              <w:rPr>
                <w:rFonts w:ascii="Arial" w:cs="Arial" w:eastAsia="Arial" w:hAnsi="Arial"/>
                <w:sz w:val="16"/>
                <w:szCs w:val="16"/>
                <w:color w:val="auto"/>
              </w:rPr>
              <w:t>Mortgage-backed securities - commercial</w:t>
            </w:r>
          </w:p>
        </w:tc>
        <w:tc>
          <w:tcPr>
            <w:tcW w:w="10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ind w:left="500"/>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3,042</w:t>
            </w:r>
          </w:p>
        </w:tc>
        <w:tc>
          <w:tcPr>
            <w:tcW w:w="6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1.63%</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7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12,046</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2.56%</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15,088</w:t>
            </w:r>
          </w:p>
        </w:tc>
        <w:tc>
          <w:tcPr>
            <w:tcW w:w="80" w:type="dxa"/>
            <w:vAlign w:val="bottom"/>
            <w:shd w:val="clear" w:color="auto" w:fill="D1EDF5"/>
          </w:tcPr>
          <w:p>
            <w:pPr>
              <w:spacing w:after="0"/>
              <w:rPr>
                <w:sz w:val="19"/>
                <w:szCs w:val="19"/>
                <w:color w:val="auto"/>
              </w:rPr>
            </w:pPr>
          </w:p>
        </w:tc>
        <w:tc>
          <w:tcPr>
            <w:tcW w:w="540" w:type="dxa"/>
            <w:vAlign w:val="bottom"/>
            <w:shd w:val="clear" w:color="auto" w:fill="D1EDF5"/>
          </w:tcPr>
          <w:p>
            <w:pPr>
              <w:jc w:val="right"/>
              <w:spacing w:after="0"/>
              <w:rPr>
                <w:sz w:val="20"/>
                <w:szCs w:val="20"/>
                <w:color w:val="auto"/>
              </w:rPr>
            </w:pPr>
            <w:r>
              <w:rPr>
                <w:rFonts w:ascii="Arial" w:cs="Arial" w:eastAsia="Arial" w:hAnsi="Arial"/>
                <w:sz w:val="16"/>
                <w:szCs w:val="16"/>
                <w:color w:val="auto"/>
                <w:w w:val="96"/>
              </w:rPr>
              <w:t>2.37%</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D1EDF5"/>
            </w:tcBorders>
            <w:gridSpan w:val="2"/>
          </w:tcPr>
          <w:p>
            <w:pPr>
              <w:spacing w:after="0"/>
              <w:rPr>
                <w:sz w:val="20"/>
                <w:szCs w:val="20"/>
                <w:color w:val="auto"/>
              </w:rPr>
            </w:pPr>
            <w:r>
              <w:rPr>
                <w:rFonts w:ascii="Arial" w:cs="Arial" w:eastAsia="Arial" w:hAnsi="Arial"/>
                <w:sz w:val="16"/>
                <w:szCs w:val="16"/>
                <w:color w:val="auto"/>
              </w:rPr>
              <w:t>Corporate bonds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9,045</w:t>
            </w:r>
          </w:p>
        </w:tc>
        <w:tc>
          <w:tcPr>
            <w:tcW w:w="620" w:type="dxa"/>
            <w:vAlign w:val="bottom"/>
            <w:tcBorders>
              <w:bottom w:val="single" w:sz="8" w:color="D1EDF5"/>
            </w:tcBorders>
          </w:tcPr>
          <w:p>
            <w:pPr>
              <w:jc w:val="right"/>
              <w:spacing w:after="0"/>
              <w:rPr>
                <w:sz w:val="20"/>
                <w:szCs w:val="20"/>
                <w:color w:val="auto"/>
              </w:rPr>
            </w:pPr>
            <w:r>
              <w:rPr>
                <w:rFonts w:ascii="Arial" w:cs="Arial" w:eastAsia="Arial" w:hAnsi="Arial"/>
                <w:sz w:val="16"/>
                <w:szCs w:val="16"/>
                <w:color w:val="auto"/>
              </w:rPr>
              <w:t>2.82%</w:t>
            </w: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1EDF5"/>
            </w:tcBorders>
          </w:tcPr>
          <w:p>
            <w:pPr>
              <w:ind w:left="5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1EDF5"/>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1EDF5"/>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9,045</w:t>
            </w:r>
          </w:p>
        </w:tc>
        <w:tc>
          <w:tcPr>
            <w:tcW w:w="80" w:type="dxa"/>
            <w:vAlign w:val="bottom"/>
            <w:tcBorders>
              <w:bottom w:val="single" w:sz="8" w:color="D1EDF5"/>
            </w:tcBorders>
          </w:tcPr>
          <w:p>
            <w:pPr>
              <w:spacing w:after="0"/>
              <w:rPr>
                <w:sz w:val="19"/>
                <w:szCs w:val="19"/>
                <w:color w:val="auto"/>
              </w:rPr>
            </w:pPr>
          </w:p>
        </w:tc>
        <w:tc>
          <w:tcPr>
            <w:tcW w:w="540" w:type="dxa"/>
            <w:vAlign w:val="bottom"/>
            <w:tcBorders>
              <w:bottom w:val="single" w:sz="8" w:color="D1EDF5"/>
            </w:tcBorders>
          </w:tcPr>
          <w:p>
            <w:pPr>
              <w:jc w:val="right"/>
              <w:spacing w:after="0"/>
              <w:rPr>
                <w:sz w:val="20"/>
                <w:szCs w:val="20"/>
                <w:color w:val="auto"/>
              </w:rPr>
            </w:pPr>
            <w:r>
              <w:rPr>
                <w:rFonts w:ascii="Arial" w:cs="Arial" w:eastAsia="Arial" w:hAnsi="Arial"/>
                <w:sz w:val="16"/>
                <w:szCs w:val="16"/>
                <w:color w:val="auto"/>
                <w:w w:val="96"/>
              </w:rPr>
              <w:t>2.82%</w:t>
            </w:r>
          </w:p>
        </w:tc>
        <w:tc>
          <w:tcPr>
            <w:tcW w:w="0" w:type="dxa"/>
            <w:vAlign w:val="bottom"/>
          </w:tcPr>
          <w:p>
            <w:pPr>
              <w:spacing w:after="0"/>
              <w:rPr>
                <w:sz w:val="1"/>
                <w:szCs w:val="1"/>
                <w:color w:val="auto"/>
              </w:rPr>
            </w:pPr>
          </w:p>
        </w:tc>
      </w:tr>
      <w:tr>
        <w:trPr>
          <w:trHeight w:val="232"/>
        </w:trPr>
        <w:tc>
          <w:tcPr>
            <w:tcW w:w="31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jc w:val="right"/>
              <w:spacing w:after="0"/>
              <w:rPr>
                <w:sz w:val="20"/>
                <w:szCs w:val="20"/>
                <w:color w:val="auto"/>
              </w:rPr>
            </w:pPr>
            <w:r>
              <w:rPr>
                <w:rFonts w:ascii="Arial" w:cs="Arial" w:eastAsia="Arial" w:hAnsi="Arial"/>
                <w:sz w:val="15"/>
                <w:szCs w:val="15"/>
                <w:color w:val="auto"/>
                <w:w w:val="71"/>
                <w:shd w:val="clear" w:color="auto" w:fill="D1EDF5"/>
              </w:rPr>
              <w:t>$</w:t>
            </w: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12,719</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2.31%</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5"/>
                <w:szCs w:val="15"/>
                <w:color w:val="auto"/>
                <w:w w:val="71"/>
                <w:shd w:val="clear" w:color="auto" w:fill="D1EDF5"/>
              </w:rPr>
              <w:t>$</w:t>
            </w:r>
          </w:p>
        </w:tc>
        <w:tc>
          <w:tcPr>
            <w:tcW w:w="76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26,703</w:t>
            </w:r>
          </w:p>
        </w:tc>
        <w:tc>
          <w:tcPr>
            <w:tcW w:w="60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1.35%</w:t>
            </w:r>
          </w:p>
        </w:tc>
        <w:tc>
          <w:tcPr>
            <w:tcW w:w="120" w:type="dxa"/>
            <w:vAlign w:val="bottom"/>
            <w:gridSpan w:val="3"/>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w:t>
            </w:r>
          </w:p>
        </w:tc>
        <w:tc>
          <w:tcPr>
            <w:tcW w:w="78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10,052</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1.81%</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5"/>
                <w:szCs w:val="15"/>
                <w:color w:val="auto"/>
                <w:w w:val="71"/>
                <w:shd w:val="clear" w:color="auto" w:fill="D1EDF5"/>
              </w:rPr>
              <w:t>$</w:t>
            </w: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104,469</w:t>
            </w:r>
          </w:p>
        </w:tc>
        <w:tc>
          <w:tcPr>
            <w:tcW w:w="6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1.92%</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6"/>
                <w:szCs w:val="16"/>
                <w:color w:val="auto"/>
                <w:w w:val="89"/>
                <w:shd w:val="clear" w:color="auto" w:fill="D1EDF5"/>
              </w:rPr>
              <w:t>$</w:t>
            </w:r>
          </w:p>
        </w:tc>
        <w:tc>
          <w:tcPr>
            <w:tcW w:w="720" w:type="dxa"/>
            <w:vAlign w:val="bottom"/>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153,943</w:t>
            </w:r>
          </w:p>
        </w:tc>
        <w:tc>
          <w:tcPr>
            <w:tcW w:w="80" w:type="dxa"/>
            <w:vAlign w:val="bottom"/>
            <w:shd w:val="clear" w:color="auto" w:fill="D1EDF5"/>
          </w:tcPr>
          <w:p>
            <w:pPr>
              <w:spacing w:after="0"/>
              <w:rPr>
                <w:sz w:val="20"/>
                <w:szCs w:val="20"/>
                <w:color w:val="auto"/>
              </w:rPr>
            </w:pPr>
          </w:p>
        </w:tc>
        <w:tc>
          <w:tcPr>
            <w:tcW w:w="540" w:type="dxa"/>
            <w:vAlign w:val="bottom"/>
            <w:shd w:val="clear" w:color="auto" w:fill="D1EDF5"/>
          </w:tcPr>
          <w:p>
            <w:pPr>
              <w:jc w:val="right"/>
              <w:spacing w:after="0"/>
              <w:rPr>
                <w:sz w:val="20"/>
                <w:szCs w:val="20"/>
                <w:color w:val="auto"/>
              </w:rPr>
            </w:pPr>
            <w:r>
              <w:rPr>
                <w:rFonts w:ascii="Arial" w:cs="Arial" w:eastAsia="Arial" w:hAnsi="Arial"/>
                <w:sz w:val="16"/>
                <w:szCs w:val="16"/>
                <w:color w:val="auto"/>
                <w:w w:val="96"/>
                <w:shd w:val="clear" w:color="auto" w:fill="D1EDF5"/>
              </w:rPr>
              <w:t>1.85%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2953385</wp:posOffset>
                </wp:positionH>
                <wp:positionV relativeFrom="paragraph">
                  <wp:posOffset>-2251075</wp:posOffset>
                </wp:positionV>
                <wp:extent cx="18415" cy="127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21" o:spid="_x0000_s1046" style="position:absolute;margin-left:232.55pt;margin-top:-177.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3914775</wp:posOffset>
                </wp:positionH>
                <wp:positionV relativeFrom="paragraph">
                  <wp:posOffset>-2251075</wp:posOffset>
                </wp:positionV>
                <wp:extent cx="18415" cy="127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22" o:spid="_x0000_s1047" style="position:absolute;margin-left:308.25pt;margin-top:-177.24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4876800</wp:posOffset>
                </wp:positionH>
                <wp:positionV relativeFrom="paragraph">
                  <wp:posOffset>-2251075</wp:posOffset>
                </wp:positionV>
                <wp:extent cx="19685" cy="127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23" o:spid="_x0000_s1048" style="position:absolute;margin-left:384pt;margin-top:-177.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5838190</wp:posOffset>
                </wp:positionH>
                <wp:positionV relativeFrom="paragraph">
                  <wp:posOffset>-2251075</wp:posOffset>
                </wp:positionV>
                <wp:extent cx="19685" cy="127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24" o:spid="_x0000_s1049" style="position:absolute;margin-left:459.7pt;margin-top:-177.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 did not have any tax-exempt securities at both December 31, 2025 and 2024.</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w:t>
      </w:r>
    </w:p>
    <w:p>
      <w:pPr>
        <w:spacing w:after="0" w:line="225"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Loans are the largest category of interest-earning assets on the Consolidated Balance Sheets, and usually provides higher yields than the remainder of the Company’s interest-earning assets. Higher yields typically carry inherent credit and liquidity risks in comparison to lower yielding assets. The Company manages and mitigates such risks in accordance with the credit and ALM policies, risk tolerance and balance sheet composition.</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shows the loan portfolio composition as of the dates indicated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2025</w:t>
            </w:r>
          </w:p>
        </w:tc>
        <w:tc>
          <w:tcPr>
            <w:tcW w:w="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 w:type="dxa"/>
            <w:vAlign w:val="bottom"/>
            <w:tcBorders>
              <w:bottom w:val="single" w:sz="8" w:color="auto"/>
            </w:tcBorders>
          </w:tcPr>
          <w:p>
            <w:pPr>
              <w:spacing w:after="0"/>
              <w:rPr>
                <w:sz w:val="19"/>
                <w:szCs w:val="19"/>
                <w:color w:val="auto"/>
              </w:rPr>
            </w:pPr>
          </w:p>
        </w:tc>
        <w:tc>
          <w:tcPr>
            <w:tcW w:w="235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December 31, 2024</w:t>
            </w:r>
          </w:p>
        </w:tc>
        <w:tc>
          <w:tcPr>
            <w:tcW w:w="240" w:type="dxa"/>
            <w:vAlign w:val="bottom"/>
            <w:tcBorders>
              <w:bottom w:val="single" w:sz="8" w:color="auto"/>
            </w:tcBorders>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Percent of</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125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Percent of</w:t>
            </w:r>
          </w:p>
        </w:tc>
        <w:tc>
          <w:tcPr>
            <w:tcW w:w="24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370" w:type="dxa"/>
            <w:vAlign w:val="bottom"/>
            <w:gridSpan w:val="3"/>
          </w:tcPr>
          <w:p>
            <w:pPr>
              <w:ind w:left="31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506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4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132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307,692</w:t>
            </w:r>
          </w:p>
        </w:tc>
        <w:tc>
          <w:tcPr>
            <w:tcW w:w="8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9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auto"/>
            </w:tcBorders>
            <w:shd w:val="clear" w:color="auto" w:fill="D1EDF5"/>
          </w:tcPr>
          <w:p>
            <w:pPr>
              <w:ind w:left="60"/>
              <w:spacing w:after="0"/>
              <w:rPr>
                <w:sz w:val="20"/>
                <w:szCs w:val="20"/>
                <w:color w:val="auto"/>
              </w:rPr>
            </w:pPr>
            <w:r>
              <w:rPr>
                <w:rFonts w:ascii="Arial" w:cs="Arial" w:eastAsia="Arial" w:hAnsi="Arial"/>
                <w:sz w:val="18"/>
                <w:szCs w:val="18"/>
                <w:color w:val="auto"/>
                <w:w w:val="99"/>
                <w:shd w:val="clear" w:color="auto" w:fill="D1EDF5"/>
              </w:rPr>
              <w:t>%</w:t>
            </w: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50" w:type="dxa"/>
            <w:vAlign w:val="bottom"/>
            <w:tcBorders>
              <w:top w:val="single" w:sz="8" w:color="auto"/>
            </w:tcBorders>
            <w:shd w:val="clear" w:color="auto" w:fill="D1EDF5"/>
          </w:tcPr>
          <w:p>
            <w:pPr>
              <w:spacing w:after="0"/>
              <w:rPr>
                <w:sz w:val="19"/>
                <w:szCs w:val="19"/>
                <w:color w:val="auto"/>
              </w:rPr>
            </w:pPr>
          </w:p>
        </w:tc>
        <w:tc>
          <w:tcPr>
            <w:tcW w:w="125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289,961</w:t>
            </w:r>
          </w:p>
        </w:tc>
        <w:tc>
          <w:tcPr>
            <w:tcW w:w="8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9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top w:val="single" w:sz="8" w:color="auto"/>
            </w:tcBorders>
            <w:shd w:val="clear" w:color="auto" w:fill="D1EDF5"/>
          </w:tcPr>
          <w:p>
            <w:pPr>
              <w:ind w:left="60"/>
              <w:spacing w:after="0"/>
              <w:rPr>
                <w:sz w:val="20"/>
                <w:szCs w:val="20"/>
                <w:color w:val="auto"/>
              </w:rPr>
            </w:pPr>
            <w:r>
              <w:rPr>
                <w:rFonts w:ascii="Arial" w:cs="Arial" w:eastAsia="Arial" w:hAnsi="Arial"/>
                <w:sz w:val="18"/>
                <w:szCs w:val="18"/>
                <w:color w:val="auto"/>
                <w:w w:val="99"/>
                <w:shd w:val="clear" w:color="auto" w:fill="D1EDF5"/>
              </w:rPr>
              <w:t>%</w:t>
            </w:r>
          </w:p>
        </w:tc>
      </w:tr>
      <w:tr>
        <w:trPr>
          <w:trHeight w:val="240"/>
        </w:trPr>
        <w:tc>
          <w:tcPr>
            <w:tcW w:w="4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1,244,835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1,136,417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r>
      <w:tr>
        <w:trPr>
          <w:trHeight w:val="240"/>
        </w:trPr>
        <w:tc>
          <w:tcPr>
            <w:tcW w:w="40" w:type="dxa"/>
            <w:vAlign w:val="bottom"/>
            <w:shd w:val="clear" w:color="auto" w:fill="D1EDF5"/>
          </w:tcPr>
          <w:p>
            <w:pPr>
              <w:spacing w:after="0"/>
              <w:rPr>
                <w:sz w:val="20"/>
                <w:szCs w:val="20"/>
                <w:color w:val="auto"/>
              </w:rPr>
            </w:pPr>
          </w:p>
        </w:tc>
        <w:tc>
          <w:tcPr>
            <w:tcW w:w="5060" w:type="dxa"/>
            <w:vAlign w:val="bottom"/>
            <w:shd w:val="clear" w:color="auto" w:fill="D1EDF5"/>
          </w:tcPr>
          <w:p>
            <w:pPr>
              <w:spacing w:after="0"/>
              <w:rPr>
                <w:sz w:val="20"/>
                <w:szCs w:val="20"/>
                <w:color w:val="auto"/>
              </w:rPr>
            </w:pPr>
            <w:r>
              <w:rPr>
                <w:rFonts w:ascii="Arial" w:cs="Arial" w:eastAsia="Arial" w:hAnsi="Arial"/>
                <w:sz w:val="18"/>
                <w:szCs w:val="18"/>
                <w:color w:val="auto"/>
              </w:rPr>
              <w:t>Commercial and Industrial</w:t>
            </w: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3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295,548</w:t>
            </w:r>
          </w:p>
        </w:tc>
        <w:tc>
          <w:tcPr>
            <w:tcW w:w="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D1EDF5"/>
          </w:tcPr>
          <w:p>
            <w:pPr>
              <w:ind w:left="60"/>
              <w:spacing w:after="0"/>
              <w:rPr>
                <w:sz w:val="20"/>
                <w:szCs w:val="20"/>
                <w:color w:val="auto"/>
              </w:rPr>
            </w:pPr>
            <w:r>
              <w:rPr>
                <w:rFonts w:ascii="Arial" w:cs="Arial" w:eastAsia="Arial" w:hAnsi="Arial"/>
                <w:sz w:val="18"/>
                <w:szCs w:val="18"/>
                <w:color w:val="auto"/>
                <w:w w:val="99"/>
                <w:shd w:val="clear" w:color="auto" w:fill="D1EDF5"/>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50" w:type="dxa"/>
            <w:vAlign w:val="bottom"/>
            <w:shd w:val="clear" w:color="auto" w:fill="D1EDF5"/>
          </w:tcPr>
          <w:p>
            <w:pPr>
              <w:spacing w:after="0"/>
              <w:rPr>
                <w:sz w:val="20"/>
                <w:szCs w:val="20"/>
                <w:color w:val="auto"/>
              </w:rPr>
            </w:pPr>
          </w:p>
        </w:tc>
        <w:tc>
          <w:tcPr>
            <w:tcW w:w="125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258,311</w:t>
            </w:r>
          </w:p>
        </w:tc>
        <w:tc>
          <w:tcPr>
            <w:tcW w:w="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D1EDF5"/>
          </w:tcPr>
          <w:p>
            <w:pPr>
              <w:ind w:left="60"/>
              <w:spacing w:after="0"/>
              <w:rPr>
                <w:sz w:val="20"/>
                <w:szCs w:val="20"/>
                <w:color w:val="auto"/>
              </w:rPr>
            </w:pPr>
            <w:r>
              <w:rPr>
                <w:rFonts w:ascii="Arial" w:cs="Arial" w:eastAsia="Arial" w:hAnsi="Arial"/>
                <w:sz w:val="18"/>
                <w:szCs w:val="18"/>
                <w:color w:val="auto"/>
                <w:w w:val="99"/>
                <w:shd w:val="clear" w:color="auto" w:fill="D1EDF5"/>
              </w:rPr>
              <w:t>%</w:t>
            </w:r>
          </w:p>
        </w:tc>
      </w:tr>
      <w:tr>
        <w:trPr>
          <w:trHeight w:val="240"/>
        </w:trPr>
        <w:tc>
          <w:tcPr>
            <w:tcW w:w="4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127,968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82,438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ind w:left="80"/>
              <w:spacing w:after="0"/>
              <w:rPr>
                <w:sz w:val="20"/>
                <w:szCs w:val="20"/>
                <w:color w:val="auto"/>
              </w:rPr>
            </w:pPr>
            <w:r>
              <w:rPr>
                <w:rFonts w:ascii="Arial" w:cs="Arial" w:eastAsia="Arial" w:hAnsi="Arial"/>
                <w:sz w:val="18"/>
                <w:szCs w:val="18"/>
                <w:color w:val="auto"/>
                <w:w w:val="87"/>
              </w:rPr>
              <w:t>%</w:t>
            </w:r>
          </w:p>
        </w:tc>
      </w:tr>
      <w:tr>
        <w:trPr>
          <w:trHeight w:val="240"/>
        </w:trPr>
        <w:tc>
          <w:tcPr>
            <w:tcW w:w="40" w:type="dxa"/>
            <w:vAlign w:val="bottom"/>
            <w:shd w:val="clear" w:color="auto" w:fill="D1EDF5"/>
          </w:tcPr>
          <w:p>
            <w:pPr>
              <w:spacing w:after="0"/>
              <w:rPr>
                <w:sz w:val="20"/>
                <w:szCs w:val="20"/>
                <w:color w:val="auto"/>
              </w:rPr>
            </w:pPr>
          </w:p>
        </w:tc>
        <w:tc>
          <w:tcPr>
            <w:tcW w:w="5060" w:type="dxa"/>
            <w:vAlign w:val="bottom"/>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13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207,215</w:t>
            </w:r>
          </w:p>
        </w:tc>
        <w:tc>
          <w:tcPr>
            <w:tcW w:w="80" w:type="dxa"/>
            <w:vAlign w:val="bottom"/>
            <w:shd w:val="clear" w:color="auto" w:fill="D1EDF5"/>
          </w:tcPr>
          <w:p>
            <w:pPr>
              <w:spacing w:after="0"/>
              <w:rPr>
                <w:sz w:val="20"/>
                <w:szCs w:val="20"/>
                <w:color w:val="auto"/>
              </w:rPr>
            </w:pPr>
          </w:p>
        </w:tc>
        <w:tc>
          <w:tcPr>
            <w:tcW w:w="40" w:type="dxa"/>
            <w:vAlign w:val="bottom"/>
            <w:tcBorders>
              <w:bottom w:val="single" w:sz="8" w:color="auto"/>
            </w:tcBorders>
            <w:shd w:val="clear" w:color="auto" w:fill="D1EDF5"/>
          </w:tcPr>
          <w:p>
            <w:pPr>
              <w:spacing w:after="0"/>
              <w:rPr>
                <w:sz w:val="20"/>
                <w:szCs w:val="20"/>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auto"/>
            </w:tcBorders>
            <w:shd w:val="clear" w:color="auto" w:fill="D1EDF5"/>
          </w:tcPr>
          <w:p>
            <w:pPr>
              <w:ind w:left="60"/>
              <w:spacing w:after="0"/>
              <w:rPr>
                <w:sz w:val="20"/>
                <w:szCs w:val="20"/>
                <w:color w:val="auto"/>
              </w:rPr>
            </w:pPr>
            <w:r>
              <w:rPr>
                <w:rFonts w:ascii="Arial" w:cs="Arial" w:eastAsia="Arial" w:hAnsi="Arial"/>
                <w:sz w:val="18"/>
                <w:szCs w:val="18"/>
                <w:color w:val="auto"/>
                <w:w w:val="99"/>
                <w:shd w:val="clear" w:color="auto" w:fill="D1EDF5"/>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50" w:type="dxa"/>
            <w:vAlign w:val="bottom"/>
            <w:tcBorders>
              <w:bottom w:val="single" w:sz="8" w:color="auto"/>
            </w:tcBorders>
            <w:shd w:val="clear" w:color="auto" w:fill="D1EDF5"/>
          </w:tcPr>
          <w:p>
            <w:pPr>
              <w:spacing w:after="0"/>
              <w:rPr>
                <w:sz w:val="20"/>
                <w:szCs w:val="20"/>
                <w:color w:val="auto"/>
              </w:rPr>
            </w:pPr>
          </w:p>
        </w:tc>
        <w:tc>
          <w:tcPr>
            <w:tcW w:w="125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198,091</w:t>
            </w:r>
          </w:p>
        </w:tc>
        <w:tc>
          <w:tcPr>
            <w:tcW w:w="80" w:type="dxa"/>
            <w:vAlign w:val="bottom"/>
            <w:shd w:val="clear" w:color="auto" w:fill="D1EDF5"/>
          </w:tcPr>
          <w:p>
            <w:pPr>
              <w:spacing w:after="0"/>
              <w:rPr>
                <w:sz w:val="20"/>
                <w:szCs w:val="20"/>
                <w:color w:val="auto"/>
              </w:rPr>
            </w:pPr>
          </w:p>
        </w:tc>
        <w:tc>
          <w:tcPr>
            <w:tcW w:w="40" w:type="dxa"/>
            <w:vAlign w:val="bottom"/>
            <w:tcBorders>
              <w:bottom w:val="single" w:sz="8" w:color="auto"/>
            </w:tcBorders>
            <w:shd w:val="clear" w:color="auto" w:fill="D1EDF5"/>
          </w:tcPr>
          <w:p>
            <w:pPr>
              <w:spacing w:after="0"/>
              <w:rPr>
                <w:sz w:val="20"/>
                <w:szCs w:val="20"/>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auto"/>
            </w:tcBorders>
            <w:shd w:val="clear" w:color="auto" w:fill="D1EDF5"/>
          </w:tcPr>
          <w:p>
            <w:pPr>
              <w:ind w:left="60"/>
              <w:spacing w:after="0"/>
              <w:rPr>
                <w:sz w:val="20"/>
                <w:szCs w:val="20"/>
                <w:color w:val="auto"/>
              </w:rPr>
            </w:pPr>
            <w:r>
              <w:rPr>
                <w:rFonts w:ascii="Arial" w:cs="Arial" w:eastAsia="Arial" w:hAnsi="Arial"/>
                <w:sz w:val="18"/>
                <w:szCs w:val="18"/>
                <w:color w:val="auto"/>
                <w:w w:val="99"/>
                <w:shd w:val="clear" w:color="auto" w:fill="D1EDF5"/>
              </w:rPr>
              <w:t>%</w:t>
            </w:r>
          </w:p>
        </w:tc>
      </w:tr>
      <w:tr>
        <w:trPr>
          <w:trHeight w:val="284"/>
        </w:trPr>
        <w:tc>
          <w:tcPr>
            <w:tcW w:w="40" w:type="dxa"/>
            <w:vAlign w:val="bottom"/>
            <w:tcBorders>
              <w:bottom w:val="single" w:sz="8" w:color="D1EDF5"/>
            </w:tcBorders>
          </w:tcPr>
          <w:p>
            <w:pPr>
              <w:spacing w:after="0"/>
              <w:rPr>
                <w:sz w:val="24"/>
                <w:szCs w:val="24"/>
                <w:color w:val="auto"/>
              </w:rPr>
            </w:pPr>
          </w:p>
        </w:tc>
        <w:tc>
          <w:tcPr>
            <w:tcW w:w="5120" w:type="dxa"/>
            <w:vAlign w:val="bottom"/>
            <w:tcBorders>
              <w:bottom w:val="single" w:sz="8" w:color="D1EDF5"/>
            </w:tcBorders>
            <w:gridSpan w:val="3"/>
          </w:tcPr>
          <w:p>
            <w:pPr>
              <w:ind w:left="140"/>
              <w:spacing w:after="0"/>
              <w:rPr>
                <w:sz w:val="20"/>
                <w:szCs w:val="20"/>
                <w:color w:val="auto"/>
              </w:rPr>
            </w:pPr>
            <w:r>
              <w:rPr>
                <w:rFonts w:ascii="Arial" w:cs="Arial" w:eastAsia="Arial" w:hAnsi="Arial"/>
                <w:sz w:val="18"/>
                <w:szCs w:val="18"/>
                <w:color w:val="auto"/>
              </w:rPr>
              <w:t>Total gross loans</w:t>
            </w:r>
          </w:p>
        </w:tc>
        <w:tc>
          <w:tcPr>
            <w:tcW w:w="120" w:type="dxa"/>
            <w:vAlign w:val="bottom"/>
            <w:tcBorders>
              <w:bottom w:val="single" w:sz="8" w:color="D1EDF5"/>
            </w:tcBorders>
          </w:tcPr>
          <w:p>
            <w:pPr>
              <w:spacing w:after="0"/>
              <w:rPr>
                <w:sz w:val="24"/>
                <w:szCs w:val="24"/>
                <w:color w:val="auto"/>
              </w:rPr>
            </w:pPr>
          </w:p>
        </w:tc>
        <w:tc>
          <w:tcPr>
            <w:tcW w:w="1320" w:type="dxa"/>
            <w:vAlign w:val="bottom"/>
            <w:tcBorders>
              <w:bottom w:val="single" w:sz="8" w:color="D1EDF5"/>
            </w:tcBorders>
          </w:tcPr>
          <w:p>
            <w:pPr>
              <w:jc w:val="right"/>
              <w:ind w:right="10"/>
              <w:spacing w:after="0"/>
              <w:rPr>
                <w:sz w:val="20"/>
                <w:szCs w:val="20"/>
                <w:color w:val="auto"/>
              </w:rPr>
            </w:pPr>
            <w:r>
              <w:rPr>
                <w:rFonts w:ascii="Arial" w:cs="Arial" w:eastAsia="Arial" w:hAnsi="Arial"/>
                <w:sz w:val="18"/>
                <w:szCs w:val="18"/>
                <w:color w:val="auto"/>
              </w:rPr>
              <w:t>2,183,258</w:t>
            </w:r>
          </w:p>
        </w:tc>
        <w:tc>
          <w:tcPr>
            <w:tcW w:w="80" w:type="dxa"/>
            <w:vAlign w:val="bottom"/>
            <w:tcBorders>
              <w:bottom w:val="single" w:sz="8" w:color="D1EDF5"/>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40" w:type="dxa"/>
            <w:vAlign w:val="bottom"/>
            <w:tcBorders>
              <w:bottom w:val="single" w:sz="8" w:color="D1EDF5"/>
            </w:tcBorders>
          </w:tcPr>
          <w:p>
            <w:pPr>
              <w:spacing w:after="0"/>
              <w:rPr>
                <w:sz w:val="24"/>
                <w:szCs w:val="24"/>
                <w:color w:val="auto"/>
              </w:rPr>
            </w:pPr>
          </w:p>
        </w:tc>
        <w:tc>
          <w:tcPr>
            <w:tcW w:w="1300" w:type="dxa"/>
            <w:vAlign w:val="bottom"/>
            <w:tcBorders>
              <w:bottom w:val="single" w:sz="8" w:color="D1EDF5"/>
            </w:tcBorders>
            <w:gridSpan w:val="2"/>
          </w:tcPr>
          <w:p>
            <w:pPr>
              <w:jc w:val="right"/>
              <w:ind w:right="10"/>
              <w:spacing w:after="0"/>
              <w:rPr>
                <w:sz w:val="20"/>
                <w:szCs w:val="20"/>
                <w:color w:val="auto"/>
              </w:rPr>
            </w:pPr>
            <w:r>
              <w:rPr>
                <w:rFonts w:ascii="Arial" w:cs="Arial" w:eastAsia="Arial" w:hAnsi="Arial"/>
                <w:sz w:val="18"/>
                <w:szCs w:val="18"/>
                <w:color w:val="auto"/>
              </w:rPr>
              <w:t>1,965,218</w:t>
            </w:r>
          </w:p>
        </w:tc>
        <w:tc>
          <w:tcPr>
            <w:tcW w:w="80" w:type="dxa"/>
            <w:vAlign w:val="bottom"/>
            <w:tcBorders>
              <w:bottom w:val="single" w:sz="8" w:color="D1EDF5"/>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w:t>
            </w:r>
          </w:p>
        </w:tc>
      </w:tr>
      <w:tr>
        <w:trPr>
          <w:trHeight w:val="265"/>
        </w:trPr>
        <w:tc>
          <w:tcPr>
            <w:tcW w:w="40" w:type="dxa"/>
            <w:vAlign w:val="bottom"/>
            <w:tcBorders>
              <w:bottom w:val="single" w:sz="8" w:color="D1EDF5"/>
            </w:tcBorders>
            <w:shd w:val="clear" w:color="auto" w:fill="D1EDF5"/>
          </w:tcPr>
          <w:p>
            <w:pPr>
              <w:spacing w:after="0"/>
              <w:rPr>
                <w:sz w:val="22"/>
                <w:szCs w:val="22"/>
                <w:color w:val="auto"/>
              </w:rPr>
            </w:pPr>
          </w:p>
        </w:tc>
        <w:tc>
          <w:tcPr>
            <w:tcW w:w="50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Plus: Deferred costs/fees</w:t>
            </w:r>
          </w:p>
        </w:tc>
        <w:tc>
          <w:tcPr>
            <w:tcW w:w="4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120" w:type="dxa"/>
            <w:vAlign w:val="bottom"/>
            <w:tcBorders>
              <w:bottom w:val="single" w:sz="8" w:color="D1EDF5"/>
            </w:tcBorders>
            <w:shd w:val="clear" w:color="auto" w:fill="D1EDF5"/>
          </w:tcPr>
          <w:p>
            <w:pPr>
              <w:spacing w:after="0"/>
              <w:rPr>
                <w:sz w:val="22"/>
                <w:szCs w:val="22"/>
                <w:color w:val="auto"/>
              </w:rPr>
            </w:pPr>
          </w:p>
        </w:tc>
        <w:tc>
          <w:tcPr>
            <w:tcW w:w="132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5,999</w:t>
            </w:r>
          </w:p>
        </w:tc>
        <w:tc>
          <w:tcPr>
            <w:tcW w:w="80" w:type="dxa"/>
            <w:vAlign w:val="bottom"/>
            <w:tcBorders>
              <w:bottom w:val="single" w:sz="8" w:color="D1EDF5"/>
            </w:tcBorders>
            <w:shd w:val="clear" w:color="auto" w:fill="D1EDF5"/>
          </w:tcPr>
          <w:p>
            <w:pPr>
              <w:spacing w:after="0"/>
              <w:rPr>
                <w:sz w:val="22"/>
                <w:szCs w:val="22"/>
                <w:color w:val="auto"/>
              </w:rPr>
            </w:pPr>
          </w:p>
        </w:tc>
        <w:tc>
          <w:tcPr>
            <w:tcW w:w="40" w:type="dxa"/>
            <w:vAlign w:val="bottom"/>
            <w:tcBorders>
              <w:bottom w:val="single" w:sz="8" w:color="D1EDF5"/>
            </w:tcBorders>
            <w:shd w:val="clear" w:color="auto" w:fill="D1EDF5"/>
          </w:tcPr>
          <w:p>
            <w:pPr>
              <w:spacing w:after="0"/>
              <w:rPr>
                <w:sz w:val="22"/>
                <w:szCs w:val="22"/>
                <w:color w:val="auto"/>
              </w:rPr>
            </w:pPr>
          </w:p>
        </w:tc>
        <w:tc>
          <w:tcPr>
            <w:tcW w:w="980" w:type="dxa"/>
            <w:vAlign w:val="bottom"/>
            <w:tcBorders>
              <w:bottom w:val="single" w:sz="8" w:color="D1EDF5"/>
            </w:tcBorders>
            <w:shd w:val="clear" w:color="auto" w:fill="D1EDF5"/>
          </w:tcPr>
          <w:p>
            <w:pPr>
              <w:spacing w:after="0"/>
              <w:rPr>
                <w:sz w:val="22"/>
                <w:szCs w:val="22"/>
                <w:color w:val="auto"/>
              </w:rPr>
            </w:pPr>
          </w:p>
        </w:tc>
        <w:tc>
          <w:tcPr>
            <w:tcW w:w="240" w:type="dxa"/>
            <w:vAlign w:val="bottom"/>
            <w:tcBorders>
              <w:bottom w:val="single" w:sz="8" w:color="D1EDF5"/>
            </w:tcBorders>
            <w:shd w:val="clear" w:color="auto" w:fill="D1EDF5"/>
          </w:tcPr>
          <w:p>
            <w:pPr>
              <w:spacing w:after="0"/>
              <w:rPr>
                <w:sz w:val="22"/>
                <w:szCs w:val="22"/>
                <w:color w:val="auto"/>
              </w:rPr>
            </w:pPr>
          </w:p>
        </w:tc>
        <w:tc>
          <w:tcPr>
            <w:tcW w:w="6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140" w:type="dxa"/>
            <w:vAlign w:val="bottom"/>
            <w:tcBorders>
              <w:bottom w:val="single" w:sz="8" w:color="D1EDF5"/>
            </w:tcBorders>
            <w:shd w:val="clear" w:color="auto" w:fill="D1EDF5"/>
          </w:tcPr>
          <w:p>
            <w:pPr>
              <w:spacing w:after="0"/>
              <w:rPr>
                <w:sz w:val="22"/>
                <w:szCs w:val="22"/>
                <w:color w:val="auto"/>
              </w:rPr>
            </w:pPr>
          </w:p>
        </w:tc>
        <w:tc>
          <w:tcPr>
            <w:tcW w:w="50" w:type="dxa"/>
            <w:vAlign w:val="bottom"/>
            <w:tcBorders>
              <w:bottom w:val="single" w:sz="8" w:color="D1EDF5"/>
            </w:tcBorders>
            <w:shd w:val="clear" w:color="auto" w:fill="D1EDF5"/>
          </w:tcPr>
          <w:p>
            <w:pPr>
              <w:spacing w:after="0"/>
              <w:rPr>
                <w:sz w:val="22"/>
                <w:szCs w:val="22"/>
                <w:color w:val="auto"/>
              </w:rPr>
            </w:pPr>
          </w:p>
        </w:tc>
        <w:tc>
          <w:tcPr>
            <w:tcW w:w="125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7,630</w:t>
            </w:r>
          </w:p>
        </w:tc>
        <w:tc>
          <w:tcPr>
            <w:tcW w:w="80" w:type="dxa"/>
            <w:vAlign w:val="bottom"/>
            <w:tcBorders>
              <w:bottom w:val="single" w:sz="8" w:color="D1EDF5"/>
            </w:tcBorders>
            <w:shd w:val="clear" w:color="auto" w:fill="D1EDF5"/>
          </w:tcPr>
          <w:p>
            <w:pPr>
              <w:spacing w:after="0"/>
              <w:rPr>
                <w:sz w:val="22"/>
                <w:szCs w:val="22"/>
                <w:color w:val="auto"/>
              </w:rPr>
            </w:pPr>
          </w:p>
        </w:tc>
        <w:tc>
          <w:tcPr>
            <w:tcW w:w="40" w:type="dxa"/>
            <w:vAlign w:val="bottom"/>
            <w:tcBorders>
              <w:bottom w:val="single" w:sz="8" w:color="D1EDF5"/>
            </w:tcBorders>
            <w:shd w:val="clear" w:color="auto" w:fill="D1EDF5"/>
          </w:tcPr>
          <w:p>
            <w:pPr>
              <w:spacing w:after="0"/>
              <w:rPr>
                <w:sz w:val="22"/>
                <w:szCs w:val="22"/>
                <w:color w:val="auto"/>
              </w:rPr>
            </w:pPr>
          </w:p>
        </w:tc>
        <w:tc>
          <w:tcPr>
            <w:tcW w:w="980" w:type="dxa"/>
            <w:vAlign w:val="bottom"/>
            <w:tcBorders>
              <w:bottom w:val="single" w:sz="8" w:color="D1EDF5"/>
            </w:tcBorders>
            <w:shd w:val="clear" w:color="auto" w:fill="D1EDF5"/>
          </w:tcPr>
          <w:p>
            <w:pPr>
              <w:spacing w:after="0"/>
              <w:rPr>
                <w:sz w:val="22"/>
                <w:szCs w:val="22"/>
                <w:color w:val="auto"/>
              </w:rPr>
            </w:pPr>
          </w:p>
        </w:tc>
        <w:tc>
          <w:tcPr>
            <w:tcW w:w="240" w:type="dxa"/>
            <w:vAlign w:val="bottom"/>
            <w:tcBorders>
              <w:bottom w:val="single" w:sz="8" w:color="D1EDF5"/>
            </w:tcBorders>
            <w:shd w:val="clear" w:color="auto" w:fill="D1EDF5"/>
          </w:tcPr>
          <w:p>
            <w:pPr>
              <w:spacing w:after="0"/>
              <w:rPr>
                <w:sz w:val="22"/>
                <w:szCs w:val="22"/>
                <w:color w:val="auto"/>
              </w:rPr>
            </w:pPr>
          </w:p>
        </w:tc>
      </w:tr>
      <w:tr>
        <w:trPr>
          <w:trHeight w:val="210"/>
        </w:trPr>
        <w:tc>
          <w:tcPr>
            <w:tcW w:w="40" w:type="dxa"/>
            <w:vAlign w:val="bottom"/>
            <w:tcBorders>
              <w:top w:val="single" w:sz="8" w:color="D1EDF5"/>
            </w:tcBorders>
          </w:tcPr>
          <w:p>
            <w:pPr>
              <w:spacing w:after="0"/>
              <w:rPr>
                <w:sz w:val="18"/>
                <w:szCs w:val="18"/>
                <w:color w:val="auto"/>
              </w:rPr>
            </w:pPr>
          </w:p>
        </w:tc>
        <w:tc>
          <w:tcPr>
            <w:tcW w:w="5120" w:type="dxa"/>
            <w:vAlign w:val="bottom"/>
            <w:tcBorders>
              <w:top w:val="single" w:sz="8" w:color="D1EDF5"/>
            </w:tcBorders>
            <w:gridSpan w:val="3"/>
          </w:tcPr>
          <w:p>
            <w:pPr>
              <w:ind w:left="140"/>
              <w:spacing w:after="0"/>
              <w:rPr>
                <w:sz w:val="20"/>
                <w:szCs w:val="20"/>
                <w:color w:val="auto"/>
              </w:rPr>
            </w:pPr>
            <w:r>
              <w:rPr>
                <w:rFonts w:ascii="Arial" w:cs="Arial" w:eastAsia="Arial" w:hAnsi="Arial"/>
                <w:sz w:val="18"/>
                <w:szCs w:val="18"/>
                <w:color w:val="auto"/>
              </w:rPr>
              <w:t>Total loans held for investment, net of deferred costs/fees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2,189,257</w:t>
            </w:r>
          </w:p>
        </w:tc>
        <w:tc>
          <w:tcPr>
            <w:tcW w:w="80" w:type="dxa"/>
            <w:vAlign w:val="bottom"/>
            <w:tcBorders>
              <w:top w:val="single" w:sz="8" w:color="D1EDF5"/>
            </w:tcBorders>
          </w:tcPr>
          <w:p>
            <w:pPr>
              <w:spacing w:after="0"/>
              <w:rPr>
                <w:sz w:val="18"/>
                <w:szCs w:val="18"/>
                <w:color w:val="auto"/>
              </w:rPr>
            </w:pPr>
          </w:p>
        </w:tc>
        <w:tc>
          <w:tcPr>
            <w:tcW w:w="40" w:type="dxa"/>
            <w:vAlign w:val="bottom"/>
            <w:tcBorders>
              <w:top w:val="single" w:sz="8" w:color="D1EDF5"/>
            </w:tcBorders>
          </w:tcPr>
          <w:p>
            <w:pPr>
              <w:spacing w:after="0"/>
              <w:rPr>
                <w:sz w:val="18"/>
                <w:szCs w:val="18"/>
                <w:color w:val="auto"/>
              </w:rPr>
            </w:pPr>
          </w:p>
        </w:tc>
        <w:tc>
          <w:tcPr>
            <w:tcW w:w="980" w:type="dxa"/>
            <w:vAlign w:val="bottom"/>
            <w:tcBorders>
              <w:top w:val="single" w:sz="8" w:color="D1EDF5"/>
            </w:tcBorders>
          </w:tcPr>
          <w:p>
            <w:pPr>
              <w:spacing w:after="0"/>
              <w:rPr>
                <w:sz w:val="18"/>
                <w:szCs w:val="18"/>
                <w:color w:val="auto"/>
              </w:rPr>
            </w:pPr>
          </w:p>
        </w:tc>
        <w:tc>
          <w:tcPr>
            <w:tcW w:w="240" w:type="dxa"/>
            <w:vAlign w:val="bottom"/>
            <w:tcBorders>
              <w:top w:val="single" w:sz="8" w:color="D1EDF5"/>
            </w:tcBorders>
          </w:tcPr>
          <w:p>
            <w:pPr>
              <w:spacing w:after="0"/>
              <w:rPr>
                <w:sz w:val="18"/>
                <w:szCs w:val="18"/>
                <w:color w:val="auto"/>
              </w:rPr>
            </w:pPr>
          </w:p>
        </w:tc>
        <w:tc>
          <w:tcPr>
            <w:tcW w:w="60" w:type="dxa"/>
            <w:vAlign w:val="bottom"/>
            <w:tcBorders>
              <w:top w:val="single" w:sz="8" w:color="D1EDF5"/>
            </w:tcBorders>
          </w:tcPr>
          <w:p>
            <w:pPr>
              <w:spacing w:after="0"/>
              <w:rPr>
                <w:sz w:val="18"/>
                <w:szCs w:val="18"/>
                <w:color w:val="auto"/>
              </w:rPr>
            </w:pPr>
          </w:p>
        </w:tc>
        <w:tc>
          <w:tcPr>
            <w:tcW w:w="20" w:type="dxa"/>
            <w:vAlign w:val="bottom"/>
            <w:tcBorders>
              <w:top w:val="single" w:sz="8" w:color="D1EDF5"/>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1,972,848</w:t>
            </w:r>
          </w:p>
        </w:tc>
        <w:tc>
          <w:tcPr>
            <w:tcW w:w="80" w:type="dxa"/>
            <w:vAlign w:val="bottom"/>
            <w:tcBorders>
              <w:top w:val="single" w:sz="8" w:color="D1EDF5"/>
            </w:tcBorders>
          </w:tcPr>
          <w:p>
            <w:pPr>
              <w:spacing w:after="0"/>
              <w:rPr>
                <w:sz w:val="18"/>
                <w:szCs w:val="18"/>
                <w:color w:val="auto"/>
              </w:rPr>
            </w:pPr>
          </w:p>
        </w:tc>
        <w:tc>
          <w:tcPr>
            <w:tcW w:w="40" w:type="dxa"/>
            <w:vAlign w:val="bottom"/>
            <w:tcBorders>
              <w:top w:val="single" w:sz="8" w:color="D1EDF5"/>
            </w:tcBorders>
          </w:tcPr>
          <w:p>
            <w:pPr>
              <w:spacing w:after="0"/>
              <w:rPr>
                <w:sz w:val="18"/>
                <w:szCs w:val="18"/>
                <w:color w:val="auto"/>
              </w:rPr>
            </w:pPr>
          </w:p>
        </w:tc>
        <w:tc>
          <w:tcPr>
            <w:tcW w:w="980" w:type="dxa"/>
            <w:vAlign w:val="bottom"/>
            <w:tcBorders>
              <w:top w:val="single" w:sz="8" w:color="D1EDF5"/>
            </w:tcBorders>
          </w:tcPr>
          <w:p>
            <w:pPr>
              <w:spacing w:after="0"/>
              <w:rPr>
                <w:sz w:val="18"/>
                <w:szCs w:val="18"/>
                <w:color w:val="auto"/>
              </w:rPr>
            </w:pPr>
          </w:p>
        </w:tc>
        <w:tc>
          <w:tcPr>
            <w:tcW w:w="240" w:type="dxa"/>
            <w:vAlign w:val="bottom"/>
            <w:tcBorders>
              <w:top w:val="single" w:sz="8" w:color="D1EDF5"/>
            </w:tcBorders>
          </w:tcPr>
          <w:p>
            <w:pPr>
              <w:spacing w:after="0"/>
              <w:rPr>
                <w:sz w:val="18"/>
                <w:szCs w:val="18"/>
                <w:color w:val="auto"/>
              </w:rPr>
            </w:pPr>
          </w:p>
        </w:tc>
      </w:tr>
      <w:tr>
        <w:trPr>
          <w:trHeight w:val="253"/>
        </w:trPr>
        <w:tc>
          <w:tcPr>
            <w:tcW w:w="40" w:type="dxa"/>
            <w:vAlign w:val="bottom"/>
            <w:tcBorders>
              <w:bottom w:val="single" w:sz="8" w:color="D1EDF5"/>
            </w:tcBorders>
            <w:shd w:val="clear" w:color="auto" w:fill="D1EDF5"/>
          </w:tcPr>
          <w:p>
            <w:pPr>
              <w:spacing w:after="0"/>
              <w:rPr>
                <w:sz w:val="21"/>
                <w:szCs w:val="21"/>
                <w:color w:val="auto"/>
              </w:rPr>
            </w:pPr>
          </w:p>
        </w:tc>
        <w:tc>
          <w:tcPr>
            <w:tcW w:w="50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Less: Allowance for credit losses</w:t>
            </w:r>
          </w:p>
        </w:tc>
        <w:tc>
          <w:tcPr>
            <w:tcW w:w="4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3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25,500</w:t>
            </w:r>
          </w:p>
        </w:tc>
        <w:tc>
          <w:tcPr>
            <w:tcW w:w="8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980" w:type="dxa"/>
            <w:vAlign w:val="bottom"/>
            <w:tcBorders>
              <w:bottom w:val="single" w:sz="8" w:color="D1EDF5"/>
            </w:tcBorders>
            <w:shd w:val="clear" w:color="auto" w:fill="D1EDF5"/>
          </w:tcPr>
          <w:p>
            <w:pPr>
              <w:spacing w:after="0"/>
              <w:rPr>
                <w:sz w:val="21"/>
                <w:szCs w:val="21"/>
                <w:color w:val="auto"/>
              </w:rPr>
            </w:pPr>
          </w:p>
        </w:tc>
        <w:tc>
          <w:tcPr>
            <w:tcW w:w="240" w:type="dxa"/>
            <w:vAlign w:val="bottom"/>
            <w:tcBorders>
              <w:bottom w:val="single" w:sz="8" w:color="D1EDF5"/>
            </w:tcBorders>
            <w:shd w:val="clear" w:color="auto" w:fill="D1EDF5"/>
          </w:tcPr>
          <w:p>
            <w:pPr>
              <w:spacing w:after="0"/>
              <w:rPr>
                <w:sz w:val="21"/>
                <w:szCs w:val="21"/>
                <w:color w:val="auto"/>
              </w:rPr>
            </w:pP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50" w:type="dxa"/>
            <w:vAlign w:val="bottom"/>
            <w:tcBorders>
              <w:bottom w:val="single" w:sz="8" w:color="auto"/>
            </w:tcBorders>
            <w:shd w:val="clear" w:color="auto" w:fill="D1EDF5"/>
          </w:tcPr>
          <w:p>
            <w:pPr>
              <w:spacing w:after="0"/>
              <w:rPr>
                <w:sz w:val="21"/>
                <w:szCs w:val="21"/>
                <w:color w:val="auto"/>
              </w:rPr>
            </w:pPr>
          </w:p>
        </w:tc>
        <w:tc>
          <w:tcPr>
            <w:tcW w:w="125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24,070</w:t>
            </w:r>
          </w:p>
        </w:tc>
        <w:tc>
          <w:tcPr>
            <w:tcW w:w="8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980" w:type="dxa"/>
            <w:vAlign w:val="bottom"/>
            <w:tcBorders>
              <w:bottom w:val="single" w:sz="8" w:color="D1EDF5"/>
            </w:tcBorders>
            <w:shd w:val="clear" w:color="auto" w:fill="D1EDF5"/>
          </w:tcPr>
          <w:p>
            <w:pPr>
              <w:spacing w:after="0"/>
              <w:rPr>
                <w:sz w:val="21"/>
                <w:szCs w:val="21"/>
                <w:color w:val="auto"/>
              </w:rPr>
            </w:pPr>
          </w:p>
        </w:tc>
        <w:tc>
          <w:tcPr>
            <w:tcW w:w="240" w:type="dxa"/>
            <w:vAlign w:val="bottom"/>
            <w:tcBorders>
              <w:bottom w:val="single" w:sz="8" w:color="D1EDF5"/>
            </w:tcBorders>
            <w:shd w:val="clear" w:color="auto" w:fill="D1EDF5"/>
          </w:tcPr>
          <w:p>
            <w:pPr>
              <w:spacing w:after="0"/>
              <w:rPr>
                <w:sz w:val="21"/>
                <w:szCs w:val="21"/>
                <w:color w:val="auto"/>
              </w:rPr>
            </w:pPr>
          </w:p>
        </w:tc>
      </w:tr>
      <w:tr>
        <w:trPr>
          <w:trHeight w:val="236"/>
        </w:trPr>
        <w:tc>
          <w:tcPr>
            <w:tcW w:w="40" w:type="dxa"/>
            <w:vAlign w:val="bottom"/>
          </w:tcPr>
          <w:p>
            <w:pPr>
              <w:spacing w:after="0"/>
              <w:rPr>
                <w:sz w:val="20"/>
                <w:szCs w:val="20"/>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Total loans held for investment, net of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2,163,757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1,948,778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125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Total loans held for investment net of deferred costs/fees increased by $216.4 million or 11.0% at December 31, 2025 compared to December 31, 2024. The most significant growth was in the commercial real estate and correspondent bank loan pools. Commercial real estate continues to be the main category of our portfolio, reflective of the market in which we operate. We continue to grow our non-CRE loan pools to further diversify the loan portfolio overall composition, but we do not expect any significant changes over the foreseeable future in the composition of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4" w:name="page65"/>
    <w:bookmarkEnd w:id="64"/>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growth experienced over the last couple of years is primarily due to implementation of our relationship-based banking model, our diversified business verticals, and the success of our relationship managers in competing for new business in a highly competitive metropolitan area.</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From a liquidity perspective, our loan portfolio provides us with additional liquidity due to repayments or unexpected prepayments. The following table shows maturities and sensitivity to interest rate changes for the loan portfolio at December 31, 2025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rPr>
              <w:t>Due in 1 year or</w:t>
            </w:r>
          </w:p>
        </w:tc>
        <w:tc>
          <w:tcPr>
            <w:tcW w:w="180" w:type="dxa"/>
            <w:vAlign w:val="bottom"/>
          </w:tcPr>
          <w:p>
            <w:pPr>
              <w:spacing w:after="0"/>
              <w:rPr>
                <w:sz w:val="17"/>
                <w:szCs w:val="17"/>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Due in 1 to 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Due after 5 to 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Due after 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7"/>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rPr>
              <w:t>less</w:t>
            </w:r>
          </w:p>
        </w:tc>
        <w:tc>
          <w:tcPr>
            <w:tcW w:w="18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30"/>
        </w:trPr>
        <w:tc>
          <w:tcPr>
            <w:tcW w:w="2860" w:type="dxa"/>
            <w:vAlign w:val="bottom"/>
            <w:tcBorders>
              <w:top w:val="single" w:sz="8" w:color="D1EDF5"/>
            </w:tcBorders>
            <w:gridSpan w:val="4"/>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8,435</w:t>
            </w: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61,279</w:t>
            </w: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66,063</w:t>
            </w: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171,915</w:t>
            </w: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3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307,692</w:t>
            </w:r>
          </w:p>
        </w:tc>
      </w:tr>
      <w:tr>
        <w:trPr>
          <w:trHeight w:val="240"/>
        </w:trPr>
        <w:tc>
          <w:tcPr>
            <w:tcW w:w="286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69,664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527,784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641,905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1,244,835</w:t>
            </w:r>
          </w:p>
        </w:tc>
      </w:tr>
      <w:tr>
        <w:trPr>
          <w:trHeight w:val="240"/>
        </w:trPr>
        <w:tc>
          <w:tcPr>
            <w:tcW w:w="28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D1EDF5"/>
          </w:tcPr>
          <w:p>
            <w:pPr>
              <w:spacing w:after="0"/>
              <w:rPr>
                <w:sz w:val="20"/>
                <w:szCs w:val="20"/>
                <w:color w:val="auto"/>
              </w:rPr>
            </w:pPr>
          </w:p>
        </w:tc>
        <w:tc>
          <w:tcPr>
            <w:tcW w:w="13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10,369</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3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120,412</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3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120,845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3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43,922</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3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295,548</w:t>
            </w:r>
          </w:p>
        </w:tc>
      </w:tr>
      <w:tr>
        <w:trPr>
          <w:trHeight w:val="240"/>
        </w:trPr>
        <w:tc>
          <w:tcPr>
            <w:tcW w:w="2860" w:type="dxa"/>
            <w:vAlign w:val="bottom"/>
            <w:gridSpan w:val="4"/>
          </w:tcPr>
          <w:p>
            <w:pPr>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127,968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127,968</w:t>
            </w:r>
          </w:p>
        </w:tc>
      </w:tr>
      <w:tr>
        <w:trPr>
          <w:trHeight w:val="240"/>
        </w:trPr>
        <w:tc>
          <w:tcPr>
            <w:tcW w:w="28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shd w:val="clear" w:color="auto" w:fill="D1EDF5"/>
          </w:tcPr>
          <w:p>
            <w:pPr>
              <w:spacing w:after="0"/>
              <w:rPr>
                <w:sz w:val="20"/>
                <w:szCs w:val="20"/>
                <w:color w:val="auto"/>
              </w:rPr>
            </w:pPr>
          </w:p>
        </w:tc>
        <w:tc>
          <w:tcPr>
            <w:tcW w:w="13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2,493</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3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1,152</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3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24,760</w:t>
            </w:r>
          </w:p>
        </w:tc>
        <w:tc>
          <w:tcPr>
            <w:tcW w:w="60" w:type="dxa"/>
            <w:vAlign w:val="bottom"/>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rPr>
                <w:sz w:val="20"/>
                <w:szCs w:val="20"/>
                <w:color w:val="auto"/>
              </w:rPr>
            </w:pPr>
          </w:p>
        </w:tc>
        <w:tc>
          <w:tcPr>
            <w:tcW w:w="13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178,810</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3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207,215</w:t>
            </w:r>
          </w:p>
        </w:tc>
      </w:tr>
      <w:tr>
        <w:trPr>
          <w:trHeight w:val="286"/>
        </w:trPr>
        <w:tc>
          <w:tcPr>
            <w:tcW w:w="14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Total gross 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218,929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710,627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853,573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400,129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2,183,258</w:t>
            </w:r>
          </w:p>
        </w:tc>
      </w:tr>
      <w:tr>
        <w:trPr>
          <w:trHeight w:val="240"/>
        </w:trPr>
        <w:tc>
          <w:tcPr>
            <w:tcW w:w="14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D1EDF5"/>
            </w:tcBorders>
            <w:shd w:val="clear" w:color="auto" w:fill="D1EDF5"/>
          </w:tcPr>
          <w:p>
            <w:pPr>
              <w:spacing w:after="0"/>
              <w:rPr>
                <w:sz w:val="20"/>
                <w:szCs w:val="20"/>
                <w:color w:val="auto"/>
              </w:rPr>
            </w:pPr>
          </w:p>
        </w:tc>
        <w:tc>
          <w:tcPr>
            <w:tcW w:w="25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34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34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36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auto"/>
            </w:tcBorders>
            <w:shd w:val="clear" w:color="auto" w:fill="D1EDF5"/>
          </w:tcPr>
          <w:p>
            <w:pPr>
              <w:spacing w:after="0"/>
              <w:rPr>
                <w:sz w:val="20"/>
                <w:szCs w:val="20"/>
                <w:color w:val="auto"/>
              </w:rPr>
            </w:pPr>
          </w:p>
        </w:tc>
        <w:tc>
          <w:tcPr>
            <w:tcW w:w="160" w:type="dxa"/>
            <w:vAlign w:val="bottom"/>
            <w:tcBorders>
              <w:top w:val="single" w:sz="8" w:color="auto"/>
            </w:tcBorders>
            <w:shd w:val="clear" w:color="auto" w:fill="D1EDF5"/>
          </w:tcPr>
          <w:p>
            <w:pPr>
              <w:spacing w:after="0"/>
              <w:rPr>
                <w:sz w:val="20"/>
                <w:szCs w:val="20"/>
                <w:color w:val="auto"/>
              </w:rPr>
            </w:pPr>
          </w:p>
        </w:tc>
        <w:tc>
          <w:tcPr>
            <w:tcW w:w="136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340" w:type="dxa"/>
            <w:vAlign w:val="bottom"/>
            <w:tcBorders>
              <w:top w:val="single" w:sz="8" w:color="auto"/>
            </w:tcBorders>
            <w:shd w:val="clear" w:color="auto" w:fill="D1EDF5"/>
          </w:tcPr>
          <w:p>
            <w:pPr>
              <w:spacing w:after="0"/>
              <w:rPr>
                <w:sz w:val="20"/>
                <w:szCs w:val="20"/>
                <w:color w:val="auto"/>
              </w:rPr>
            </w:pPr>
          </w:p>
        </w:tc>
      </w:tr>
      <w:tr>
        <w:trPr>
          <w:trHeight w:val="240"/>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Interest rate sensitivity:</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0"/>
        </w:trPr>
        <w:tc>
          <w:tcPr>
            <w:tcW w:w="140" w:type="dxa"/>
            <w:vAlign w:val="bottom"/>
            <w:shd w:val="clear" w:color="auto" w:fill="D1EDF5"/>
          </w:tcPr>
          <w:p>
            <w:pPr>
              <w:spacing w:after="0"/>
              <w:rPr>
                <w:sz w:val="20"/>
                <w:szCs w:val="20"/>
                <w:color w:val="auto"/>
              </w:rPr>
            </w:pPr>
          </w:p>
        </w:tc>
        <w:tc>
          <w:tcPr>
            <w:tcW w:w="27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Fixed interest rates</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176,933</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188,621</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164,498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310,107</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3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840,159</w:t>
            </w:r>
          </w:p>
        </w:tc>
      </w:tr>
      <w:tr>
        <w:trPr>
          <w:trHeight w:val="240"/>
        </w:trPr>
        <w:tc>
          <w:tcPr>
            <w:tcW w:w="140" w:type="dxa"/>
            <w:vAlign w:val="bottom"/>
            <w:tcBorders>
              <w:bottom w:val="single" w:sz="8" w:color="D1EDF5"/>
            </w:tcBorders>
          </w:tcPr>
          <w:p>
            <w:pPr>
              <w:spacing w:after="0"/>
              <w:rPr>
                <w:sz w:val="20"/>
                <w:szCs w:val="20"/>
                <w:color w:val="auto"/>
              </w:rPr>
            </w:pPr>
          </w:p>
        </w:tc>
        <w:tc>
          <w:tcPr>
            <w:tcW w:w="27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Floating or adjustable rates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41,996</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522,006</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689,075</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90,022</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1,343,099</w:t>
            </w:r>
          </w:p>
        </w:tc>
      </w:tr>
      <w:tr>
        <w:trPr>
          <w:trHeight w:val="245"/>
        </w:trPr>
        <w:tc>
          <w:tcPr>
            <w:tcW w:w="14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25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Total gross loans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218,929</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710,627</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853,573</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400,129</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3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2,183,258</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information presented in the table above is based upon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and rate modifications are discussed as well.</w:t>
      </w:r>
    </w:p>
    <w:p>
      <w:pPr>
        <w:spacing w:after="0" w:line="17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As of December 31, 2025, approximately 61.5% of the loans have adjustable/variable rates and 38.5% of the loans have fixed rates. The adjustable/variable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78"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As of December 31, 2025, the commercial real estate portfolio was $1.2 billion or 57.0% of the total gross loans portfolio. At such date, $193.0 million of outstanding balances are characterized as owner occupied and $1.05 billion are characterized as non- owner occupied. The retail sector was the largest segment comprising $320.1 million of the non-owner occupied commercial real estate portfolio.</w:t>
      </w:r>
    </w:p>
    <w:p>
      <w:pPr>
        <w:spacing w:after="0" w:line="17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The following table is a summary of the distribution of non-owner occupied commercial real estate loans held for investment by loan type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December 31, 2025</w:t>
            </w: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73"/>
        </w:trPr>
        <w:tc>
          <w:tcPr>
            <w:tcW w:w="2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 of Total</w:t>
            </w: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Weighted Avg</w:t>
            </w:r>
          </w:p>
        </w:tc>
      </w:tr>
      <w:tr>
        <w:trPr>
          <w:trHeight w:val="227"/>
        </w:trPr>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19"/>
                <w:szCs w:val="19"/>
                <w:color w:val="auto"/>
              </w:rPr>
            </w:pP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 of Notes</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Gross Loans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Average Loan Size Non-Accruals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250"/>
              <w:spacing w:after="0" w:line="227" w:lineRule="exact"/>
              <w:rPr>
                <w:sz w:val="20"/>
                <w:szCs w:val="20"/>
                <w:color w:val="auto"/>
              </w:rPr>
            </w:pPr>
            <w:r>
              <w:rPr>
                <w:rFonts w:ascii="Arial" w:cs="Arial" w:eastAsia="Arial" w:hAnsi="Arial"/>
                <w:sz w:val="18"/>
                <w:szCs w:val="18"/>
                <w:b w:val="1"/>
                <w:bCs w:val="1"/>
                <w:color w:val="auto"/>
              </w:rPr>
              <w:t xml:space="preserve">LTV </w:t>
            </w:r>
            <w:r>
              <w:rPr>
                <w:rFonts w:ascii="Arial" w:cs="Arial" w:eastAsia="Arial" w:hAnsi="Arial"/>
                <w:sz w:val="24"/>
                <w:szCs w:val="24"/>
                <w:b w:val="1"/>
                <w:bCs w:val="1"/>
                <w:color w:val="auto"/>
                <w:vertAlign w:val="superscript"/>
              </w:rPr>
              <w:t>(1)</w:t>
            </w:r>
          </w:p>
        </w:tc>
      </w:tr>
      <w:tr>
        <w:trPr>
          <w:trHeight w:val="230"/>
        </w:trPr>
        <w:tc>
          <w:tcPr>
            <w:tcW w:w="230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Retail</w:t>
            </w:r>
          </w:p>
        </w:tc>
        <w:tc>
          <w:tcPr>
            <w:tcW w:w="280" w:type="dxa"/>
            <w:vAlign w:val="bottom"/>
            <w:tcBorders>
              <w:top w:val="single" w:sz="8" w:color="auto"/>
            </w:tcBorders>
            <w:shd w:val="clear" w:color="auto" w:fill="D1EDF5"/>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320,132</w:t>
            </w:r>
          </w:p>
        </w:tc>
        <w:tc>
          <w:tcPr>
            <w:tcW w:w="80" w:type="dxa"/>
            <w:vAlign w:val="bottom"/>
            <w:tcBorders>
              <w:top w:val="single" w:sz="8" w:color="D1EDF5"/>
            </w:tcBorders>
            <w:shd w:val="clear" w:color="auto" w:fill="D1EDF5"/>
          </w:tcPr>
          <w:p>
            <w:pPr>
              <w:spacing w:after="0"/>
              <w:rPr>
                <w:sz w:val="19"/>
                <w:szCs w:val="19"/>
                <w:color w:val="auto"/>
              </w:rPr>
            </w:pPr>
          </w:p>
        </w:tc>
        <w:tc>
          <w:tcPr>
            <w:tcW w:w="1220" w:type="dxa"/>
            <w:vAlign w:val="bottom"/>
            <w:tcBorders>
              <w:top w:val="single" w:sz="8" w:color="auto"/>
            </w:tcBorders>
            <w:shd w:val="clear" w:color="auto" w:fill="D1EDF5"/>
          </w:tcPr>
          <w:p>
            <w:pPr>
              <w:ind w:left="860"/>
              <w:spacing w:after="0"/>
              <w:rPr>
                <w:sz w:val="20"/>
                <w:szCs w:val="20"/>
                <w:color w:val="auto"/>
              </w:rPr>
            </w:pPr>
            <w:r>
              <w:rPr>
                <w:rFonts w:ascii="Arial" w:cs="Arial" w:eastAsia="Arial" w:hAnsi="Arial"/>
                <w:sz w:val="18"/>
                <w:szCs w:val="18"/>
                <w:color w:val="auto"/>
              </w:rPr>
              <w:t>145</w:t>
            </w:r>
          </w:p>
        </w:tc>
        <w:tc>
          <w:tcPr>
            <w:tcW w:w="80" w:type="dxa"/>
            <w:vAlign w:val="bottom"/>
            <w:tcBorders>
              <w:top w:val="single" w:sz="8" w:color="D1EDF5"/>
            </w:tcBorders>
            <w:shd w:val="clear" w:color="auto" w:fill="D1EDF5"/>
          </w:tcPr>
          <w:p>
            <w:pPr>
              <w:spacing w:after="0"/>
              <w:rPr>
                <w:sz w:val="19"/>
                <w:szCs w:val="19"/>
                <w:color w:val="auto"/>
              </w:rPr>
            </w:pPr>
          </w:p>
        </w:tc>
        <w:tc>
          <w:tcPr>
            <w:tcW w:w="12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940" w:type="dxa"/>
            <w:vAlign w:val="bottom"/>
            <w:tcBorders>
              <w:top w:val="single" w:sz="8" w:color="auto"/>
            </w:tcBorders>
            <w:shd w:val="clear" w:color="auto" w:fill="D1EDF5"/>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2,208</w:t>
            </w:r>
          </w:p>
        </w:tc>
        <w:tc>
          <w:tcPr>
            <w:tcW w:w="60" w:type="dxa"/>
            <w:vAlign w:val="bottom"/>
            <w:tcBorders>
              <w:top w:val="single" w:sz="8" w:color="D1EDF5"/>
            </w:tcBorders>
            <w:shd w:val="clear" w:color="auto" w:fill="D1EDF5"/>
          </w:tcPr>
          <w:p>
            <w:pPr>
              <w:spacing w:after="0"/>
              <w:rPr>
                <w:sz w:val="19"/>
                <w:szCs w:val="19"/>
                <w:color w:val="auto"/>
              </w:rPr>
            </w:pPr>
          </w:p>
        </w:tc>
        <w:tc>
          <w:tcPr>
            <w:tcW w:w="620" w:type="dxa"/>
            <w:vAlign w:val="bottom"/>
            <w:tcBorders>
              <w:top w:val="single" w:sz="8" w:color="auto"/>
            </w:tcBorders>
            <w:shd w:val="clear" w:color="auto" w:fill="D1EDF5"/>
          </w:tcPr>
          <w:p>
            <w:pPr>
              <w:jc w:val="right"/>
              <w:ind w:right="4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10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56%</w:t>
            </w:r>
          </w:p>
        </w:tc>
      </w:tr>
      <w:tr>
        <w:trPr>
          <w:trHeight w:val="240"/>
        </w:trPr>
        <w:tc>
          <w:tcPr>
            <w:tcW w:w="2300" w:type="dxa"/>
            <w:vAlign w:val="bottom"/>
          </w:tcPr>
          <w:p>
            <w:pPr>
              <w:spacing w:after="0"/>
              <w:rPr>
                <w:sz w:val="20"/>
                <w:szCs w:val="20"/>
                <w:color w:val="auto"/>
              </w:rPr>
            </w:pPr>
            <w:r>
              <w:rPr>
                <w:rFonts w:ascii="Arial" w:cs="Arial" w:eastAsia="Arial" w:hAnsi="Arial"/>
                <w:sz w:val="18"/>
                <w:szCs w:val="18"/>
                <w:color w:val="auto"/>
              </w:rPr>
              <w:t>Multifamily</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252,041</w:t>
            </w:r>
          </w:p>
        </w:tc>
        <w:tc>
          <w:tcPr>
            <w:tcW w:w="80" w:type="dxa"/>
            <w:vAlign w:val="bottom"/>
          </w:tcPr>
          <w:p>
            <w:pPr>
              <w:spacing w:after="0"/>
              <w:rPr>
                <w:sz w:val="20"/>
                <w:szCs w:val="20"/>
                <w:color w:val="auto"/>
              </w:rPr>
            </w:pPr>
          </w:p>
        </w:tc>
        <w:tc>
          <w:tcPr>
            <w:tcW w:w="1220" w:type="dxa"/>
            <w:vAlign w:val="bottom"/>
          </w:tcPr>
          <w:p>
            <w:pPr>
              <w:ind w:left="860"/>
              <w:spacing w:after="0"/>
              <w:rPr>
                <w:sz w:val="20"/>
                <w:szCs w:val="20"/>
                <w:color w:val="auto"/>
              </w:rPr>
            </w:pPr>
            <w:r>
              <w:rPr>
                <w:rFonts w:ascii="Arial" w:cs="Arial" w:eastAsia="Arial" w:hAnsi="Arial"/>
                <w:sz w:val="18"/>
                <w:szCs w:val="18"/>
                <w:color w:val="auto"/>
              </w:rPr>
              <w:t>197</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0"/>
        </w:trPr>
        <w:tc>
          <w:tcPr>
            <w:tcW w:w="2300" w:type="dxa"/>
            <w:vAlign w:val="bottom"/>
            <w:shd w:val="clear" w:color="auto" w:fill="D1EDF5"/>
          </w:tcPr>
          <w:p>
            <w:pPr>
              <w:spacing w:after="0"/>
              <w:rPr>
                <w:sz w:val="20"/>
                <w:szCs w:val="20"/>
                <w:color w:val="auto"/>
              </w:rPr>
            </w:pPr>
            <w:r>
              <w:rPr>
                <w:rFonts w:ascii="Arial" w:cs="Arial" w:eastAsia="Arial" w:hAnsi="Arial"/>
                <w:sz w:val="18"/>
                <w:szCs w:val="18"/>
                <w:color w:val="auto"/>
              </w:rPr>
              <w:t>Warehouse</w:t>
            </w:r>
          </w:p>
        </w:tc>
        <w:tc>
          <w:tcPr>
            <w:tcW w:w="280" w:type="dxa"/>
            <w:vAlign w:val="bottom"/>
            <w:shd w:val="clear" w:color="auto" w:fill="D1EDF5"/>
          </w:tcPr>
          <w:p>
            <w:pPr>
              <w:spacing w:after="0"/>
              <w:rPr>
                <w:sz w:val="20"/>
                <w:szCs w:val="20"/>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134,190</w:t>
            </w:r>
          </w:p>
        </w:tc>
        <w:tc>
          <w:tcPr>
            <w:tcW w:w="80" w:type="dxa"/>
            <w:vAlign w:val="bottom"/>
            <w:shd w:val="clear" w:color="auto" w:fill="D1EDF5"/>
          </w:tcPr>
          <w:p>
            <w:pPr>
              <w:spacing w:after="0"/>
              <w:rPr>
                <w:sz w:val="20"/>
                <w:szCs w:val="20"/>
                <w:color w:val="auto"/>
              </w:rPr>
            </w:pPr>
          </w:p>
        </w:tc>
        <w:tc>
          <w:tcPr>
            <w:tcW w:w="1220" w:type="dxa"/>
            <w:vAlign w:val="bottom"/>
            <w:shd w:val="clear" w:color="auto" w:fill="D1EDF5"/>
          </w:tcPr>
          <w:p>
            <w:pPr>
              <w:ind w:left="9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D1EDF5"/>
          </w:tcPr>
          <w:p>
            <w:pPr>
              <w:spacing w:after="0"/>
              <w:rPr>
                <w:sz w:val="20"/>
                <w:szCs w:val="20"/>
                <w:color w:val="auto"/>
              </w:rPr>
            </w:pPr>
          </w:p>
        </w:tc>
        <w:tc>
          <w:tcPr>
            <w:tcW w:w="1260" w:type="dxa"/>
            <w:vAlign w:val="bottom"/>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1,973</w:t>
            </w:r>
          </w:p>
        </w:tc>
        <w:tc>
          <w:tcPr>
            <w:tcW w:w="60" w:type="dxa"/>
            <w:vAlign w:val="bottom"/>
            <w:shd w:val="clear" w:color="auto" w:fill="D1EDF5"/>
          </w:tcPr>
          <w:p>
            <w:pPr>
              <w:spacing w:after="0"/>
              <w:rPr>
                <w:sz w:val="20"/>
                <w:szCs w:val="20"/>
                <w:color w:val="auto"/>
              </w:rPr>
            </w:pPr>
          </w:p>
        </w:tc>
        <w:tc>
          <w:tcPr>
            <w:tcW w:w="620" w:type="dxa"/>
            <w:vAlign w:val="bottom"/>
            <w:shd w:val="clear" w:color="auto" w:fill="D1EDF5"/>
          </w:tcPr>
          <w:p>
            <w:pPr>
              <w:spacing w:after="0"/>
              <w:rPr>
                <w:sz w:val="20"/>
                <w:szCs w:val="20"/>
                <w:color w:val="auto"/>
              </w:rPr>
            </w:pPr>
          </w:p>
        </w:tc>
        <w:tc>
          <w:tcPr>
            <w:tcW w:w="6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54%</w:t>
            </w:r>
          </w:p>
        </w:tc>
      </w:tr>
      <w:tr>
        <w:trPr>
          <w:trHeight w:val="240"/>
        </w:trPr>
        <w:tc>
          <w:tcPr>
            <w:tcW w:w="2300" w:type="dxa"/>
            <w:vAlign w:val="bottom"/>
          </w:tcPr>
          <w:p>
            <w:pPr>
              <w:spacing w:after="0"/>
              <w:rPr>
                <w:sz w:val="20"/>
                <w:szCs w:val="20"/>
                <w:color w:val="auto"/>
              </w:rPr>
            </w:pPr>
            <w:r>
              <w:rPr>
                <w:rFonts w:ascii="Arial" w:cs="Arial" w:eastAsia="Arial" w:hAnsi="Arial"/>
                <w:sz w:val="18"/>
                <w:szCs w:val="18"/>
                <w:color w:val="auto"/>
              </w:rPr>
              <w:t>Office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122,887</w:t>
            </w:r>
          </w:p>
        </w:tc>
        <w:tc>
          <w:tcPr>
            <w:tcW w:w="8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59</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2,083</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0"/>
        </w:trPr>
        <w:tc>
          <w:tcPr>
            <w:tcW w:w="2300" w:type="dxa"/>
            <w:vAlign w:val="bottom"/>
            <w:shd w:val="clear" w:color="auto" w:fill="D1EDF5"/>
          </w:tcPr>
          <w:p>
            <w:pPr>
              <w:spacing w:after="0"/>
              <w:rPr>
                <w:sz w:val="20"/>
                <w:szCs w:val="20"/>
                <w:color w:val="auto"/>
              </w:rPr>
            </w:pPr>
            <w:r>
              <w:rPr>
                <w:rFonts w:ascii="Arial" w:cs="Arial" w:eastAsia="Arial" w:hAnsi="Arial"/>
                <w:sz w:val="18"/>
                <w:szCs w:val="18"/>
                <w:color w:val="auto"/>
              </w:rPr>
              <w:t>Hotels/Motels</w:t>
            </w:r>
          </w:p>
        </w:tc>
        <w:tc>
          <w:tcPr>
            <w:tcW w:w="280" w:type="dxa"/>
            <w:vAlign w:val="bottom"/>
            <w:shd w:val="clear" w:color="auto" w:fill="D1EDF5"/>
          </w:tcPr>
          <w:p>
            <w:pPr>
              <w:spacing w:after="0"/>
              <w:rPr>
                <w:sz w:val="20"/>
                <w:szCs w:val="20"/>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117,226</w:t>
            </w:r>
          </w:p>
        </w:tc>
        <w:tc>
          <w:tcPr>
            <w:tcW w:w="80" w:type="dxa"/>
            <w:vAlign w:val="bottom"/>
            <w:shd w:val="clear" w:color="auto" w:fill="D1EDF5"/>
          </w:tcPr>
          <w:p>
            <w:pPr>
              <w:spacing w:after="0"/>
              <w:rPr>
                <w:sz w:val="20"/>
                <w:szCs w:val="20"/>
                <w:color w:val="auto"/>
              </w:rPr>
            </w:pPr>
          </w:p>
        </w:tc>
        <w:tc>
          <w:tcPr>
            <w:tcW w:w="1220" w:type="dxa"/>
            <w:vAlign w:val="bottom"/>
            <w:shd w:val="clear" w:color="auto" w:fill="D1EDF5"/>
          </w:tcPr>
          <w:p>
            <w:pPr>
              <w:ind w:left="9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D1EDF5"/>
          </w:tcPr>
          <w:p>
            <w:pPr>
              <w:spacing w:after="0"/>
              <w:rPr>
                <w:sz w:val="20"/>
                <w:szCs w:val="20"/>
                <w:color w:val="auto"/>
              </w:rPr>
            </w:pPr>
          </w:p>
        </w:tc>
        <w:tc>
          <w:tcPr>
            <w:tcW w:w="1260" w:type="dxa"/>
            <w:vAlign w:val="bottom"/>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D1EDF5"/>
          </w:tcPr>
          <w:p>
            <w:pPr>
              <w:spacing w:after="0"/>
              <w:rPr>
                <w:sz w:val="20"/>
                <w:szCs w:val="20"/>
                <w:color w:val="auto"/>
              </w:rPr>
            </w:pPr>
          </w:p>
        </w:tc>
        <w:tc>
          <w:tcPr>
            <w:tcW w:w="620" w:type="dxa"/>
            <w:vAlign w:val="bottom"/>
            <w:shd w:val="clear" w:color="auto" w:fill="D1EDF5"/>
          </w:tcPr>
          <w:p>
            <w:pPr>
              <w:spacing w:after="0"/>
              <w:rPr>
                <w:sz w:val="20"/>
                <w:szCs w:val="20"/>
                <w:color w:val="auto"/>
              </w:rPr>
            </w:pPr>
          </w:p>
        </w:tc>
        <w:tc>
          <w:tcPr>
            <w:tcW w:w="6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63%</w:t>
            </w:r>
          </w:p>
        </w:tc>
      </w:tr>
      <w:tr>
        <w:trPr>
          <w:trHeight w:val="240"/>
        </w:trPr>
        <w:tc>
          <w:tcPr>
            <w:tcW w:w="2300" w:type="dxa"/>
            <w:vAlign w:val="bottom"/>
          </w:tcPr>
          <w:p>
            <w:pPr>
              <w:spacing w:after="0"/>
              <w:rPr>
                <w:sz w:val="20"/>
                <w:szCs w:val="20"/>
                <w:color w:val="auto"/>
              </w:rPr>
            </w:pPr>
            <w:r>
              <w:rPr>
                <w:rFonts w:ascii="Arial" w:cs="Arial" w:eastAsia="Arial" w:hAnsi="Arial"/>
                <w:sz w:val="18"/>
                <w:szCs w:val="18"/>
                <w:color w:val="auto"/>
              </w:rPr>
              <w:t>Construction/Land</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73,080</w:t>
            </w:r>
          </w:p>
        </w:tc>
        <w:tc>
          <w:tcPr>
            <w:tcW w:w="8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22</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3,322</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40"/>
        </w:trPr>
        <w:tc>
          <w:tcPr>
            <w:tcW w:w="230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1EDF5"/>
          </w:tcPr>
          <w:p>
            <w:pPr>
              <w:spacing w:after="0"/>
              <w:rPr>
                <w:sz w:val="20"/>
                <w:szCs w:val="20"/>
                <w:color w:val="auto"/>
              </w:rPr>
            </w:pPr>
          </w:p>
        </w:tc>
        <w:tc>
          <w:tcPr>
            <w:tcW w:w="13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32,272</w:t>
            </w:r>
          </w:p>
        </w:tc>
        <w:tc>
          <w:tcPr>
            <w:tcW w:w="80" w:type="dxa"/>
            <w:vAlign w:val="bottom"/>
            <w:tcBorders>
              <w:bottom w:val="single" w:sz="8" w:color="D1EDF5"/>
            </w:tcBorders>
            <w:shd w:val="clear" w:color="auto" w:fill="D1EDF5"/>
          </w:tcPr>
          <w:p>
            <w:pPr>
              <w:spacing w:after="0"/>
              <w:rPr>
                <w:sz w:val="20"/>
                <w:szCs w:val="20"/>
                <w:color w:val="auto"/>
              </w:rPr>
            </w:pPr>
          </w:p>
        </w:tc>
        <w:tc>
          <w:tcPr>
            <w:tcW w:w="1220" w:type="dxa"/>
            <w:vAlign w:val="bottom"/>
            <w:tcBorders>
              <w:bottom w:val="single" w:sz="8" w:color="auto"/>
            </w:tcBorders>
            <w:shd w:val="clear" w:color="auto" w:fill="D1EDF5"/>
          </w:tcPr>
          <w:p>
            <w:pPr>
              <w:ind w:left="960"/>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D1EDF5"/>
            </w:tcBorders>
            <w:shd w:val="clear" w:color="auto" w:fill="D1EDF5"/>
          </w:tcPr>
          <w:p>
            <w:pPr>
              <w:spacing w:after="0"/>
              <w:rPr>
                <w:sz w:val="20"/>
                <w:szCs w:val="20"/>
                <w:color w:val="auto"/>
              </w:rPr>
            </w:pPr>
          </w:p>
        </w:tc>
        <w:tc>
          <w:tcPr>
            <w:tcW w:w="1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D1EDF5"/>
            </w:tcBorders>
            <w:shd w:val="clear" w:color="auto" w:fill="D1EDF5"/>
          </w:tcPr>
          <w:p>
            <w:pPr>
              <w:spacing w:after="0"/>
              <w:rPr>
                <w:sz w:val="20"/>
                <w:szCs w:val="20"/>
                <w:color w:val="auto"/>
              </w:rPr>
            </w:pPr>
          </w:p>
        </w:tc>
        <w:tc>
          <w:tcPr>
            <w:tcW w:w="40" w:type="dxa"/>
            <w:vAlign w:val="bottom"/>
            <w:tcBorders>
              <w:bottom w:val="single" w:sz="8" w:color="D1EDF5"/>
            </w:tcBorders>
            <w:shd w:val="clear" w:color="auto" w:fill="D1EDF5"/>
          </w:tcPr>
          <w:p>
            <w:pPr>
              <w:spacing w:after="0"/>
              <w:rPr>
                <w:sz w:val="20"/>
                <w:szCs w:val="20"/>
                <w:color w:val="auto"/>
              </w:rPr>
            </w:pPr>
          </w:p>
        </w:tc>
        <w:tc>
          <w:tcPr>
            <w:tcW w:w="940" w:type="dxa"/>
            <w:vAlign w:val="bottom"/>
            <w:tcBorders>
              <w:bottom w:val="single" w:sz="8" w:color="auto"/>
            </w:tcBorders>
            <w:shd w:val="clear" w:color="auto" w:fill="D1EDF5"/>
          </w:tcPr>
          <w:p>
            <w:pPr>
              <w:spacing w:after="0"/>
              <w:rPr>
                <w:sz w:val="20"/>
                <w:szCs w:val="20"/>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Borders>
              <w:bottom w:val="single" w:sz="8" w:color="D1EDF5"/>
            </w:tcBorders>
            <w:shd w:val="clear" w:color="auto" w:fill="D1EDF5"/>
          </w:tcPr>
          <w:p>
            <w:pPr>
              <w:spacing w:after="0"/>
              <w:rPr>
                <w:sz w:val="20"/>
                <w:szCs w:val="20"/>
                <w:color w:val="auto"/>
              </w:rPr>
            </w:pPr>
          </w:p>
        </w:tc>
        <w:tc>
          <w:tcPr>
            <w:tcW w:w="620" w:type="dxa"/>
            <w:vAlign w:val="bottom"/>
            <w:tcBorders>
              <w:bottom w:val="single" w:sz="8" w:color="auto"/>
            </w:tcBorders>
            <w:shd w:val="clear" w:color="auto" w:fill="D1EDF5"/>
          </w:tcPr>
          <w:p>
            <w:pPr>
              <w:spacing w:after="0"/>
              <w:rPr>
                <w:sz w:val="20"/>
                <w:szCs w:val="20"/>
                <w:color w:val="auto"/>
              </w:rPr>
            </w:pPr>
          </w:p>
        </w:tc>
        <w:tc>
          <w:tcPr>
            <w:tcW w:w="6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59%</w:t>
            </w:r>
          </w:p>
        </w:tc>
      </w:tr>
      <w:tr>
        <w:trPr>
          <w:trHeight w:val="244"/>
        </w:trPr>
        <w:tc>
          <w:tcPr>
            <w:tcW w:w="23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1,051,828</w:t>
            </w:r>
          </w:p>
        </w:tc>
        <w:tc>
          <w:tcPr>
            <w:tcW w:w="80" w:type="dxa"/>
            <w:vAlign w:val="bottom"/>
          </w:tcPr>
          <w:p>
            <w:pPr>
              <w:spacing w:after="0"/>
              <w:rPr>
                <w:sz w:val="21"/>
                <w:szCs w:val="21"/>
                <w:color w:val="auto"/>
              </w:rPr>
            </w:pPr>
          </w:p>
        </w:tc>
        <w:tc>
          <w:tcPr>
            <w:tcW w:w="1220" w:type="dxa"/>
            <w:vAlign w:val="bottom"/>
          </w:tcPr>
          <w:p>
            <w:pPr>
              <w:ind w:left="860"/>
              <w:spacing w:after="0"/>
              <w:rPr>
                <w:sz w:val="20"/>
                <w:szCs w:val="20"/>
                <w:color w:val="auto"/>
              </w:rPr>
            </w:pPr>
            <w:r>
              <w:rPr>
                <w:rFonts w:ascii="Arial" w:cs="Arial" w:eastAsia="Arial" w:hAnsi="Arial"/>
                <w:sz w:val="18"/>
                <w:szCs w:val="18"/>
                <w:color w:val="auto"/>
              </w:rPr>
              <w:t>571</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1,842</w:t>
            </w:r>
          </w:p>
        </w:tc>
        <w:tc>
          <w:tcPr>
            <w:tcW w:w="6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24765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00" cy="4763"/>
                        </a:xfrm>
                        <a:prstGeom prst="line">
                          <a:avLst/>
                        </a:prstGeom>
                        <a:solidFill>
                          <a:srgbClr val="FFFFFF"/>
                        </a:solidFill>
                        <a:ln w="6109">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5pt" to="195pt,10.65pt" o:allowincell="f" strokecolor="#000000" strokeweight="0.481pt"/>
            </w:pict>
          </mc:Fallback>
        </mc:AlternateContent>
      </w:r>
    </w:p>
    <w:p>
      <w:pPr>
        <w:spacing w:after="0" w:line="213" w:lineRule="exact"/>
        <w:rPr>
          <w:sz w:val="20"/>
          <w:szCs w:val="20"/>
          <w:color w:val="auto"/>
        </w:rPr>
      </w:pPr>
    </w:p>
    <w:p>
      <w:pPr>
        <w:ind w:left="280" w:hanging="280"/>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Loan-to-value is calculated based on the real estate value at the time of origination, renewal, or update, whichever is more recent.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3180"/>
        <w:spacing w:after="0"/>
        <w:rPr>
          <w:rFonts w:ascii="Arial" w:cs="Arial" w:eastAsia="Arial" w:hAnsi="Arial"/>
          <w:sz w:val="18"/>
          <w:szCs w:val="18"/>
          <w:color w:val="auto"/>
        </w:rPr>
      </w:pPr>
      <w:r>
        <w:rPr>
          <w:rFonts w:ascii="Arial" w:cs="Arial" w:eastAsia="Arial" w:hAnsi="Arial"/>
          <w:sz w:val="20"/>
          <w:szCs w:val="20"/>
          <w:color w:val="auto"/>
        </w:rPr>
        <w:t>65USCB Financial Holdings, Inc.  2025 10-K</w:t>
      </w:r>
    </w:p>
    <w:p>
      <w:pPr>
        <w:sectPr>
          <w:pgSz w:w="12240" w:h="15840" w:orient="portrait"/>
          <w:cols w:equalWidth="0" w:num="1">
            <w:col w:w="10800"/>
          </w:cols>
          <w:pgMar w:left="720" w:top="355" w:right="720" w:bottom="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is a summary of non- owner occupied commercial real estate loans held for investment by collateral geographical location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December 31, 2025</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90"/>
        </w:trPr>
        <w:tc>
          <w:tcPr>
            <w:tcW w:w="2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 xml:space="preserve">South Florida </w:t>
            </w:r>
            <w:r>
              <w:rPr>
                <w:rFonts w:ascii="Arial" w:cs="Arial" w:eastAsia="Arial" w:hAnsi="Arial"/>
                <w:sz w:val="24"/>
                <w:szCs w:val="24"/>
                <w:b w:val="1"/>
                <w:bCs w:val="1"/>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 xml:space="preserve">Rest of Florida </w:t>
            </w:r>
            <w:r>
              <w:rPr>
                <w:rFonts w:ascii="Arial" w:cs="Arial" w:eastAsia="Arial" w:hAnsi="Arial"/>
                <w:sz w:val="24"/>
                <w:szCs w:val="24"/>
                <w:b w:val="1"/>
                <w:bCs w:val="1"/>
                <w:color w:val="auto"/>
                <w:vertAlign w:val="superscript"/>
              </w:rPr>
              <w:t>(2)</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 xml:space="preserve">Outside Florida </w:t>
            </w:r>
            <w:r>
              <w:rPr>
                <w:rFonts w:ascii="Arial" w:cs="Arial" w:eastAsia="Arial" w:hAnsi="Arial"/>
                <w:sz w:val="24"/>
                <w:szCs w:val="24"/>
                <w:b w:val="1"/>
                <w:bCs w:val="1"/>
                <w:color w:val="auto"/>
                <w:vertAlign w:val="superscript"/>
              </w:rPr>
              <w:t>(3)</w:t>
            </w:r>
          </w:p>
        </w:tc>
      </w:tr>
      <w:tr>
        <w:trPr>
          <w:trHeight w:val="310"/>
        </w:trPr>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 of Non-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 of Non-</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 of Non-</w:t>
            </w:r>
          </w:p>
        </w:tc>
      </w:tr>
      <w:tr>
        <w:trPr>
          <w:trHeight w:val="206"/>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Owner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Owner</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Owner</w:t>
            </w:r>
          </w:p>
        </w:tc>
      </w:tr>
      <w:tr>
        <w:trPr>
          <w:trHeight w:val="206"/>
        </w:trPr>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Occupied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Occupied</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Occupied</w:t>
            </w:r>
          </w:p>
        </w:tc>
      </w:tr>
      <w:tr>
        <w:trPr>
          <w:trHeight w:val="227"/>
        </w:trPr>
        <w:tc>
          <w:tcPr>
            <w:tcW w:w="2560" w:type="dxa"/>
            <w:vAlign w:val="bottom"/>
            <w:tcBorders>
              <w:bottom w:val="single" w:sz="8" w:color="D1EDF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D1EDF5"/>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CRE Loans</w:t>
            </w: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D1EDF5"/>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CRE Loans</w:t>
            </w:r>
          </w:p>
        </w:tc>
        <w:tc>
          <w:tcPr>
            <w:tcW w:w="4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D1EDF5"/>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CRE Loans</w:t>
            </w:r>
          </w:p>
        </w:tc>
      </w:tr>
      <w:tr>
        <w:trPr>
          <w:trHeight w:val="230"/>
        </w:trPr>
        <w:tc>
          <w:tcPr>
            <w:tcW w:w="2560" w:type="dxa"/>
            <w:vAlign w:val="bottom"/>
            <w:shd w:val="clear" w:color="auto" w:fill="D1EDF5"/>
          </w:tcPr>
          <w:p>
            <w:pPr>
              <w:spacing w:after="0"/>
              <w:rPr>
                <w:sz w:val="20"/>
                <w:szCs w:val="20"/>
                <w:color w:val="auto"/>
              </w:rPr>
            </w:pPr>
            <w:r>
              <w:rPr>
                <w:rFonts w:ascii="Arial" w:cs="Arial" w:eastAsia="Arial" w:hAnsi="Arial"/>
                <w:sz w:val="18"/>
                <w:szCs w:val="18"/>
                <w:color w:val="auto"/>
              </w:rPr>
              <w:t>Retail</w:t>
            </w:r>
          </w:p>
        </w:tc>
        <w:tc>
          <w:tcPr>
            <w:tcW w:w="260" w:type="dxa"/>
            <w:vAlign w:val="bottom"/>
            <w:shd w:val="clear" w:color="auto" w:fill="D1EDF5"/>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EDF5"/>
          </w:tcPr>
          <w:p>
            <w:pPr>
              <w:ind w:left="600"/>
              <w:spacing w:after="0"/>
              <w:rPr>
                <w:sz w:val="20"/>
                <w:szCs w:val="20"/>
                <w:color w:val="auto"/>
              </w:rPr>
            </w:pPr>
            <w:r>
              <w:rPr>
                <w:rFonts w:ascii="Arial" w:cs="Arial" w:eastAsia="Arial" w:hAnsi="Arial"/>
                <w:sz w:val="18"/>
                <w:szCs w:val="18"/>
                <w:color w:val="auto"/>
              </w:rPr>
              <w:t>220,390</w:t>
            </w:r>
          </w:p>
        </w:tc>
        <w:tc>
          <w:tcPr>
            <w:tcW w:w="8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46,268</w:t>
            </w:r>
          </w:p>
        </w:tc>
        <w:tc>
          <w:tcPr>
            <w:tcW w:w="80" w:type="dxa"/>
            <w:vAlign w:val="bottom"/>
            <w:shd w:val="clear" w:color="auto" w:fill="D1EDF5"/>
          </w:tcPr>
          <w:p>
            <w:pPr>
              <w:spacing w:after="0"/>
              <w:rPr>
                <w:sz w:val="19"/>
                <w:szCs w:val="19"/>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D1EDF5"/>
          </w:tcPr>
          <w:p>
            <w:pPr>
              <w:spacing w:after="0"/>
              <w:rPr>
                <w:sz w:val="19"/>
                <w:szCs w:val="19"/>
                <w:color w:val="auto"/>
              </w:rPr>
            </w:pPr>
          </w:p>
        </w:tc>
        <w:tc>
          <w:tcPr>
            <w:tcW w:w="320" w:type="dxa"/>
            <w:vAlign w:val="bottom"/>
            <w:gridSpan w:val="2"/>
            <w:shd w:val="clear" w:color="auto" w:fill="D1EDF5"/>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53,475</w:t>
            </w:r>
          </w:p>
        </w:tc>
        <w:tc>
          <w:tcPr>
            <w:tcW w:w="80" w:type="dxa"/>
            <w:vAlign w:val="bottom"/>
            <w:shd w:val="clear" w:color="auto" w:fill="D1EDF5"/>
          </w:tcPr>
          <w:p>
            <w:pPr>
              <w:spacing w:after="0"/>
              <w:rPr>
                <w:sz w:val="19"/>
                <w:szCs w:val="19"/>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w:t>
            </w:r>
          </w:p>
        </w:tc>
      </w:tr>
      <w:tr>
        <w:trPr>
          <w:trHeight w:val="240"/>
        </w:trPr>
        <w:tc>
          <w:tcPr>
            <w:tcW w:w="2560" w:type="dxa"/>
            <w:vAlign w:val="bottom"/>
          </w:tcPr>
          <w:p>
            <w:pPr>
              <w:spacing w:after="0"/>
              <w:rPr>
                <w:sz w:val="20"/>
                <w:szCs w:val="20"/>
                <w:color w:val="auto"/>
              </w:rPr>
            </w:pPr>
            <w:r>
              <w:rPr>
                <w:rFonts w:ascii="Arial" w:cs="Arial" w:eastAsia="Arial" w:hAnsi="Arial"/>
                <w:sz w:val="18"/>
                <w:szCs w:val="18"/>
                <w:color w:val="auto"/>
              </w:rPr>
              <w:t>Multifamily</w:t>
            </w:r>
          </w:p>
        </w:tc>
        <w:tc>
          <w:tcPr>
            <w:tcW w:w="260" w:type="dxa"/>
            <w:vAlign w:val="bottom"/>
          </w:tcPr>
          <w:p>
            <w:pPr>
              <w:spacing w:after="0"/>
              <w:rPr>
                <w:sz w:val="20"/>
                <w:szCs w:val="20"/>
                <w:color w:val="auto"/>
              </w:rPr>
            </w:pPr>
          </w:p>
        </w:tc>
        <w:tc>
          <w:tcPr>
            <w:tcW w:w="1300" w:type="dxa"/>
            <w:vAlign w:val="bottom"/>
          </w:tcPr>
          <w:p>
            <w:pPr>
              <w:ind w:left="600"/>
              <w:spacing w:after="0"/>
              <w:rPr>
                <w:sz w:val="20"/>
                <w:szCs w:val="20"/>
                <w:color w:val="auto"/>
              </w:rPr>
            </w:pPr>
            <w:r>
              <w:rPr>
                <w:rFonts w:ascii="Arial" w:cs="Arial" w:eastAsia="Arial" w:hAnsi="Arial"/>
                <w:sz w:val="18"/>
                <w:szCs w:val="18"/>
                <w:color w:val="auto"/>
              </w:rPr>
              <w:t>177,152</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74,888</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shd w:val="clear" w:color="auto" w:fill="D1EDF5"/>
          </w:tcPr>
          <w:p>
            <w:pPr>
              <w:spacing w:after="0"/>
              <w:rPr>
                <w:sz w:val="20"/>
                <w:szCs w:val="20"/>
                <w:color w:val="auto"/>
              </w:rPr>
            </w:pPr>
            <w:r>
              <w:rPr>
                <w:rFonts w:ascii="Arial" w:cs="Arial" w:eastAsia="Arial" w:hAnsi="Arial"/>
                <w:sz w:val="18"/>
                <w:szCs w:val="18"/>
                <w:color w:val="auto"/>
              </w:rPr>
              <w:t>Warehouse</w:t>
            </w:r>
          </w:p>
        </w:tc>
        <w:tc>
          <w:tcPr>
            <w:tcW w:w="260" w:type="dxa"/>
            <w:vAlign w:val="bottom"/>
            <w:shd w:val="clear" w:color="auto" w:fill="D1EDF5"/>
          </w:tcPr>
          <w:p>
            <w:pPr>
              <w:spacing w:after="0"/>
              <w:rPr>
                <w:sz w:val="20"/>
                <w:szCs w:val="20"/>
                <w:color w:val="auto"/>
              </w:rPr>
            </w:pPr>
          </w:p>
        </w:tc>
        <w:tc>
          <w:tcPr>
            <w:tcW w:w="1300" w:type="dxa"/>
            <w:vAlign w:val="bottom"/>
            <w:shd w:val="clear" w:color="auto" w:fill="D1EDF5"/>
          </w:tcPr>
          <w:p>
            <w:pPr>
              <w:ind w:left="700"/>
              <w:spacing w:after="0"/>
              <w:rPr>
                <w:sz w:val="20"/>
                <w:szCs w:val="20"/>
                <w:color w:val="auto"/>
              </w:rPr>
            </w:pPr>
            <w:r>
              <w:rPr>
                <w:rFonts w:ascii="Arial" w:cs="Arial" w:eastAsia="Arial" w:hAnsi="Arial"/>
                <w:sz w:val="18"/>
                <w:szCs w:val="18"/>
                <w:color w:val="auto"/>
              </w:rPr>
              <w:t>70,399</w:t>
            </w:r>
          </w:p>
        </w:tc>
        <w:tc>
          <w:tcPr>
            <w:tcW w:w="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4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59,465</w:t>
            </w:r>
          </w:p>
        </w:tc>
        <w:tc>
          <w:tcPr>
            <w:tcW w:w="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4,326</w:t>
            </w:r>
          </w:p>
        </w:tc>
        <w:tc>
          <w:tcPr>
            <w:tcW w:w="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tcPr>
          <w:p>
            <w:pPr>
              <w:spacing w:after="0"/>
              <w:rPr>
                <w:sz w:val="20"/>
                <w:szCs w:val="20"/>
                <w:color w:val="auto"/>
              </w:rPr>
            </w:pPr>
            <w:r>
              <w:rPr>
                <w:rFonts w:ascii="Arial" w:cs="Arial" w:eastAsia="Arial" w:hAnsi="Arial"/>
                <w:sz w:val="18"/>
                <w:szCs w:val="18"/>
                <w:color w:val="auto"/>
              </w:rPr>
              <w:t>Office</w:t>
            </w:r>
          </w:p>
        </w:tc>
        <w:tc>
          <w:tcPr>
            <w:tcW w:w="26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Arial" w:cs="Arial" w:eastAsia="Arial" w:hAnsi="Arial"/>
                <w:sz w:val="18"/>
                <w:szCs w:val="18"/>
                <w:color w:val="auto"/>
              </w:rPr>
              <w:t>90,470</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26,788</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40"/>
        </w:trPr>
        <w:tc>
          <w:tcPr>
            <w:tcW w:w="2560" w:type="dxa"/>
            <w:vAlign w:val="bottom"/>
            <w:shd w:val="clear" w:color="auto" w:fill="D1EDF5"/>
          </w:tcPr>
          <w:p>
            <w:pPr>
              <w:spacing w:after="0"/>
              <w:rPr>
                <w:sz w:val="20"/>
                <w:szCs w:val="20"/>
                <w:color w:val="auto"/>
              </w:rPr>
            </w:pPr>
            <w:r>
              <w:rPr>
                <w:rFonts w:ascii="Arial" w:cs="Arial" w:eastAsia="Arial" w:hAnsi="Arial"/>
                <w:sz w:val="18"/>
                <w:szCs w:val="18"/>
                <w:color w:val="auto"/>
              </w:rPr>
              <w:t>Hotels/Motels</w:t>
            </w:r>
          </w:p>
        </w:tc>
        <w:tc>
          <w:tcPr>
            <w:tcW w:w="260" w:type="dxa"/>
            <w:vAlign w:val="bottom"/>
            <w:shd w:val="clear" w:color="auto" w:fill="D1EDF5"/>
          </w:tcPr>
          <w:p>
            <w:pPr>
              <w:spacing w:after="0"/>
              <w:rPr>
                <w:sz w:val="20"/>
                <w:szCs w:val="20"/>
                <w:color w:val="auto"/>
              </w:rPr>
            </w:pPr>
          </w:p>
        </w:tc>
        <w:tc>
          <w:tcPr>
            <w:tcW w:w="1300" w:type="dxa"/>
            <w:vAlign w:val="bottom"/>
            <w:shd w:val="clear" w:color="auto" w:fill="D1EDF5"/>
          </w:tcPr>
          <w:p>
            <w:pPr>
              <w:ind w:left="700"/>
              <w:spacing w:after="0"/>
              <w:rPr>
                <w:sz w:val="20"/>
                <w:szCs w:val="20"/>
                <w:color w:val="auto"/>
              </w:rPr>
            </w:pPr>
            <w:r>
              <w:rPr>
                <w:rFonts w:ascii="Arial" w:cs="Arial" w:eastAsia="Arial" w:hAnsi="Arial"/>
                <w:sz w:val="18"/>
                <w:szCs w:val="18"/>
                <w:color w:val="auto"/>
              </w:rPr>
              <w:t>89,754</w:t>
            </w:r>
          </w:p>
        </w:tc>
        <w:tc>
          <w:tcPr>
            <w:tcW w:w="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4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27,472</w:t>
            </w:r>
          </w:p>
        </w:tc>
        <w:tc>
          <w:tcPr>
            <w:tcW w:w="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tcPr>
          <w:p>
            <w:pPr>
              <w:spacing w:after="0"/>
              <w:rPr>
                <w:sz w:val="20"/>
                <w:szCs w:val="20"/>
                <w:color w:val="auto"/>
              </w:rPr>
            </w:pPr>
            <w:r>
              <w:rPr>
                <w:rFonts w:ascii="Arial" w:cs="Arial" w:eastAsia="Arial" w:hAnsi="Arial"/>
                <w:sz w:val="18"/>
                <w:szCs w:val="18"/>
                <w:color w:val="auto"/>
              </w:rPr>
              <w:t>Construction/Land</w:t>
            </w:r>
          </w:p>
        </w:tc>
        <w:tc>
          <w:tcPr>
            <w:tcW w:w="260" w:type="dxa"/>
            <w:vAlign w:val="bottom"/>
          </w:tcPr>
          <w:p>
            <w:pPr>
              <w:spacing w:after="0"/>
              <w:rPr>
                <w:sz w:val="20"/>
                <w:szCs w:val="20"/>
                <w:color w:val="auto"/>
              </w:rPr>
            </w:pPr>
          </w:p>
        </w:tc>
        <w:tc>
          <w:tcPr>
            <w:tcW w:w="1300" w:type="dxa"/>
            <w:vAlign w:val="bottom"/>
          </w:tcPr>
          <w:p>
            <w:pPr>
              <w:ind w:left="700"/>
              <w:spacing w:after="0"/>
              <w:rPr>
                <w:sz w:val="20"/>
                <w:szCs w:val="20"/>
                <w:color w:val="auto"/>
              </w:rPr>
            </w:pPr>
            <w:r>
              <w:rPr>
                <w:rFonts w:ascii="Arial" w:cs="Arial" w:eastAsia="Arial" w:hAnsi="Arial"/>
                <w:sz w:val="18"/>
                <w:szCs w:val="18"/>
                <w:color w:val="auto"/>
              </w:rPr>
              <w:t>59,039</w:t>
            </w:r>
          </w:p>
        </w:tc>
        <w:tc>
          <w:tcPr>
            <w:tcW w:w="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14,041</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40"/>
        </w:trPr>
        <w:tc>
          <w:tcPr>
            <w:tcW w:w="25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EDF5"/>
          </w:tcPr>
          <w:p>
            <w:pPr>
              <w:spacing w:after="0"/>
              <w:rPr>
                <w:sz w:val="20"/>
                <w:szCs w:val="20"/>
                <w:color w:val="auto"/>
              </w:rPr>
            </w:pPr>
          </w:p>
        </w:tc>
        <w:tc>
          <w:tcPr>
            <w:tcW w:w="1300" w:type="dxa"/>
            <w:vAlign w:val="bottom"/>
            <w:tcBorders>
              <w:bottom w:val="single" w:sz="8" w:color="auto"/>
            </w:tcBorders>
            <w:shd w:val="clear" w:color="auto" w:fill="D1EDF5"/>
          </w:tcPr>
          <w:p>
            <w:pPr>
              <w:ind w:left="700"/>
              <w:spacing w:after="0"/>
              <w:rPr>
                <w:sz w:val="20"/>
                <w:szCs w:val="20"/>
                <w:color w:val="auto"/>
              </w:rPr>
            </w:pPr>
            <w:r>
              <w:rPr>
                <w:rFonts w:ascii="Arial" w:cs="Arial" w:eastAsia="Arial" w:hAnsi="Arial"/>
                <w:sz w:val="18"/>
                <w:szCs w:val="18"/>
                <w:color w:val="auto"/>
              </w:rPr>
              <w:t>17,112</w:t>
            </w:r>
          </w:p>
        </w:tc>
        <w:tc>
          <w:tcPr>
            <w:tcW w:w="80" w:type="dxa"/>
            <w:vAlign w:val="bottom"/>
            <w:tcBorders>
              <w:bottom w:val="single" w:sz="8" w:color="D1EDF5"/>
            </w:tcBorders>
            <w:shd w:val="clear" w:color="auto" w:fill="D1EDF5"/>
          </w:tcPr>
          <w:p>
            <w:pPr>
              <w:spacing w:after="0"/>
              <w:rPr>
                <w:sz w:val="20"/>
                <w:szCs w:val="20"/>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D1EDF5"/>
            </w:tcBorders>
            <w:shd w:val="clear" w:color="auto" w:fill="D1EDF5"/>
          </w:tcPr>
          <w:p>
            <w:pPr>
              <w:spacing w:after="0"/>
              <w:rPr>
                <w:sz w:val="20"/>
                <w:szCs w:val="20"/>
                <w:color w:val="auto"/>
              </w:rPr>
            </w:pPr>
          </w:p>
        </w:tc>
        <w:tc>
          <w:tcPr>
            <w:tcW w:w="4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4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11,659</w:t>
            </w:r>
          </w:p>
        </w:tc>
        <w:tc>
          <w:tcPr>
            <w:tcW w:w="80" w:type="dxa"/>
            <w:vAlign w:val="bottom"/>
            <w:tcBorders>
              <w:bottom w:val="single" w:sz="8" w:color="D1EDF5"/>
            </w:tcBorders>
            <w:shd w:val="clear" w:color="auto" w:fill="D1EDF5"/>
          </w:tcPr>
          <w:p>
            <w:pPr>
              <w:spacing w:after="0"/>
              <w:rPr>
                <w:sz w:val="20"/>
                <w:szCs w:val="20"/>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D1EDF5"/>
            </w:tcBorders>
            <w:shd w:val="clear" w:color="auto" w:fill="D1EDF5"/>
          </w:tcPr>
          <w:p>
            <w:pPr>
              <w:spacing w:after="0"/>
              <w:rPr>
                <w:sz w:val="20"/>
                <w:szCs w:val="20"/>
                <w:color w:val="auto"/>
              </w:rPr>
            </w:pPr>
          </w:p>
        </w:tc>
        <w:tc>
          <w:tcPr>
            <w:tcW w:w="40" w:type="dxa"/>
            <w:vAlign w:val="bottom"/>
            <w:tcBorders>
              <w:bottom w:val="single" w:sz="8" w:color="D1EDF5"/>
            </w:tcBorders>
            <w:shd w:val="clear" w:color="auto" w:fill="D1EDF5"/>
          </w:tcPr>
          <w:p>
            <w:pPr>
              <w:spacing w:after="0"/>
              <w:rPr>
                <w:sz w:val="20"/>
                <w:szCs w:val="20"/>
                <w:color w:val="auto"/>
              </w:rPr>
            </w:pPr>
          </w:p>
        </w:tc>
        <w:tc>
          <w:tcPr>
            <w:tcW w:w="280" w:type="dxa"/>
            <w:vAlign w:val="bottom"/>
            <w:tcBorders>
              <w:bottom w:val="single" w:sz="8" w:color="auto"/>
            </w:tcBorders>
            <w:shd w:val="clear" w:color="auto" w:fill="D1EDF5"/>
          </w:tcPr>
          <w:p>
            <w:pPr>
              <w:spacing w:after="0"/>
              <w:rPr>
                <w:sz w:val="20"/>
                <w:szCs w:val="20"/>
                <w:color w:val="auto"/>
              </w:rPr>
            </w:pPr>
          </w:p>
        </w:tc>
        <w:tc>
          <w:tcPr>
            <w:tcW w:w="13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Borders>
              <w:bottom w:val="single" w:sz="8" w:color="D1EDF5"/>
            </w:tcBorders>
            <w:shd w:val="clear" w:color="auto" w:fill="D1EDF5"/>
          </w:tcPr>
          <w:p>
            <w:pPr>
              <w:spacing w:after="0"/>
              <w:rPr>
                <w:sz w:val="20"/>
                <w:szCs w:val="20"/>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0%</w:t>
            </w:r>
          </w:p>
        </w:tc>
      </w:tr>
      <w:tr>
        <w:trPr>
          <w:trHeight w:val="246"/>
        </w:trPr>
        <w:tc>
          <w:tcPr>
            <w:tcW w:w="25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600"/>
              <w:spacing w:after="0"/>
              <w:rPr>
                <w:sz w:val="20"/>
                <w:szCs w:val="20"/>
                <w:color w:val="auto"/>
              </w:rPr>
            </w:pPr>
            <w:r>
              <w:rPr>
                <w:rFonts w:ascii="Arial" w:cs="Arial" w:eastAsia="Arial" w:hAnsi="Arial"/>
                <w:sz w:val="18"/>
                <w:szCs w:val="18"/>
                <w:color w:val="auto"/>
              </w:rPr>
              <w:t>724,316</w:t>
            </w:r>
          </w:p>
        </w:tc>
        <w:tc>
          <w:tcPr>
            <w:tcW w:w="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260,581</w:t>
            </w:r>
          </w:p>
        </w:tc>
        <w:tc>
          <w:tcPr>
            <w:tcW w:w="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66,930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165735</wp:posOffset>
                </wp:positionV>
                <wp:extent cx="442849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284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5pt" to="348.7pt,13.05pt" o:allowincell="f" strokecolor="#000000" strokeweight="0.48pt"/>
            </w:pict>
          </mc:Fallback>
        </mc:AlternateContent>
      </w:r>
    </w:p>
    <w:p>
      <w:pPr>
        <w:spacing w:after="0" w:line="261" w:lineRule="exact"/>
        <w:rPr>
          <w:sz w:val="20"/>
          <w:szCs w:val="20"/>
          <w:color w:val="auto"/>
        </w:rPr>
      </w:pPr>
    </w:p>
    <w:p>
      <w:pPr>
        <w:ind w:left="280" w:hanging="280"/>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Miami-Dade, Broward, and West Palm Beach counties</w:t>
      </w:r>
    </w:p>
    <w:p>
      <w:pPr>
        <w:spacing w:after="0" w:line="37" w:lineRule="exact"/>
        <w:rPr>
          <w:rFonts w:ascii="Arial" w:cs="Arial" w:eastAsia="Arial" w:hAnsi="Arial"/>
          <w:sz w:val="18"/>
          <w:szCs w:val="18"/>
          <w:color w:val="auto"/>
        </w:rPr>
      </w:pPr>
    </w:p>
    <w:p>
      <w:pPr>
        <w:ind w:left="280" w:hanging="280"/>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Florida counties</w:t>
      </w:r>
    </w:p>
    <w:p>
      <w:pPr>
        <w:spacing w:after="0" w:line="33" w:lineRule="exact"/>
        <w:rPr>
          <w:rFonts w:ascii="Arial" w:cs="Arial" w:eastAsia="Arial" w:hAnsi="Arial"/>
          <w:sz w:val="18"/>
          <w:szCs w:val="18"/>
          <w:color w:val="auto"/>
        </w:rPr>
      </w:pPr>
    </w:p>
    <w:p>
      <w:pPr>
        <w:ind w:left="280" w:hanging="280"/>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Within the U.S.</w:t>
      </w:r>
    </w:p>
    <w:p>
      <w:pPr>
        <w:spacing w:after="0" w:line="225"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20"/>
          <w:szCs w:val="20"/>
          <w:color w:val="auto"/>
        </w:rPr>
        <w:t>As of December 31, 2025, 71% of the non-owner occupied CRE portfolio were located within South Florida. 26 loan notes with an outstanding principal balance of $66.9 million are located outside Florida. Balances of non-owner occupied CRE loans outside Florida were: $44.2 million in New York, $7.3 million in Georgia, $7.1 million in Indiana, $4.3 million in Arkansas, and $4.1 million in North Carolina.</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Quality</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internal credit risk grades used by the Company to assess the credit worthiness of a loan are shown below:</w:t>
      </w:r>
    </w:p>
    <w:p>
      <w:pPr>
        <w:spacing w:after="0" w:line="22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Pass </w:t>
      </w:r>
      <w:r>
        <w:rPr>
          <w:rFonts w:ascii="Arial" w:cs="Arial" w:eastAsia="Arial" w:hAnsi="Arial"/>
          <w:sz w:val="20"/>
          <w:szCs w:val="20"/>
          <w:color w:val="auto"/>
        </w:rPr>
        <w:t>– Loans indicate different levels of satisfactory financial condition and performance.</w:t>
      </w:r>
    </w:p>
    <w:p>
      <w:pPr>
        <w:spacing w:after="0" w:line="231" w:lineRule="exact"/>
        <w:rPr>
          <w:sz w:val="20"/>
          <w:szCs w:val="20"/>
          <w:color w:val="auto"/>
        </w:rPr>
      </w:pPr>
    </w:p>
    <w:p>
      <w:pPr>
        <w:ind w:left="720" w:right="160"/>
        <w:spacing w:after="0" w:line="262" w:lineRule="auto"/>
        <w:rPr>
          <w:sz w:val="20"/>
          <w:szCs w:val="20"/>
          <w:color w:val="auto"/>
        </w:rPr>
      </w:pPr>
      <w:r>
        <w:rPr>
          <w:rFonts w:ascii="Arial" w:cs="Arial" w:eastAsia="Arial" w:hAnsi="Arial"/>
          <w:sz w:val="20"/>
          <w:szCs w:val="20"/>
          <w:b w:val="1"/>
          <w:bCs w:val="1"/>
          <w:color w:val="auto"/>
        </w:rPr>
        <w:t xml:space="preserve">Special Mention </w:t>
      </w:r>
      <w:r>
        <w:rPr>
          <w:rFonts w:ascii="Arial" w:cs="Arial" w:eastAsia="Arial" w:hAnsi="Arial"/>
          <w:sz w:val="20"/>
          <w:szCs w:val="20"/>
          <w:color w:val="auto"/>
        </w:rPr>
        <w:t>– Loans classified as special mention have a potential weakness that deserves management’s</w:t>
      </w:r>
      <w:r>
        <w:rPr>
          <w:rFonts w:ascii="Arial" w:cs="Arial" w:eastAsia="Arial" w:hAnsi="Arial"/>
          <w:sz w:val="20"/>
          <w:szCs w:val="20"/>
          <w:b w:val="1"/>
          <w:bCs w:val="1"/>
          <w:color w:val="auto"/>
        </w:rPr>
        <w:t xml:space="preserve"> </w:t>
      </w:r>
      <w:r>
        <w:rPr>
          <w:rFonts w:ascii="Arial" w:cs="Arial" w:eastAsia="Arial" w:hAnsi="Arial"/>
          <w:sz w:val="20"/>
          <w:szCs w:val="20"/>
          <w:color w:val="auto"/>
        </w:rPr>
        <w:t>close attention. If left uncorrected, these potential weaknesses may result in deterioration of the repayment prospects for the loan or of the institution’s credit position at some future date.</w:t>
      </w:r>
    </w:p>
    <w:p>
      <w:pPr>
        <w:spacing w:after="0" w:line="166" w:lineRule="exact"/>
        <w:rPr>
          <w:sz w:val="20"/>
          <w:szCs w:val="20"/>
          <w:color w:val="auto"/>
        </w:rPr>
      </w:pPr>
    </w:p>
    <w:p>
      <w:pPr>
        <w:jc w:val="both"/>
        <w:ind w:left="720" w:right="180"/>
        <w:spacing w:after="0" w:line="255" w:lineRule="auto"/>
        <w:rPr>
          <w:sz w:val="20"/>
          <w:szCs w:val="20"/>
          <w:color w:val="auto"/>
        </w:rPr>
      </w:pPr>
      <w:r>
        <w:rPr>
          <w:rFonts w:ascii="Arial" w:cs="Arial" w:eastAsia="Arial" w:hAnsi="Arial"/>
          <w:sz w:val="20"/>
          <w:szCs w:val="20"/>
          <w:b w:val="1"/>
          <w:bCs w:val="1"/>
          <w:color w:val="auto"/>
        </w:rPr>
        <w:t xml:space="preserve">Substandard </w:t>
      </w:r>
      <w:r>
        <w:rPr>
          <w:rFonts w:ascii="Arial" w:cs="Arial" w:eastAsia="Arial" w:hAnsi="Arial"/>
          <w:sz w:val="20"/>
          <w:szCs w:val="20"/>
          <w:color w:val="auto"/>
        </w:rPr>
        <w:t>– Loans classified as substandard are inadequately protected by the current net worth and paying</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3" w:lineRule="exact"/>
        <w:rPr>
          <w:sz w:val="20"/>
          <w:szCs w:val="20"/>
          <w:color w:val="auto"/>
        </w:rPr>
      </w:pPr>
    </w:p>
    <w:p>
      <w:pPr>
        <w:jc w:val="both"/>
        <w:ind w:left="720" w:right="20"/>
        <w:spacing w:after="0" w:line="263" w:lineRule="auto"/>
        <w:rPr>
          <w:sz w:val="20"/>
          <w:szCs w:val="20"/>
          <w:color w:val="auto"/>
        </w:rPr>
      </w:pPr>
      <w:r>
        <w:rPr>
          <w:rFonts w:ascii="Arial" w:cs="Arial" w:eastAsia="Arial" w:hAnsi="Arial"/>
          <w:sz w:val="20"/>
          <w:szCs w:val="20"/>
          <w:b w:val="1"/>
          <w:bCs w:val="1"/>
          <w:color w:val="auto"/>
        </w:rPr>
        <w:t xml:space="preserve">Doubtful </w:t>
      </w:r>
      <w:r>
        <w:rPr>
          <w:rFonts w:ascii="Arial" w:cs="Arial" w:eastAsia="Arial" w:hAnsi="Arial"/>
          <w:sz w:val="20"/>
          <w:szCs w:val="20"/>
          <w:color w:val="auto"/>
        </w:rPr>
        <w:t>– Loans classified as doubtful have all the weaknesses inherent in those classified at substandard,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added characteristic that the weaknesses make collection or liquidation in full on the basis of currently existing facts, conditions, and values, highly questionable and improbable.</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Loss </w:t>
      </w:r>
      <w:r>
        <w:rPr>
          <w:rFonts w:ascii="Arial" w:cs="Arial" w:eastAsia="Arial" w:hAnsi="Arial"/>
          <w:sz w:val="20"/>
          <w:szCs w:val="20"/>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Loan credit exposures by internally assigned grades are as follows for the dates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1130"/>
              <w:spacing w:after="0"/>
              <w:rPr>
                <w:sz w:val="20"/>
                <w:szCs w:val="20"/>
                <w:color w:val="auto"/>
              </w:rPr>
            </w:pPr>
            <w:r>
              <w:rPr>
                <w:rFonts w:ascii="Arial" w:cs="Arial" w:eastAsia="Arial" w:hAnsi="Arial"/>
                <w:sz w:val="18"/>
                <w:szCs w:val="18"/>
                <w:b w:val="1"/>
                <w:bCs w:val="1"/>
                <w:color w:val="auto"/>
                <w:w w:val="99"/>
              </w:rPr>
              <w:t>December 31, 2025</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30"/>
        </w:trPr>
        <w:tc>
          <w:tcPr>
            <w:tcW w:w="322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Pass</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Special Mention</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Substandard</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30"/>
        </w:trPr>
        <w:tc>
          <w:tcPr>
            <w:tcW w:w="32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D1EDF5"/>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304,276</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460" w:type="dxa"/>
            <w:vAlign w:val="bottom"/>
            <w:shd w:val="clear" w:color="auto" w:fill="D1EDF5"/>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916</w:t>
            </w:r>
          </w:p>
        </w:tc>
        <w:tc>
          <w:tcPr>
            <w:tcW w:w="4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20" w:type="dxa"/>
            <w:vAlign w:val="bottom"/>
            <w:shd w:val="clear" w:color="auto" w:fill="D1EDF5"/>
          </w:tcPr>
          <w:p>
            <w:pPr>
              <w:jc w:val="right"/>
              <w:ind w:right="103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307,692</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1,230,823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1,244,835</w:t>
            </w:r>
          </w:p>
        </w:tc>
      </w:tr>
      <w:tr>
        <w:trPr>
          <w:trHeight w:val="240"/>
        </w:trPr>
        <w:tc>
          <w:tcPr>
            <w:tcW w:w="32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D1EDF5"/>
          </w:tcPr>
          <w:p>
            <w:pPr>
              <w:spacing w:after="0"/>
              <w:rPr>
                <w:sz w:val="20"/>
                <w:szCs w:val="20"/>
                <w:color w:val="auto"/>
              </w:rPr>
            </w:pP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293,169</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60" w:type="dxa"/>
            <w:vAlign w:val="bottom"/>
            <w:shd w:val="clear" w:color="auto" w:fill="D1EDF5"/>
          </w:tcPr>
          <w:p>
            <w:pPr>
              <w:spacing w:after="0"/>
              <w:rPr>
                <w:sz w:val="20"/>
                <w:szCs w:val="20"/>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907</w:t>
            </w:r>
          </w:p>
        </w:tc>
        <w:tc>
          <w:tcPr>
            <w:tcW w:w="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1,472</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295,548</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127,968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127,968</w:t>
            </w:r>
          </w:p>
        </w:tc>
      </w:tr>
      <w:tr>
        <w:trPr>
          <w:trHeight w:val="240"/>
        </w:trPr>
        <w:tc>
          <w:tcPr>
            <w:tcW w:w="32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300" w:type="dxa"/>
            <w:vAlign w:val="bottom"/>
            <w:tcBorders>
              <w:bottom w:val="single" w:sz="8" w:color="auto"/>
            </w:tcBorders>
            <w:shd w:val="clear" w:color="auto" w:fill="D1EDF5"/>
          </w:tcPr>
          <w:p>
            <w:pPr>
              <w:spacing w:after="0"/>
              <w:rPr>
                <w:sz w:val="20"/>
                <w:szCs w:val="20"/>
                <w:color w:val="auto"/>
              </w:rPr>
            </w:pPr>
          </w:p>
        </w:tc>
        <w:tc>
          <w:tcPr>
            <w:tcW w:w="1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207,215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60" w:type="dxa"/>
            <w:vAlign w:val="bottom"/>
            <w:tcBorders>
              <w:bottom w:val="single" w:sz="8" w:color="auto"/>
            </w:tcBorders>
            <w:shd w:val="clear" w:color="auto" w:fill="D1EDF5"/>
          </w:tcPr>
          <w:p>
            <w:pPr>
              <w:spacing w:after="0"/>
              <w:rPr>
                <w:sz w:val="20"/>
                <w:szCs w:val="20"/>
                <w:color w:val="auto"/>
              </w:rPr>
            </w:pPr>
          </w:p>
        </w:tc>
        <w:tc>
          <w:tcPr>
            <w:tcW w:w="9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3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20" w:type="dxa"/>
            <w:vAlign w:val="bottom"/>
            <w:tcBorders>
              <w:bottom w:val="single" w:sz="8" w:color="auto"/>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2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207,215</w:t>
            </w:r>
          </w:p>
        </w:tc>
      </w:tr>
      <w:tr>
        <w:trPr>
          <w:trHeight w:val="249"/>
        </w:trPr>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2,163,451</w:t>
            </w:r>
          </w:p>
        </w:tc>
        <w:tc>
          <w:tcPr>
            <w:tcW w:w="5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13,436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6,371</w:t>
            </w:r>
          </w:p>
        </w:tc>
        <w:tc>
          <w:tcPr>
            <w:tcW w:w="1300" w:type="dxa"/>
            <w:vAlign w:val="bottom"/>
            <w:gridSpan w:val="3"/>
          </w:tcPr>
          <w:p>
            <w:pPr>
              <w:jc w:val="right"/>
              <w:ind w:right="10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2,183,258</w:t>
            </w: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1130"/>
              <w:spacing w:after="0"/>
              <w:rPr>
                <w:sz w:val="20"/>
                <w:szCs w:val="20"/>
                <w:color w:val="auto"/>
              </w:rPr>
            </w:pPr>
            <w:r>
              <w:rPr>
                <w:rFonts w:ascii="Arial" w:cs="Arial" w:eastAsia="Arial" w:hAnsi="Arial"/>
                <w:sz w:val="18"/>
                <w:szCs w:val="18"/>
                <w:b w:val="1"/>
                <w:bCs w:val="1"/>
                <w:color w:val="auto"/>
                <w:w w:val="99"/>
              </w:rPr>
              <w:t>December 31, 2024</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32"/>
        </w:trPr>
        <w:tc>
          <w:tcPr>
            <w:tcW w:w="32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Pass</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Special Mention</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Substandard</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30"/>
        </w:trPr>
        <w:tc>
          <w:tcPr>
            <w:tcW w:w="32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300" w:type="dxa"/>
            <w:vAlign w:val="bottom"/>
            <w:shd w:val="clear" w:color="auto" w:fill="D1EDF5"/>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289,401</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720" w:type="dxa"/>
            <w:vAlign w:val="bottom"/>
            <w:shd w:val="clear" w:color="auto" w:fill="D1EDF5"/>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20" w:type="dxa"/>
            <w:vAlign w:val="bottom"/>
            <w:shd w:val="clear" w:color="auto" w:fill="D1EDF5"/>
          </w:tcPr>
          <w:p>
            <w:pPr>
              <w:jc w:val="right"/>
              <w:ind w:right="103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289,961</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1,133,965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1,136,417</w:t>
            </w:r>
          </w:p>
        </w:tc>
      </w:tr>
      <w:tr>
        <w:trPr>
          <w:trHeight w:val="240"/>
        </w:trPr>
        <w:tc>
          <w:tcPr>
            <w:tcW w:w="32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D1EDF5"/>
          </w:tcPr>
          <w:p>
            <w:pPr>
              <w:spacing w:after="0"/>
              <w:rPr>
                <w:sz w:val="20"/>
                <w:szCs w:val="20"/>
                <w:color w:val="auto"/>
              </w:rPr>
            </w:pP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256,031</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258,311</w:t>
            </w:r>
          </w:p>
        </w:tc>
      </w:tr>
      <w:tr>
        <w:trPr>
          <w:trHeight w:val="240"/>
        </w:trPr>
        <w:tc>
          <w:tcPr>
            <w:tcW w:w="3240" w:type="dxa"/>
            <w:vAlign w:val="bottom"/>
            <w:gridSpan w:val="2"/>
          </w:tcPr>
          <w:p>
            <w:pPr>
              <w:spacing w:after="0"/>
              <w:rPr>
                <w:sz w:val="20"/>
                <w:szCs w:val="20"/>
                <w:color w:val="auto"/>
              </w:rPr>
            </w:pPr>
            <w:r>
              <w:rPr>
                <w:rFonts w:ascii="Arial" w:cs="Arial" w:eastAsia="Arial" w:hAnsi="Arial"/>
                <w:sz w:val="18"/>
                <w:szCs w:val="18"/>
                <w:color w:val="auto"/>
              </w:rPr>
              <w:t>Correspondent Banks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82,438</w:t>
            </w:r>
          </w:p>
        </w:tc>
      </w:tr>
      <w:tr>
        <w:trPr>
          <w:trHeight w:val="240"/>
        </w:trPr>
        <w:tc>
          <w:tcPr>
            <w:tcW w:w="32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300" w:type="dxa"/>
            <w:vAlign w:val="bottom"/>
            <w:tcBorders>
              <w:bottom w:val="single" w:sz="8" w:color="auto"/>
            </w:tcBorders>
            <w:shd w:val="clear" w:color="auto" w:fill="D1EDF5"/>
          </w:tcPr>
          <w:p>
            <w:pPr>
              <w:spacing w:after="0"/>
              <w:rPr>
                <w:sz w:val="20"/>
                <w:szCs w:val="20"/>
                <w:color w:val="auto"/>
              </w:rPr>
            </w:pPr>
          </w:p>
        </w:tc>
        <w:tc>
          <w:tcPr>
            <w:tcW w:w="1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196,101</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720" w:type="dxa"/>
            <w:vAlign w:val="bottom"/>
            <w:tcBorders>
              <w:bottom w:val="single" w:sz="8" w:color="auto"/>
            </w:tcBorders>
            <w:shd w:val="clear" w:color="auto" w:fill="D1EDF5"/>
          </w:tcPr>
          <w:p>
            <w:pPr>
              <w:spacing w:after="0"/>
              <w:rPr>
                <w:sz w:val="20"/>
                <w:szCs w:val="20"/>
                <w:color w:val="auto"/>
              </w:rPr>
            </w:pPr>
          </w:p>
        </w:tc>
        <w:tc>
          <w:tcPr>
            <w:tcW w:w="7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3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1,990</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20" w:type="dxa"/>
            <w:vAlign w:val="bottom"/>
            <w:tcBorders>
              <w:bottom w:val="single" w:sz="8" w:color="auto"/>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2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198,091</w:t>
            </w:r>
          </w:p>
        </w:tc>
      </w:tr>
      <w:tr>
        <w:trPr>
          <w:trHeight w:val="246"/>
        </w:trPr>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1,957,936</w:t>
            </w:r>
          </w:p>
        </w:tc>
        <w:tc>
          <w:tcPr>
            <w:tcW w:w="80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7,282</w:t>
            </w:r>
          </w:p>
        </w:tc>
        <w:tc>
          <w:tcPr>
            <w:tcW w:w="1300" w:type="dxa"/>
            <w:vAlign w:val="bottom"/>
            <w:gridSpan w:val="3"/>
          </w:tcPr>
          <w:p>
            <w:pPr>
              <w:jc w:val="right"/>
              <w:ind w:right="10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1,965,218</w:t>
            </w: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Non-Performing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non-performing assets as of December 31, 2025 and 2024 (in thousands, except ratios):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672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Total non-performing loans</w:t>
            </w:r>
          </w:p>
        </w:tc>
        <w:tc>
          <w:tcPr>
            <w:tcW w:w="40" w:type="dxa"/>
            <w:vAlign w:val="bottom"/>
            <w:tcBorders>
              <w:top w:val="single" w:sz="8" w:color="D1EDF5"/>
            </w:tcBorders>
            <w:shd w:val="clear" w:color="auto" w:fill="D1EDF5"/>
          </w:tcPr>
          <w:p>
            <w:pPr>
              <w:spacing w:after="0"/>
              <w:rPr>
                <w:sz w:val="19"/>
                <w:szCs w:val="19"/>
                <w:color w:val="auto"/>
              </w:rPr>
            </w:pPr>
          </w:p>
        </w:tc>
        <w:tc>
          <w:tcPr>
            <w:tcW w:w="1340" w:type="dxa"/>
            <w:vAlign w:val="bottom"/>
            <w:tcBorders>
              <w:top w:val="single" w:sz="8" w:color="auto"/>
            </w:tcBorders>
            <w:shd w:val="clear" w:color="auto" w:fill="D1EDF5"/>
          </w:tcPr>
          <w:p>
            <w:pPr>
              <w:jc w:val="right"/>
              <w:ind w:right="1110"/>
              <w:spacing w:after="0"/>
              <w:rPr>
                <w:sz w:val="20"/>
                <w:szCs w:val="20"/>
                <w:color w:val="auto"/>
              </w:rPr>
            </w:pPr>
            <w:r>
              <w:rPr>
                <w:rFonts w:ascii="Arial" w:cs="Arial" w:eastAsia="Arial" w:hAnsi="Arial"/>
                <w:sz w:val="18"/>
                <w:szCs w:val="18"/>
                <w:color w:val="auto"/>
                <w:shd w:val="clear" w:color="auto" w:fill="D1EDF5"/>
              </w:rPr>
              <w:t>$</w:t>
            </w:r>
          </w:p>
        </w:tc>
        <w:tc>
          <w:tcPr>
            <w:tcW w:w="68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3,138</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7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2,707</w:t>
            </w:r>
          </w:p>
        </w:tc>
      </w:tr>
      <w:tr>
        <w:trPr>
          <w:trHeight w:val="240"/>
        </w:trPr>
        <w:tc>
          <w:tcPr>
            <w:tcW w:w="40" w:type="dxa"/>
            <w:vAlign w:val="bottom"/>
            <w:tcBorders>
              <w:bottom w:val="single" w:sz="8" w:color="D1EDF5"/>
            </w:tcBorders>
          </w:tcPr>
          <w:p>
            <w:pPr>
              <w:spacing w:after="0"/>
              <w:rPr>
                <w:sz w:val="20"/>
                <w:szCs w:val="20"/>
                <w:color w:val="auto"/>
              </w:rPr>
            </w:pPr>
          </w:p>
        </w:tc>
        <w:tc>
          <w:tcPr>
            <w:tcW w:w="672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Other real estate owned</w:t>
            </w:r>
          </w:p>
        </w:tc>
        <w:tc>
          <w:tcPr>
            <w:tcW w:w="40" w:type="dxa"/>
            <w:vAlign w:val="bottom"/>
            <w:tcBorders>
              <w:bottom w:val="single" w:sz="8" w:color="D1EDF5"/>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6"/>
        </w:trPr>
        <w:tc>
          <w:tcPr>
            <w:tcW w:w="40" w:type="dxa"/>
            <w:vAlign w:val="bottom"/>
            <w:tcBorders>
              <w:bottom w:val="single" w:sz="8" w:color="D1EDF5"/>
            </w:tcBorders>
            <w:shd w:val="clear" w:color="auto" w:fill="D1EDF5"/>
          </w:tcPr>
          <w:p>
            <w:pPr>
              <w:spacing w:after="0"/>
              <w:rPr>
                <w:sz w:val="21"/>
                <w:szCs w:val="21"/>
                <w:color w:val="auto"/>
              </w:rPr>
            </w:pPr>
          </w:p>
        </w:tc>
        <w:tc>
          <w:tcPr>
            <w:tcW w:w="260" w:type="dxa"/>
            <w:vAlign w:val="bottom"/>
            <w:tcBorders>
              <w:bottom w:val="single" w:sz="8" w:color="D1EDF5"/>
            </w:tcBorders>
            <w:shd w:val="clear" w:color="auto" w:fill="D1EDF5"/>
          </w:tcPr>
          <w:p>
            <w:pPr>
              <w:spacing w:after="0"/>
              <w:rPr>
                <w:sz w:val="21"/>
                <w:szCs w:val="21"/>
                <w:color w:val="auto"/>
              </w:rPr>
            </w:pPr>
          </w:p>
        </w:tc>
        <w:tc>
          <w:tcPr>
            <w:tcW w:w="64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Total non-performing assets</w:t>
            </w:r>
          </w:p>
        </w:tc>
        <w:tc>
          <w:tcPr>
            <w:tcW w:w="40" w:type="dxa"/>
            <w:vAlign w:val="bottom"/>
            <w:tcBorders>
              <w:bottom w:val="single" w:sz="8" w:color="D1EDF5"/>
            </w:tcBorders>
            <w:shd w:val="clear" w:color="auto" w:fill="D1EDF5"/>
          </w:tcPr>
          <w:p>
            <w:pPr>
              <w:spacing w:after="0"/>
              <w:rPr>
                <w:sz w:val="21"/>
                <w:szCs w:val="21"/>
                <w:color w:val="auto"/>
              </w:rPr>
            </w:pPr>
          </w:p>
        </w:tc>
        <w:tc>
          <w:tcPr>
            <w:tcW w:w="1340" w:type="dxa"/>
            <w:vAlign w:val="bottom"/>
            <w:tcBorders>
              <w:bottom w:val="single" w:sz="8" w:color="D1EDF5"/>
            </w:tcBorders>
            <w:shd w:val="clear" w:color="auto" w:fill="D1EDF5"/>
          </w:tcPr>
          <w:p>
            <w:pPr>
              <w:spacing w:after="0"/>
              <w:rPr>
                <w:sz w:val="21"/>
                <w:szCs w:val="21"/>
                <w:color w:val="auto"/>
              </w:rPr>
            </w:pPr>
          </w:p>
        </w:tc>
        <w:tc>
          <w:tcPr>
            <w:tcW w:w="68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3,138</w:t>
            </w: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76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2,707</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sectPr>
          <w:pgSz w:w="12240" w:h="15840" w:orient="portrait"/>
          <w:cols w:equalWidth="0" w:num="1">
            <w:col w:w="10800"/>
          </w:cols>
          <w:pgMar w:left="720" w:top="355" w:right="720" w:bottom="0" w:gutter="0" w:footer="0" w:header="0"/>
        </w:sectPr>
      </w:pPr>
    </w:p>
    <w:p>
      <w:pPr>
        <w:ind w:left="40"/>
        <w:spacing w:after="0"/>
        <w:rPr>
          <w:sz w:val="20"/>
          <w:szCs w:val="20"/>
          <w:color w:val="auto"/>
        </w:rPr>
      </w:pPr>
      <w:r>
        <w:rPr>
          <w:rFonts w:ascii="Arial" w:cs="Arial" w:eastAsia="Arial" w:hAnsi="Arial"/>
          <w:sz w:val="18"/>
          <w:szCs w:val="18"/>
          <w:b w:val="1"/>
          <w:bCs w:val="1"/>
          <w:color w:val="auto"/>
        </w:rPr>
        <w:t>Asset quality ratios: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858000" cy="1524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2400"/>
                        </a:xfrm>
                        <a:prstGeom prst="rect">
                          <a:avLst/>
                        </a:prstGeom>
                        <a:solidFill>
                          <a:srgbClr val="D1EDF5"/>
                        </a:solidFill>
                      </wps:spPr>
                      <wps:bodyPr/>
                    </wps:wsp>
                  </a:graphicData>
                </a:graphic>
              </wp:anchor>
            </w:drawing>
          </mc:Choice>
          <mc:Fallback>
            <w:pict>
              <v:rect id="Shape 27" o:spid="_x0000_s1052" style="position:absolute;margin-left:0pt;margin-top:2.35pt;width:540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credit losses to total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-121285</wp:posOffset>
                </wp:positionV>
                <wp:extent cx="4178935" cy="13081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8935" cy="130810"/>
                        </a:xfrm>
                        <a:prstGeom prst="rect">
                          <a:avLst/>
                        </a:prstGeom>
                        <a:solidFill>
                          <a:srgbClr val="D1EDF5"/>
                        </a:solidFill>
                      </wps:spPr>
                      <wps:bodyPr/>
                    </wps:wsp>
                  </a:graphicData>
                </a:graphic>
              </wp:anchor>
            </w:drawing>
          </mc:Choice>
          <mc:Fallback>
            <w:pict>
              <v:rect id="Shape 28" o:spid="_x0000_s1053" style="position:absolute;margin-left:8.75pt;margin-top:-9.5499pt;width:329.0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Allowance for credit losses to non-performing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6858000" cy="1524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2400"/>
                        </a:xfrm>
                        <a:prstGeom prst="rect">
                          <a:avLst/>
                        </a:prstGeom>
                        <a:solidFill>
                          <a:srgbClr val="D1EDF5"/>
                        </a:solidFill>
                      </wps:spPr>
                      <wps:bodyPr/>
                    </wps:wsp>
                  </a:graphicData>
                </a:graphic>
              </wp:anchor>
            </w:drawing>
          </mc:Choice>
          <mc:Fallback>
            <w:pict>
              <v:rect id="Shape 29" o:spid="_x0000_s1054" style="position:absolute;margin-left:0pt;margin-top:2.1pt;width:540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Non-performing loans to total 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4178935" cy="13017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8935" cy="130175"/>
                        </a:xfrm>
                        <a:prstGeom prst="rect">
                          <a:avLst/>
                        </a:prstGeom>
                        <a:solidFill>
                          <a:srgbClr val="D1EDF5"/>
                        </a:solidFill>
                      </wps:spPr>
                      <wps:bodyPr/>
                    </wps:wsp>
                  </a:graphicData>
                </a:graphic>
              </wp:anchor>
            </w:drawing>
          </mc:Choice>
          <mc:Fallback>
            <w:pict>
              <v:rect id="Shape 30" o:spid="_x0000_s1055" style="position:absolute;margin-left:8.75pt;margin-top:-9.5999pt;width:329.0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889%</w:t>
            </w:r>
          </w:p>
        </w:tc>
      </w:tr>
      <w:tr>
        <w:trPr>
          <w:trHeight w:val="223"/>
        </w:trPr>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0.14%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-436880</wp:posOffset>
                </wp:positionV>
                <wp:extent cx="190500" cy="13208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32080"/>
                        </a:xfrm>
                        <a:prstGeom prst="rect">
                          <a:avLst/>
                        </a:prstGeom>
                        <a:solidFill>
                          <a:srgbClr val="D1EDF5"/>
                        </a:solidFill>
                      </wps:spPr>
                      <wps:bodyPr/>
                    </wps:wsp>
                  </a:graphicData>
                </a:graphic>
              </wp:anchor>
            </w:drawing>
          </mc:Choice>
          <mc:Fallback>
            <w:pict>
              <v:rect id="Shape 31" o:spid="_x0000_s1056" style="position:absolute;margin-left:-17.2499pt;margin-top:-34.3999pt;width:1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-132080</wp:posOffset>
                </wp:positionV>
                <wp:extent cx="190500" cy="13208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32080"/>
                        </a:xfrm>
                        <a:prstGeom prst="rect">
                          <a:avLst/>
                        </a:prstGeom>
                        <a:solidFill>
                          <a:srgbClr val="D1EDF5"/>
                        </a:solidFill>
                      </wps:spPr>
                      <wps:bodyPr/>
                    </wps:wsp>
                  </a:graphicData>
                </a:graphic>
              </wp:anchor>
            </w:drawing>
          </mc:Choice>
          <mc:Fallback>
            <w:pict>
              <v:rect id="Shape 32" o:spid="_x0000_s1057" style="position:absolute;margin-left:-17.2499pt;margin-top:-10.3999pt;width:1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ectPr>
          <w:pgSz w:w="12240" w:h="15840" w:orient="portrait"/>
          <w:cols w:equalWidth="0" w:num="2">
            <w:col w:w="6420" w:space="720"/>
            <w:col w:w="3660"/>
          </w:cols>
          <w:pgMar w:left="720" w:top="355" w:right="720" w:bottom="0" w:gutter="0" w:footer="0" w:header="0"/>
          <w:type w:val="continuous"/>
        </w:sectPr>
      </w:pPr>
    </w:p>
    <w:p>
      <w:pPr>
        <w:spacing w:after="0" w:line="24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Non-performing assets include all loans categorized as non-accrual or restructured, impaired securities, OREO and other repossessed assets. Problem loans for which the collection or liquidation in full is reasonably uncertain are placed on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78"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w:t>
      </w:r>
    </w:p>
    <w:p>
      <w:pPr>
        <w:spacing w:after="0" w:line="17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 may grant a loan concession to a borrower experiencing financial difficulties. This determination is performed during the annual review process or whenever problems are surfacing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8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For further discussion on non- performing loans, see Note 3 “Loans” to the Consolidated Financial Statements set forth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u w:val="single" w:color="auto"/>
          <w:color w:val="0D248E"/>
        </w:rPr>
        <w:t>Table of Contents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27" w:lineRule="exact"/>
        <w:rPr>
          <w:sz w:val="20"/>
          <w:szCs w:val="20"/>
          <w:color w:val="auto"/>
        </w:rPr>
      </w:pPr>
    </w:p>
    <w:p>
      <w:pPr>
        <w:jc w:val="both"/>
        <w:ind w:right="180" w:firstLine="360"/>
        <w:spacing w:after="0" w:line="250" w:lineRule="auto"/>
        <w:rPr>
          <w:sz w:val="20"/>
          <w:szCs w:val="20"/>
          <w:color w:val="auto"/>
        </w:rPr>
      </w:pPr>
      <w:r>
        <w:rPr>
          <w:rFonts w:ascii="Arial" w:cs="Arial" w:eastAsia="Arial" w:hAnsi="Arial"/>
          <w:sz w:val="20"/>
          <w:szCs w:val="20"/>
          <w:color w:val="auto"/>
        </w:rPr>
        <w:t>The ACL represents an amount that, in management's evaluation, is adequate to provide coverage for all expected future credit losses on outstanding loans as of the measurement date. Additionally, qualitative adjustments are made to the ACL when, based on management’s judgment, there are factors impacting the allowance estimate not considered by the quantitative calculations. See Note 3 “Loans” to the Consolidated Financial Statements set forth in Item 8 of Part 1 of this Annual Report as Form 10-K for more information on the allowance for credit losses.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ACL and net charge-offs to average loans by type for the periods indicated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Residential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Commercial</w:t>
            </w:r>
          </w:p>
        </w:tc>
        <w:tc>
          <w:tcPr>
            <w:tcW w:w="8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Commercial</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Consumer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Real Estate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Real Estate</w:t>
            </w:r>
          </w:p>
        </w:tc>
        <w:tc>
          <w:tcPr>
            <w:tcW w:w="8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and Industrial</w:t>
            </w:r>
          </w:p>
        </w:tc>
        <w:tc>
          <w:tcPr>
            <w:tcW w:w="20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Banks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and 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28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06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14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14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200" w:type="dxa"/>
            <w:vAlign w:val="bottom"/>
            <w:tcBorders>
              <w:top w:val="single" w:sz="8" w:color="auto"/>
            </w:tcBorders>
            <w:shd w:val="clear" w:color="auto" w:fill="D1EDF5"/>
          </w:tcPr>
          <w:p>
            <w:pPr>
              <w:spacing w:after="0"/>
              <w:rPr>
                <w:sz w:val="19"/>
                <w:szCs w:val="19"/>
                <w:color w:val="auto"/>
              </w:rPr>
            </w:pPr>
          </w:p>
        </w:tc>
        <w:tc>
          <w:tcPr>
            <w:tcW w:w="122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06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auto"/>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080" w:type="dxa"/>
            <w:vAlign w:val="bottom"/>
            <w:tcBorders>
              <w:top w:val="single" w:sz="8" w:color="auto"/>
            </w:tcBorders>
            <w:shd w:val="clear" w:color="auto" w:fill="D1EDF5"/>
          </w:tcPr>
          <w:p>
            <w:pPr>
              <w:spacing w:after="0"/>
              <w:rPr>
                <w:sz w:val="19"/>
                <w:szCs w:val="19"/>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8,788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4,633</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4,874</w:t>
            </w:r>
          </w:p>
        </w:tc>
        <w:tc>
          <w:tcPr>
            <w:tcW w:w="26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24,070</w:t>
            </w:r>
          </w:p>
        </w:tc>
      </w:tr>
      <w:tr>
        <w:trPr>
          <w:trHeight w:val="251"/>
        </w:trPr>
        <w:tc>
          <w:tcPr>
            <w:tcW w:w="40" w:type="dxa"/>
            <w:vAlign w:val="bottom"/>
            <w:tcBorders>
              <w:bottom w:val="single" w:sz="8" w:color="D1EDF5"/>
            </w:tcBorders>
            <w:shd w:val="clear" w:color="auto" w:fill="D1EDF5"/>
          </w:tcPr>
          <w:p>
            <w:pPr>
              <w:spacing w:after="0"/>
              <w:rPr>
                <w:sz w:val="21"/>
                <w:szCs w:val="21"/>
                <w:color w:val="auto"/>
              </w:rPr>
            </w:pPr>
          </w:p>
        </w:tc>
        <w:tc>
          <w:tcPr>
            <w:tcW w:w="2840" w:type="dxa"/>
            <w:vAlign w:val="bottom"/>
            <w:tcBorders>
              <w:bottom w:val="single" w:sz="8" w:color="D1EDF5"/>
            </w:tcBorders>
            <w:shd w:val="clear" w:color="auto" w:fill="D1EDF5"/>
          </w:tcPr>
          <w:p>
            <w:pPr>
              <w:spacing w:after="0" w:line="240"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(1)</w:t>
            </w:r>
          </w:p>
        </w:tc>
        <w:tc>
          <w:tcPr>
            <w:tcW w:w="4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763</w:t>
            </w:r>
          </w:p>
        </w:tc>
        <w:tc>
          <w:tcPr>
            <w:tcW w:w="40" w:type="dxa"/>
            <w:vAlign w:val="bottom"/>
            <w:tcBorders>
              <w:bottom w:val="single" w:sz="8" w:color="D1EDF5"/>
            </w:tcBorders>
            <w:shd w:val="clear" w:color="auto" w:fill="D1EDF5"/>
          </w:tcPr>
          <w:p>
            <w:pPr>
              <w:spacing w:after="0"/>
              <w:rPr>
                <w:sz w:val="21"/>
                <w:szCs w:val="21"/>
                <w:color w:val="auto"/>
              </w:rPr>
            </w:pP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14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688</w:t>
            </w: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14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D1EDF5"/>
            </w:tcBorders>
            <w:shd w:val="clear" w:color="auto" w:fill="D1EDF5"/>
          </w:tcPr>
          <w:p>
            <w:pPr>
              <w:spacing w:after="0"/>
              <w:rPr>
                <w:sz w:val="21"/>
                <w:szCs w:val="21"/>
                <w:color w:val="auto"/>
              </w:rPr>
            </w:pPr>
          </w:p>
        </w:tc>
        <w:tc>
          <w:tcPr>
            <w:tcW w:w="122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361</w:t>
            </w:r>
          </w:p>
        </w:tc>
        <w:tc>
          <w:tcPr>
            <w:tcW w:w="6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D1EDF5"/>
            </w:tcBorders>
            <w:shd w:val="clear" w:color="auto" w:fill="D1EDF5"/>
          </w:tcPr>
          <w:p>
            <w:pPr>
              <w:spacing w:after="0"/>
              <w:rPr>
                <w:sz w:val="21"/>
                <w:szCs w:val="21"/>
                <w:color w:val="auto"/>
              </w:rPr>
            </w:pPr>
          </w:p>
        </w:tc>
        <w:tc>
          <w:tcPr>
            <w:tcW w:w="108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2,119</w:t>
            </w: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Recoveries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40"/>
        </w:trPr>
        <w:tc>
          <w:tcPr>
            <w:tcW w:w="40" w:type="dxa"/>
            <w:vAlign w:val="bottom"/>
            <w:shd w:val="clear" w:color="auto" w:fill="D1EDF5"/>
          </w:tcPr>
          <w:p>
            <w:pPr>
              <w:spacing w:after="0"/>
              <w:rPr>
                <w:sz w:val="20"/>
                <w:szCs w:val="20"/>
                <w:color w:val="auto"/>
              </w:rPr>
            </w:pPr>
          </w:p>
        </w:tc>
        <w:tc>
          <w:tcPr>
            <w:tcW w:w="2840" w:type="dxa"/>
            <w:vAlign w:val="bottom"/>
            <w:shd w:val="clear" w:color="auto" w:fill="D1EDF5"/>
          </w:tcPr>
          <w:p>
            <w:pPr>
              <w:spacing w:after="0"/>
              <w:rPr>
                <w:sz w:val="20"/>
                <w:szCs w:val="20"/>
                <w:color w:val="auto"/>
              </w:rPr>
            </w:pPr>
            <w:r>
              <w:rPr>
                <w:rFonts w:ascii="Arial" w:cs="Arial" w:eastAsia="Arial" w:hAnsi="Arial"/>
                <w:sz w:val="18"/>
                <w:szCs w:val="18"/>
                <w:color w:val="auto"/>
              </w:rPr>
              <w:t>Charge-offs</w:t>
            </w:r>
          </w:p>
        </w:tc>
        <w:tc>
          <w:tcPr>
            <w:tcW w:w="4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4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4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200" w:type="dxa"/>
            <w:vAlign w:val="bottom"/>
            <w:tcBorders>
              <w:bottom w:val="single" w:sz="8" w:color="auto"/>
            </w:tcBorders>
            <w:shd w:val="clear" w:color="auto" w:fill="D1EDF5"/>
          </w:tcPr>
          <w:p>
            <w:pPr>
              <w:spacing w:after="0"/>
              <w:rPr>
                <w:sz w:val="20"/>
                <w:szCs w:val="20"/>
                <w:color w:val="auto"/>
              </w:rPr>
            </w:pPr>
          </w:p>
        </w:tc>
        <w:tc>
          <w:tcPr>
            <w:tcW w:w="12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(732)</w:t>
            </w:r>
          </w:p>
        </w:tc>
        <w:tc>
          <w:tcPr>
            <w:tcW w:w="40" w:type="dxa"/>
            <w:vAlign w:val="bottom"/>
            <w:tcBorders>
              <w:bottom w:val="single" w:sz="8" w:color="auto"/>
            </w:tcBorders>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(732)</w:t>
            </w:r>
          </w:p>
        </w:tc>
      </w:tr>
      <w:tr>
        <w:trPr>
          <w:trHeight w:val="289"/>
        </w:trPr>
        <w:tc>
          <w:tcPr>
            <w:tcW w:w="40" w:type="dxa"/>
            <w:vAlign w:val="bottom"/>
            <w:tcBorders>
              <w:bottom w:val="single" w:sz="8" w:color="D1EDF5"/>
            </w:tcBorders>
          </w:tcPr>
          <w:p>
            <w:pPr>
              <w:spacing w:after="0"/>
              <w:rPr>
                <w:sz w:val="24"/>
                <w:szCs w:val="24"/>
                <w:color w:val="auto"/>
              </w:rPr>
            </w:pPr>
          </w:p>
        </w:tc>
        <w:tc>
          <w:tcPr>
            <w:tcW w:w="284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Ending Balance</w:t>
            </w:r>
          </w:p>
        </w:tc>
        <w:tc>
          <w:tcPr>
            <w:tcW w:w="4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9,476</w:t>
            </w:r>
          </w:p>
        </w:tc>
        <w:tc>
          <w:tcPr>
            <w:tcW w:w="8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4,814</w:t>
            </w:r>
          </w:p>
        </w:tc>
        <w:tc>
          <w:tcPr>
            <w:tcW w:w="80" w:type="dxa"/>
            <w:vAlign w:val="bottom"/>
            <w:tcBorders>
              <w:bottom w:val="single" w:sz="8" w:color="D1EDF5"/>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w:t>
            </w:r>
          </w:p>
        </w:tc>
        <w:tc>
          <w:tcPr>
            <w:tcW w:w="60" w:type="dxa"/>
            <w:vAlign w:val="bottom"/>
            <w:tcBorders>
              <w:bottom w:val="single" w:sz="8" w:color="D1EDF5"/>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D1EDF5"/>
            </w:tcBorders>
            <w:gridSpan w:val="2"/>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25,500</w:t>
            </w:r>
          </w:p>
        </w:tc>
      </w:tr>
      <w:tr>
        <w:trPr>
          <w:trHeight w:val="240"/>
        </w:trPr>
        <w:tc>
          <w:tcPr>
            <w:tcW w:w="40" w:type="dxa"/>
            <w:vAlign w:val="bottom"/>
            <w:tcBorders>
              <w:top w:val="single" w:sz="8" w:color="D1EDF5"/>
            </w:tcBorders>
            <w:shd w:val="clear" w:color="auto" w:fill="D1EDF5"/>
          </w:tcPr>
          <w:p>
            <w:pPr>
              <w:spacing w:after="0"/>
              <w:rPr>
                <w:sz w:val="20"/>
                <w:szCs w:val="20"/>
                <w:color w:val="auto"/>
              </w:rPr>
            </w:pPr>
          </w:p>
        </w:tc>
        <w:tc>
          <w:tcPr>
            <w:tcW w:w="2840" w:type="dxa"/>
            <w:vAlign w:val="bottom"/>
            <w:tcBorders>
              <w:top w:val="single" w:sz="8" w:color="D1EDF5"/>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060" w:type="dxa"/>
            <w:vAlign w:val="bottom"/>
            <w:tcBorders>
              <w:top w:val="single" w:sz="8" w:color="auto"/>
            </w:tcBorders>
            <w:shd w:val="clear" w:color="auto" w:fill="D1EDF5"/>
          </w:tcPr>
          <w:p>
            <w:pPr>
              <w:spacing w:after="0"/>
              <w:rPr>
                <w:sz w:val="20"/>
                <w:szCs w:val="20"/>
                <w:color w:val="auto"/>
              </w:rPr>
            </w:pPr>
          </w:p>
        </w:tc>
        <w:tc>
          <w:tcPr>
            <w:tcW w:w="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auto"/>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1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1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200" w:type="dxa"/>
            <w:vAlign w:val="bottom"/>
            <w:tcBorders>
              <w:top w:val="single" w:sz="8" w:color="auto"/>
            </w:tcBorders>
            <w:shd w:val="clear" w:color="auto" w:fill="D1EDF5"/>
          </w:tcPr>
          <w:p>
            <w:pPr>
              <w:spacing w:after="0"/>
              <w:rPr>
                <w:sz w:val="20"/>
                <w:szCs w:val="20"/>
                <w:color w:val="auto"/>
              </w:rPr>
            </w:pPr>
          </w:p>
        </w:tc>
        <w:tc>
          <w:tcPr>
            <w:tcW w:w="122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D1EDF5"/>
            </w:tcBorders>
            <w:shd w:val="clear" w:color="auto" w:fill="D1EDF5"/>
          </w:tcPr>
          <w:p>
            <w:pPr>
              <w:spacing w:after="0"/>
              <w:rPr>
                <w:sz w:val="20"/>
                <w:szCs w:val="20"/>
                <w:color w:val="auto"/>
              </w:rPr>
            </w:pPr>
          </w:p>
        </w:tc>
        <w:tc>
          <w:tcPr>
            <w:tcW w:w="1060" w:type="dxa"/>
            <w:vAlign w:val="bottom"/>
            <w:tcBorders>
              <w:top w:val="single" w:sz="8" w:color="auto"/>
            </w:tcBorders>
            <w:shd w:val="clear" w:color="auto" w:fill="D1EDF5"/>
          </w:tcPr>
          <w:p>
            <w:pPr>
              <w:spacing w:after="0"/>
              <w:rPr>
                <w:sz w:val="20"/>
                <w:szCs w:val="20"/>
                <w:color w:val="auto"/>
              </w:rPr>
            </w:pPr>
          </w:p>
        </w:tc>
        <w:tc>
          <w:tcPr>
            <w:tcW w:w="4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auto"/>
            </w:tcBorders>
            <w:shd w:val="clear" w:color="auto" w:fill="D1EDF5"/>
          </w:tcPr>
          <w:p>
            <w:pPr>
              <w:spacing w:after="0"/>
              <w:rPr>
                <w:sz w:val="20"/>
                <w:szCs w:val="20"/>
                <w:color w:val="auto"/>
              </w:rPr>
            </w:pPr>
          </w:p>
        </w:tc>
        <w:tc>
          <w:tcPr>
            <w:tcW w:w="120" w:type="dxa"/>
            <w:vAlign w:val="bottom"/>
            <w:tcBorders>
              <w:top w:val="single" w:sz="8" w:color="auto"/>
            </w:tcBorders>
            <w:shd w:val="clear" w:color="auto" w:fill="D1EDF5"/>
          </w:tcPr>
          <w:p>
            <w:pPr>
              <w:spacing w:after="0"/>
              <w:rPr>
                <w:sz w:val="20"/>
                <w:szCs w:val="20"/>
                <w:color w:val="auto"/>
              </w:rPr>
            </w:pPr>
          </w:p>
        </w:tc>
        <w:tc>
          <w:tcPr>
            <w:tcW w:w="1080" w:type="dxa"/>
            <w:vAlign w:val="bottom"/>
            <w:tcBorders>
              <w:top w:val="single" w:sz="8" w:color="auto"/>
            </w:tcBorders>
            <w:shd w:val="clear" w:color="auto" w:fill="D1EDF5"/>
          </w:tcPr>
          <w:p>
            <w:pPr>
              <w:spacing w:after="0"/>
              <w:rPr>
                <w:sz w:val="20"/>
                <w:szCs w:val="20"/>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Average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307,199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1,186,105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266,095</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99,580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210,060</w:t>
            </w:r>
          </w:p>
        </w:tc>
        <w:tc>
          <w:tcPr>
            <w:tcW w:w="26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2,069,039</w:t>
            </w:r>
          </w:p>
        </w:tc>
      </w:tr>
      <w:tr>
        <w:trPr>
          <w:trHeight w:val="221"/>
        </w:trPr>
        <w:tc>
          <w:tcPr>
            <w:tcW w:w="40" w:type="dxa"/>
            <w:vAlign w:val="bottom"/>
            <w:shd w:val="clear" w:color="auto" w:fill="D1EDF5"/>
          </w:tcPr>
          <w:p>
            <w:pPr>
              <w:spacing w:after="0"/>
              <w:rPr>
                <w:sz w:val="19"/>
                <w:szCs w:val="19"/>
                <w:color w:val="auto"/>
              </w:rPr>
            </w:pPr>
          </w:p>
        </w:tc>
        <w:tc>
          <w:tcPr>
            <w:tcW w:w="2840" w:type="dxa"/>
            <w:vAlign w:val="bottom"/>
            <w:shd w:val="clear" w:color="auto" w:fill="D1EDF5"/>
          </w:tcPr>
          <w:p>
            <w:pPr>
              <w:spacing w:after="0"/>
              <w:rPr>
                <w:sz w:val="20"/>
                <w:szCs w:val="20"/>
                <w:color w:val="auto"/>
              </w:rPr>
            </w:pPr>
            <w:r>
              <w:rPr>
                <w:rFonts w:ascii="Arial" w:cs="Arial" w:eastAsia="Arial" w:hAnsi="Arial"/>
                <w:sz w:val="18"/>
                <w:szCs w:val="18"/>
                <w:color w:val="auto"/>
              </w:rPr>
              <w:t>Net charge-offs (recoveries) to</w:t>
            </w:r>
          </w:p>
        </w:tc>
        <w:tc>
          <w:tcPr>
            <w:tcW w:w="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1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1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12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1080" w:type="dxa"/>
            <w:vAlign w:val="bottom"/>
            <w:shd w:val="clear" w:color="auto" w:fill="D1EDF5"/>
          </w:tcPr>
          <w:p>
            <w:pPr>
              <w:spacing w:after="0"/>
              <w:rPr>
                <w:sz w:val="19"/>
                <w:szCs w:val="19"/>
                <w:color w:val="auto"/>
              </w:rPr>
            </w:pPr>
          </w:p>
        </w:tc>
      </w:tr>
      <w:tr>
        <w:trPr>
          <w:trHeight w:val="239"/>
        </w:trPr>
        <w:tc>
          <w:tcPr>
            <w:tcW w:w="40" w:type="dxa"/>
            <w:vAlign w:val="bottom"/>
            <w:tcBorders>
              <w:bottom w:val="single" w:sz="8" w:color="D1EDF5"/>
            </w:tcBorders>
            <w:shd w:val="clear" w:color="auto" w:fill="D1EDF5"/>
          </w:tcPr>
          <w:p>
            <w:pPr>
              <w:spacing w:after="0"/>
              <w:rPr>
                <w:sz w:val="20"/>
                <w:szCs w:val="20"/>
                <w:color w:val="auto"/>
              </w:rPr>
            </w:pPr>
          </w:p>
        </w:tc>
        <w:tc>
          <w:tcPr>
            <w:tcW w:w="284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average loans</w:t>
            </w:r>
          </w:p>
        </w:tc>
        <w:tc>
          <w:tcPr>
            <w:tcW w:w="4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D1EDF5"/>
            </w:tcBorders>
            <w:shd w:val="clear" w:color="auto" w:fill="D1EDF5"/>
          </w:tcPr>
          <w:p>
            <w:pPr>
              <w:spacing w:after="0"/>
              <w:rPr>
                <w:sz w:val="20"/>
                <w:szCs w:val="20"/>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D1EDF5"/>
            </w:tcBorders>
            <w:shd w:val="clear" w:color="auto" w:fill="D1EDF5"/>
          </w:tcPr>
          <w:p>
            <w:pPr>
              <w:spacing w:after="0"/>
              <w:rPr>
                <w:sz w:val="20"/>
                <w:szCs w:val="20"/>
                <w:color w:val="auto"/>
              </w:rPr>
            </w:pPr>
          </w:p>
        </w:tc>
        <w:tc>
          <w:tcPr>
            <w:tcW w:w="8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D1EDF5"/>
            </w:tcBorders>
            <w:shd w:val="clear" w:color="auto" w:fill="D1EDF5"/>
          </w:tcPr>
          <w:p>
            <w:pPr>
              <w:spacing w:after="0"/>
              <w:rPr>
                <w:sz w:val="20"/>
                <w:szCs w:val="20"/>
                <w:color w:val="auto"/>
              </w:rPr>
            </w:pPr>
          </w:p>
        </w:tc>
        <w:tc>
          <w:tcPr>
            <w:tcW w:w="114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D1EDF5"/>
            </w:tcBorders>
            <w:shd w:val="clear" w:color="auto" w:fill="D1EDF5"/>
          </w:tcPr>
          <w:p>
            <w:pPr>
              <w:spacing w:after="0"/>
              <w:rPr>
                <w:sz w:val="20"/>
                <w:szCs w:val="20"/>
                <w:color w:val="auto"/>
              </w:rPr>
            </w:pPr>
          </w:p>
        </w:tc>
        <w:tc>
          <w:tcPr>
            <w:tcW w:w="114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D1EDF5"/>
            </w:tcBorders>
            <w:shd w:val="clear" w:color="auto" w:fill="D1EDF5"/>
          </w:tcPr>
          <w:p>
            <w:pPr>
              <w:spacing w:after="0"/>
              <w:rPr>
                <w:sz w:val="20"/>
                <w:szCs w:val="20"/>
                <w:color w:val="auto"/>
              </w:rPr>
            </w:pPr>
          </w:p>
        </w:tc>
        <w:tc>
          <w:tcPr>
            <w:tcW w:w="200" w:type="dxa"/>
            <w:vAlign w:val="bottom"/>
            <w:tcBorders>
              <w:bottom w:val="single" w:sz="8" w:color="D1EDF5"/>
            </w:tcBorders>
            <w:shd w:val="clear" w:color="auto" w:fill="D1EDF5"/>
          </w:tcPr>
          <w:p>
            <w:pPr>
              <w:spacing w:after="0"/>
              <w:rPr>
                <w:sz w:val="20"/>
                <w:szCs w:val="20"/>
                <w:color w:val="auto"/>
              </w:rPr>
            </w:pPr>
          </w:p>
        </w:tc>
        <w:tc>
          <w:tcPr>
            <w:tcW w:w="122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D1EDF5"/>
            </w:tcBorders>
            <w:shd w:val="clear" w:color="auto" w:fill="D1EDF5"/>
          </w:tcPr>
          <w:p>
            <w:pPr>
              <w:spacing w:after="0"/>
              <w:rPr>
                <w:sz w:val="20"/>
                <w:szCs w:val="20"/>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0.35%</w:t>
            </w:r>
          </w:p>
        </w:tc>
        <w:tc>
          <w:tcPr>
            <w:tcW w:w="4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6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20" w:type="dxa"/>
            <w:vAlign w:val="bottom"/>
            <w:tcBorders>
              <w:bottom w:val="single" w:sz="8" w:color="D1EDF5"/>
            </w:tcBorders>
            <w:shd w:val="clear" w:color="auto" w:fill="D1EDF5"/>
          </w:tcPr>
          <w:p>
            <w:pPr>
              <w:spacing w:after="0"/>
              <w:rPr>
                <w:sz w:val="20"/>
                <w:szCs w:val="20"/>
                <w:color w:val="auto"/>
              </w:rPr>
            </w:pPr>
          </w:p>
        </w:tc>
        <w:tc>
          <w:tcPr>
            <w:tcW w:w="108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0.03%</w:t>
            </w: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0"/>
        </w:trPr>
        <w:tc>
          <w:tcPr>
            <w:tcW w:w="40" w:type="dxa"/>
            <w:vAlign w:val="bottom"/>
            <w:shd w:val="clear" w:color="auto" w:fill="D1EDF5"/>
          </w:tcPr>
          <w:p>
            <w:pPr>
              <w:spacing w:after="0"/>
              <w:rPr>
                <w:sz w:val="20"/>
                <w:szCs w:val="20"/>
                <w:color w:val="auto"/>
              </w:rPr>
            </w:pPr>
          </w:p>
        </w:tc>
        <w:tc>
          <w:tcPr>
            <w:tcW w:w="284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December, 31, 2024</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1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3,974</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c>
          <w:tcPr>
            <w:tcW w:w="26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21,084</w:t>
            </w:r>
          </w:p>
        </w:tc>
      </w:tr>
      <w:tr>
        <w:trPr>
          <w:trHeight w:val="251"/>
        </w:trPr>
        <w:tc>
          <w:tcPr>
            <w:tcW w:w="40" w:type="dxa"/>
            <w:vAlign w:val="bottom"/>
            <w:tcBorders>
              <w:bottom w:val="single" w:sz="8" w:color="D1EDF5"/>
            </w:tcBorders>
            <w:shd w:val="clear" w:color="auto" w:fill="D1EDF5"/>
          </w:tcPr>
          <w:p>
            <w:pPr>
              <w:spacing w:after="0"/>
              <w:rPr>
                <w:sz w:val="21"/>
                <w:szCs w:val="21"/>
                <w:color w:val="auto"/>
              </w:rPr>
            </w:pPr>
          </w:p>
        </w:tc>
        <w:tc>
          <w:tcPr>
            <w:tcW w:w="2840" w:type="dxa"/>
            <w:vAlign w:val="bottom"/>
            <w:tcBorders>
              <w:bottom w:val="single" w:sz="8" w:color="D1EDF5"/>
            </w:tcBorders>
            <w:shd w:val="clear" w:color="auto" w:fill="D1EDF5"/>
          </w:tcPr>
          <w:p>
            <w:pPr>
              <w:spacing w:after="0" w:line="237"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(2)</w:t>
            </w:r>
          </w:p>
        </w:tc>
        <w:tc>
          <w:tcPr>
            <w:tcW w:w="4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2,403</w:t>
            </w:r>
          </w:p>
        </w:tc>
        <w:tc>
          <w:tcPr>
            <w:tcW w:w="40" w:type="dxa"/>
            <w:vAlign w:val="bottom"/>
            <w:tcBorders>
              <w:bottom w:val="single" w:sz="8" w:color="D1EDF5"/>
            </w:tcBorders>
            <w:shd w:val="clear" w:color="auto" w:fill="D1EDF5"/>
          </w:tcPr>
          <w:p>
            <w:pPr>
              <w:spacing w:after="0"/>
              <w:rPr>
                <w:sz w:val="21"/>
                <w:szCs w:val="21"/>
                <w:color w:val="auto"/>
              </w:rPr>
            </w:pP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14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D1EDF5"/>
            </w:tcBorders>
            <w:shd w:val="clear" w:color="auto" w:fill="D1EDF5"/>
          </w:tcPr>
          <w:p>
            <w:pPr>
              <w:spacing w:after="0"/>
              <w:rPr>
                <w:sz w:val="21"/>
                <w:szCs w:val="21"/>
                <w:color w:val="auto"/>
              </w:rPr>
            </w:pPr>
          </w:p>
        </w:tc>
        <w:tc>
          <w:tcPr>
            <w:tcW w:w="12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(257)</w:t>
            </w:r>
          </w:p>
        </w:tc>
        <w:tc>
          <w:tcPr>
            <w:tcW w:w="6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1,752</w:t>
            </w:r>
          </w:p>
        </w:tc>
        <w:tc>
          <w:tcPr>
            <w:tcW w:w="4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D1EDF5"/>
            </w:tcBorders>
            <w:shd w:val="clear" w:color="auto" w:fill="D1EDF5"/>
          </w:tcPr>
          <w:p>
            <w:pPr>
              <w:spacing w:after="0"/>
              <w:rPr>
                <w:sz w:val="21"/>
                <w:szCs w:val="21"/>
                <w:color w:val="auto"/>
              </w:rPr>
            </w:pPr>
          </w:p>
        </w:tc>
        <w:tc>
          <w:tcPr>
            <w:tcW w:w="108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2,960</w:t>
            </w: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Recoveries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52"/>
        </w:trPr>
        <w:tc>
          <w:tcPr>
            <w:tcW w:w="40" w:type="dxa"/>
            <w:vAlign w:val="bottom"/>
            <w:tcBorders>
              <w:bottom w:val="single" w:sz="8" w:color="D1EDF5"/>
            </w:tcBorders>
            <w:shd w:val="clear" w:color="auto" w:fill="D1EDF5"/>
          </w:tcPr>
          <w:p>
            <w:pPr>
              <w:spacing w:after="0"/>
              <w:rPr>
                <w:sz w:val="21"/>
                <w:szCs w:val="21"/>
                <w:color w:val="auto"/>
              </w:rPr>
            </w:pPr>
          </w:p>
        </w:tc>
        <w:tc>
          <w:tcPr>
            <w:tcW w:w="284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Charge-offs</w:t>
            </w:r>
          </w:p>
        </w:tc>
        <w:tc>
          <w:tcPr>
            <w:tcW w:w="4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D1EDF5"/>
          </w:tcPr>
          <w:p>
            <w:pPr>
              <w:spacing w:after="0"/>
              <w:rPr>
                <w:sz w:val="21"/>
                <w:szCs w:val="21"/>
                <w:color w:val="auto"/>
              </w:rPr>
            </w:pP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14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14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auto"/>
            </w:tcBorders>
            <w:shd w:val="clear" w:color="auto" w:fill="D1EDF5"/>
          </w:tcPr>
          <w:p>
            <w:pPr>
              <w:spacing w:after="0"/>
              <w:rPr>
                <w:sz w:val="21"/>
                <w:szCs w:val="21"/>
                <w:color w:val="auto"/>
              </w:rPr>
            </w:pPr>
          </w:p>
        </w:tc>
        <w:tc>
          <w:tcPr>
            <w:tcW w:w="12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40" w:type="dxa"/>
            <w:vAlign w:val="bottom"/>
            <w:tcBorders>
              <w:bottom w:val="single" w:sz="8" w:color="D1EDF5"/>
            </w:tcBorders>
          </w:tcPr>
          <w:p>
            <w:pPr>
              <w:spacing w:after="0"/>
              <w:rPr>
                <w:sz w:val="23"/>
                <w:szCs w:val="23"/>
                <w:color w:val="auto"/>
              </w:rPr>
            </w:pPr>
          </w:p>
        </w:tc>
        <w:tc>
          <w:tcPr>
            <w:tcW w:w="284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Ending Balance</w:t>
            </w:r>
          </w:p>
        </w:tc>
        <w:tc>
          <w:tcPr>
            <w:tcW w:w="40" w:type="dxa"/>
            <w:vAlign w:val="bottom"/>
            <w:tcBorders>
              <w:bottom w:val="single" w:sz="8" w:color="D1EDF5"/>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D1EDF5"/>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8,788</w:t>
            </w:r>
          </w:p>
        </w:tc>
        <w:tc>
          <w:tcPr>
            <w:tcW w:w="80" w:type="dxa"/>
            <w:vAlign w:val="bottom"/>
            <w:tcBorders>
              <w:bottom w:val="single" w:sz="8" w:color="D1EDF5"/>
            </w:tcBorders>
          </w:tcPr>
          <w:p>
            <w:pPr>
              <w:spacing w:after="0"/>
              <w:rPr>
                <w:sz w:val="23"/>
                <w:szCs w:val="23"/>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4,633</w:t>
            </w:r>
          </w:p>
        </w:tc>
        <w:tc>
          <w:tcPr>
            <w:tcW w:w="80" w:type="dxa"/>
            <w:vAlign w:val="bottom"/>
            <w:tcBorders>
              <w:bottom w:val="single" w:sz="8" w:color="D1EDF5"/>
            </w:tcBorders>
          </w:tcPr>
          <w:p>
            <w:pPr>
              <w:spacing w:after="0"/>
              <w:rPr>
                <w:sz w:val="23"/>
                <w:szCs w:val="23"/>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654</w:t>
            </w:r>
          </w:p>
        </w:tc>
        <w:tc>
          <w:tcPr>
            <w:tcW w:w="60" w:type="dxa"/>
            <w:vAlign w:val="bottom"/>
            <w:tcBorders>
              <w:bottom w:val="single" w:sz="8" w:color="D1EDF5"/>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D1EDF5"/>
            </w:tcBorders>
            <w:gridSpan w:val="2"/>
          </w:tcPr>
          <w:p>
            <w:pPr>
              <w:spacing w:after="0"/>
              <w:rPr>
                <w:sz w:val="23"/>
                <w:szCs w:val="23"/>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24,070</w:t>
            </w:r>
          </w:p>
        </w:tc>
      </w:tr>
      <w:tr>
        <w:trPr>
          <w:trHeight w:val="240"/>
        </w:trPr>
        <w:tc>
          <w:tcPr>
            <w:tcW w:w="40" w:type="dxa"/>
            <w:vAlign w:val="bottom"/>
            <w:tcBorders>
              <w:top w:val="single" w:sz="8" w:color="D1EDF5"/>
            </w:tcBorders>
            <w:shd w:val="clear" w:color="auto" w:fill="D1EDF5"/>
          </w:tcPr>
          <w:p>
            <w:pPr>
              <w:spacing w:after="0"/>
              <w:rPr>
                <w:sz w:val="20"/>
                <w:szCs w:val="20"/>
                <w:color w:val="auto"/>
              </w:rPr>
            </w:pPr>
          </w:p>
        </w:tc>
        <w:tc>
          <w:tcPr>
            <w:tcW w:w="2840" w:type="dxa"/>
            <w:vAlign w:val="bottom"/>
            <w:tcBorders>
              <w:top w:val="single" w:sz="8" w:color="D1EDF5"/>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060" w:type="dxa"/>
            <w:vAlign w:val="bottom"/>
            <w:tcBorders>
              <w:top w:val="single" w:sz="8" w:color="auto"/>
            </w:tcBorders>
            <w:shd w:val="clear" w:color="auto" w:fill="D1EDF5"/>
          </w:tcPr>
          <w:p>
            <w:pPr>
              <w:spacing w:after="0"/>
              <w:rPr>
                <w:sz w:val="20"/>
                <w:szCs w:val="20"/>
                <w:color w:val="auto"/>
              </w:rPr>
            </w:pPr>
          </w:p>
        </w:tc>
        <w:tc>
          <w:tcPr>
            <w:tcW w:w="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auto"/>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1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1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200" w:type="dxa"/>
            <w:vAlign w:val="bottom"/>
            <w:tcBorders>
              <w:top w:val="single" w:sz="8" w:color="auto"/>
            </w:tcBorders>
            <w:shd w:val="clear" w:color="auto" w:fill="D1EDF5"/>
          </w:tcPr>
          <w:p>
            <w:pPr>
              <w:spacing w:after="0"/>
              <w:rPr>
                <w:sz w:val="20"/>
                <w:szCs w:val="20"/>
                <w:color w:val="auto"/>
              </w:rPr>
            </w:pPr>
          </w:p>
        </w:tc>
        <w:tc>
          <w:tcPr>
            <w:tcW w:w="122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D1EDF5"/>
            </w:tcBorders>
            <w:shd w:val="clear" w:color="auto" w:fill="D1EDF5"/>
          </w:tcPr>
          <w:p>
            <w:pPr>
              <w:spacing w:after="0"/>
              <w:rPr>
                <w:sz w:val="20"/>
                <w:szCs w:val="20"/>
                <w:color w:val="auto"/>
              </w:rPr>
            </w:pPr>
          </w:p>
        </w:tc>
        <w:tc>
          <w:tcPr>
            <w:tcW w:w="1060" w:type="dxa"/>
            <w:vAlign w:val="bottom"/>
            <w:tcBorders>
              <w:top w:val="single" w:sz="8" w:color="auto"/>
            </w:tcBorders>
            <w:shd w:val="clear" w:color="auto" w:fill="D1EDF5"/>
          </w:tcPr>
          <w:p>
            <w:pPr>
              <w:spacing w:after="0"/>
              <w:rPr>
                <w:sz w:val="20"/>
                <w:szCs w:val="20"/>
                <w:color w:val="auto"/>
              </w:rPr>
            </w:pPr>
          </w:p>
        </w:tc>
        <w:tc>
          <w:tcPr>
            <w:tcW w:w="4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auto"/>
            </w:tcBorders>
            <w:shd w:val="clear" w:color="auto" w:fill="D1EDF5"/>
          </w:tcPr>
          <w:p>
            <w:pPr>
              <w:spacing w:after="0"/>
              <w:rPr>
                <w:sz w:val="20"/>
                <w:szCs w:val="20"/>
                <w:color w:val="auto"/>
              </w:rPr>
            </w:pPr>
          </w:p>
        </w:tc>
        <w:tc>
          <w:tcPr>
            <w:tcW w:w="120" w:type="dxa"/>
            <w:vAlign w:val="bottom"/>
            <w:tcBorders>
              <w:top w:val="single" w:sz="8" w:color="auto"/>
            </w:tcBorders>
            <w:shd w:val="clear" w:color="auto" w:fill="D1EDF5"/>
          </w:tcPr>
          <w:p>
            <w:pPr>
              <w:spacing w:after="0"/>
              <w:rPr>
                <w:sz w:val="20"/>
                <w:szCs w:val="20"/>
                <w:color w:val="auto"/>
              </w:rPr>
            </w:pPr>
          </w:p>
        </w:tc>
        <w:tc>
          <w:tcPr>
            <w:tcW w:w="1080" w:type="dxa"/>
            <w:vAlign w:val="bottom"/>
            <w:tcBorders>
              <w:top w:val="single" w:sz="8" w:color="auto"/>
            </w:tcBorders>
            <w:shd w:val="clear" w:color="auto" w:fill="D1EDF5"/>
          </w:tcPr>
          <w:p>
            <w:pPr>
              <w:spacing w:after="0"/>
              <w:rPr>
                <w:sz w:val="20"/>
                <w:szCs w:val="20"/>
                <w:color w:val="auto"/>
              </w:rPr>
            </w:pPr>
          </w:p>
        </w:tc>
      </w:tr>
      <w:tr>
        <w:trPr>
          <w:trHeight w:val="240"/>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Average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256,112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1,068,574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238,266</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103,345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195,716</w:t>
            </w:r>
          </w:p>
        </w:tc>
        <w:tc>
          <w:tcPr>
            <w:tcW w:w="26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1,862,013</w:t>
            </w:r>
          </w:p>
        </w:tc>
      </w:tr>
      <w:tr>
        <w:trPr>
          <w:trHeight w:val="221"/>
        </w:trPr>
        <w:tc>
          <w:tcPr>
            <w:tcW w:w="40" w:type="dxa"/>
            <w:vAlign w:val="bottom"/>
            <w:shd w:val="clear" w:color="auto" w:fill="D1EDF5"/>
          </w:tcPr>
          <w:p>
            <w:pPr>
              <w:spacing w:after="0"/>
              <w:rPr>
                <w:sz w:val="19"/>
                <w:szCs w:val="19"/>
                <w:color w:val="auto"/>
              </w:rPr>
            </w:pPr>
          </w:p>
        </w:tc>
        <w:tc>
          <w:tcPr>
            <w:tcW w:w="2840" w:type="dxa"/>
            <w:vAlign w:val="bottom"/>
            <w:shd w:val="clear" w:color="auto" w:fill="D1EDF5"/>
          </w:tcPr>
          <w:p>
            <w:pPr>
              <w:spacing w:after="0"/>
              <w:rPr>
                <w:sz w:val="20"/>
                <w:szCs w:val="20"/>
                <w:color w:val="auto"/>
              </w:rPr>
            </w:pPr>
            <w:r>
              <w:rPr>
                <w:rFonts w:ascii="Arial" w:cs="Arial" w:eastAsia="Arial" w:hAnsi="Arial"/>
                <w:sz w:val="18"/>
                <w:szCs w:val="18"/>
                <w:color w:val="auto"/>
              </w:rPr>
              <w:t>Net charge-offs (recoveries) to</w:t>
            </w:r>
          </w:p>
        </w:tc>
        <w:tc>
          <w:tcPr>
            <w:tcW w:w="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1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1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12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1080" w:type="dxa"/>
            <w:vAlign w:val="bottom"/>
            <w:shd w:val="clear" w:color="auto" w:fill="D1EDF5"/>
          </w:tcPr>
          <w:p>
            <w:pPr>
              <w:spacing w:after="0"/>
              <w:rPr>
                <w:sz w:val="19"/>
                <w:szCs w:val="19"/>
                <w:color w:val="auto"/>
              </w:rPr>
            </w:pPr>
          </w:p>
        </w:tc>
      </w:tr>
      <w:tr>
        <w:trPr>
          <w:trHeight w:val="225"/>
        </w:trPr>
        <w:tc>
          <w:tcPr>
            <w:tcW w:w="40" w:type="dxa"/>
            <w:vAlign w:val="bottom"/>
            <w:shd w:val="clear" w:color="auto" w:fill="D1EDF5"/>
          </w:tcPr>
          <w:p>
            <w:pPr>
              <w:spacing w:after="0"/>
              <w:rPr>
                <w:sz w:val="19"/>
                <w:szCs w:val="19"/>
                <w:color w:val="auto"/>
              </w:rPr>
            </w:pPr>
          </w:p>
        </w:tc>
        <w:tc>
          <w:tcPr>
            <w:tcW w:w="2840" w:type="dxa"/>
            <w:vAlign w:val="bottom"/>
            <w:shd w:val="clear" w:color="auto" w:fill="D1EDF5"/>
          </w:tcPr>
          <w:p>
            <w:pPr>
              <w:spacing w:after="0"/>
              <w:rPr>
                <w:sz w:val="20"/>
                <w:szCs w:val="20"/>
                <w:color w:val="auto"/>
              </w:rPr>
            </w:pPr>
            <w:r>
              <w:rPr>
                <w:rFonts w:ascii="Arial" w:cs="Arial" w:eastAsia="Arial" w:hAnsi="Arial"/>
                <w:sz w:val="18"/>
                <w:szCs w:val="18"/>
                <w:color w:val="auto"/>
              </w:rPr>
              <w:t>average loans</w:t>
            </w:r>
          </w:p>
        </w:tc>
        <w:tc>
          <w:tcPr>
            <w:tcW w:w="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14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14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D1EDF5"/>
          </w:tcPr>
          <w:p>
            <w:pPr>
              <w:spacing w:after="0"/>
              <w:rPr>
                <w:sz w:val="19"/>
                <w:szCs w:val="19"/>
                <w:color w:val="auto"/>
              </w:rPr>
            </w:pPr>
          </w:p>
        </w:tc>
        <w:tc>
          <w:tcPr>
            <w:tcW w:w="200" w:type="dxa"/>
            <w:vAlign w:val="bottom"/>
            <w:shd w:val="clear" w:color="auto" w:fill="D1EDF5"/>
          </w:tcPr>
          <w:p>
            <w:pPr>
              <w:spacing w:after="0"/>
              <w:rPr>
                <w:sz w:val="19"/>
                <w:szCs w:val="19"/>
                <w:color w:val="auto"/>
              </w:rPr>
            </w:pPr>
          </w:p>
        </w:tc>
        <w:tc>
          <w:tcPr>
            <w:tcW w:w="12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108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(0.00)%</w:t>
            </w:r>
          </w:p>
        </w:tc>
      </w:tr>
      <w:tr>
        <w:trPr>
          <w:trHeight w:val="34"/>
        </w:trPr>
        <w:tc>
          <w:tcPr>
            <w:tcW w:w="40" w:type="dxa"/>
            <w:vAlign w:val="bottom"/>
            <w:shd w:val="clear" w:color="auto" w:fill="D1EDF5"/>
          </w:tcPr>
          <w:p>
            <w:pPr>
              <w:spacing w:after="0"/>
              <w:rPr>
                <w:sz w:val="2"/>
                <w:szCs w:val="2"/>
                <w:color w:val="auto"/>
              </w:rPr>
            </w:pPr>
          </w:p>
        </w:tc>
        <w:tc>
          <w:tcPr>
            <w:tcW w:w="2840" w:type="dxa"/>
            <w:vAlign w:val="bottom"/>
            <w:shd w:val="clear" w:color="auto" w:fill="D1EDF5"/>
          </w:tcPr>
          <w:p>
            <w:pPr>
              <w:spacing w:after="0"/>
              <w:rPr>
                <w:sz w:val="2"/>
                <w:szCs w:val="2"/>
                <w:color w:val="auto"/>
              </w:rPr>
            </w:pPr>
          </w:p>
        </w:tc>
        <w:tc>
          <w:tcPr>
            <w:tcW w:w="40" w:type="dxa"/>
            <w:vAlign w:val="bottom"/>
            <w:shd w:val="clear" w:color="auto" w:fill="D1EDF5"/>
          </w:tcPr>
          <w:p>
            <w:pPr>
              <w:spacing w:after="0"/>
              <w:rPr>
                <w:sz w:val="2"/>
                <w:szCs w:val="2"/>
                <w:color w:val="auto"/>
              </w:rPr>
            </w:pPr>
          </w:p>
        </w:tc>
        <w:tc>
          <w:tcPr>
            <w:tcW w:w="140" w:type="dxa"/>
            <w:vAlign w:val="bottom"/>
            <w:shd w:val="clear" w:color="auto" w:fill="D1EDF5"/>
          </w:tcPr>
          <w:p>
            <w:pPr>
              <w:spacing w:after="0"/>
              <w:rPr>
                <w:sz w:val="2"/>
                <w:szCs w:val="2"/>
                <w:color w:val="auto"/>
              </w:rPr>
            </w:pPr>
          </w:p>
        </w:tc>
        <w:tc>
          <w:tcPr>
            <w:tcW w:w="1060" w:type="dxa"/>
            <w:vAlign w:val="bottom"/>
            <w:shd w:val="clear" w:color="auto" w:fill="D1EDF5"/>
          </w:tcPr>
          <w:p>
            <w:pPr>
              <w:spacing w:after="0"/>
              <w:rPr>
                <w:sz w:val="2"/>
                <w:szCs w:val="2"/>
                <w:color w:val="auto"/>
              </w:rPr>
            </w:pPr>
          </w:p>
        </w:tc>
        <w:tc>
          <w:tcPr>
            <w:tcW w:w="40" w:type="dxa"/>
            <w:vAlign w:val="bottom"/>
            <w:shd w:val="clear" w:color="auto" w:fill="D1EDF5"/>
          </w:tcPr>
          <w:p>
            <w:pPr>
              <w:spacing w:after="0"/>
              <w:rPr>
                <w:sz w:val="2"/>
                <w:szCs w:val="2"/>
                <w:color w:val="auto"/>
              </w:rPr>
            </w:pPr>
          </w:p>
        </w:tc>
        <w:tc>
          <w:tcPr>
            <w:tcW w:w="80" w:type="dxa"/>
            <w:vAlign w:val="bottom"/>
            <w:shd w:val="clear" w:color="auto" w:fill="D1EDF5"/>
          </w:tcPr>
          <w:p>
            <w:pPr>
              <w:spacing w:after="0"/>
              <w:rPr>
                <w:sz w:val="2"/>
                <w:szCs w:val="2"/>
                <w:color w:val="auto"/>
              </w:rPr>
            </w:pPr>
          </w:p>
        </w:tc>
        <w:tc>
          <w:tcPr>
            <w:tcW w:w="140" w:type="dxa"/>
            <w:vAlign w:val="bottom"/>
            <w:shd w:val="clear" w:color="auto" w:fill="D1EDF5"/>
          </w:tcPr>
          <w:p>
            <w:pPr>
              <w:spacing w:after="0"/>
              <w:rPr>
                <w:sz w:val="2"/>
                <w:szCs w:val="2"/>
                <w:color w:val="auto"/>
              </w:rPr>
            </w:pPr>
          </w:p>
        </w:tc>
        <w:tc>
          <w:tcPr>
            <w:tcW w:w="1140" w:type="dxa"/>
            <w:vAlign w:val="bottom"/>
            <w:shd w:val="clear" w:color="auto" w:fill="D1EDF5"/>
          </w:tcPr>
          <w:p>
            <w:pPr>
              <w:spacing w:after="0"/>
              <w:rPr>
                <w:sz w:val="2"/>
                <w:szCs w:val="2"/>
                <w:color w:val="auto"/>
              </w:rPr>
            </w:pPr>
          </w:p>
        </w:tc>
        <w:tc>
          <w:tcPr>
            <w:tcW w:w="80" w:type="dxa"/>
            <w:vAlign w:val="bottom"/>
            <w:shd w:val="clear" w:color="auto" w:fill="D1EDF5"/>
          </w:tcPr>
          <w:p>
            <w:pPr>
              <w:spacing w:after="0"/>
              <w:rPr>
                <w:sz w:val="2"/>
                <w:szCs w:val="2"/>
                <w:color w:val="auto"/>
              </w:rPr>
            </w:pPr>
          </w:p>
        </w:tc>
        <w:tc>
          <w:tcPr>
            <w:tcW w:w="140" w:type="dxa"/>
            <w:vAlign w:val="bottom"/>
            <w:shd w:val="clear" w:color="auto" w:fill="D1EDF5"/>
          </w:tcPr>
          <w:p>
            <w:pPr>
              <w:spacing w:after="0"/>
              <w:rPr>
                <w:sz w:val="2"/>
                <w:szCs w:val="2"/>
                <w:color w:val="auto"/>
              </w:rPr>
            </w:pPr>
          </w:p>
        </w:tc>
        <w:tc>
          <w:tcPr>
            <w:tcW w:w="1140" w:type="dxa"/>
            <w:vAlign w:val="bottom"/>
            <w:shd w:val="clear" w:color="auto" w:fill="D1EDF5"/>
          </w:tcPr>
          <w:p>
            <w:pPr>
              <w:spacing w:after="0"/>
              <w:rPr>
                <w:sz w:val="2"/>
                <w:szCs w:val="2"/>
                <w:color w:val="auto"/>
              </w:rPr>
            </w:pPr>
          </w:p>
        </w:tc>
        <w:tc>
          <w:tcPr>
            <w:tcW w:w="80" w:type="dxa"/>
            <w:vAlign w:val="bottom"/>
            <w:shd w:val="clear" w:color="auto" w:fill="D1EDF5"/>
          </w:tcPr>
          <w:p>
            <w:pPr>
              <w:spacing w:after="0"/>
              <w:rPr>
                <w:sz w:val="2"/>
                <w:szCs w:val="2"/>
                <w:color w:val="auto"/>
              </w:rPr>
            </w:pPr>
          </w:p>
        </w:tc>
        <w:tc>
          <w:tcPr>
            <w:tcW w:w="200" w:type="dxa"/>
            <w:vAlign w:val="bottom"/>
            <w:shd w:val="clear" w:color="auto" w:fill="D1EDF5"/>
          </w:tcPr>
          <w:p>
            <w:pPr>
              <w:spacing w:after="0"/>
              <w:rPr>
                <w:sz w:val="2"/>
                <w:szCs w:val="2"/>
                <w:color w:val="auto"/>
              </w:rPr>
            </w:pPr>
          </w:p>
        </w:tc>
        <w:tc>
          <w:tcPr>
            <w:tcW w:w="1220" w:type="dxa"/>
            <w:vAlign w:val="bottom"/>
            <w:shd w:val="clear" w:color="auto" w:fill="D1EDF5"/>
          </w:tcPr>
          <w:p>
            <w:pPr>
              <w:spacing w:after="0"/>
              <w:rPr>
                <w:sz w:val="2"/>
                <w:szCs w:val="2"/>
                <w:color w:val="auto"/>
              </w:rPr>
            </w:pPr>
          </w:p>
        </w:tc>
        <w:tc>
          <w:tcPr>
            <w:tcW w:w="60" w:type="dxa"/>
            <w:vAlign w:val="bottom"/>
            <w:shd w:val="clear" w:color="auto" w:fill="D1EDF5"/>
          </w:tcPr>
          <w:p>
            <w:pPr>
              <w:spacing w:after="0"/>
              <w:rPr>
                <w:sz w:val="2"/>
                <w:szCs w:val="2"/>
                <w:color w:val="auto"/>
              </w:rPr>
            </w:pPr>
          </w:p>
        </w:tc>
        <w:tc>
          <w:tcPr>
            <w:tcW w:w="140" w:type="dxa"/>
            <w:vAlign w:val="bottom"/>
            <w:shd w:val="clear" w:color="auto" w:fill="D1EDF5"/>
          </w:tcPr>
          <w:p>
            <w:pPr>
              <w:spacing w:after="0"/>
              <w:rPr>
                <w:sz w:val="2"/>
                <w:szCs w:val="2"/>
                <w:color w:val="auto"/>
              </w:rPr>
            </w:pPr>
          </w:p>
        </w:tc>
        <w:tc>
          <w:tcPr>
            <w:tcW w:w="1060" w:type="dxa"/>
            <w:vAlign w:val="bottom"/>
            <w:shd w:val="clear" w:color="auto" w:fill="D1EDF5"/>
          </w:tcPr>
          <w:p>
            <w:pPr>
              <w:spacing w:after="0"/>
              <w:rPr>
                <w:sz w:val="2"/>
                <w:szCs w:val="2"/>
                <w:color w:val="auto"/>
              </w:rPr>
            </w:pPr>
          </w:p>
        </w:tc>
        <w:tc>
          <w:tcPr>
            <w:tcW w:w="40" w:type="dxa"/>
            <w:vAlign w:val="bottom"/>
            <w:shd w:val="clear" w:color="auto" w:fill="D1EDF5"/>
          </w:tcPr>
          <w:p>
            <w:pPr>
              <w:spacing w:after="0"/>
              <w:rPr>
                <w:sz w:val="2"/>
                <w:szCs w:val="2"/>
                <w:color w:val="auto"/>
              </w:rPr>
            </w:pPr>
          </w:p>
        </w:tc>
        <w:tc>
          <w:tcPr>
            <w:tcW w:w="20" w:type="dxa"/>
            <w:vAlign w:val="bottom"/>
            <w:shd w:val="clear" w:color="auto" w:fill="D1EDF5"/>
          </w:tcPr>
          <w:p>
            <w:pPr>
              <w:spacing w:after="0"/>
              <w:rPr>
                <w:sz w:val="2"/>
                <w:szCs w:val="2"/>
                <w:color w:val="auto"/>
              </w:rPr>
            </w:pPr>
          </w:p>
        </w:tc>
        <w:tc>
          <w:tcPr>
            <w:tcW w:w="60" w:type="dxa"/>
            <w:vAlign w:val="bottom"/>
            <w:shd w:val="clear" w:color="auto" w:fill="D1EDF5"/>
          </w:tcPr>
          <w:p>
            <w:pPr>
              <w:spacing w:after="0"/>
              <w:rPr>
                <w:sz w:val="2"/>
                <w:szCs w:val="2"/>
                <w:color w:val="auto"/>
              </w:rPr>
            </w:pPr>
          </w:p>
        </w:tc>
        <w:tc>
          <w:tcPr>
            <w:tcW w:w="20" w:type="dxa"/>
            <w:vAlign w:val="bottom"/>
            <w:shd w:val="clear" w:color="auto" w:fill="D1EDF5"/>
          </w:tcPr>
          <w:p>
            <w:pPr>
              <w:spacing w:after="0"/>
              <w:rPr>
                <w:sz w:val="2"/>
                <w:szCs w:val="2"/>
                <w:color w:val="auto"/>
              </w:rPr>
            </w:pPr>
          </w:p>
        </w:tc>
        <w:tc>
          <w:tcPr>
            <w:tcW w:w="120" w:type="dxa"/>
            <w:vAlign w:val="bottom"/>
            <w:shd w:val="clear" w:color="auto" w:fill="D1EDF5"/>
          </w:tcPr>
          <w:p>
            <w:pPr>
              <w:spacing w:after="0"/>
              <w:rPr>
                <w:sz w:val="2"/>
                <w:szCs w:val="2"/>
                <w:color w:val="auto"/>
              </w:rPr>
            </w:pPr>
          </w:p>
        </w:tc>
        <w:tc>
          <w:tcPr>
            <w:tcW w:w="1080" w:type="dxa"/>
            <w:vAlign w:val="bottom"/>
            <w:shd w:val="clear" w:color="auto" w:fill="D1EDF5"/>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154940</wp:posOffset>
                </wp:positionV>
                <wp:extent cx="18573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73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pt" to="146.25pt,12.2pt" o:allowincell="f" strokecolor="#000000" strokeweight="0.4799pt"/>
            </w:pict>
          </mc:Fallback>
        </mc:AlternateContent>
      </w:r>
    </w:p>
    <w:p>
      <w:pPr>
        <w:spacing w:after="0" w:line="256" w:lineRule="exact"/>
        <w:rPr>
          <w:sz w:val="20"/>
          <w:szCs w:val="20"/>
          <w:color w:val="auto"/>
        </w:rPr>
      </w:pPr>
    </w:p>
    <w:p>
      <w:pPr>
        <w:ind w:left="40" w:right="600" w:firstLine="1"/>
        <w:spacing w:after="0" w:line="283" w:lineRule="auto"/>
        <w:tabs>
          <w:tab w:leader="none" w:pos="3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 for credit losses excludes $182 thousand provision for unfunded commitments included in accrued interest and other liabilities and $4 thousand release for investment securities held to maturity.</w:t>
      </w:r>
    </w:p>
    <w:p>
      <w:pPr>
        <w:spacing w:after="0" w:line="47" w:lineRule="exact"/>
        <w:rPr>
          <w:rFonts w:ascii="Arial" w:cs="Arial" w:eastAsia="Arial" w:hAnsi="Arial"/>
          <w:sz w:val="18"/>
          <w:szCs w:val="18"/>
          <w:color w:val="auto"/>
        </w:rPr>
      </w:pPr>
    </w:p>
    <w:p>
      <w:pPr>
        <w:ind w:left="40" w:right="600" w:firstLine="1"/>
        <w:spacing w:after="0" w:line="283" w:lineRule="auto"/>
        <w:tabs>
          <w:tab w:leader="none" w:pos="3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 for credit losses excludes $199 thousand provision for unfunded commitments included in accrued interest and other liabilities and $2 thousand release for investment securities held to maturity.</w:t>
      </w:r>
    </w:p>
    <w:p>
      <w:pPr>
        <w:spacing w:after="0" w:line="200" w:lineRule="exact"/>
        <w:rPr>
          <w:sz w:val="20"/>
          <w:szCs w:val="20"/>
          <w:color w:val="auto"/>
        </w:rPr>
      </w:pPr>
    </w:p>
    <w:p>
      <w:pPr>
        <w:spacing w:after="0" w:line="274" w:lineRule="exact"/>
        <w:rPr>
          <w:sz w:val="20"/>
          <w:szCs w:val="20"/>
          <w:color w:val="auto"/>
        </w:rPr>
      </w:pPr>
    </w:p>
    <w:p>
      <w:pPr>
        <w:ind w:right="180" w:firstLine="360"/>
        <w:spacing w:after="0" w:line="282" w:lineRule="auto"/>
        <w:rPr>
          <w:sz w:val="20"/>
          <w:szCs w:val="20"/>
          <w:color w:val="auto"/>
        </w:rPr>
      </w:pPr>
      <w:r>
        <w:rPr>
          <w:rFonts w:ascii="Arial" w:cs="Arial" w:eastAsia="Arial" w:hAnsi="Arial"/>
          <w:sz w:val="20"/>
          <w:szCs w:val="20"/>
          <w:color w:val="auto"/>
        </w:rPr>
        <w:t>The following table presents ACL by type and its individual percentage to total loans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 w:type="dxa"/>
            <w:vAlign w:val="bottom"/>
            <w:tcBorders>
              <w:bottom w:val="single" w:sz="8" w:color="auto"/>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 w:type="dxa"/>
            <w:vAlign w:val="bottom"/>
            <w:tcBorders>
              <w:bottom w:val="single" w:sz="8" w:color="auto"/>
            </w:tcBorders>
          </w:tcPr>
          <w:p>
            <w:pPr>
              <w:spacing w:after="0"/>
              <w:rPr>
                <w:sz w:val="19"/>
                <w:szCs w:val="19"/>
                <w:color w:val="auto"/>
              </w:rPr>
            </w:pPr>
          </w:p>
        </w:tc>
        <w:tc>
          <w:tcPr>
            <w:tcW w:w="179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2024</w:t>
            </w: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0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Loan Category</w:t>
            </w:r>
          </w:p>
        </w:tc>
        <w:tc>
          <w:tcPr>
            <w:tcW w:w="29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680" w:type="dxa"/>
            <w:vAlign w:val="bottom"/>
            <w:gridSpan w:val="2"/>
            <w:vMerge w:val="restart"/>
          </w:tcPr>
          <w:p>
            <w:pPr>
              <w:jc w:val="right"/>
              <w:ind w:right="740"/>
              <w:spacing w:after="0"/>
              <w:rPr>
                <w:sz w:val="20"/>
                <w:szCs w:val="20"/>
                <w:color w:val="auto"/>
              </w:rPr>
            </w:pPr>
            <w:r>
              <w:rPr>
                <w:rFonts w:ascii="Arial" w:cs="Arial" w:eastAsia="Arial" w:hAnsi="Arial"/>
                <w:sz w:val="18"/>
                <w:szCs w:val="18"/>
                <w:b w:val="1"/>
                <w:bCs w:val="1"/>
                <w:color w:val="auto"/>
              </w:rPr>
              <w:t>Allowance</w:t>
            </w:r>
          </w:p>
        </w:tc>
        <w:tc>
          <w:tcPr>
            <w:tcW w:w="1460" w:type="dxa"/>
            <w:vAlign w:val="bottom"/>
          </w:tcPr>
          <w:p>
            <w:pPr>
              <w:jc w:val="center"/>
              <w:ind w:left="150"/>
              <w:spacing w:after="0"/>
              <w:rPr>
                <w:sz w:val="20"/>
                <w:szCs w:val="20"/>
                <w:color w:val="auto"/>
              </w:rPr>
            </w:pPr>
            <w:r>
              <w:rPr>
                <w:rFonts w:ascii="Arial" w:cs="Arial" w:eastAsia="Arial" w:hAnsi="Arial"/>
                <w:sz w:val="18"/>
                <w:szCs w:val="18"/>
                <w:b w:val="1"/>
                <w:bCs w:val="1"/>
                <w:color w:val="auto"/>
              </w:rPr>
              <w:t>% of Loans in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8"/>
              </w:rPr>
              <w:t>Allowance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 of Loans in</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60" w:type="dxa"/>
            <w:vAlign w:val="bottom"/>
            <w:gridSpan w:val="2"/>
            <w:vMerge w:val="continue"/>
          </w:tcPr>
          <w:p>
            <w:pPr>
              <w:spacing w:after="0"/>
              <w:rPr>
                <w:sz w:val="17"/>
                <w:szCs w:val="17"/>
                <w:color w:val="auto"/>
              </w:rPr>
            </w:pPr>
          </w:p>
        </w:tc>
        <w:tc>
          <w:tcPr>
            <w:tcW w:w="2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Each Category to</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Each Category to</w:t>
            </w:r>
          </w:p>
        </w:tc>
        <w:tc>
          <w:tcPr>
            <w:tcW w:w="0" w:type="dxa"/>
            <w:vAlign w:val="bottom"/>
          </w:tcPr>
          <w:p>
            <w:pPr>
              <w:spacing w:after="0"/>
              <w:rPr>
                <w:sz w:val="1"/>
                <w:szCs w:val="1"/>
                <w:color w:val="auto"/>
              </w:rPr>
            </w:pPr>
          </w:p>
        </w:tc>
      </w:tr>
      <w:tr>
        <w:trPr>
          <w:trHeight w:val="255"/>
        </w:trPr>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Total Loans</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Total Loans</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3040" w:type="dxa"/>
            <w:vAlign w:val="bottom"/>
            <w:tcBorders>
              <w:bottom w:val="single" w:sz="8" w:color="D1EDF5"/>
            </w:tcBorders>
          </w:tcPr>
          <w:p>
            <w:pPr>
              <w:spacing w:after="0"/>
              <w:rPr>
                <w:sz w:val="2"/>
                <w:szCs w:val="2"/>
                <w:color w:val="auto"/>
              </w:rPr>
            </w:pPr>
          </w:p>
        </w:tc>
        <w:tc>
          <w:tcPr>
            <w:tcW w:w="20" w:type="dxa"/>
            <w:vAlign w:val="bottom"/>
            <w:tcBorders>
              <w:bottom w:val="single" w:sz="8" w:color="D1EDF5"/>
            </w:tcBorders>
          </w:tcPr>
          <w:p>
            <w:pPr>
              <w:spacing w:after="0"/>
              <w:rPr>
                <w:sz w:val="2"/>
                <w:szCs w:val="2"/>
                <w:color w:val="auto"/>
              </w:rPr>
            </w:pPr>
          </w:p>
        </w:tc>
        <w:tc>
          <w:tcPr>
            <w:tcW w:w="290" w:type="dxa"/>
            <w:vAlign w:val="bottom"/>
            <w:tcBorders>
              <w:bottom w:val="single" w:sz="8" w:color="auto"/>
            </w:tcBorders>
          </w:tcPr>
          <w:p>
            <w:pPr>
              <w:spacing w:after="0"/>
              <w:rPr>
                <w:sz w:val="2"/>
                <w:szCs w:val="2"/>
                <w:color w:val="auto"/>
              </w:rPr>
            </w:pPr>
          </w:p>
        </w:tc>
        <w:tc>
          <w:tcPr>
            <w:tcW w:w="11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D1EDF5"/>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D1EDF5"/>
            </w:tcBorders>
          </w:tcPr>
          <w:p>
            <w:pPr>
              <w:spacing w:after="0"/>
              <w:rPr>
                <w:sz w:val="2"/>
                <w:szCs w:val="2"/>
                <w:color w:val="auto"/>
              </w:rPr>
            </w:pPr>
          </w:p>
        </w:tc>
        <w:tc>
          <w:tcPr>
            <w:tcW w:w="20" w:type="dxa"/>
            <w:vAlign w:val="bottom"/>
            <w:tcBorders>
              <w:bottom w:val="single" w:sz="8" w:color="D1EDF5"/>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D1EDF5"/>
            </w:tcBorders>
          </w:tcPr>
          <w:p>
            <w:pPr>
              <w:spacing w:after="0"/>
              <w:rPr>
                <w:sz w:val="2"/>
                <w:szCs w:val="2"/>
                <w:color w:val="auto"/>
              </w:rPr>
            </w:pPr>
          </w:p>
        </w:tc>
        <w:tc>
          <w:tcPr>
            <w:tcW w:w="20" w:type="dxa"/>
            <w:vAlign w:val="bottom"/>
            <w:tcBorders>
              <w:bottom w:val="single" w:sz="8" w:color="D1EDF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D1EDF5"/>
          </w:tcPr>
          <w:p>
            <w:pPr>
              <w:ind w:left="300"/>
              <w:spacing w:after="0"/>
              <w:rPr>
                <w:sz w:val="20"/>
                <w:szCs w:val="20"/>
                <w:color w:val="auto"/>
              </w:rPr>
            </w:pPr>
            <w:r>
              <w:rPr>
                <w:rFonts w:ascii="Arial" w:cs="Arial" w:eastAsia="Arial" w:hAnsi="Arial"/>
                <w:sz w:val="18"/>
                <w:szCs w:val="18"/>
                <w:color w:val="auto"/>
              </w:rPr>
              <w:t>Residential Real Estate</w:t>
            </w:r>
          </w:p>
        </w:tc>
        <w:tc>
          <w:tcPr>
            <w:tcW w:w="20" w:type="dxa"/>
            <w:vAlign w:val="bottom"/>
            <w:shd w:val="clear" w:color="auto" w:fill="D1EDF5"/>
          </w:tcPr>
          <w:p>
            <w:pPr>
              <w:spacing w:after="0"/>
              <w:rPr>
                <w:sz w:val="19"/>
                <w:szCs w:val="19"/>
                <w:color w:val="auto"/>
              </w:rPr>
            </w:pPr>
          </w:p>
        </w:tc>
        <w:tc>
          <w:tcPr>
            <w:tcW w:w="290" w:type="dxa"/>
            <w:vAlign w:val="bottom"/>
            <w:shd w:val="clear" w:color="auto" w:fill="D1EDF5"/>
          </w:tcPr>
          <w:p>
            <w:pPr>
              <w:jc w:val="right"/>
              <w:ind w:right="60"/>
              <w:spacing w:after="0"/>
              <w:rPr>
                <w:sz w:val="20"/>
                <w:szCs w:val="20"/>
                <w:color w:val="auto"/>
              </w:rPr>
            </w:pPr>
            <w:r>
              <w:rPr>
                <w:rFonts w:ascii="Arial" w:cs="Arial" w:eastAsia="Arial" w:hAnsi="Arial"/>
                <w:sz w:val="18"/>
                <w:szCs w:val="18"/>
                <w:color w:val="auto"/>
              </w:rPr>
              <w:t>$</w:t>
            </w:r>
          </w:p>
        </w:tc>
        <w:tc>
          <w:tcPr>
            <w:tcW w:w="110" w:type="dxa"/>
            <w:vAlign w:val="bottom"/>
            <w:shd w:val="clear" w:color="auto" w:fill="D1EDF5"/>
          </w:tcPr>
          <w:p>
            <w:pPr>
              <w:spacing w:after="0"/>
              <w:rPr>
                <w:sz w:val="19"/>
                <w:szCs w:val="19"/>
                <w:color w:val="auto"/>
              </w:rPr>
            </w:pPr>
          </w:p>
        </w:tc>
        <w:tc>
          <w:tcPr>
            <w:tcW w:w="140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5,908</w:t>
            </w:r>
          </w:p>
        </w:tc>
        <w:tc>
          <w:tcPr>
            <w:tcW w:w="280" w:type="dxa"/>
            <w:vAlign w:val="bottom"/>
            <w:shd w:val="clear" w:color="auto" w:fill="D1EDF5"/>
          </w:tcPr>
          <w:p>
            <w:pPr>
              <w:spacing w:after="0"/>
              <w:rPr>
                <w:sz w:val="19"/>
                <w:szCs w:val="19"/>
                <w:color w:val="auto"/>
              </w:rPr>
            </w:pPr>
          </w:p>
        </w:tc>
        <w:tc>
          <w:tcPr>
            <w:tcW w:w="1460" w:type="dxa"/>
            <w:vAlign w:val="bottom"/>
            <w:shd w:val="clear" w:color="auto" w:fill="D1EDF5"/>
          </w:tcPr>
          <w:p>
            <w:pPr>
              <w:jc w:val="right"/>
              <w:ind w:right="3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2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400" w:type="dxa"/>
            <w:vAlign w:val="bottom"/>
            <w:shd w:val="clear" w:color="auto" w:fill="D1EDF5"/>
          </w:tcPr>
          <w:p>
            <w:pPr>
              <w:jc w:val="right"/>
              <w:ind w:right="170"/>
              <w:spacing w:after="0"/>
              <w:rPr>
                <w:sz w:val="20"/>
                <w:szCs w:val="20"/>
                <w:color w:val="auto"/>
              </w:rPr>
            </w:pPr>
            <w:r>
              <w:rPr>
                <w:rFonts w:ascii="Arial" w:cs="Arial" w:eastAsia="Arial" w:hAnsi="Arial"/>
                <w:sz w:val="18"/>
                <w:szCs w:val="18"/>
                <w:color w:val="auto"/>
                <w:shd w:val="clear" w:color="auto" w:fill="D1EDF5"/>
              </w:rPr>
              <w:t>$</w:t>
            </w:r>
          </w:p>
        </w:tc>
        <w:tc>
          <w:tcPr>
            <w:tcW w:w="1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D1EDF5"/>
          </w:tcPr>
          <w:p>
            <w:pPr>
              <w:spacing w:after="0"/>
              <w:rPr>
                <w:sz w:val="19"/>
                <w:szCs w:val="19"/>
                <w:color w:val="auto"/>
              </w:rPr>
            </w:pPr>
          </w:p>
        </w:tc>
        <w:tc>
          <w:tcPr>
            <w:tcW w:w="2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1400" w:type="dxa"/>
            <w:vAlign w:val="bottom"/>
            <w:shd w:val="clear" w:color="auto" w:fill="D1EDF5"/>
          </w:tcPr>
          <w:p>
            <w:pPr>
              <w:ind w:left="94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0" w:type="dxa"/>
            <w:vAlign w:val="bottom"/>
          </w:tcPr>
          <w:p>
            <w:pPr>
              <w:spacing w:after="0"/>
              <w:rPr>
                <w:sz w:val="1"/>
                <w:szCs w:val="1"/>
                <w:color w:val="auto"/>
              </w:rPr>
            </w:pPr>
          </w:p>
        </w:tc>
      </w:tr>
      <w:tr>
        <w:trPr>
          <w:trHeight w:val="240"/>
        </w:trPr>
        <w:tc>
          <w:tcPr>
            <w:tcW w:w="3060" w:type="dxa"/>
            <w:vAlign w:val="bottom"/>
            <w:gridSpan w:val="2"/>
          </w:tcPr>
          <w:p>
            <w:pPr>
              <w:ind w:left="300"/>
              <w:spacing w:after="0"/>
              <w:rPr>
                <w:sz w:val="20"/>
                <w:szCs w:val="20"/>
                <w:color w:val="auto"/>
              </w:rPr>
            </w:pPr>
            <w:r>
              <w:rPr>
                <w:rFonts w:ascii="Arial" w:cs="Arial" w:eastAsia="Arial" w:hAnsi="Arial"/>
                <w:sz w:val="18"/>
                <w:szCs w:val="18"/>
                <w:color w:val="auto"/>
              </w:rPr>
              <w:t>Commercial Real Estate</w:t>
            </w:r>
          </w:p>
        </w:tc>
        <w:tc>
          <w:tcPr>
            <w:tcW w:w="290" w:type="dxa"/>
            <w:vAlign w:val="bottom"/>
          </w:tcPr>
          <w:p>
            <w:pPr>
              <w:spacing w:after="0"/>
              <w:rPr>
                <w:sz w:val="20"/>
                <w:szCs w:val="20"/>
                <w:color w:val="auto"/>
              </w:rPr>
            </w:pPr>
          </w:p>
        </w:tc>
        <w:tc>
          <w:tcPr>
            <w:tcW w:w="1510" w:type="dxa"/>
            <w:vAlign w:val="bottom"/>
            <w:gridSpan w:val="2"/>
          </w:tcPr>
          <w:p>
            <w:pPr>
              <w:jc w:val="right"/>
              <w:ind w:right="10"/>
              <w:spacing w:after="0"/>
              <w:rPr>
                <w:sz w:val="20"/>
                <w:szCs w:val="20"/>
                <w:color w:val="auto"/>
              </w:rPr>
            </w:pPr>
            <w:r>
              <w:rPr>
                <w:rFonts w:ascii="Arial" w:cs="Arial" w:eastAsia="Arial" w:hAnsi="Arial"/>
                <w:sz w:val="18"/>
                <w:szCs w:val="18"/>
                <w:color w:val="auto"/>
              </w:rPr>
              <w:t>9,476</w:t>
            </w:r>
          </w:p>
        </w:tc>
        <w:tc>
          <w:tcPr>
            <w:tcW w:w="2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8,788</w:t>
            </w:r>
          </w:p>
        </w:tc>
        <w:tc>
          <w:tcPr>
            <w:tcW w:w="1820" w:type="dxa"/>
            <w:vAlign w:val="bottom"/>
            <w:gridSpan w:val="5"/>
          </w:tcPr>
          <w:p>
            <w:pPr>
              <w:ind w:left="1360"/>
              <w:spacing w:after="0"/>
              <w:rPr>
                <w:sz w:val="20"/>
                <w:szCs w:val="20"/>
                <w:color w:val="auto"/>
              </w:rPr>
            </w:pPr>
            <w:r>
              <w:rPr>
                <w:rFonts w:ascii="Arial" w:cs="Arial" w:eastAsia="Arial" w:hAnsi="Arial"/>
                <w:sz w:val="18"/>
                <w:szCs w:val="18"/>
                <w:color w:val="auto"/>
              </w:rPr>
              <w:t>57.8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0"/>
        </w:trPr>
        <w:tc>
          <w:tcPr>
            <w:tcW w:w="3040" w:type="dxa"/>
            <w:vAlign w:val="bottom"/>
            <w:shd w:val="clear" w:color="auto" w:fill="D1EDF5"/>
          </w:tcPr>
          <w:p>
            <w:pPr>
              <w:ind w:left="300"/>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D1EDF5"/>
          </w:tcPr>
          <w:p>
            <w:pPr>
              <w:spacing w:after="0"/>
              <w:rPr>
                <w:sz w:val="20"/>
                <w:szCs w:val="20"/>
                <w:color w:val="auto"/>
              </w:rPr>
            </w:pPr>
          </w:p>
        </w:tc>
        <w:tc>
          <w:tcPr>
            <w:tcW w:w="290" w:type="dxa"/>
            <w:vAlign w:val="bottom"/>
            <w:shd w:val="clear" w:color="auto" w:fill="D1EDF5"/>
          </w:tcPr>
          <w:p>
            <w:pPr>
              <w:spacing w:after="0"/>
              <w:rPr>
                <w:sz w:val="20"/>
                <w:szCs w:val="20"/>
                <w:color w:val="auto"/>
              </w:rPr>
            </w:pPr>
          </w:p>
        </w:tc>
        <w:tc>
          <w:tcPr>
            <w:tcW w:w="110" w:type="dxa"/>
            <w:vAlign w:val="bottom"/>
            <w:shd w:val="clear" w:color="auto" w:fill="D1EDF5"/>
          </w:tcPr>
          <w:p>
            <w:pPr>
              <w:spacing w:after="0"/>
              <w:rPr>
                <w:sz w:val="20"/>
                <w:szCs w:val="20"/>
                <w:color w:val="auto"/>
              </w:rPr>
            </w:pPr>
          </w:p>
        </w:tc>
        <w:tc>
          <w:tcPr>
            <w:tcW w:w="140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4,814</w:t>
            </w:r>
          </w:p>
        </w:tc>
        <w:tc>
          <w:tcPr>
            <w:tcW w:w="280" w:type="dxa"/>
            <w:vAlign w:val="bottom"/>
            <w:shd w:val="clear" w:color="auto" w:fill="D1EDF5"/>
          </w:tcPr>
          <w:p>
            <w:pPr>
              <w:spacing w:after="0"/>
              <w:rPr>
                <w:sz w:val="20"/>
                <w:szCs w:val="20"/>
                <w:color w:val="auto"/>
              </w:rPr>
            </w:pPr>
          </w:p>
        </w:tc>
        <w:tc>
          <w:tcPr>
            <w:tcW w:w="1460" w:type="dxa"/>
            <w:vAlign w:val="bottom"/>
            <w:shd w:val="clear" w:color="auto" w:fill="D1EDF5"/>
          </w:tcPr>
          <w:p>
            <w:pPr>
              <w:jc w:val="right"/>
              <w:ind w:right="3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60" w:type="dxa"/>
            <w:vAlign w:val="bottom"/>
            <w:gridSpan w:val="2"/>
            <w:shd w:val="clear" w:color="auto" w:fill="D1EDF5"/>
          </w:tcPr>
          <w:p>
            <w:pPr>
              <w:spacing w:after="0"/>
              <w:rPr>
                <w:sz w:val="20"/>
                <w:szCs w:val="20"/>
                <w:color w:val="auto"/>
              </w:rPr>
            </w:pPr>
          </w:p>
        </w:tc>
        <w:tc>
          <w:tcPr>
            <w:tcW w:w="1400" w:type="dxa"/>
            <w:vAlign w:val="bottom"/>
            <w:shd w:val="clear" w:color="auto" w:fill="D1EDF5"/>
          </w:tcPr>
          <w:p>
            <w:pPr>
              <w:ind w:left="94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0" w:type="dxa"/>
            <w:vAlign w:val="bottom"/>
          </w:tcPr>
          <w:p>
            <w:pPr>
              <w:spacing w:after="0"/>
              <w:rPr>
                <w:sz w:val="1"/>
                <w:szCs w:val="1"/>
                <w:color w:val="auto"/>
              </w:rPr>
            </w:pPr>
          </w:p>
        </w:tc>
      </w:tr>
      <w:tr>
        <w:trPr>
          <w:trHeight w:val="240"/>
        </w:trPr>
        <w:tc>
          <w:tcPr>
            <w:tcW w:w="3060" w:type="dxa"/>
            <w:vAlign w:val="bottom"/>
            <w:gridSpan w:val="2"/>
          </w:tcPr>
          <w:p>
            <w:pPr>
              <w:ind w:left="300"/>
              <w:spacing w:after="0"/>
              <w:rPr>
                <w:sz w:val="20"/>
                <w:szCs w:val="20"/>
                <w:color w:val="auto"/>
              </w:rPr>
            </w:pPr>
            <w:r>
              <w:rPr>
                <w:rFonts w:ascii="Arial" w:cs="Arial" w:eastAsia="Arial" w:hAnsi="Arial"/>
                <w:sz w:val="18"/>
                <w:szCs w:val="18"/>
                <w:color w:val="auto"/>
              </w:rPr>
              <w:t>Correspondent Banks</w:t>
            </w:r>
          </w:p>
        </w:tc>
        <w:tc>
          <w:tcPr>
            <w:tcW w:w="290" w:type="dxa"/>
            <w:vAlign w:val="bottom"/>
          </w:tcPr>
          <w:p>
            <w:pPr>
              <w:spacing w:after="0"/>
              <w:rPr>
                <w:sz w:val="20"/>
                <w:szCs w:val="20"/>
                <w:color w:val="auto"/>
              </w:rPr>
            </w:pPr>
          </w:p>
        </w:tc>
        <w:tc>
          <w:tcPr>
            <w:tcW w:w="1510" w:type="dxa"/>
            <w:vAlign w:val="bottom"/>
            <w:gridSpan w:val="2"/>
          </w:tcPr>
          <w:p>
            <w:pPr>
              <w:jc w:val="right"/>
              <w:ind w:right="10"/>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w:t>
            </w:r>
          </w:p>
        </w:tc>
        <w:tc>
          <w:tcPr>
            <w:tcW w:w="1820" w:type="dxa"/>
            <w:vAlign w:val="bottom"/>
            <w:gridSpan w:val="5"/>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2"/>
        </w:trPr>
        <w:tc>
          <w:tcPr>
            <w:tcW w:w="3040" w:type="dxa"/>
            <w:vAlign w:val="bottom"/>
            <w:tcBorders>
              <w:bottom w:val="single" w:sz="8" w:color="D1EDF5"/>
            </w:tcBorders>
            <w:shd w:val="clear" w:color="auto" w:fill="D1EDF5"/>
          </w:tcPr>
          <w:p>
            <w:pPr>
              <w:ind w:left="300"/>
              <w:spacing w:after="0"/>
              <w:rPr>
                <w:sz w:val="20"/>
                <w:szCs w:val="20"/>
                <w:color w:val="auto"/>
              </w:rPr>
            </w:pPr>
            <w:r>
              <w:rPr>
                <w:rFonts w:ascii="Arial" w:cs="Arial" w:eastAsia="Arial" w:hAnsi="Arial"/>
                <w:sz w:val="18"/>
                <w:szCs w:val="18"/>
                <w:color w:val="auto"/>
              </w:rPr>
              <w:t>Consumer and Other</w:t>
            </w:r>
          </w:p>
        </w:tc>
        <w:tc>
          <w:tcPr>
            <w:tcW w:w="20" w:type="dxa"/>
            <w:vAlign w:val="bottom"/>
            <w:tcBorders>
              <w:bottom w:val="single" w:sz="8" w:color="D1EDF5"/>
            </w:tcBorders>
            <w:shd w:val="clear" w:color="auto" w:fill="D1EDF5"/>
          </w:tcPr>
          <w:p>
            <w:pPr>
              <w:spacing w:after="0"/>
              <w:rPr>
                <w:sz w:val="20"/>
                <w:szCs w:val="20"/>
                <w:color w:val="auto"/>
              </w:rPr>
            </w:pPr>
          </w:p>
        </w:tc>
        <w:tc>
          <w:tcPr>
            <w:tcW w:w="290" w:type="dxa"/>
            <w:vAlign w:val="bottom"/>
            <w:tcBorders>
              <w:bottom w:val="single" w:sz="8" w:color="auto"/>
            </w:tcBorders>
            <w:shd w:val="clear" w:color="auto" w:fill="D1EDF5"/>
          </w:tcPr>
          <w:p>
            <w:pPr>
              <w:spacing w:after="0"/>
              <w:rPr>
                <w:sz w:val="20"/>
                <w:szCs w:val="20"/>
                <w:color w:val="auto"/>
              </w:rPr>
            </w:pPr>
          </w:p>
        </w:tc>
        <w:tc>
          <w:tcPr>
            <w:tcW w:w="110" w:type="dxa"/>
            <w:vAlign w:val="bottom"/>
            <w:tcBorders>
              <w:bottom w:val="single" w:sz="8" w:color="auto"/>
            </w:tcBorders>
            <w:shd w:val="clear" w:color="auto" w:fill="D1EDF5"/>
          </w:tcPr>
          <w:p>
            <w:pPr>
              <w:spacing w:after="0"/>
              <w:rPr>
                <w:sz w:val="20"/>
                <w:szCs w:val="20"/>
                <w:color w:val="auto"/>
              </w:rPr>
            </w:pPr>
          </w:p>
        </w:tc>
        <w:tc>
          <w:tcPr>
            <w:tcW w:w="140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4,287</w:t>
            </w:r>
          </w:p>
        </w:tc>
        <w:tc>
          <w:tcPr>
            <w:tcW w:w="280" w:type="dxa"/>
            <w:vAlign w:val="bottom"/>
            <w:tcBorders>
              <w:bottom w:val="single" w:sz="8" w:color="D1EDF5"/>
            </w:tcBorders>
            <w:shd w:val="clear" w:color="auto" w:fill="D1EDF5"/>
          </w:tcPr>
          <w:p>
            <w:pPr>
              <w:spacing w:after="0"/>
              <w:rPr>
                <w:sz w:val="20"/>
                <w:szCs w:val="20"/>
                <w:color w:val="auto"/>
              </w:rPr>
            </w:pPr>
          </w:p>
        </w:tc>
        <w:tc>
          <w:tcPr>
            <w:tcW w:w="1460" w:type="dxa"/>
            <w:vAlign w:val="bottom"/>
            <w:tcBorders>
              <w:bottom w:val="single" w:sz="8" w:color="auto"/>
            </w:tcBorders>
            <w:shd w:val="clear" w:color="auto" w:fill="D1EDF5"/>
          </w:tcPr>
          <w:p>
            <w:pPr>
              <w:jc w:val="right"/>
              <w:ind w:right="30"/>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28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400" w:type="dxa"/>
            <w:vAlign w:val="bottom"/>
            <w:tcBorders>
              <w:bottom w:val="single" w:sz="8" w:color="auto"/>
            </w:tcBorders>
            <w:shd w:val="clear" w:color="auto" w:fill="D1EDF5"/>
          </w:tcPr>
          <w:p>
            <w:pPr>
              <w:spacing w:after="0"/>
              <w:rPr>
                <w:sz w:val="20"/>
                <w:szCs w:val="20"/>
                <w:color w:val="auto"/>
              </w:rPr>
            </w:pPr>
          </w:p>
        </w:tc>
        <w:tc>
          <w:tcPr>
            <w:tcW w:w="1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auto"/>
            </w:tcBorders>
            <w:shd w:val="clear" w:color="auto" w:fill="D1EDF5"/>
          </w:tcPr>
          <w:p>
            <w:pPr>
              <w:spacing w:after="0"/>
              <w:rPr>
                <w:sz w:val="20"/>
                <w:szCs w:val="20"/>
                <w:color w:val="auto"/>
              </w:rPr>
            </w:pPr>
          </w:p>
        </w:tc>
        <w:tc>
          <w:tcPr>
            <w:tcW w:w="26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40" w:type="dxa"/>
            <w:vAlign w:val="bottom"/>
            <w:tcBorders>
              <w:bottom w:val="single" w:sz="8" w:color="auto"/>
            </w:tcBorders>
            <w:shd w:val="clear" w:color="auto" w:fill="D1EDF5"/>
          </w:tcPr>
          <w:p>
            <w:pPr>
              <w:spacing w:after="0"/>
              <w:rPr>
                <w:sz w:val="20"/>
                <w:szCs w:val="20"/>
                <w:color w:val="auto"/>
              </w:rPr>
            </w:pPr>
          </w:p>
        </w:tc>
        <w:tc>
          <w:tcPr>
            <w:tcW w:w="1400" w:type="dxa"/>
            <w:vAlign w:val="bottom"/>
            <w:tcBorders>
              <w:bottom w:val="single" w:sz="8" w:color="auto"/>
            </w:tcBorders>
            <w:shd w:val="clear" w:color="auto" w:fill="D1EDF5"/>
          </w:tcPr>
          <w:p>
            <w:pPr>
              <w:ind w:left="940"/>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0" w:type="dxa"/>
            <w:vAlign w:val="bottom"/>
          </w:tcPr>
          <w:p>
            <w:pPr>
              <w:spacing w:after="0"/>
              <w:rPr>
                <w:sz w:val="1"/>
                <w:szCs w:val="1"/>
                <w:color w:val="auto"/>
              </w:rPr>
            </w:pPr>
          </w:p>
        </w:tc>
      </w:tr>
      <w:tr>
        <w:trPr>
          <w:trHeight w:val="279"/>
        </w:trPr>
        <w:tc>
          <w:tcPr>
            <w:tcW w:w="306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9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1510" w:type="dxa"/>
            <w:vAlign w:val="bottom"/>
            <w:gridSpan w:val="2"/>
          </w:tcPr>
          <w:p>
            <w:pPr>
              <w:jc w:val="right"/>
              <w:ind w:right="10"/>
              <w:spacing w:after="0"/>
              <w:rPr>
                <w:sz w:val="20"/>
                <w:szCs w:val="20"/>
                <w:color w:val="auto"/>
              </w:rPr>
            </w:pPr>
            <w:r>
              <w:rPr>
                <w:rFonts w:ascii="Arial" w:cs="Arial" w:eastAsia="Arial" w:hAnsi="Arial"/>
                <w:sz w:val="18"/>
                <w:szCs w:val="18"/>
                <w:color w:val="auto"/>
              </w:rPr>
              <w:t>25,500</w:t>
            </w:r>
          </w:p>
        </w:tc>
        <w:tc>
          <w:tcPr>
            <w:tcW w:w="2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7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24,070</w:t>
            </w:r>
          </w:p>
        </w:tc>
        <w:tc>
          <w:tcPr>
            <w:tcW w:w="2060" w:type="dxa"/>
            <w:vAlign w:val="bottom"/>
            <w:gridSpan w:val="6"/>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90" w:type="dxa"/>
            <w:vAlign w:val="bottom"/>
            <w:tcBorders>
              <w:bottom w:val="single" w:sz="8" w:color="auto"/>
            </w:tcBorders>
          </w:tcPr>
          <w:p>
            <w:pPr>
              <w:spacing w:after="0"/>
              <w:rPr>
                <w:sz w:val="3"/>
                <w:szCs w:val="3"/>
                <w:color w:val="auto"/>
              </w:rPr>
            </w:pPr>
          </w:p>
        </w:tc>
        <w:tc>
          <w:tcPr>
            <w:tcW w:w="11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tabs>
          <w:tab w:leader="none" w:pos="380" w:val="left"/>
          <w:tab w:leader="none" w:pos="2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980"/>
          </w:cols>
          <w:pgMar w:left="720" w:top="355" w:right="540" w:bottom="0" w:gutter="0" w:footer="0" w:header="0"/>
        </w:sectPr>
      </w:pPr>
    </w:p>
    <w:bookmarkStart w:id="68" w:name="page69"/>
    <w:bookmarkEnd w:id="68"/>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Bank-Owned Life Insurance</w:t>
      </w:r>
    </w:p>
    <w:p>
      <w:pPr>
        <w:spacing w:after="0" w:line="235"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20"/>
          <w:szCs w:val="20"/>
          <w:color w:val="auto"/>
        </w:rPr>
        <w:t>At December 31, 2025, the combined cash surrender value of all bank-owned life insurance (“BOLI”) policies was $59.4 million. Changes in cash surrender value are recorded in non- interest income on the Consolidated Statements of Operations. In 2025, the Company maintained BOLI policies with five insurance carriers. The Company is the beneficiary of these policies.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Deposits</w:t>
      </w:r>
    </w:p>
    <w:p>
      <w:pPr>
        <w:spacing w:after="0" w:line="2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 has created a strong brand recognition within our depositors, which reflects in the composition of our deposits; most of our funding sources are customer deposits. In addition to our banking centers network, we have developed business verticals to diversify our portfolio in different specialty industries and we offer public fund deposit products to municipalities and public agencies in our geographical footprint.</w:t>
      </w:r>
    </w:p>
    <w:p>
      <w:pPr>
        <w:spacing w:after="0" w:line="18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Furthermore,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daily average balance and average rate paid on deposits by category for the years ended December 31, 2025 and 2024 (in thousands, except ratios):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8"/>
                <w:szCs w:val="18"/>
                <w:b w:val="1"/>
                <w:bCs w:val="1"/>
                <w:color w:val="auto"/>
              </w:rPr>
              <w:t>Years Ended December 31,</w:t>
            </w:r>
          </w:p>
        </w:tc>
        <w:tc>
          <w:tcPr>
            <w:tcW w:w="1320" w:type="dxa"/>
            <w:vAlign w:val="bottom"/>
            <w:tcBorders>
              <w:bottom w:val="single" w:sz="8" w:color="auto"/>
            </w:tcBorders>
          </w:tcPr>
          <w:p>
            <w:pPr>
              <w:spacing w:after="0"/>
              <w:rPr>
                <w:sz w:val="19"/>
                <w:szCs w:val="19"/>
                <w:color w:val="auto"/>
              </w:rPr>
            </w:pPr>
          </w:p>
        </w:tc>
      </w:tr>
      <w:tr>
        <w:trPr>
          <w:trHeight w:val="230"/>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1320" w:type="dxa"/>
            <w:vAlign w:val="bottom"/>
            <w:tcBorders>
              <w:bottom w:val="single" w:sz="8" w:color="auto"/>
            </w:tcBorders>
          </w:tcPr>
          <w:p>
            <w:pPr>
              <w:spacing w:after="0"/>
              <w:rPr>
                <w:sz w:val="19"/>
                <w:szCs w:val="19"/>
                <w:color w:val="auto"/>
              </w:rPr>
            </w:pPr>
          </w:p>
        </w:tc>
      </w:tr>
      <w:tr>
        <w:trPr>
          <w:trHeight w:val="242"/>
        </w:trPr>
        <w:tc>
          <w:tcPr>
            <w:tcW w:w="4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 Rate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 Rate</w:t>
            </w:r>
          </w:p>
        </w:tc>
      </w:tr>
      <w:tr>
        <w:trPr>
          <w:trHeight w:val="230"/>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Average Balance</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Paid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Average Balance</w:t>
            </w: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Paid</w:t>
            </w:r>
          </w:p>
        </w:tc>
      </w:tr>
      <w:tr>
        <w:trPr>
          <w:trHeight w:val="230"/>
        </w:trPr>
        <w:tc>
          <w:tcPr>
            <w:tcW w:w="452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Non-interest bearing demand deposits</w:t>
            </w: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4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577,232</w:t>
            </w:r>
          </w:p>
        </w:tc>
        <w:tc>
          <w:tcPr>
            <w:tcW w:w="8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3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596,073</w:t>
            </w:r>
          </w:p>
        </w:tc>
        <w:tc>
          <w:tcPr>
            <w:tcW w:w="8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3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0.00%</w:t>
            </w:r>
          </w:p>
        </w:tc>
      </w:tr>
      <w:tr>
        <w:trPr>
          <w:trHeight w:val="240"/>
        </w:trPr>
        <w:tc>
          <w:tcPr>
            <w:tcW w:w="4520" w:type="dxa"/>
            <w:vAlign w:val="bottom"/>
            <w:gridSpan w:val="2"/>
          </w:tcPr>
          <w:p>
            <w:pPr>
              <w:spacing w:after="0"/>
              <w:rPr>
                <w:sz w:val="20"/>
                <w:szCs w:val="20"/>
                <w:color w:val="auto"/>
              </w:rPr>
            </w:pPr>
            <w:r>
              <w:rPr>
                <w:rFonts w:ascii="Arial" w:cs="Arial" w:eastAsia="Arial" w:hAnsi="Arial"/>
                <w:sz w:val="18"/>
                <w:szCs w:val="18"/>
                <w:color w:val="auto"/>
              </w:rPr>
              <w:t>Interest-bearing demand deposits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51,803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54,667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40"/>
        </w:trPr>
        <w:tc>
          <w:tcPr>
            <w:tcW w:w="452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1,255,719</w:t>
            </w:r>
          </w:p>
        </w:tc>
        <w:tc>
          <w:tcPr>
            <w:tcW w:w="8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3.03%</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1,109,853</w:t>
            </w:r>
          </w:p>
        </w:tc>
        <w:tc>
          <w:tcPr>
            <w:tcW w:w="8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3.61%</w:t>
            </w:r>
          </w:p>
        </w:tc>
      </w:tr>
      <w:tr>
        <w:trPr>
          <w:trHeight w:val="240"/>
        </w:trPr>
        <w:tc>
          <w:tcPr>
            <w:tcW w:w="452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470,213</w:t>
            </w:r>
          </w:p>
        </w:tc>
        <w:tc>
          <w:tcPr>
            <w:tcW w:w="80" w:type="dxa"/>
            <w:vAlign w:val="bottom"/>
            <w:tcBorders>
              <w:bottom w:val="single" w:sz="8" w:color="D1EDF5"/>
            </w:tcBorders>
          </w:tcPr>
          <w:p>
            <w:pPr>
              <w:spacing w:after="0"/>
              <w:rPr>
                <w:sz w:val="20"/>
                <w:szCs w:val="20"/>
                <w:color w:val="auto"/>
              </w:rPr>
            </w:pPr>
          </w:p>
        </w:tc>
        <w:tc>
          <w:tcPr>
            <w:tcW w:w="100" w:type="dxa"/>
            <w:vAlign w:val="bottom"/>
            <w:tcBorders>
              <w:bottom w:val="single" w:sz="8" w:color="D1EDF5"/>
            </w:tcBorders>
          </w:tcPr>
          <w:p>
            <w:pPr>
              <w:spacing w:after="0"/>
              <w:rPr>
                <w:sz w:val="20"/>
                <w:szCs w:val="20"/>
                <w:color w:val="auto"/>
              </w:rPr>
            </w:pPr>
          </w:p>
        </w:tc>
        <w:tc>
          <w:tcPr>
            <w:tcW w:w="13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3.85%</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326,373</w:t>
            </w:r>
          </w:p>
        </w:tc>
        <w:tc>
          <w:tcPr>
            <w:tcW w:w="80" w:type="dxa"/>
            <w:vAlign w:val="bottom"/>
            <w:tcBorders>
              <w:bottom w:val="single" w:sz="8" w:color="D1EDF5"/>
            </w:tcBorders>
          </w:tcPr>
          <w:p>
            <w:pPr>
              <w:spacing w:after="0"/>
              <w:rPr>
                <w:sz w:val="20"/>
                <w:szCs w:val="20"/>
                <w:color w:val="auto"/>
              </w:rPr>
            </w:pPr>
          </w:p>
        </w:tc>
        <w:tc>
          <w:tcPr>
            <w:tcW w:w="100" w:type="dxa"/>
            <w:vAlign w:val="bottom"/>
            <w:tcBorders>
              <w:bottom w:val="single" w:sz="8" w:color="D1EDF5"/>
            </w:tcBorders>
          </w:tcPr>
          <w:p>
            <w:pPr>
              <w:spacing w:after="0"/>
              <w:rPr>
                <w:sz w:val="20"/>
                <w:szCs w:val="20"/>
                <w:color w:val="auto"/>
              </w:rPr>
            </w:pPr>
          </w:p>
        </w:tc>
        <w:tc>
          <w:tcPr>
            <w:tcW w:w="13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4.09%</w:t>
            </w:r>
          </w:p>
        </w:tc>
      </w:tr>
      <w:tr>
        <w:trPr>
          <w:trHeight w:val="245"/>
        </w:trPr>
        <w:tc>
          <w:tcPr>
            <w:tcW w:w="4500" w:type="dxa"/>
            <w:vAlign w:val="bottom"/>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2,354,967</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spacing w:after="0"/>
              <w:rPr>
                <w:sz w:val="21"/>
                <w:szCs w:val="21"/>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2,086,966</w:t>
            </w:r>
          </w:p>
        </w:tc>
        <w:tc>
          <w:tcPr>
            <w:tcW w:w="80" w:type="dxa"/>
            <w:vAlign w:val="bottom"/>
            <w:shd w:val="clear" w:color="auto" w:fill="D1EDF5"/>
          </w:tcPr>
          <w:p>
            <w:pPr>
              <w:spacing w:after="0"/>
              <w:rPr>
                <w:sz w:val="21"/>
                <w:szCs w:val="21"/>
                <w:color w:val="auto"/>
              </w:rPr>
            </w:pPr>
          </w:p>
        </w:tc>
        <w:tc>
          <w:tcPr>
            <w:tcW w:w="100" w:type="dxa"/>
            <w:vAlign w:val="bottom"/>
            <w:shd w:val="clear" w:color="auto" w:fill="D1EDF5"/>
          </w:tcPr>
          <w:p>
            <w:pPr>
              <w:spacing w:after="0"/>
              <w:rPr>
                <w:sz w:val="21"/>
                <w:szCs w:val="21"/>
                <w:color w:val="auto"/>
              </w:rPr>
            </w:pPr>
          </w:p>
        </w:tc>
        <w:tc>
          <w:tcPr>
            <w:tcW w:w="13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20"/>
          <w:szCs w:val="20"/>
          <w:color w:val="auto"/>
        </w:rPr>
        <w:t>Total average deposits for the year ended December 31, 2025 was $2.4 billion, an increase of $268.0 million, or 12.8% over total average deposits of $2.1 billion for the same period in 2024. The greatest increase was in savings and money market deposits which increased by $145.9 million, or 13.1%. Non-interest-bearing demand deposits decreased by $18.8 million or 3.2%.</w:t>
      </w:r>
    </w:p>
    <w:p>
      <w:pPr>
        <w:spacing w:after="0" w:line="179" w:lineRule="exact"/>
        <w:rPr>
          <w:sz w:val="20"/>
          <w:szCs w:val="20"/>
          <w:color w:val="auto"/>
        </w:rPr>
      </w:pPr>
    </w:p>
    <w:p>
      <w:pPr>
        <w:jc w:val="both"/>
        <w:ind w:firstLine="361"/>
        <w:spacing w:after="0" w:line="245" w:lineRule="auto"/>
        <w:rPr>
          <w:sz w:val="20"/>
          <w:szCs w:val="20"/>
          <w:color w:val="auto"/>
        </w:rPr>
      </w:pPr>
      <w:r>
        <w:rPr>
          <w:rFonts w:ascii="Arial" w:cs="Arial" w:eastAsia="Arial" w:hAnsi="Arial"/>
          <w:sz w:val="20"/>
          <w:szCs w:val="20"/>
          <w:color w:val="auto"/>
        </w:rPr>
        <w:t>The uninsured deposits are estimated based on the FDIC deposit insurance limit of $250 thousand for all deposit accounts at the Bank per account holder. Total estimated uninsured deposits was $1.2 billion at December 31, 2025 and at December 31, 2024. As of December 31, 2025, 49% of our deposits were estimated to be FDIC-insured. At December 31, 2025, our deposit portfolio included 7% of total deposits were public funds (partially collateralized), 11% of total deposits were brokered deposits (FDIC- insured), and 8% were deposits in ICS/CDARs deposit programs (FDIC-insured). The estimated average account size of our deposit portfolio is $113 thousand. Time deposits with balances of $ 250 thousand or more totaled $111.5 million and $94.0 million at December 31, 2025 and 2024, respectively. At December 31, 2025, our top 10 depositors held 15.59% of our total deposit portfolio. At December 31, 2024, our top 10 depositors held 16.7% of our total deposit portfolio.</w:t>
      </w:r>
    </w:p>
    <w:p>
      <w:pPr>
        <w:spacing w:after="0" w:line="18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Critical elements of our liquidity risk management include: effective corporate governance consisting of oversight by the Board and ALCO and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w:t>
      </w:r>
    </w:p>
    <w:p>
      <w:pPr>
        <w:spacing w:after="0" w:line="200" w:lineRule="exact"/>
        <w:rPr>
          <w:sz w:val="20"/>
          <w:szCs w:val="20"/>
          <w:color w:val="auto"/>
        </w:rPr>
      </w:pPr>
    </w:p>
    <w:p>
      <w:pPr>
        <w:spacing w:after="0" w:line="25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69" w:name="page70"/>
    <w:bookmarkEnd w:id="69"/>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requirements; and internal controls and internal audit processes sufficient to determine the adequacy of the institution’s liquidity risk management process.</w:t>
      </w:r>
    </w:p>
    <w:p>
      <w:pPr>
        <w:spacing w:after="0" w:line="15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services certificates of deposit, Fed Funds lines and borrowings from the FHLB Atlanta. Accordingly, our liquidity resources were at sufficient levels to fund loans and meet other cash needs as necessary.</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shows scheduled maturities of uninsured time deposits as of December 31, 2025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5715000</wp:posOffset>
                </wp:positionH>
                <wp:positionV relativeFrom="paragraph">
                  <wp:posOffset>160655</wp:posOffset>
                </wp:positionV>
                <wp:extent cx="11430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30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pt,12.65pt" to="540pt,12.65pt" o:allowincell="f" strokecolor="#000000" strokeweight="0.4809pt"/>
            </w:pict>
          </mc:Fallback>
        </mc:AlternateConten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0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D1EDF5"/>
            </w:tcBorders>
          </w:tcPr>
          <w:p>
            <w:pPr>
              <w:spacing w:after="0"/>
              <w:rPr>
                <w:sz w:val="19"/>
                <w:szCs w:val="19"/>
                <w:color w:val="auto"/>
              </w:rPr>
            </w:pPr>
          </w:p>
        </w:tc>
        <w:tc>
          <w:tcPr>
            <w:tcW w:w="1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44"/>
        </w:trPr>
        <w:tc>
          <w:tcPr>
            <w:tcW w:w="8800" w:type="dxa"/>
            <w:vAlign w:val="bottom"/>
            <w:shd w:val="clear" w:color="auto" w:fill="D1EDF5"/>
          </w:tcPr>
          <w:p>
            <w:pPr>
              <w:ind w:left="40"/>
              <w:spacing w:after="0"/>
              <w:rPr>
                <w:sz w:val="20"/>
                <w:szCs w:val="20"/>
                <w:color w:val="auto"/>
              </w:rPr>
            </w:pPr>
            <w:r>
              <w:rPr>
                <w:rFonts w:ascii="Arial" w:cs="Arial" w:eastAsia="Arial" w:hAnsi="Arial"/>
                <w:sz w:val="18"/>
                <w:szCs w:val="18"/>
                <w:color w:val="auto"/>
              </w:rPr>
              <w:t>Three months or less</w:t>
            </w:r>
          </w:p>
        </w:tc>
        <w:tc>
          <w:tcPr>
            <w:tcW w:w="20" w:type="dxa"/>
            <w:vAlign w:val="bottom"/>
            <w:shd w:val="clear" w:color="auto" w:fill="D1EDF5"/>
          </w:tcPr>
          <w:p>
            <w:pPr>
              <w:spacing w:after="0"/>
              <w:rPr>
                <w:sz w:val="21"/>
                <w:szCs w:val="21"/>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80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59,593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Over three through six months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16,190</w:t>
            </w:r>
          </w:p>
        </w:tc>
      </w:tr>
      <w:tr>
        <w:trPr>
          <w:trHeight w:val="254"/>
        </w:trPr>
        <w:tc>
          <w:tcPr>
            <w:tcW w:w="8800" w:type="dxa"/>
            <w:vAlign w:val="bottom"/>
            <w:shd w:val="clear" w:color="auto" w:fill="D1EDF5"/>
          </w:tcPr>
          <w:p>
            <w:pPr>
              <w:ind w:left="40"/>
              <w:spacing w:after="0"/>
              <w:rPr>
                <w:sz w:val="20"/>
                <w:szCs w:val="20"/>
                <w:color w:val="auto"/>
              </w:rPr>
            </w:pPr>
            <w:r>
              <w:rPr>
                <w:rFonts w:ascii="Arial" w:cs="Arial" w:eastAsia="Arial" w:hAnsi="Arial"/>
                <w:sz w:val="18"/>
                <w:szCs w:val="18"/>
                <w:color w:val="auto"/>
              </w:rPr>
              <w:t>Over six through twelve months</w:t>
            </w: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180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9,552</w:t>
            </w:r>
          </w:p>
        </w:tc>
      </w:tr>
      <w:tr>
        <w:trPr>
          <w:trHeight w:val="254"/>
        </w:trPr>
        <w:tc>
          <w:tcPr>
            <w:tcW w:w="8800" w:type="dxa"/>
            <w:vAlign w:val="bottom"/>
            <w:tcBorders>
              <w:bottom w:val="single" w:sz="8" w:color="D1EDF5"/>
            </w:tcBorders>
          </w:tcPr>
          <w:p>
            <w:pPr>
              <w:ind w:left="40"/>
              <w:spacing w:after="0"/>
              <w:rPr>
                <w:sz w:val="20"/>
                <w:szCs w:val="20"/>
                <w:color w:val="auto"/>
              </w:rPr>
            </w:pPr>
            <w:r>
              <w:rPr>
                <w:rFonts w:ascii="Arial" w:cs="Arial" w:eastAsia="Arial" w:hAnsi="Arial"/>
                <w:sz w:val="18"/>
                <w:szCs w:val="18"/>
                <w:color w:val="auto"/>
              </w:rPr>
              <w:t>Over twelve months</w:t>
            </w: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26,146</w:t>
            </w:r>
          </w:p>
        </w:tc>
      </w:tr>
      <w:tr>
        <w:trPr>
          <w:trHeight w:val="246"/>
        </w:trPr>
        <w:tc>
          <w:tcPr>
            <w:tcW w:w="8800" w:type="dxa"/>
            <w:vAlign w:val="bottom"/>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80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111,481</w:t>
            </w:r>
          </w:p>
        </w:tc>
      </w:tr>
      <w:tr>
        <w:trPr>
          <w:trHeight w:val="20"/>
        </w:trPr>
        <w:tc>
          <w:tcPr>
            <w:tcW w:w="8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Borrowings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FHLB Advances</w:t>
      </w:r>
    </w:p>
    <w:p>
      <w:pPr>
        <w:spacing w:after="0" w:line="22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As a member of the FHLB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Outstanding fixed-rate advances from the FHLB were at $158.3 million and $163.0 million, as of December 31, 2025, and December 31, 2024, respectively. The weighted average rate for outstanding FHLB advances was 3.8% as of December 31, 2025 and 2024.</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FHLB fixed-rate advances as of December 31, 2025 (in thousands):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6858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540pt,2.05pt" o:allowincell="f" strokecolor="#000000" strokeweight="0.48pt"/>
            </w:pict>
          </mc:Fallback>
        </mc:AlternateConten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Borders>
              <w:bottom w:val="single" w:sz="8" w:color="D1EDF5"/>
            </w:tcBorders>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Maturity Date</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Amount</w:t>
            </w:r>
          </w:p>
        </w:tc>
      </w:tr>
      <w:tr>
        <w:trPr>
          <w:trHeight w:val="213"/>
        </w:trPr>
        <w:tc>
          <w:tcPr>
            <w:tcW w:w="256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D1EDF5"/>
            </w:tcBorders>
            <w:shd w:val="clear" w:color="auto" w:fill="D1EDF5"/>
          </w:tcPr>
          <w:p>
            <w:pPr>
              <w:spacing w:after="0"/>
              <w:rPr>
                <w:sz w:val="18"/>
                <w:szCs w:val="18"/>
                <w:color w:val="auto"/>
              </w:rPr>
            </w:pPr>
          </w:p>
        </w:tc>
        <w:tc>
          <w:tcPr>
            <w:tcW w:w="258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1EDF5"/>
          </w:tcPr>
          <w:p>
            <w:pPr>
              <w:spacing w:after="0"/>
              <w:rPr>
                <w:sz w:val="18"/>
                <w:szCs w:val="18"/>
                <w:color w:val="auto"/>
              </w:rPr>
            </w:pPr>
          </w:p>
        </w:tc>
        <w:tc>
          <w:tcPr>
            <w:tcW w:w="60" w:type="dxa"/>
            <w:vAlign w:val="bottom"/>
            <w:tcBorders>
              <w:bottom w:val="single" w:sz="8" w:color="D1EDF5"/>
            </w:tcBorders>
            <w:shd w:val="clear" w:color="auto" w:fill="D1EDF5"/>
          </w:tcPr>
          <w:p>
            <w:pPr>
              <w:spacing w:after="0"/>
              <w:rPr>
                <w:sz w:val="18"/>
                <w:szCs w:val="18"/>
                <w:color w:val="auto"/>
              </w:rPr>
            </w:pPr>
          </w:p>
        </w:tc>
        <w:tc>
          <w:tcPr>
            <w:tcW w:w="2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March 16,</w:t>
            </w:r>
          </w:p>
        </w:tc>
        <w:tc>
          <w:tcPr>
            <w:tcW w:w="4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99"/>
              </w:rPr>
              <w:t>2026</w:t>
            </w:r>
          </w:p>
        </w:tc>
        <w:tc>
          <w:tcPr>
            <w:tcW w:w="100" w:type="dxa"/>
            <w:vAlign w:val="bottom"/>
            <w:tcBorders>
              <w:bottom w:val="single" w:sz="8" w:color="D1EDF5"/>
            </w:tcBorders>
            <w:shd w:val="clear" w:color="auto" w:fill="D1EDF5"/>
          </w:tcPr>
          <w:p>
            <w:pPr>
              <w:spacing w:after="0"/>
              <w:rPr>
                <w:sz w:val="18"/>
                <w:szCs w:val="18"/>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104,750</w:t>
            </w:r>
          </w:p>
        </w:tc>
      </w:tr>
      <w:tr>
        <w:trPr>
          <w:trHeight w:val="237"/>
        </w:trPr>
        <w:tc>
          <w:tcPr>
            <w:tcW w:w="2560" w:type="dxa"/>
            <w:vAlign w:val="bottom"/>
          </w:tcPr>
          <w:p>
            <w:pPr>
              <w:jc w:val="center"/>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gridSpan w:val="3"/>
          </w:tcPr>
          <w:p>
            <w:pPr>
              <w:ind w:left="1480"/>
              <w:spacing w:after="0"/>
              <w:rPr>
                <w:sz w:val="20"/>
                <w:szCs w:val="20"/>
                <w:color w:val="auto"/>
              </w:rPr>
            </w:pPr>
            <w:r>
              <w:rPr>
                <w:rFonts w:ascii="Arial" w:cs="Arial" w:eastAsia="Arial" w:hAnsi="Arial"/>
                <w:sz w:val="18"/>
                <w:szCs w:val="18"/>
                <w:color w:val="auto"/>
              </w:rPr>
              <w:t>May 22, 2026</w:t>
            </w: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42,500</w:t>
            </w:r>
          </w:p>
        </w:tc>
      </w:tr>
      <w:tr>
        <w:trPr>
          <w:trHeight w:val="240"/>
        </w:trPr>
        <w:tc>
          <w:tcPr>
            <w:tcW w:w="256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D1EDF5"/>
            </w:tcBorders>
            <w:shd w:val="clear" w:color="auto" w:fill="D1EDF5"/>
          </w:tcPr>
          <w:p>
            <w:pPr>
              <w:spacing w:after="0"/>
              <w:rPr>
                <w:sz w:val="20"/>
                <w:szCs w:val="20"/>
                <w:color w:val="auto"/>
              </w:rPr>
            </w:pPr>
          </w:p>
        </w:tc>
        <w:tc>
          <w:tcPr>
            <w:tcW w:w="258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1EDF5"/>
          </w:tcPr>
          <w:p>
            <w:pPr>
              <w:spacing w:after="0"/>
              <w:rPr>
                <w:sz w:val="20"/>
                <w:szCs w:val="20"/>
                <w:color w:val="auto"/>
              </w:rPr>
            </w:pPr>
          </w:p>
        </w:tc>
        <w:tc>
          <w:tcPr>
            <w:tcW w:w="60" w:type="dxa"/>
            <w:vAlign w:val="bottom"/>
            <w:tcBorders>
              <w:bottom w:val="single" w:sz="8" w:color="D1EDF5"/>
            </w:tcBorders>
            <w:shd w:val="clear" w:color="auto" w:fill="D1EDF5"/>
          </w:tcPr>
          <w:p>
            <w:pPr>
              <w:spacing w:after="0"/>
              <w:rPr>
                <w:sz w:val="20"/>
                <w:szCs w:val="20"/>
                <w:color w:val="auto"/>
              </w:rPr>
            </w:pPr>
          </w:p>
        </w:tc>
        <w:tc>
          <w:tcPr>
            <w:tcW w:w="2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January 24,</w:t>
            </w:r>
          </w:p>
        </w:tc>
        <w:tc>
          <w:tcPr>
            <w:tcW w:w="4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99"/>
              </w:rPr>
              <w:t>2028</w:t>
            </w:r>
          </w:p>
        </w:tc>
        <w:tc>
          <w:tcPr>
            <w:tcW w:w="10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D1EDF5"/>
            </w:tcBorders>
            <w:shd w:val="clear" w:color="auto" w:fill="D1EDF5"/>
          </w:tcPr>
          <w:p>
            <w:pPr>
              <w:spacing w:after="0"/>
              <w:rPr>
                <w:sz w:val="20"/>
                <w:szCs w:val="20"/>
                <w:color w:val="auto"/>
              </w:rPr>
            </w:pPr>
          </w:p>
        </w:tc>
        <w:tc>
          <w:tcPr>
            <w:tcW w:w="2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11,000</w:t>
            </w:r>
          </w:p>
        </w:tc>
      </w:tr>
      <w:tr>
        <w:trPr>
          <w:trHeight w:val="244"/>
        </w:trPr>
        <w:tc>
          <w:tcPr>
            <w:tcW w:w="2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158,250</w:t>
            </w: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6858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540pt,2.05pt" o:allowincell="f" strokecolor="#000000" strokeweight="0.4809pt"/>
            </w:pict>
          </mc:Fallback>
        </mc:AlternateConten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Borders>
              <w:bottom w:val="single" w:sz="8" w:color="D1EDF5"/>
            </w:tcBorders>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2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Maturity Date</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Amount</w:t>
            </w:r>
          </w:p>
        </w:tc>
      </w:tr>
      <w:tr>
        <w:trPr>
          <w:trHeight w:val="213"/>
        </w:trPr>
        <w:tc>
          <w:tcPr>
            <w:tcW w:w="256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D1EDF5"/>
            </w:tcBorders>
            <w:shd w:val="clear" w:color="auto" w:fill="D1EDF5"/>
          </w:tcPr>
          <w:p>
            <w:pPr>
              <w:spacing w:after="0"/>
              <w:rPr>
                <w:sz w:val="18"/>
                <w:szCs w:val="18"/>
                <w:color w:val="auto"/>
              </w:rPr>
            </w:pPr>
          </w:p>
        </w:tc>
        <w:tc>
          <w:tcPr>
            <w:tcW w:w="258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1EDF5"/>
          </w:tcPr>
          <w:p>
            <w:pPr>
              <w:spacing w:after="0"/>
              <w:rPr>
                <w:sz w:val="18"/>
                <w:szCs w:val="18"/>
                <w:color w:val="auto"/>
              </w:rPr>
            </w:pPr>
          </w:p>
        </w:tc>
        <w:tc>
          <w:tcPr>
            <w:tcW w:w="60" w:type="dxa"/>
            <w:vAlign w:val="bottom"/>
            <w:tcBorders>
              <w:bottom w:val="single" w:sz="8" w:color="D1EDF5"/>
            </w:tcBorders>
            <w:shd w:val="clear" w:color="auto" w:fill="D1EDF5"/>
          </w:tcPr>
          <w:p>
            <w:pPr>
              <w:spacing w:after="0"/>
              <w:rPr>
                <w:sz w:val="18"/>
                <w:szCs w:val="18"/>
                <w:color w:val="auto"/>
              </w:rPr>
            </w:pPr>
          </w:p>
        </w:tc>
        <w:tc>
          <w:tcPr>
            <w:tcW w:w="2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March 27,</w:t>
            </w:r>
          </w:p>
        </w:tc>
        <w:tc>
          <w:tcPr>
            <w:tcW w:w="420" w:type="dxa"/>
            <w:vAlign w:val="bottom"/>
            <w:tcBorders>
              <w:bottom w:val="single" w:sz="8" w:color="D1EDF5"/>
            </w:tcBorders>
            <w:shd w:val="clear" w:color="auto" w:fill="D1EDF5"/>
          </w:tcPr>
          <w:p>
            <w:pPr>
              <w:ind w:left="20"/>
              <w:spacing w:after="0"/>
              <w:rPr>
                <w:sz w:val="20"/>
                <w:szCs w:val="20"/>
                <w:color w:val="auto"/>
              </w:rPr>
            </w:pPr>
            <w:r>
              <w:rPr>
                <w:rFonts w:ascii="Arial" w:cs="Arial" w:eastAsia="Arial" w:hAnsi="Arial"/>
                <w:sz w:val="18"/>
                <w:szCs w:val="18"/>
                <w:color w:val="auto"/>
                <w:w w:val="94"/>
              </w:rPr>
              <w:t>2025</w:t>
            </w:r>
          </w:p>
        </w:tc>
        <w:tc>
          <w:tcPr>
            <w:tcW w:w="80" w:type="dxa"/>
            <w:vAlign w:val="bottom"/>
            <w:tcBorders>
              <w:bottom w:val="single" w:sz="8" w:color="D1EDF5"/>
            </w:tcBorders>
            <w:shd w:val="clear" w:color="auto" w:fill="D1EDF5"/>
          </w:tcPr>
          <w:p>
            <w:pPr>
              <w:spacing w:after="0"/>
              <w:rPr>
                <w:sz w:val="18"/>
                <w:szCs w:val="18"/>
                <w:color w:val="auto"/>
              </w:rPr>
            </w:pPr>
          </w:p>
        </w:tc>
        <w:tc>
          <w:tcPr>
            <w:tcW w:w="20" w:type="dxa"/>
            <w:vAlign w:val="bottom"/>
            <w:tcBorders>
              <w:bottom w:val="single" w:sz="8" w:color="D1EDF5"/>
            </w:tcBorders>
            <w:shd w:val="clear" w:color="auto" w:fill="D1EDF5"/>
          </w:tcPr>
          <w:p>
            <w:pPr>
              <w:spacing w:after="0"/>
              <w:rPr>
                <w:sz w:val="18"/>
                <w:szCs w:val="18"/>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10,000</w:t>
            </w:r>
          </w:p>
        </w:tc>
      </w:tr>
      <w:tr>
        <w:trPr>
          <w:trHeight w:val="237"/>
        </w:trPr>
        <w:tc>
          <w:tcPr>
            <w:tcW w:w="2560" w:type="dxa"/>
            <w:vAlign w:val="bottom"/>
          </w:tcPr>
          <w:p>
            <w:pPr>
              <w:jc w:val="cente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July 18,</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0"/>
        </w:trPr>
        <w:tc>
          <w:tcPr>
            <w:tcW w:w="256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D1EDF5"/>
            </w:tcBorders>
            <w:shd w:val="clear" w:color="auto" w:fill="D1EDF5"/>
          </w:tcPr>
          <w:p>
            <w:pPr>
              <w:spacing w:after="0"/>
              <w:rPr>
                <w:sz w:val="19"/>
                <w:szCs w:val="19"/>
                <w:color w:val="auto"/>
              </w:rPr>
            </w:pPr>
          </w:p>
        </w:tc>
        <w:tc>
          <w:tcPr>
            <w:tcW w:w="258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1EDF5"/>
          </w:tcPr>
          <w:p>
            <w:pPr>
              <w:spacing w:after="0"/>
              <w:rPr>
                <w:sz w:val="19"/>
                <w:szCs w:val="19"/>
                <w:color w:val="auto"/>
              </w:rPr>
            </w:pPr>
          </w:p>
        </w:tc>
        <w:tc>
          <w:tcPr>
            <w:tcW w:w="60" w:type="dxa"/>
            <w:vAlign w:val="bottom"/>
            <w:tcBorders>
              <w:bottom w:val="single" w:sz="8" w:color="D1EDF5"/>
            </w:tcBorders>
            <w:shd w:val="clear" w:color="auto" w:fill="D1EDF5"/>
          </w:tcPr>
          <w:p>
            <w:pPr>
              <w:spacing w:after="0"/>
              <w:rPr>
                <w:sz w:val="19"/>
                <w:szCs w:val="19"/>
                <w:color w:val="auto"/>
              </w:rPr>
            </w:pPr>
          </w:p>
        </w:tc>
        <w:tc>
          <w:tcPr>
            <w:tcW w:w="2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January 24,</w:t>
            </w:r>
          </w:p>
        </w:tc>
        <w:tc>
          <w:tcPr>
            <w:tcW w:w="420" w:type="dxa"/>
            <w:vAlign w:val="bottom"/>
            <w:tcBorders>
              <w:bottom w:val="single" w:sz="8" w:color="D1EDF5"/>
            </w:tcBorders>
            <w:shd w:val="clear" w:color="auto" w:fill="D1EDF5"/>
          </w:tcPr>
          <w:p>
            <w:pPr>
              <w:ind w:left="20"/>
              <w:spacing w:after="0"/>
              <w:rPr>
                <w:sz w:val="20"/>
                <w:szCs w:val="20"/>
                <w:color w:val="auto"/>
              </w:rPr>
            </w:pPr>
            <w:r>
              <w:rPr>
                <w:rFonts w:ascii="Arial" w:cs="Arial" w:eastAsia="Arial" w:hAnsi="Arial"/>
                <w:sz w:val="18"/>
                <w:szCs w:val="18"/>
                <w:color w:val="auto"/>
                <w:w w:val="94"/>
              </w:rPr>
              <w:t>2028</w:t>
            </w:r>
          </w:p>
        </w:tc>
        <w:tc>
          <w:tcPr>
            <w:tcW w:w="80" w:type="dxa"/>
            <w:vAlign w:val="bottom"/>
            <w:tcBorders>
              <w:bottom w:val="single" w:sz="8" w:color="D1EDF5"/>
            </w:tcBorders>
            <w:shd w:val="clear" w:color="auto" w:fill="D1EDF5"/>
          </w:tcPr>
          <w:p>
            <w:pPr>
              <w:spacing w:after="0"/>
              <w:rPr>
                <w:sz w:val="19"/>
                <w:szCs w:val="19"/>
                <w:color w:val="auto"/>
              </w:rPr>
            </w:pPr>
          </w:p>
        </w:tc>
        <w:tc>
          <w:tcPr>
            <w:tcW w:w="2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spacing w:after="0"/>
              <w:rPr>
                <w:sz w:val="19"/>
                <w:szCs w:val="19"/>
                <w:color w:val="auto"/>
              </w:rPr>
            </w:pPr>
          </w:p>
        </w:tc>
        <w:tc>
          <w:tcPr>
            <w:tcW w:w="2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11,000</w:t>
            </w:r>
          </w:p>
        </w:tc>
      </w:tr>
      <w:tr>
        <w:trPr>
          <w:trHeight w:val="240"/>
        </w:trPr>
        <w:tc>
          <w:tcPr>
            <w:tcW w:w="2560" w:type="dxa"/>
            <w:vAlign w:val="bottom"/>
          </w:tcPr>
          <w:p>
            <w:pPr>
              <w:jc w:val="center"/>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April 25,</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0"/>
        </w:trPr>
        <w:tc>
          <w:tcPr>
            <w:tcW w:w="256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D1EDF5"/>
            </w:tcBorders>
            <w:shd w:val="clear" w:color="auto" w:fill="D1EDF5"/>
          </w:tcPr>
          <w:p>
            <w:pPr>
              <w:spacing w:after="0"/>
              <w:rPr>
                <w:sz w:val="19"/>
                <w:szCs w:val="19"/>
                <w:color w:val="auto"/>
              </w:rPr>
            </w:pPr>
          </w:p>
        </w:tc>
        <w:tc>
          <w:tcPr>
            <w:tcW w:w="258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1EDF5"/>
          </w:tcPr>
          <w:p>
            <w:pPr>
              <w:spacing w:after="0"/>
              <w:rPr>
                <w:sz w:val="19"/>
                <w:szCs w:val="19"/>
                <w:color w:val="auto"/>
              </w:rPr>
            </w:pPr>
          </w:p>
        </w:tc>
        <w:tc>
          <w:tcPr>
            <w:tcW w:w="60" w:type="dxa"/>
            <w:vAlign w:val="bottom"/>
            <w:tcBorders>
              <w:bottom w:val="single" w:sz="8" w:color="D1EDF5"/>
            </w:tcBorders>
            <w:shd w:val="clear" w:color="auto" w:fill="D1EDF5"/>
          </w:tcPr>
          <w:p>
            <w:pPr>
              <w:spacing w:after="0"/>
              <w:rPr>
                <w:sz w:val="19"/>
                <w:szCs w:val="19"/>
                <w:color w:val="auto"/>
              </w:rPr>
            </w:pPr>
          </w:p>
        </w:tc>
        <w:tc>
          <w:tcPr>
            <w:tcW w:w="2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September 13,</w:t>
            </w:r>
          </w:p>
        </w:tc>
        <w:tc>
          <w:tcPr>
            <w:tcW w:w="420" w:type="dxa"/>
            <w:vAlign w:val="bottom"/>
            <w:tcBorders>
              <w:bottom w:val="single" w:sz="8" w:color="D1EDF5"/>
            </w:tcBorders>
            <w:shd w:val="clear" w:color="auto" w:fill="D1EDF5"/>
          </w:tcPr>
          <w:p>
            <w:pPr>
              <w:ind w:left="20"/>
              <w:spacing w:after="0"/>
              <w:rPr>
                <w:sz w:val="20"/>
                <w:szCs w:val="20"/>
                <w:color w:val="auto"/>
              </w:rPr>
            </w:pPr>
            <w:r>
              <w:rPr>
                <w:rFonts w:ascii="Arial" w:cs="Arial" w:eastAsia="Arial" w:hAnsi="Arial"/>
                <w:sz w:val="18"/>
                <w:szCs w:val="18"/>
                <w:color w:val="auto"/>
                <w:w w:val="94"/>
              </w:rPr>
              <w:t>2027</w:t>
            </w:r>
          </w:p>
        </w:tc>
        <w:tc>
          <w:tcPr>
            <w:tcW w:w="80" w:type="dxa"/>
            <w:vAlign w:val="bottom"/>
            <w:tcBorders>
              <w:bottom w:val="single" w:sz="8" w:color="D1EDF5"/>
            </w:tcBorders>
            <w:shd w:val="clear" w:color="auto" w:fill="D1EDF5"/>
          </w:tcPr>
          <w:p>
            <w:pPr>
              <w:spacing w:after="0"/>
              <w:rPr>
                <w:sz w:val="19"/>
                <w:szCs w:val="19"/>
                <w:color w:val="auto"/>
              </w:rPr>
            </w:pPr>
          </w:p>
        </w:tc>
        <w:tc>
          <w:tcPr>
            <w:tcW w:w="2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spacing w:after="0"/>
              <w:rPr>
                <w:sz w:val="19"/>
                <w:szCs w:val="19"/>
                <w:color w:val="auto"/>
              </w:rPr>
            </w:pPr>
          </w:p>
        </w:tc>
        <w:tc>
          <w:tcPr>
            <w:tcW w:w="2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21,000</w:t>
            </w:r>
          </w:p>
        </w:tc>
      </w:tr>
      <w:tr>
        <w:trPr>
          <w:trHeight w:val="240"/>
        </w:trPr>
        <w:tc>
          <w:tcPr>
            <w:tcW w:w="2560" w:type="dxa"/>
            <w:vAlign w:val="bottom"/>
          </w:tcPr>
          <w:p>
            <w:pPr>
              <w:jc w:val="center"/>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March 23,</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0"/>
        </w:trPr>
        <w:tc>
          <w:tcPr>
            <w:tcW w:w="256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4.65%</w:t>
            </w:r>
          </w:p>
        </w:tc>
        <w:tc>
          <w:tcPr>
            <w:tcW w:w="180" w:type="dxa"/>
            <w:vAlign w:val="bottom"/>
            <w:tcBorders>
              <w:bottom w:val="single" w:sz="8" w:color="D1EDF5"/>
            </w:tcBorders>
            <w:shd w:val="clear" w:color="auto" w:fill="D1EDF5"/>
          </w:tcPr>
          <w:p>
            <w:pPr>
              <w:spacing w:after="0"/>
              <w:rPr>
                <w:sz w:val="19"/>
                <w:szCs w:val="19"/>
                <w:color w:val="auto"/>
              </w:rPr>
            </w:pPr>
          </w:p>
        </w:tc>
        <w:tc>
          <w:tcPr>
            <w:tcW w:w="2580" w:type="dxa"/>
            <w:vAlign w:val="bottom"/>
            <w:tcBorders>
              <w:bottom w:val="single" w:sz="8" w:color="D1EDF5"/>
            </w:tcBorders>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20" w:type="dxa"/>
            <w:vAlign w:val="bottom"/>
            <w:shd w:val="clear" w:color="auto" w:fill="D1EDF5"/>
          </w:tcPr>
          <w:p>
            <w:pPr>
              <w:spacing w:after="0"/>
              <w:rPr>
                <w:sz w:val="19"/>
                <w:szCs w:val="19"/>
                <w:color w:val="auto"/>
              </w:rPr>
            </w:pPr>
          </w:p>
        </w:tc>
        <w:tc>
          <w:tcPr>
            <w:tcW w:w="60" w:type="dxa"/>
            <w:vAlign w:val="bottom"/>
            <w:tcBorders>
              <w:bottom w:val="single" w:sz="8" w:color="D1EDF5"/>
            </w:tcBorders>
            <w:shd w:val="clear" w:color="auto" w:fill="D1EDF5"/>
          </w:tcPr>
          <w:p>
            <w:pPr>
              <w:spacing w:after="0"/>
              <w:rPr>
                <w:sz w:val="19"/>
                <w:szCs w:val="19"/>
                <w:color w:val="auto"/>
              </w:rPr>
            </w:pPr>
          </w:p>
        </w:tc>
        <w:tc>
          <w:tcPr>
            <w:tcW w:w="2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February 13,</w:t>
            </w:r>
          </w:p>
        </w:tc>
        <w:tc>
          <w:tcPr>
            <w:tcW w:w="420" w:type="dxa"/>
            <w:vAlign w:val="bottom"/>
            <w:tcBorders>
              <w:bottom w:val="single" w:sz="8" w:color="D1EDF5"/>
            </w:tcBorders>
            <w:shd w:val="clear" w:color="auto" w:fill="D1EDF5"/>
          </w:tcPr>
          <w:p>
            <w:pPr>
              <w:ind w:left="20"/>
              <w:spacing w:after="0"/>
              <w:rPr>
                <w:sz w:val="20"/>
                <w:szCs w:val="20"/>
                <w:color w:val="auto"/>
              </w:rPr>
            </w:pPr>
            <w:r>
              <w:rPr>
                <w:rFonts w:ascii="Arial" w:cs="Arial" w:eastAsia="Arial" w:hAnsi="Arial"/>
                <w:sz w:val="18"/>
                <w:szCs w:val="18"/>
                <w:color w:val="auto"/>
                <w:w w:val="94"/>
              </w:rPr>
              <w:t>2025</w:t>
            </w:r>
          </w:p>
        </w:tc>
        <w:tc>
          <w:tcPr>
            <w:tcW w:w="80" w:type="dxa"/>
            <w:vAlign w:val="bottom"/>
            <w:tcBorders>
              <w:bottom w:val="single" w:sz="8" w:color="D1EDF5"/>
            </w:tcBorders>
            <w:shd w:val="clear" w:color="auto" w:fill="D1EDF5"/>
          </w:tcPr>
          <w:p>
            <w:pPr>
              <w:spacing w:after="0"/>
              <w:rPr>
                <w:sz w:val="19"/>
                <w:szCs w:val="19"/>
                <w:color w:val="auto"/>
              </w:rPr>
            </w:pPr>
          </w:p>
        </w:tc>
        <w:tc>
          <w:tcPr>
            <w:tcW w:w="2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spacing w:after="0"/>
              <w:rPr>
                <w:sz w:val="19"/>
                <w:szCs w:val="19"/>
                <w:color w:val="auto"/>
              </w:rPr>
            </w:pPr>
          </w:p>
        </w:tc>
        <w:tc>
          <w:tcPr>
            <w:tcW w:w="2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45,000</w:t>
            </w: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46"/>
        </w:trPr>
        <w:tc>
          <w:tcPr>
            <w:tcW w:w="2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163,000</w:t>
            </w: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have also established Fed Funds lines of credit with our upstream correspondent banks to manage temporary fluctuations in our daily cash balances. As of December 31, 2025, there were no outstanding balances under the Fed Funds lines of credit.</w:t>
      </w:r>
    </w:p>
    <w:p>
      <w:pPr>
        <w:spacing w:after="0" w:line="17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200" w:lineRule="exact"/>
        <w:rPr>
          <w:sz w:val="20"/>
          <w:szCs w:val="20"/>
          <w:color w:val="auto"/>
        </w:rPr>
      </w:pPr>
    </w:p>
    <w:p>
      <w:pPr>
        <w:spacing w:after="0" w:line="22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0" w:name="page71"/>
    <w:bookmarkEnd w:id="70"/>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paid off $80 million in borrowings under the BTFP program during the third quarter of 2024. The original maturity of this borrowing by the Bank under the BTFP program was January 2025, and there are no remaining borrowings under this program.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Subordinated Notes</w:t>
      </w:r>
    </w:p>
    <w:p>
      <w:pPr>
        <w:spacing w:after="0" w:line="225"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2035. The Notes were issued by the Company to the purchasers at a price equal to 100% of their face amount. The Notes were offered and sold by the Company in a private placement transaction in reliance on exemptions from the registration requirements of the Securities Act, pursuant to Section 4(a)(2) of the Securities Act and Rule 506(b) of Regulation D thereunder. For additional information, see the Form 8-K the Company filed on August 14, 2025.The subordinated debt was originally issued at a cost of $760 thousand. The carrying value of the issuance cost has been reduced to $ 700 thousand, reflecting the scheduled expense recognition over the term of the subordinated debt. The subordinated notes are presented net of these costs on the consolidated balance sheet. At December 31, 2025, the outstanding balance of subordinated notes, net of costs, totaled $39.3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 balance sheet credit risk which is recorded under accrued interest and other liabilities on the Consolidated Balance Sheets.</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Since commitments associated with letters of credit and commitments to extend credit may expire unused, the amounts shown do not necessarily reflect the actual future cash funding requirements. The following table presents lending related commitments outstanding as of December 31, 2025 and 2024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Borders>
              <w:bottom w:val="single" w:sz="8" w:color="D1EDF5"/>
            </w:tcBorders>
          </w:tcPr>
          <w:p>
            <w:pPr>
              <w:spacing w:after="0"/>
              <w:rPr>
                <w:sz w:val="19"/>
                <w:szCs w:val="19"/>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 2024</w:t>
            </w:r>
          </w:p>
        </w:tc>
      </w:tr>
      <w:tr>
        <w:trPr>
          <w:trHeight w:val="230"/>
        </w:trPr>
        <w:tc>
          <w:tcPr>
            <w:tcW w:w="710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Commitments to grant loans and unfunded lines of credit</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161,606</w:t>
            </w:r>
          </w:p>
        </w:tc>
        <w:tc>
          <w:tcPr>
            <w:tcW w:w="60" w:type="dxa"/>
            <w:vAlign w:val="bottom"/>
            <w:shd w:val="clear" w:color="auto" w:fill="D1EDF5"/>
          </w:tcPr>
          <w:p>
            <w:pPr>
              <w:spacing w:after="0"/>
              <w:rPr>
                <w:sz w:val="19"/>
                <w:szCs w:val="19"/>
                <w:color w:val="auto"/>
              </w:rPr>
            </w:pPr>
          </w:p>
        </w:tc>
        <w:tc>
          <w:tcPr>
            <w:tcW w:w="600" w:type="dxa"/>
            <w:vAlign w:val="bottom"/>
            <w:shd w:val="clear" w:color="auto" w:fill="D1EDF5"/>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122,578</w:t>
            </w:r>
          </w:p>
        </w:tc>
      </w:tr>
      <w:tr>
        <w:trPr>
          <w:trHeight w:val="240"/>
        </w:trPr>
        <w:tc>
          <w:tcPr>
            <w:tcW w:w="710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Standby and commercial letters of credit</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60" w:type="dxa"/>
            <w:vAlign w:val="bottom"/>
            <w:tcBorders>
              <w:bottom w:val="single" w:sz="8" w:color="D1EDF5"/>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r>
      <w:tr>
        <w:trPr>
          <w:trHeight w:val="246"/>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164,306</w:t>
            </w:r>
          </w:p>
        </w:tc>
        <w:tc>
          <w:tcPr>
            <w:tcW w:w="60" w:type="dxa"/>
            <w:vAlign w:val="bottom"/>
            <w:shd w:val="clear" w:color="auto" w:fill="D1EDF5"/>
          </w:tcPr>
          <w:p>
            <w:pPr>
              <w:spacing w:after="0"/>
              <w:rPr>
                <w:sz w:val="21"/>
                <w:szCs w:val="21"/>
                <w:color w:val="auto"/>
              </w:rPr>
            </w:pPr>
          </w:p>
        </w:tc>
        <w:tc>
          <w:tcPr>
            <w:tcW w:w="600" w:type="dxa"/>
            <w:vAlign w:val="bottom"/>
            <w:shd w:val="clear" w:color="auto" w:fill="D1EDF5"/>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127,967</w:t>
            </w: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Unfunded lines of credit represent unused portions of credit facilities to our current borrowers that represent no change in credit risk in our portfolio. Lines of credit generally have variable interest rates. The maximum potential number of future payments we could be required to make is represented by the contractual amount of the commitment, less the amount of any advances made.</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and Liability Management Committee</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1" w:name="page72"/>
    <w:bookmarkEnd w:id="71"/>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ALCO oversees the establishment, approval, implementation, and review of interest rate risk, management, and mitigation strategies, ALM related policies, ALCO procedures and risk tolerances and appetite.</w:t>
      </w:r>
    </w:p>
    <w:p>
      <w:pPr>
        <w:spacing w:after="0" w:line="151"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While some degree of interest rate risk (“IRR”) exposure is inherent to the banking business, our ALCO has established what it believes are sound risk management practices in place to identify, measure, monitor and mitigate IRR exposures.</w:t>
      </w:r>
    </w:p>
    <w:p>
      <w:pPr>
        <w:spacing w:after="0" w:line="12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When assessing the scope of IRR exposure and impact on the consolidated balance sheet, cash flows and statement of operations, management considers both earnings and economic impacts. Asset price variations, deposits volatility and reduced earnings or outright losses could adversely affect the Company’s liquidity, performance, and capital adequacy.</w:t>
      </w:r>
    </w:p>
    <w:p>
      <w:pPr>
        <w:spacing w:after="0" w:line="172"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8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To have a more complete picture of IRR, the Company also evaluates the economic value of equity. This assessment allows us to measure the degree to which the economic values will change under different interest rate scenarios. The economic value of equity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and Interest Rate Risk Management</w:t>
      </w:r>
    </w:p>
    <w:p>
      <w:pPr>
        <w:spacing w:after="0" w:line="235" w:lineRule="exact"/>
        <w:rPr>
          <w:sz w:val="20"/>
          <w:szCs w:val="20"/>
          <w:color w:val="auto"/>
        </w:rPr>
      </w:pPr>
    </w:p>
    <w:p>
      <w:pPr>
        <w:jc w:val="both"/>
        <w:ind w:firstLine="415"/>
        <w:spacing w:after="0" w:line="246" w:lineRule="auto"/>
        <w:rPr>
          <w:sz w:val="20"/>
          <w:szCs w:val="20"/>
          <w:color w:val="auto"/>
        </w:rPr>
      </w:pPr>
      <w:r>
        <w:rPr>
          <w:rFonts w:ascii="Arial" w:cs="Arial" w:eastAsia="Arial" w:hAnsi="Arial"/>
          <w:sz w:val="20"/>
          <w:szCs w:val="20"/>
          <w:color w:val="auto"/>
        </w:rPr>
        <w:t>As of December 31, 2025, both the static and dynamic scenarios of the ALCO model indicate that the Bank’s balance sheet is liability sensitive in year one. This means that our liabilities reprice more quickly than our assets, resulting in a favorable expansion in net interest income (NII) when market interest rates decline. For year two, the static model shifts to a neutral position, while the dynamic model reflects an asset sensitive posture, driven primarily by projected balance sheet growth. This divergence is expected, as the dynamic model incorporates forward looking assumptions that include loan growth and mix shifts over time.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84"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Because of the inherent use of these estimates and assumptions in the model, our actual results may, and most likely will, differ from static measures results. In addition, static measures like the economic value of equity do not include actions that management may undertake to manage the risks in response to anticipated changes in interest rates or client deposit behavior. As part of our ALM strategy and policy, management has the ability to modify the balance sheet to either increase or decrease asset duration and increase or decrease liability duration to modify the balance sheet sensitivity to interest rates.</w:t>
      </w:r>
    </w:p>
    <w:p>
      <w:pPr>
        <w:spacing w:after="0" w:line="185"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20"/>
          <w:szCs w:val="20"/>
          <w:color w:val="auto"/>
        </w:rPr>
        <w:t>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interest rates will have a negative impact on the EVE. Results and analysis are presented quarterly to the ALCO, and strategies are reviewed and refined. The Bank remains within policy limits for long-term interest rate risk based on EVE results as of December 31, 2025. The balance sheet shows larger EVE swings when rates go up than when rates go down. This happens because, in rising rate scenarios, the value of our longer term assets falls more quickly, especially when loan prepayments slow while our liabilities do not reprice as fast. In contrast, when rates decline, faster loan prepayments and quicker asset repricing help soften the impact on EVE. Additionally, during 2025, we have been taking actions to reduce our asset sensitivity by extending asset duration. This has reduced our NII volatility for the first and second year in the analysis and has helped us to maintain the NII in accordance with ALCO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33" w:lineRule="exact"/>
        <w:rPr>
          <w:sz w:val="20"/>
          <w:szCs w:val="20"/>
          <w:color w:val="auto"/>
        </w:rPr>
      </w:pPr>
    </w:p>
    <w:p>
      <w:pPr>
        <w:jc w:val="both"/>
        <w:ind w:firstLine="415"/>
        <w:spacing w:after="0" w:line="281" w:lineRule="auto"/>
        <w:rPr>
          <w:sz w:val="20"/>
          <w:szCs w:val="20"/>
          <w:color w:val="auto"/>
        </w:rPr>
      </w:pPr>
      <w:r>
        <w:rPr>
          <w:rFonts w:ascii="Arial" w:cs="Arial" w:eastAsia="Arial" w:hAnsi="Arial"/>
          <w:sz w:val="19"/>
          <w:szCs w:val="19"/>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200" w:lineRule="exact"/>
        <w:rPr>
          <w:sz w:val="20"/>
          <w:szCs w:val="20"/>
          <w:color w:val="auto"/>
        </w:rPr>
      </w:pPr>
    </w:p>
    <w:p>
      <w:pPr>
        <w:spacing w:after="0" w:line="32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2" w:name="page73"/>
    <w:bookmarkEnd w:id="72"/>
    <w:p>
      <w:pPr>
        <w:spacing w:after="0"/>
        <w:rPr>
          <w:sz w:val="20"/>
          <w:szCs w:val="20"/>
          <w:color w:val="auto"/>
        </w:rPr>
      </w:pPr>
      <w:r>
        <w:rPr>
          <w:rFonts w:ascii="Arial" w:cs="Arial" w:eastAsia="Arial" w:hAnsi="Arial"/>
          <w:sz w:val="20"/>
          <w:szCs w:val="20"/>
          <w:u w:val="single" w:color="auto"/>
          <w:color w:val="0D248E"/>
        </w:rPr>
        <w:t>Table of Contents</w:t>
      </w:r>
    </w:p>
    <w:p>
      <w:pPr>
        <w:spacing w:after="0" w:line="22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Liquidity risk is the risk that we will be unable to meet our short-term and long-term obligations as they become due because of an inability to liquidate assets or obtain adequate funding on acceptable terms in a timely matter. The Company’s obligations, and the funding sources used to meet them, depend significantly on our business mix, balance sheet structure and composition, credit quality of our assets, interest rate environment and the cash flow profiles of our on- and off-balance sheet obligations.</w:t>
      </w:r>
    </w:p>
    <w:p>
      <w:pPr>
        <w:spacing w:after="0" w:line="17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In managing cash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 Management presents to the ALCO, on a quarterly basis, liquidity stress tests following the scenarios described in the Company’s contingency funding plan.</w:t>
      </w:r>
    </w:p>
    <w:p>
      <w:pPr>
        <w:spacing w:after="0" w:line="17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Changes in macroeconomic conditions, exposure to credit deterioration, market, operational, legal and reputational risks, including cybersecurity risk and social media events could also affect the Company’s liquidity risk profile unexpectedly and are considered in the assessment of liquidity and ALM framework.</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72"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Critical elements of our liquidity risk management include: effective corporate governance consisting of oversight by the Board and ALCO and involvement by senior management;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8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 At December 31, 2025, the Company had $321.4 million in available liquidity on balance sheet, including $286.9 million in unpledged securities available to use as collateral and $34.5 million in excess cash. The Company had an additional $349.0 million in off-balance sheet liquidity including excess FHLB Atlanta borrowing capacity, the Federal Reserve Bank discount window and Fed Fund lines of credit, excluding access to brokered deposits and other off-balance sheet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3" w:name="page74"/>
    <w:bookmarkEnd w:id="73"/>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Adequacy</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As of December 31, 2025, the Bank was well capitalized under the FDIC’s prompt corrective action framework. Additionally, we follow the capital conservation buffer framework, and according to our actual ratios, the Bank exceeds the capital conversation buffer in all capital ratios as of December 31, 2025. The Company is not subject to regulatory capital requirements because it is deemed by the Federal Reserve to be a small bank holding company.</w:t>
      </w:r>
    </w:p>
    <w:p>
      <w:pPr>
        <w:spacing w:after="0" w:line="18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capital ratios for the Bank at December 31, 2025 and 2024 (in thousands, except ratios):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vMerge w:val="restart"/>
          </w:tcPr>
          <w:p>
            <w:pPr>
              <w:jc w:val="right"/>
              <w:ind w:right="450"/>
              <w:spacing w:after="0"/>
              <w:rPr>
                <w:sz w:val="20"/>
                <w:szCs w:val="20"/>
                <w:color w:val="auto"/>
              </w:rPr>
            </w:pPr>
            <w:r>
              <w:rPr>
                <w:rFonts w:ascii="Arial" w:cs="Arial" w:eastAsia="Arial" w:hAnsi="Arial"/>
                <w:sz w:val="18"/>
                <w:szCs w:val="18"/>
                <w:b w:val="1"/>
                <w:bCs w:val="1"/>
                <w:color w:val="auto"/>
              </w:rPr>
              <w:t>Minimum Capital</w:t>
            </w:r>
          </w:p>
        </w:tc>
        <w:tc>
          <w:tcPr>
            <w:tcW w:w="8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To be Well Capitalized Under</w:t>
            </w:r>
          </w:p>
        </w:tc>
        <w:tc>
          <w:tcPr>
            <w:tcW w:w="0" w:type="dxa"/>
            <w:vAlign w:val="bottom"/>
          </w:tcPr>
          <w:p>
            <w:pPr>
              <w:spacing w:after="0"/>
              <w:rPr>
                <w:sz w:val="1"/>
                <w:szCs w:val="1"/>
                <w:color w:val="auto"/>
              </w:rPr>
            </w:pPr>
          </w:p>
        </w:tc>
      </w:tr>
      <w:tr>
        <w:trPr>
          <w:trHeight w:val="206"/>
        </w:trPr>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Prompt Corrective Action</w:t>
            </w:r>
          </w:p>
        </w:tc>
        <w:tc>
          <w:tcPr>
            <w:tcW w:w="0" w:type="dxa"/>
            <w:vAlign w:val="bottom"/>
          </w:tcPr>
          <w:p>
            <w:pPr>
              <w:spacing w:after="0"/>
              <w:rPr>
                <w:sz w:val="1"/>
                <w:szCs w:val="1"/>
                <w:color w:val="auto"/>
              </w:rPr>
            </w:pPr>
          </w:p>
        </w:tc>
      </w:tr>
      <w:tr>
        <w:trPr>
          <w:trHeight w:val="227"/>
        </w:trPr>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Actual</w:t>
            </w:r>
          </w:p>
        </w:tc>
        <w:tc>
          <w:tcPr>
            <w:tcW w:w="8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Requirements</w:t>
            </w:r>
          </w:p>
        </w:tc>
        <w:tc>
          <w:tcPr>
            <w:tcW w:w="8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9"/>
              </w:rPr>
              <w:t>Provisions</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Ratio</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80" w:type="dxa"/>
            <w:vAlign w:val="bottom"/>
          </w:tcPr>
          <w:p>
            <w:pPr>
              <w:spacing w:after="0"/>
              <w:rPr>
                <w:sz w:val="20"/>
                <w:szCs w:val="20"/>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0" w:type="dxa"/>
            <w:vAlign w:val="bottom"/>
          </w:tcPr>
          <w:p>
            <w:pPr>
              <w:spacing w:after="0"/>
              <w:rPr>
                <w:sz w:val="1"/>
                <w:szCs w:val="1"/>
                <w:color w:val="auto"/>
              </w:rPr>
            </w:pPr>
          </w:p>
        </w:tc>
      </w:tr>
      <w:tr>
        <w:trPr>
          <w:trHeight w:val="230"/>
        </w:trPr>
        <w:tc>
          <w:tcPr>
            <w:tcW w:w="280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34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240" w:type="dxa"/>
            <w:vAlign w:val="bottom"/>
            <w:tcBorders>
              <w:top w:val="single" w:sz="8" w:color="auto"/>
            </w:tcBorders>
            <w:shd w:val="clear" w:color="auto" w:fill="D1EDF5"/>
          </w:tcPr>
          <w:p>
            <w:pPr>
              <w:spacing w:after="0"/>
              <w:rPr>
                <w:sz w:val="19"/>
                <w:szCs w:val="19"/>
                <w:color w:val="auto"/>
              </w:rPr>
            </w:pPr>
          </w:p>
        </w:tc>
        <w:tc>
          <w:tcPr>
            <w:tcW w:w="88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130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320" w:type="dxa"/>
            <w:vAlign w:val="bottom"/>
            <w:tcBorders>
              <w:top w:val="single" w:sz="8" w:color="auto"/>
            </w:tcBorders>
            <w:shd w:val="clear" w:color="auto" w:fill="D1EDF5"/>
          </w:tcPr>
          <w:p>
            <w:pPr>
              <w:spacing w:after="0"/>
              <w:rPr>
                <w:sz w:val="19"/>
                <w:szCs w:val="19"/>
                <w:color w:val="auto"/>
              </w:rPr>
            </w:pPr>
          </w:p>
        </w:tc>
        <w:tc>
          <w:tcPr>
            <w:tcW w:w="800" w:type="dxa"/>
            <w:vAlign w:val="bottom"/>
            <w:tcBorders>
              <w:top w:val="single" w:sz="8" w:color="auto"/>
            </w:tcBorders>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Total risk-based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299,596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175,387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219,234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0"/>
        </w:trPr>
        <w:tc>
          <w:tcPr>
            <w:tcW w:w="28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Tier 1 risk-based capital:</w:t>
            </w:r>
          </w:p>
        </w:tc>
        <w:tc>
          <w:tcPr>
            <w:tcW w:w="52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273,342</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12.47%</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131,541</w:t>
            </w: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D1EDF5"/>
          </w:tcPr>
          <w:p>
            <w:pPr>
              <w:spacing w:after="0"/>
              <w:rPr>
                <w:sz w:val="20"/>
                <w:szCs w:val="20"/>
                <w:color w:val="auto"/>
              </w:rPr>
            </w:pP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175,387</w:t>
            </w:r>
          </w:p>
        </w:tc>
        <w:tc>
          <w:tcPr>
            <w:tcW w:w="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Common equity tier 1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273,342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98,655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142,502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0"/>
        </w:trPr>
        <w:tc>
          <w:tcPr>
            <w:tcW w:w="28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Leverage ratio:</w:t>
            </w:r>
          </w:p>
        </w:tc>
        <w:tc>
          <w:tcPr>
            <w:tcW w:w="52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273,342</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9.65%</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113,296</w:t>
            </w: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D1EDF5"/>
          </w:tcPr>
          <w:p>
            <w:pPr>
              <w:spacing w:after="0"/>
              <w:rPr>
                <w:sz w:val="20"/>
                <w:szCs w:val="20"/>
                <w:color w:val="auto"/>
              </w:rPr>
            </w:pP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141,620</w:t>
            </w:r>
          </w:p>
        </w:tc>
        <w:tc>
          <w:tcPr>
            <w:tcW w:w="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0"/>
        </w:trPr>
        <w:tc>
          <w:tcPr>
            <w:tcW w:w="2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December 31, 2024</w:t>
            </w:r>
          </w:p>
        </w:tc>
        <w:tc>
          <w:tcPr>
            <w:tcW w:w="3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30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Total risk-based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266,387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159,795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199,744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0"/>
        </w:trPr>
        <w:tc>
          <w:tcPr>
            <w:tcW w:w="28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Tier 1 risk-based capital:</w:t>
            </w:r>
          </w:p>
        </w:tc>
        <w:tc>
          <w:tcPr>
            <w:tcW w:w="52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12.10%</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119,846</w:t>
            </w: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D1EDF5"/>
          </w:tcPr>
          <w:p>
            <w:pPr>
              <w:spacing w:after="0"/>
              <w:rPr>
                <w:sz w:val="20"/>
                <w:szCs w:val="20"/>
                <w:color w:val="auto"/>
              </w:rPr>
            </w:pP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159,795</w:t>
            </w:r>
          </w:p>
        </w:tc>
        <w:tc>
          <w:tcPr>
            <w:tcW w:w="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Common equity tier 1 capital:</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89,885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129,834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0"/>
        </w:trPr>
        <w:tc>
          <w:tcPr>
            <w:tcW w:w="28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Leverage ratio:</w:t>
            </w:r>
          </w:p>
        </w:tc>
        <w:tc>
          <w:tcPr>
            <w:tcW w:w="52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8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9.38%</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103,074</w:t>
            </w: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D1EDF5"/>
          </w:tcPr>
          <w:p>
            <w:pPr>
              <w:spacing w:after="0"/>
              <w:rPr>
                <w:sz w:val="20"/>
                <w:szCs w:val="20"/>
                <w:color w:val="auto"/>
              </w:rPr>
            </w:pPr>
          </w:p>
        </w:tc>
        <w:tc>
          <w:tcPr>
            <w:tcW w:w="13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128,843</w:t>
            </w:r>
          </w:p>
        </w:tc>
        <w:tc>
          <w:tcPr>
            <w:tcW w:w="80" w:type="dxa"/>
            <w:vAlign w:val="bottom"/>
            <w:shd w:val="clear" w:color="auto" w:fill="D1EDF5"/>
          </w:tcPr>
          <w:p>
            <w:pPr>
              <w:spacing w:after="0"/>
              <w:rPr>
                <w:sz w:val="20"/>
                <w:szCs w:val="20"/>
                <w:color w:val="auto"/>
              </w:rPr>
            </w:pPr>
          </w:p>
        </w:tc>
        <w:tc>
          <w:tcPr>
            <w:tcW w:w="32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Inflation</w:t>
      </w:r>
    </w:p>
    <w:p>
      <w:pPr>
        <w:spacing w:after="0" w:line="23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Our Consolidated Financial Statements and related notes have been prepared in accordance with U.S. GAAP, which requires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Recently issued accounting pronouncements are discussed in Note 1 “Summary of Significant Accounting Policies” in the Consolidated Financial Statements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4" w:name="page75"/>
    <w:bookmarkEnd w:id="74"/>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and Management Explanation of Non-GAAP Financial Measures</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Management has included the non-GAAP measures set forth below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Company believes these non-GAAP measurements are key indicators of the earnings power of the Company. The following table reconciles the non-GAAP financial measurement of operating net income available to common stockholders for the periods presented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and for the years ended December 31,</w:t>
            </w:r>
          </w:p>
        </w:tc>
      </w:tr>
      <w:tr>
        <w:trPr>
          <w:trHeight w:val="230"/>
        </w:trPr>
        <w:tc>
          <w:tcPr>
            <w:tcW w:w="400" w:type="dxa"/>
            <w:vAlign w:val="bottom"/>
            <w:tcBorders>
              <w:bottom w:val="single" w:sz="8" w:color="D1EDF5"/>
            </w:tcBorders>
          </w:tcPr>
          <w:p>
            <w:pPr>
              <w:spacing w:after="0"/>
              <w:rPr>
                <w:sz w:val="19"/>
                <w:szCs w:val="19"/>
                <w:color w:val="auto"/>
              </w:rPr>
            </w:pPr>
          </w:p>
        </w:tc>
        <w:tc>
          <w:tcPr>
            <w:tcW w:w="6300" w:type="dxa"/>
            <w:vAlign w:val="bottom"/>
            <w:tcBorders>
              <w:bottom w:val="single" w:sz="8" w:color="D1EDF5"/>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r>
      <w:tr>
        <w:trPr>
          <w:trHeight w:val="230"/>
        </w:trPr>
        <w:tc>
          <w:tcPr>
            <w:tcW w:w="670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Pre-Tax Pre-Provision ("PTPP") income: (1)</w:t>
            </w:r>
          </w:p>
        </w:tc>
        <w:tc>
          <w:tcPr>
            <w:tcW w:w="1280" w:type="dxa"/>
            <w:vAlign w:val="bottom"/>
            <w:shd w:val="clear" w:color="auto" w:fill="D1EDF5"/>
          </w:tcPr>
          <w:p>
            <w:pPr>
              <w:spacing w:after="0"/>
              <w:rPr>
                <w:sz w:val="19"/>
                <w:szCs w:val="19"/>
                <w:color w:val="auto"/>
              </w:rPr>
            </w:pPr>
          </w:p>
        </w:tc>
        <w:tc>
          <w:tcPr>
            <w:tcW w:w="74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480" w:type="dxa"/>
            <w:vAlign w:val="bottom"/>
            <w:shd w:val="clear" w:color="auto" w:fill="D1EDF5"/>
          </w:tcPr>
          <w:p>
            <w:pPr>
              <w:spacing w:after="0"/>
              <w:rPr>
                <w:sz w:val="19"/>
                <w:szCs w:val="19"/>
                <w:color w:val="auto"/>
              </w:rPr>
            </w:pPr>
          </w:p>
        </w:tc>
        <w:tc>
          <w:tcPr>
            <w:tcW w:w="1520" w:type="dxa"/>
            <w:vAlign w:val="bottom"/>
            <w:shd w:val="clear" w:color="auto" w:fill="D1EDF5"/>
          </w:tcPr>
          <w:p>
            <w:pPr>
              <w:spacing w:after="0"/>
              <w:rPr>
                <w:sz w:val="19"/>
                <w:szCs w:val="19"/>
                <w:color w:val="auto"/>
              </w:rPr>
            </w:pPr>
          </w:p>
        </w:tc>
      </w:tr>
      <w:tr>
        <w:trPr>
          <w:trHeight w:val="240"/>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Net income (GAAP)</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26,100</w:t>
            </w:r>
          </w:p>
        </w:tc>
        <w:tc>
          <w:tcPr>
            <w:tcW w:w="40" w:type="dxa"/>
            <w:vAlign w:val="bottom"/>
          </w:tcPr>
          <w:p>
            <w:pPr>
              <w:spacing w:after="0"/>
              <w:rPr>
                <w:sz w:val="20"/>
                <w:szCs w:val="20"/>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24,674</w:t>
            </w:r>
          </w:p>
        </w:tc>
      </w:tr>
      <w:tr>
        <w:trPr>
          <w:trHeight w:val="240"/>
        </w:trPr>
        <w:tc>
          <w:tcPr>
            <w:tcW w:w="6700" w:type="dxa"/>
            <w:vAlign w:val="bottom"/>
            <w:gridSpan w:val="2"/>
            <w:shd w:val="clear" w:color="auto" w:fill="D1EDF5"/>
          </w:tcPr>
          <w:p>
            <w:pPr>
              <w:ind w:left="280"/>
              <w:spacing w:after="0"/>
              <w:rPr>
                <w:sz w:val="20"/>
                <w:szCs w:val="20"/>
                <w:color w:val="auto"/>
              </w:rPr>
            </w:pPr>
            <w:r>
              <w:rPr>
                <w:rFonts w:ascii="Arial" w:cs="Arial" w:eastAsia="Arial" w:hAnsi="Arial"/>
                <w:sz w:val="18"/>
                <w:szCs w:val="18"/>
                <w:color w:val="auto"/>
              </w:rPr>
              <w:t>Plus: Provision for income taxes</w:t>
            </w:r>
          </w:p>
        </w:tc>
        <w:tc>
          <w:tcPr>
            <w:tcW w:w="128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9,816</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80" w:type="dxa"/>
            <w:vAlign w:val="bottom"/>
            <w:shd w:val="clear" w:color="auto" w:fill="D1EDF5"/>
          </w:tcPr>
          <w:p>
            <w:pPr>
              <w:spacing w:after="0"/>
              <w:rPr>
                <w:sz w:val="20"/>
                <w:szCs w:val="20"/>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7,803</w:t>
            </w:r>
          </w:p>
        </w:tc>
      </w:tr>
      <w:tr>
        <w:trPr>
          <w:trHeight w:val="240"/>
        </w:trPr>
        <w:tc>
          <w:tcPr>
            <w:tcW w:w="6700" w:type="dxa"/>
            <w:vAlign w:val="bottom"/>
            <w:tcBorders>
              <w:bottom w:val="single" w:sz="8" w:color="D1EDF5"/>
            </w:tcBorders>
            <w:gridSpan w:val="2"/>
          </w:tcPr>
          <w:p>
            <w:pPr>
              <w:ind w:left="280"/>
              <w:spacing w:after="0"/>
              <w:rPr>
                <w:sz w:val="20"/>
                <w:szCs w:val="20"/>
                <w:color w:val="auto"/>
              </w:rPr>
            </w:pPr>
            <w:r>
              <w:rPr>
                <w:rFonts w:ascii="Arial" w:cs="Arial" w:eastAsia="Arial" w:hAnsi="Arial"/>
                <w:sz w:val="18"/>
                <w:szCs w:val="18"/>
                <w:color w:val="auto"/>
              </w:rPr>
              <w:t>Plus: Provision for credit losses</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40" w:type="dxa"/>
            <w:vAlign w:val="bottom"/>
            <w:tcBorders>
              <w:bottom w:val="single" w:sz="8" w:color="D1EDF5"/>
            </w:tcBorders>
          </w:tcPr>
          <w:p>
            <w:pPr>
              <w:spacing w:after="0"/>
              <w:rPr>
                <w:sz w:val="20"/>
                <w:szCs w:val="20"/>
                <w:color w:val="auto"/>
              </w:rPr>
            </w:pPr>
          </w:p>
        </w:tc>
        <w:tc>
          <w:tcPr>
            <w:tcW w:w="40" w:type="dxa"/>
            <w:vAlign w:val="bottom"/>
            <w:tcBorders>
              <w:bottom w:val="single" w:sz="8" w:color="D1EDF5"/>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r>
      <w:tr>
        <w:trPr>
          <w:trHeight w:val="225"/>
        </w:trPr>
        <w:tc>
          <w:tcPr>
            <w:tcW w:w="400" w:type="dxa"/>
            <w:vAlign w:val="bottom"/>
            <w:shd w:val="clear" w:color="auto" w:fill="D1EDF5"/>
          </w:tcPr>
          <w:p>
            <w:pPr>
              <w:spacing w:after="0"/>
              <w:rPr>
                <w:sz w:val="19"/>
                <w:szCs w:val="19"/>
                <w:color w:val="auto"/>
              </w:rPr>
            </w:pPr>
          </w:p>
        </w:tc>
        <w:tc>
          <w:tcPr>
            <w:tcW w:w="6300" w:type="dxa"/>
            <w:vAlign w:val="bottom"/>
            <w:shd w:val="clear" w:color="auto" w:fill="D1EDF5"/>
          </w:tcPr>
          <w:p>
            <w:pPr>
              <w:spacing w:after="0"/>
              <w:rPr>
                <w:sz w:val="20"/>
                <w:szCs w:val="20"/>
                <w:color w:val="auto"/>
              </w:rPr>
            </w:pPr>
            <w:r>
              <w:rPr>
                <w:rFonts w:ascii="Arial" w:cs="Arial" w:eastAsia="Arial" w:hAnsi="Arial"/>
                <w:sz w:val="18"/>
                <w:szCs w:val="18"/>
                <w:color w:val="auto"/>
              </w:rPr>
              <w:t>PTPP income</w:t>
            </w:r>
          </w:p>
        </w:tc>
        <w:tc>
          <w:tcPr>
            <w:tcW w:w="1280" w:type="dxa"/>
            <w:vAlign w:val="bottom"/>
            <w:tcBorders>
              <w:bottom w:val="single" w:sz="8" w:color="auto"/>
            </w:tcBorders>
            <w:shd w:val="clear" w:color="auto" w:fill="D1EDF5"/>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38,213</w:t>
            </w:r>
          </w:p>
        </w:tc>
        <w:tc>
          <w:tcPr>
            <w:tcW w:w="4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480" w:type="dxa"/>
            <w:vAlign w:val="bottom"/>
            <w:tcBorders>
              <w:bottom w:val="single" w:sz="8" w:color="auto"/>
            </w:tcBorders>
            <w:shd w:val="clear" w:color="auto" w:fill="D1EDF5"/>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35,634</w:t>
            </w:r>
          </w:p>
        </w:tc>
      </w:tr>
      <w:tr>
        <w:trPr>
          <w:trHeight w:val="20"/>
        </w:trPr>
        <w:tc>
          <w:tcPr>
            <w:tcW w:w="670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0"/>
        </w:trPr>
        <w:tc>
          <w:tcPr>
            <w:tcW w:w="670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0"/>
        </w:trPr>
        <w:tc>
          <w:tcPr>
            <w:tcW w:w="670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Operating net income: (1)</w:t>
            </w:r>
          </w:p>
        </w:tc>
        <w:tc>
          <w:tcPr>
            <w:tcW w:w="1280" w:type="dxa"/>
            <w:vAlign w:val="bottom"/>
            <w:shd w:val="clear" w:color="auto" w:fill="D1EDF5"/>
          </w:tcPr>
          <w:p>
            <w:pPr>
              <w:spacing w:after="0"/>
              <w:rPr>
                <w:sz w:val="20"/>
                <w:szCs w:val="20"/>
                <w:color w:val="auto"/>
              </w:rPr>
            </w:pPr>
          </w:p>
        </w:tc>
        <w:tc>
          <w:tcPr>
            <w:tcW w:w="7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80" w:type="dxa"/>
            <w:vAlign w:val="bottom"/>
            <w:shd w:val="clear" w:color="auto" w:fill="D1EDF5"/>
          </w:tcPr>
          <w:p>
            <w:pPr>
              <w:spacing w:after="0"/>
              <w:rPr>
                <w:sz w:val="20"/>
                <w:szCs w:val="20"/>
                <w:color w:val="auto"/>
              </w:rPr>
            </w:pPr>
          </w:p>
        </w:tc>
        <w:tc>
          <w:tcPr>
            <w:tcW w:w="1520" w:type="dxa"/>
            <w:vAlign w:val="bottom"/>
            <w:shd w:val="clear" w:color="auto" w:fill="D1EDF5"/>
          </w:tcPr>
          <w:p>
            <w:pPr>
              <w:spacing w:after="0"/>
              <w:rPr>
                <w:sz w:val="20"/>
                <w:szCs w:val="20"/>
                <w:color w:val="auto"/>
              </w:rPr>
            </w:pPr>
          </w:p>
        </w:tc>
      </w:tr>
      <w:tr>
        <w:trPr>
          <w:trHeight w:val="240"/>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Net income (GAAP)</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26,100</w:t>
            </w:r>
          </w:p>
        </w:tc>
        <w:tc>
          <w:tcPr>
            <w:tcW w:w="40" w:type="dxa"/>
            <w:vAlign w:val="bottom"/>
          </w:tcPr>
          <w:p>
            <w:pPr>
              <w:spacing w:after="0"/>
              <w:rPr>
                <w:sz w:val="20"/>
                <w:szCs w:val="20"/>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24,674</w:t>
            </w:r>
          </w:p>
        </w:tc>
      </w:tr>
      <w:tr>
        <w:trPr>
          <w:trHeight w:val="240"/>
        </w:trPr>
        <w:tc>
          <w:tcPr>
            <w:tcW w:w="6700" w:type="dxa"/>
            <w:vAlign w:val="bottom"/>
            <w:gridSpan w:val="2"/>
            <w:shd w:val="clear" w:color="auto" w:fill="D1EDF5"/>
          </w:tcPr>
          <w:p>
            <w:pPr>
              <w:ind w:left="280"/>
              <w:spacing w:after="0"/>
              <w:rPr>
                <w:sz w:val="20"/>
                <w:szCs w:val="20"/>
                <w:color w:val="auto"/>
              </w:rPr>
            </w:pPr>
            <w:r>
              <w:rPr>
                <w:rFonts w:ascii="Arial" w:cs="Arial" w:eastAsia="Arial" w:hAnsi="Arial"/>
                <w:sz w:val="18"/>
                <w:szCs w:val="18"/>
                <w:color w:val="auto"/>
              </w:rPr>
              <w:t>Less: Net gain (loss) on sale of securities</w:t>
            </w:r>
          </w:p>
        </w:tc>
        <w:tc>
          <w:tcPr>
            <w:tcW w:w="1280" w:type="dxa"/>
            <w:vAlign w:val="bottom"/>
            <w:shd w:val="clear" w:color="auto" w:fill="D1EDF5"/>
          </w:tcPr>
          <w:p>
            <w:pPr>
              <w:spacing w:after="0"/>
              <w:rPr>
                <w:sz w:val="20"/>
                <w:szCs w:val="20"/>
                <w:color w:val="auto"/>
              </w:rPr>
            </w:pPr>
          </w:p>
        </w:tc>
        <w:tc>
          <w:tcPr>
            <w:tcW w:w="78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(7,526)</w:t>
            </w:r>
          </w:p>
        </w:tc>
        <w:tc>
          <w:tcPr>
            <w:tcW w:w="40" w:type="dxa"/>
            <w:vAlign w:val="bottom"/>
            <w:shd w:val="clear" w:color="auto" w:fill="D1EDF5"/>
          </w:tcPr>
          <w:p>
            <w:pPr>
              <w:spacing w:after="0"/>
              <w:rPr>
                <w:sz w:val="20"/>
                <w:szCs w:val="20"/>
                <w:color w:val="auto"/>
              </w:rPr>
            </w:pPr>
          </w:p>
        </w:tc>
        <w:tc>
          <w:tcPr>
            <w:tcW w:w="480" w:type="dxa"/>
            <w:vAlign w:val="bottom"/>
            <w:shd w:val="clear" w:color="auto" w:fill="D1EDF5"/>
          </w:tcPr>
          <w:p>
            <w:pPr>
              <w:spacing w:after="0"/>
              <w:rPr>
                <w:sz w:val="20"/>
                <w:szCs w:val="20"/>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w:t>
            </w:r>
          </w:p>
        </w:tc>
      </w:tr>
      <w:tr>
        <w:trPr>
          <w:trHeight w:val="240"/>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Less: Tax effect on sale of securities</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0"/>
        </w:trPr>
        <w:tc>
          <w:tcPr>
            <w:tcW w:w="6700" w:type="dxa"/>
            <w:vAlign w:val="bottom"/>
            <w:gridSpan w:val="2"/>
            <w:shd w:val="clear" w:color="auto" w:fill="D1EDF5"/>
          </w:tcPr>
          <w:p>
            <w:pPr>
              <w:ind w:left="280"/>
              <w:spacing w:after="0"/>
              <w:rPr>
                <w:sz w:val="20"/>
                <w:szCs w:val="20"/>
                <w:color w:val="auto"/>
              </w:rPr>
            </w:pPr>
            <w:r>
              <w:rPr>
                <w:rFonts w:ascii="Arial" w:cs="Arial" w:eastAsia="Arial" w:hAnsi="Arial"/>
                <w:sz w:val="18"/>
                <w:szCs w:val="18"/>
                <w:color w:val="auto"/>
              </w:rPr>
              <w:t>Plus: Tax liability expenses from prior periods</w:t>
            </w:r>
          </w:p>
        </w:tc>
        <w:tc>
          <w:tcPr>
            <w:tcW w:w="1280" w:type="dxa"/>
            <w:vAlign w:val="bottom"/>
            <w:tcBorders>
              <w:bottom w:val="single" w:sz="8" w:color="auto"/>
            </w:tcBorders>
            <w:shd w:val="clear" w:color="auto" w:fill="D1EDF5"/>
          </w:tcPr>
          <w:p>
            <w:pPr>
              <w:spacing w:after="0"/>
              <w:rPr>
                <w:sz w:val="20"/>
                <w:szCs w:val="20"/>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764</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80" w:type="dxa"/>
            <w:vAlign w:val="bottom"/>
            <w:tcBorders>
              <w:bottom w:val="single" w:sz="8" w:color="auto"/>
            </w:tcBorders>
            <w:shd w:val="clear" w:color="auto" w:fill="D1EDF5"/>
          </w:tcPr>
          <w:p>
            <w:pPr>
              <w:spacing w:after="0"/>
              <w:rPr>
                <w:sz w:val="20"/>
                <w:szCs w:val="20"/>
                <w:color w:val="auto"/>
              </w:rPr>
            </w:pPr>
          </w:p>
        </w:tc>
        <w:tc>
          <w:tcPr>
            <w:tcW w:w="15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0" w:type="dxa"/>
            <w:vAlign w:val="bottom"/>
          </w:tcPr>
          <w:p>
            <w:pPr>
              <w:spacing w:after="0"/>
              <w:rPr>
                <w:sz w:val="23"/>
                <w:szCs w:val="23"/>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net income</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32,482</w:t>
            </w:r>
          </w:p>
        </w:tc>
        <w:tc>
          <w:tcPr>
            <w:tcW w:w="40" w:type="dxa"/>
            <w:vAlign w:val="bottom"/>
          </w:tcPr>
          <w:p>
            <w:pPr>
              <w:spacing w:after="0"/>
              <w:rPr>
                <w:sz w:val="23"/>
                <w:szCs w:val="23"/>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24,664</w:t>
            </w:r>
          </w:p>
        </w:tc>
      </w:tr>
      <w:tr>
        <w:trPr>
          <w:trHeight w:val="226"/>
        </w:trPr>
        <w:tc>
          <w:tcPr>
            <w:tcW w:w="400" w:type="dxa"/>
            <w:vAlign w:val="bottom"/>
            <w:tcBorders>
              <w:top w:val="single" w:sz="8" w:color="D1EDF5"/>
            </w:tcBorders>
            <w:shd w:val="clear" w:color="auto" w:fill="D1EDF5"/>
          </w:tcPr>
          <w:p>
            <w:pPr>
              <w:spacing w:after="0"/>
              <w:rPr>
                <w:sz w:val="19"/>
                <w:szCs w:val="19"/>
                <w:color w:val="auto"/>
              </w:rPr>
            </w:pPr>
          </w:p>
        </w:tc>
        <w:tc>
          <w:tcPr>
            <w:tcW w:w="6300" w:type="dxa"/>
            <w:vAlign w:val="bottom"/>
            <w:tcBorders>
              <w:top w:val="single" w:sz="8" w:color="D1EDF5"/>
            </w:tcBorders>
            <w:shd w:val="clear" w:color="auto" w:fill="D1EDF5"/>
          </w:tcPr>
          <w:p>
            <w:pPr>
              <w:spacing w:after="0"/>
              <w:rPr>
                <w:sz w:val="19"/>
                <w:szCs w:val="19"/>
                <w:color w:val="auto"/>
              </w:rPr>
            </w:pPr>
          </w:p>
        </w:tc>
        <w:tc>
          <w:tcPr>
            <w:tcW w:w="1280" w:type="dxa"/>
            <w:vAlign w:val="bottom"/>
            <w:tcBorders>
              <w:top w:val="single" w:sz="8" w:color="auto"/>
            </w:tcBorders>
            <w:shd w:val="clear" w:color="auto" w:fill="D1EDF5"/>
          </w:tcPr>
          <w:p>
            <w:pPr>
              <w:spacing w:after="0"/>
              <w:rPr>
                <w:sz w:val="19"/>
                <w:szCs w:val="19"/>
                <w:color w:val="auto"/>
              </w:rPr>
            </w:pPr>
          </w:p>
        </w:tc>
        <w:tc>
          <w:tcPr>
            <w:tcW w:w="74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480" w:type="dxa"/>
            <w:vAlign w:val="bottom"/>
            <w:tcBorders>
              <w:top w:val="single" w:sz="8" w:color="auto"/>
            </w:tcBorders>
            <w:shd w:val="clear" w:color="auto" w:fill="D1EDF5"/>
          </w:tcPr>
          <w:p>
            <w:pPr>
              <w:spacing w:after="0"/>
              <w:rPr>
                <w:sz w:val="19"/>
                <w:szCs w:val="19"/>
                <w:color w:val="auto"/>
              </w:rPr>
            </w:pPr>
          </w:p>
        </w:tc>
        <w:tc>
          <w:tcPr>
            <w:tcW w:w="1520" w:type="dxa"/>
            <w:vAlign w:val="bottom"/>
            <w:tcBorders>
              <w:top w:val="single" w:sz="8" w:color="auto"/>
            </w:tcBorders>
            <w:shd w:val="clear" w:color="auto" w:fill="D1EDF5"/>
          </w:tcPr>
          <w:p>
            <w:pPr>
              <w:spacing w:after="0"/>
              <w:rPr>
                <w:sz w:val="19"/>
                <w:szCs w:val="19"/>
                <w:color w:val="auto"/>
              </w:rPr>
            </w:pPr>
          </w:p>
        </w:tc>
      </w:tr>
      <w:tr>
        <w:trPr>
          <w:trHeight w:val="24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Operating revenue: (1)</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0"/>
        </w:trPr>
        <w:tc>
          <w:tcPr>
            <w:tcW w:w="6700" w:type="dxa"/>
            <w:vAlign w:val="bottom"/>
            <w:gridSpan w:val="2"/>
            <w:shd w:val="clear" w:color="auto" w:fill="D1EDF5"/>
          </w:tcPr>
          <w:p>
            <w:pPr>
              <w:ind w:left="280"/>
              <w:spacing w:after="0"/>
              <w:rPr>
                <w:sz w:val="20"/>
                <w:szCs w:val="20"/>
                <w:color w:val="auto"/>
              </w:rPr>
            </w:pPr>
            <w:r>
              <w:rPr>
                <w:rFonts w:ascii="Arial" w:cs="Arial" w:eastAsia="Arial" w:hAnsi="Arial"/>
                <w:sz w:val="18"/>
                <w:szCs w:val="18"/>
                <w:color w:val="auto"/>
              </w:rPr>
              <w:t>Net interest income</w:t>
            </w:r>
          </w:p>
        </w:tc>
        <w:tc>
          <w:tcPr>
            <w:tcW w:w="1280" w:type="dxa"/>
            <w:vAlign w:val="bottom"/>
            <w:shd w:val="clear" w:color="auto" w:fill="D1EDF5"/>
          </w:tcPr>
          <w:p>
            <w:pPr>
              <w:jc w:val="right"/>
              <w:ind w:right="1010"/>
              <w:spacing w:after="0"/>
              <w:rPr>
                <w:sz w:val="20"/>
                <w:szCs w:val="20"/>
                <w:color w:val="auto"/>
              </w:rPr>
            </w:pPr>
            <w:r>
              <w:rPr>
                <w:rFonts w:ascii="Arial" w:cs="Arial" w:eastAsia="Arial" w:hAnsi="Arial"/>
                <w:sz w:val="18"/>
                <w:szCs w:val="18"/>
                <w:color w:val="auto"/>
              </w:rPr>
              <w:t>$</w:t>
            </w:r>
          </w:p>
        </w:tc>
        <w:tc>
          <w:tcPr>
            <w:tcW w:w="7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83,630</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80" w:type="dxa"/>
            <w:vAlign w:val="bottom"/>
            <w:shd w:val="clear" w:color="auto" w:fill="D1EDF5"/>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69,936</w:t>
            </w:r>
          </w:p>
        </w:tc>
      </w:tr>
      <w:tr>
        <w:trPr>
          <w:trHeight w:val="240"/>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Non-interest income</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12,740</w:t>
            </w:r>
          </w:p>
        </w:tc>
      </w:tr>
      <w:tr>
        <w:trPr>
          <w:trHeight w:val="252"/>
        </w:trPr>
        <w:tc>
          <w:tcPr>
            <w:tcW w:w="6700" w:type="dxa"/>
            <w:vAlign w:val="bottom"/>
            <w:tcBorders>
              <w:bottom w:val="single" w:sz="8" w:color="D1EDF5"/>
            </w:tcBorders>
            <w:gridSpan w:val="2"/>
            <w:shd w:val="clear" w:color="auto" w:fill="D1EDF5"/>
          </w:tcPr>
          <w:p>
            <w:pPr>
              <w:ind w:left="280"/>
              <w:spacing w:after="0"/>
              <w:rPr>
                <w:sz w:val="20"/>
                <w:szCs w:val="20"/>
                <w:color w:val="auto"/>
              </w:rPr>
            </w:pPr>
            <w:r>
              <w:rPr>
                <w:rFonts w:ascii="Arial" w:cs="Arial" w:eastAsia="Arial" w:hAnsi="Arial"/>
                <w:sz w:val="18"/>
                <w:szCs w:val="18"/>
                <w:color w:val="auto"/>
              </w:rPr>
              <w:t>Less: Net gain (losses) on sale of securities</w:t>
            </w:r>
          </w:p>
        </w:tc>
        <w:tc>
          <w:tcPr>
            <w:tcW w:w="1280" w:type="dxa"/>
            <w:vAlign w:val="bottom"/>
            <w:tcBorders>
              <w:bottom w:val="single" w:sz="8" w:color="auto"/>
            </w:tcBorders>
            <w:shd w:val="clear" w:color="auto" w:fill="D1EDF5"/>
          </w:tcPr>
          <w:p>
            <w:pPr>
              <w:spacing w:after="0"/>
              <w:rPr>
                <w:sz w:val="21"/>
                <w:szCs w:val="21"/>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(7,526)</w:t>
            </w:r>
          </w:p>
        </w:tc>
        <w:tc>
          <w:tcPr>
            <w:tcW w:w="4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480" w:type="dxa"/>
            <w:vAlign w:val="bottom"/>
            <w:tcBorders>
              <w:bottom w:val="single" w:sz="8" w:color="auto"/>
            </w:tcBorders>
            <w:shd w:val="clear" w:color="auto" w:fill="D1EDF5"/>
          </w:tcPr>
          <w:p>
            <w:pPr>
              <w:spacing w:after="0"/>
              <w:rPr>
                <w:sz w:val="21"/>
                <w:szCs w:val="21"/>
                <w:color w:val="auto"/>
              </w:rPr>
            </w:pPr>
          </w:p>
        </w:tc>
        <w:tc>
          <w:tcPr>
            <w:tcW w:w="15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14</w:t>
            </w:r>
          </w:p>
        </w:tc>
      </w:tr>
      <w:tr>
        <w:trPr>
          <w:trHeight w:val="258"/>
        </w:trPr>
        <w:tc>
          <w:tcPr>
            <w:tcW w:w="400" w:type="dxa"/>
            <w:vAlign w:val="bottom"/>
          </w:tcPr>
          <w:p>
            <w:pPr>
              <w:spacing w:after="0"/>
              <w:rPr>
                <w:sz w:val="22"/>
                <w:szCs w:val="22"/>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revenue</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97,748</w:t>
            </w:r>
          </w:p>
        </w:tc>
        <w:tc>
          <w:tcPr>
            <w:tcW w:w="40" w:type="dxa"/>
            <w:vAlign w:val="bottom"/>
          </w:tcPr>
          <w:p>
            <w:pPr>
              <w:spacing w:after="0"/>
              <w:rPr>
                <w:sz w:val="22"/>
                <w:szCs w:val="22"/>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82,662</w:t>
            </w:r>
          </w:p>
        </w:tc>
      </w:tr>
      <w:tr>
        <w:trPr>
          <w:trHeight w:val="226"/>
        </w:trPr>
        <w:tc>
          <w:tcPr>
            <w:tcW w:w="400" w:type="dxa"/>
            <w:vAlign w:val="bottom"/>
            <w:tcBorders>
              <w:top w:val="single" w:sz="8" w:color="D1EDF5"/>
            </w:tcBorders>
            <w:shd w:val="clear" w:color="auto" w:fill="D1EDF5"/>
          </w:tcPr>
          <w:p>
            <w:pPr>
              <w:spacing w:after="0"/>
              <w:rPr>
                <w:sz w:val="19"/>
                <w:szCs w:val="19"/>
                <w:color w:val="auto"/>
              </w:rPr>
            </w:pPr>
          </w:p>
        </w:tc>
        <w:tc>
          <w:tcPr>
            <w:tcW w:w="6300" w:type="dxa"/>
            <w:vAlign w:val="bottom"/>
            <w:tcBorders>
              <w:top w:val="single" w:sz="8" w:color="D1EDF5"/>
            </w:tcBorders>
            <w:shd w:val="clear" w:color="auto" w:fill="D1EDF5"/>
          </w:tcPr>
          <w:p>
            <w:pPr>
              <w:spacing w:after="0"/>
              <w:rPr>
                <w:sz w:val="19"/>
                <w:szCs w:val="19"/>
                <w:color w:val="auto"/>
              </w:rPr>
            </w:pPr>
          </w:p>
        </w:tc>
        <w:tc>
          <w:tcPr>
            <w:tcW w:w="1280" w:type="dxa"/>
            <w:vAlign w:val="bottom"/>
            <w:tcBorders>
              <w:top w:val="single" w:sz="8" w:color="auto"/>
            </w:tcBorders>
            <w:shd w:val="clear" w:color="auto" w:fill="D1EDF5"/>
          </w:tcPr>
          <w:p>
            <w:pPr>
              <w:spacing w:after="0"/>
              <w:rPr>
                <w:sz w:val="19"/>
                <w:szCs w:val="19"/>
                <w:color w:val="auto"/>
              </w:rPr>
            </w:pPr>
          </w:p>
        </w:tc>
        <w:tc>
          <w:tcPr>
            <w:tcW w:w="74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480" w:type="dxa"/>
            <w:vAlign w:val="bottom"/>
            <w:tcBorders>
              <w:top w:val="single" w:sz="8" w:color="auto"/>
            </w:tcBorders>
            <w:shd w:val="clear" w:color="auto" w:fill="D1EDF5"/>
          </w:tcPr>
          <w:p>
            <w:pPr>
              <w:spacing w:after="0"/>
              <w:rPr>
                <w:sz w:val="19"/>
                <w:szCs w:val="19"/>
                <w:color w:val="auto"/>
              </w:rPr>
            </w:pPr>
          </w:p>
        </w:tc>
        <w:tc>
          <w:tcPr>
            <w:tcW w:w="1520" w:type="dxa"/>
            <w:vAlign w:val="bottom"/>
            <w:tcBorders>
              <w:top w:val="single" w:sz="8" w:color="auto"/>
            </w:tcBorders>
            <w:shd w:val="clear" w:color="auto" w:fill="D1EDF5"/>
          </w:tcPr>
          <w:p>
            <w:pPr>
              <w:spacing w:after="0"/>
              <w:rPr>
                <w:sz w:val="19"/>
                <w:szCs w:val="19"/>
                <w:color w:val="auto"/>
              </w:rPr>
            </w:pPr>
          </w:p>
        </w:tc>
      </w:tr>
      <w:tr>
        <w:trPr>
          <w:trHeight w:val="24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Operating efficency ratio: (1)</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0"/>
        </w:trPr>
        <w:tc>
          <w:tcPr>
            <w:tcW w:w="6700" w:type="dxa"/>
            <w:vAlign w:val="bottom"/>
            <w:gridSpan w:val="2"/>
            <w:shd w:val="clear" w:color="auto" w:fill="D1EDF5"/>
          </w:tcPr>
          <w:p>
            <w:pPr>
              <w:ind w:left="280"/>
              <w:spacing w:after="0"/>
              <w:rPr>
                <w:sz w:val="20"/>
                <w:szCs w:val="20"/>
                <w:color w:val="auto"/>
              </w:rPr>
            </w:pPr>
            <w:r>
              <w:rPr>
                <w:rFonts w:ascii="Arial" w:cs="Arial" w:eastAsia="Arial" w:hAnsi="Arial"/>
                <w:sz w:val="18"/>
                <w:szCs w:val="18"/>
                <w:color w:val="auto"/>
              </w:rPr>
              <w:t>Total non-interest expense</w:t>
            </w:r>
          </w:p>
        </w:tc>
        <w:tc>
          <w:tcPr>
            <w:tcW w:w="1280" w:type="dxa"/>
            <w:vAlign w:val="bottom"/>
            <w:shd w:val="clear" w:color="auto" w:fill="D1EDF5"/>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52,009</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80" w:type="dxa"/>
            <w:vAlign w:val="bottom"/>
            <w:shd w:val="clear" w:color="auto" w:fill="D1EDF5"/>
          </w:tcPr>
          <w:p>
            <w:pPr>
              <w:spacing w:after="0"/>
              <w:rPr>
                <w:sz w:val="20"/>
                <w:szCs w:val="20"/>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47,042</w:t>
            </w:r>
          </w:p>
        </w:tc>
      </w:tr>
      <w:tr>
        <w:trPr>
          <w:trHeight w:val="240"/>
        </w:trPr>
        <w:tc>
          <w:tcPr>
            <w:tcW w:w="6700" w:type="dxa"/>
            <w:vAlign w:val="bottom"/>
            <w:gridSpan w:val="2"/>
          </w:tcPr>
          <w:p>
            <w:pPr>
              <w:ind w:left="280"/>
              <w:spacing w:after="0"/>
              <w:rPr>
                <w:sz w:val="20"/>
                <w:szCs w:val="20"/>
                <w:color w:val="auto"/>
              </w:rPr>
            </w:pPr>
            <w:r>
              <w:rPr>
                <w:rFonts w:ascii="Arial" w:cs="Arial" w:eastAsia="Arial" w:hAnsi="Arial"/>
                <w:sz w:val="18"/>
                <w:szCs w:val="18"/>
                <w:color w:val="auto"/>
              </w:rPr>
              <w:t>Operating revenue</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97,748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82,662</w:t>
            </w:r>
          </w:p>
        </w:tc>
      </w:tr>
      <w:tr>
        <w:trPr>
          <w:trHeight w:val="240"/>
        </w:trPr>
        <w:tc>
          <w:tcPr>
            <w:tcW w:w="400" w:type="dxa"/>
            <w:vAlign w:val="bottom"/>
            <w:shd w:val="clear" w:color="auto" w:fill="D1EDF5"/>
          </w:tcPr>
          <w:p>
            <w:pPr>
              <w:spacing w:after="0"/>
              <w:rPr>
                <w:sz w:val="20"/>
                <w:szCs w:val="20"/>
                <w:color w:val="auto"/>
              </w:rPr>
            </w:pPr>
          </w:p>
        </w:tc>
        <w:tc>
          <w:tcPr>
            <w:tcW w:w="6300" w:type="dxa"/>
            <w:vAlign w:val="bottom"/>
            <w:shd w:val="clear" w:color="auto" w:fill="D1EDF5"/>
          </w:tcPr>
          <w:p>
            <w:pPr>
              <w:spacing w:after="0"/>
              <w:rPr>
                <w:sz w:val="20"/>
                <w:szCs w:val="20"/>
                <w:color w:val="auto"/>
              </w:rPr>
            </w:pPr>
            <w:r>
              <w:rPr>
                <w:rFonts w:ascii="Arial" w:cs="Arial" w:eastAsia="Arial" w:hAnsi="Arial"/>
                <w:sz w:val="18"/>
                <w:szCs w:val="18"/>
                <w:color w:val="auto"/>
              </w:rPr>
              <w:t>Operating efficency ratio</w:t>
            </w:r>
          </w:p>
        </w:tc>
        <w:tc>
          <w:tcPr>
            <w:tcW w:w="1280" w:type="dxa"/>
            <w:vAlign w:val="bottom"/>
            <w:shd w:val="clear" w:color="auto" w:fill="D1EDF5"/>
          </w:tcPr>
          <w:p>
            <w:pPr>
              <w:spacing w:after="0"/>
              <w:rPr>
                <w:sz w:val="20"/>
                <w:szCs w:val="20"/>
                <w:color w:val="auto"/>
              </w:rPr>
            </w:pPr>
          </w:p>
        </w:tc>
        <w:tc>
          <w:tcPr>
            <w:tcW w:w="7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53.21%</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80" w:type="dxa"/>
            <w:vAlign w:val="bottom"/>
            <w:shd w:val="clear" w:color="auto" w:fill="D1EDF5"/>
          </w:tcPr>
          <w:p>
            <w:pPr>
              <w:spacing w:after="0"/>
              <w:rPr>
                <w:sz w:val="20"/>
                <w:szCs w:val="20"/>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56.91%</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 The Company believes these non-GAAP measurements are key indicators of the ongoing earnings power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-121920</wp:posOffset>
                </wp:positionV>
                <wp:extent cx="4257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76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999pt" to="335.25pt,-9.5999pt" o:allowincell="f" strokecolor="#000000" strokeweight="0.48pt"/>
            </w:pict>
          </mc:Fallback>
        </mc:AlternateContent>
      </w:r>
    </w:p>
    <w:p>
      <w:pPr>
        <w:spacing w:after="0" w:line="25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5" w:name="page76"/>
    <w:bookmarkEnd w:id="75"/>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620" w:type="dxa"/>
            <w:vAlign w:val="bottom"/>
          </w:tcPr>
          <w:p>
            <w:pPr>
              <w:spacing w:after="0"/>
              <w:rPr>
                <w:sz w:val="24"/>
                <w:szCs w:val="24"/>
                <w:color w:val="auto"/>
              </w:rPr>
            </w:pPr>
          </w:p>
        </w:tc>
        <w:tc>
          <w:tcPr>
            <w:tcW w:w="6660" w:type="dxa"/>
            <w:vAlign w:val="bottom"/>
            <w:gridSpan w:val="7"/>
          </w:tcPr>
          <w:p>
            <w:pPr>
              <w:ind w:left="200"/>
              <w:spacing w:after="0"/>
              <w:rPr>
                <w:sz w:val="20"/>
                <w:szCs w:val="20"/>
                <w:color w:val="auto"/>
              </w:rPr>
            </w:pPr>
            <w:r>
              <w:rPr>
                <w:rFonts w:ascii="Arial" w:cs="Arial" w:eastAsia="Arial" w:hAnsi="Arial"/>
                <w:sz w:val="20"/>
                <w:szCs w:val="20"/>
                <w:b w:val="1"/>
                <w:bCs w:val="1"/>
                <w:color w:val="auto"/>
              </w:rPr>
              <w:t>INDEX TO CONSOLIDATED FINANCIAL STATEMENTS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06"/>
        </w:trPr>
        <w:tc>
          <w:tcPr>
            <w:tcW w:w="9280" w:type="dxa"/>
            <w:vAlign w:val="bottom"/>
            <w:gridSpan w:val="8"/>
          </w:tcPr>
          <w:p>
            <w:pPr>
              <w:spacing w:after="0"/>
              <w:rPr>
                <w:sz w:val="20"/>
                <w:szCs w:val="20"/>
                <w:color w:val="auto"/>
              </w:rPr>
            </w:pPr>
            <w:r>
              <w:rPr>
                <w:rFonts w:ascii="Arial" w:cs="Arial" w:eastAsia="Arial" w:hAnsi="Arial"/>
                <w:sz w:val="20"/>
                <w:szCs w:val="20"/>
                <w:color w:val="0D248E"/>
              </w:rPr>
              <w:t xml:space="preserve">Report of Independent Registered Public Accounting Firm </w:t>
            </w:r>
            <w:r>
              <w:rPr>
                <w:rFonts w:ascii="Arial" w:cs="Arial" w:eastAsia="Arial" w:hAnsi="Arial"/>
                <w:sz w:val="20"/>
                <w:szCs w:val="20"/>
                <w:color w:val="000000"/>
              </w:rPr>
              <w:t>(Crowe LLP, PCAOB ID: 173)</w:t>
            </w:r>
          </w:p>
        </w:tc>
        <w:tc>
          <w:tcPr>
            <w:tcW w:w="1520" w:type="dxa"/>
            <w:vAlign w:val="bottom"/>
            <w:gridSpan w:val="2"/>
          </w:tcPr>
          <w:p>
            <w:pPr>
              <w:jc w:val="right"/>
              <w:spacing w:after="0"/>
              <w:rPr>
                <w:sz w:val="20"/>
                <w:szCs w:val="20"/>
                <w:color w:val="auto"/>
              </w:rPr>
            </w:pPr>
            <w:r>
              <w:rPr>
                <w:rFonts w:ascii="Arial" w:cs="Arial" w:eastAsia="Arial" w:hAnsi="Arial"/>
                <w:sz w:val="20"/>
                <w:szCs w:val="20"/>
                <w:color w:val="0D248E"/>
              </w:rPr>
              <w:t>77</w:t>
            </w:r>
          </w:p>
        </w:tc>
      </w:tr>
      <w:tr>
        <w:trPr>
          <w:trHeight w:val="20"/>
        </w:trPr>
        <w:tc>
          <w:tcPr>
            <w:tcW w:w="2620" w:type="dxa"/>
            <w:vAlign w:val="bottom"/>
            <w:shd w:val="clear" w:color="auto" w:fill="0D248E"/>
          </w:tcPr>
          <w:p>
            <w:pPr>
              <w:spacing w:after="0" w:line="20" w:lineRule="exact"/>
              <w:rPr>
                <w:sz w:val="1"/>
                <w:szCs w:val="1"/>
                <w:color w:val="auto"/>
              </w:rPr>
            </w:pPr>
          </w:p>
        </w:tc>
        <w:tc>
          <w:tcPr>
            <w:tcW w:w="880" w:type="dxa"/>
            <w:vAlign w:val="bottom"/>
            <w:shd w:val="clear" w:color="auto" w:fill="0D248E"/>
          </w:tcPr>
          <w:p>
            <w:pPr>
              <w:spacing w:after="0" w:line="20" w:lineRule="exact"/>
              <w:rPr>
                <w:sz w:val="1"/>
                <w:szCs w:val="1"/>
                <w:color w:val="auto"/>
              </w:rPr>
            </w:pPr>
          </w:p>
        </w:tc>
        <w:tc>
          <w:tcPr>
            <w:tcW w:w="60" w:type="dxa"/>
            <w:vAlign w:val="bottom"/>
            <w:shd w:val="clear" w:color="auto" w:fill="0D248E"/>
          </w:tcPr>
          <w:p>
            <w:pPr>
              <w:spacing w:after="0" w:line="20" w:lineRule="exact"/>
              <w:rPr>
                <w:sz w:val="1"/>
                <w:szCs w:val="1"/>
                <w:color w:val="auto"/>
              </w:rPr>
            </w:pPr>
          </w:p>
        </w:tc>
        <w:tc>
          <w:tcPr>
            <w:tcW w:w="66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500" w:type="dxa"/>
            <w:vAlign w:val="bottom"/>
            <w:shd w:val="clear" w:color="auto" w:fill="0D248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D248E"/>
          </w:tcPr>
          <w:p>
            <w:pPr>
              <w:spacing w:after="0" w:line="20" w:lineRule="exact"/>
              <w:rPr>
                <w:sz w:val="1"/>
                <w:szCs w:val="1"/>
                <w:color w:val="auto"/>
              </w:rPr>
            </w:pPr>
          </w:p>
        </w:tc>
      </w:tr>
      <w:tr>
        <w:trPr>
          <w:trHeight w:val="441"/>
        </w:trPr>
        <w:tc>
          <w:tcPr>
            <w:tcW w:w="5120" w:type="dxa"/>
            <w:vAlign w:val="bottom"/>
            <w:gridSpan w:val="6"/>
          </w:tcPr>
          <w:p>
            <w:pPr>
              <w:spacing w:after="0"/>
              <w:rPr>
                <w:sz w:val="20"/>
                <w:szCs w:val="20"/>
                <w:color w:val="auto"/>
              </w:rPr>
            </w:pPr>
            <w:r>
              <w:rPr>
                <w:rFonts w:ascii="Arial" w:cs="Arial" w:eastAsia="Arial" w:hAnsi="Arial"/>
                <w:sz w:val="20"/>
                <w:szCs w:val="20"/>
                <w:color w:val="0D248E"/>
              </w:rPr>
              <w:t>Consolidated Balance Sheets</w:t>
            </w:r>
          </w:p>
        </w:tc>
        <w:tc>
          <w:tcPr>
            <w:tcW w:w="4160" w:type="dxa"/>
            <w:vAlign w:val="bottom"/>
            <w:gridSpan w:val="2"/>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0"/>
                <w:szCs w:val="20"/>
                <w:color w:val="0D248E"/>
              </w:rPr>
              <w:t>78</w:t>
            </w:r>
          </w:p>
        </w:tc>
      </w:tr>
      <w:tr>
        <w:trPr>
          <w:trHeight w:val="210"/>
        </w:trPr>
        <w:tc>
          <w:tcPr>
            <w:tcW w:w="2620" w:type="dxa"/>
            <w:vAlign w:val="bottom"/>
            <w:tcBorders>
              <w:top w:val="single" w:sz="8" w:color="0D248E"/>
              <w:bottom w:val="single" w:sz="8" w:color="0D248E"/>
            </w:tcBorders>
          </w:tcPr>
          <w:p>
            <w:pPr>
              <w:spacing w:after="0" w:line="210" w:lineRule="exact"/>
              <w:rPr>
                <w:sz w:val="20"/>
                <w:szCs w:val="20"/>
                <w:color w:val="auto"/>
              </w:rPr>
            </w:pPr>
            <w:r>
              <w:rPr>
                <w:rFonts w:ascii="Arial" w:cs="Arial" w:eastAsia="Arial" w:hAnsi="Arial"/>
                <w:sz w:val="20"/>
                <w:szCs w:val="20"/>
                <w:color w:val="0D248E"/>
              </w:rPr>
              <w:t>Consolidated Statements of</w:t>
            </w:r>
          </w:p>
        </w:tc>
        <w:tc>
          <w:tcPr>
            <w:tcW w:w="880" w:type="dxa"/>
            <w:vAlign w:val="bottom"/>
            <w:tcBorders>
              <w:bottom w:val="single" w:sz="8" w:color="0D248E"/>
            </w:tcBorders>
          </w:tcPr>
          <w:p>
            <w:pPr>
              <w:spacing w:after="0" w:line="210" w:lineRule="exact"/>
              <w:rPr>
                <w:sz w:val="20"/>
                <w:szCs w:val="20"/>
                <w:color w:val="auto"/>
              </w:rPr>
            </w:pPr>
            <w:r>
              <w:rPr>
                <w:rFonts w:ascii="Arial" w:cs="Arial" w:eastAsia="Arial" w:hAnsi="Arial"/>
                <w:sz w:val="20"/>
                <w:szCs w:val="20"/>
                <w:color w:val="0D248E"/>
                <w:w w:val="87"/>
              </w:rPr>
              <w:t>Operations</w:t>
            </w:r>
          </w:p>
        </w:tc>
        <w:tc>
          <w:tcPr>
            <w:tcW w:w="5780" w:type="dxa"/>
            <w:vAlign w:val="bottom"/>
            <w:gridSpan w:val="6"/>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0D248E"/>
              <w:bottom w:val="single" w:sz="8" w:color="0D248E"/>
            </w:tcBorders>
          </w:tcPr>
          <w:p>
            <w:pPr>
              <w:jc w:val="right"/>
              <w:spacing w:after="0" w:line="210" w:lineRule="exact"/>
              <w:rPr>
                <w:sz w:val="20"/>
                <w:szCs w:val="20"/>
                <w:color w:val="auto"/>
              </w:rPr>
            </w:pPr>
            <w:r>
              <w:rPr>
                <w:rFonts w:ascii="Arial" w:cs="Arial" w:eastAsia="Arial" w:hAnsi="Arial"/>
                <w:sz w:val="20"/>
                <w:szCs w:val="20"/>
                <w:color w:val="0D248E"/>
                <w:w w:val="89"/>
              </w:rPr>
              <w:t>79</w:t>
            </w:r>
          </w:p>
        </w:tc>
      </w:tr>
      <w:tr>
        <w:trPr>
          <w:trHeight w:val="210"/>
        </w:trPr>
        <w:tc>
          <w:tcPr>
            <w:tcW w:w="9280" w:type="dxa"/>
            <w:vAlign w:val="bottom"/>
            <w:gridSpan w:val="8"/>
          </w:tcPr>
          <w:p>
            <w:pPr>
              <w:spacing w:after="0" w:line="210" w:lineRule="exact"/>
              <w:rPr>
                <w:sz w:val="20"/>
                <w:szCs w:val="20"/>
                <w:color w:val="auto"/>
              </w:rPr>
            </w:pPr>
            <w:r>
              <w:rPr>
                <w:rFonts w:ascii="Arial" w:cs="Arial" w:eastAsia="Arial" w:hAnsi="Arial"/>
                <w:sz w:val="20"/>
                <w:szCs w:val="20"/>
                <w:color w:val="0D248E"/>
              </w:rPr>
              <w:t>Consolidated Statements of Comprehensive Income</w:t>
            </w:r>
          </w:p>
        </w:tc>
        <w:tc>
          <w:tcPr>
            <w:tcW w:w="1300" w:type="dxa"/>
            <w:vAlign w:val="bottom"/>
          </w:tcPr>
          <w:p>
            <w:pPr>
              <w:spacing w:after="0"/>
              <w:rPr>
                <w:sz w:val="18"/>
                <w:szCs w:val="18"/>
                <w:color w:val="auto"/>
              </w:rPr>
            </w:pPr>
          </w:p>
        </w:tc>
        <w:tc>
          <w:tcPr>
            <w:tcW w:w="220" w:type="dxa"/>
            <w:vAlign w:val="bottom"/>
          </w:tcPr>
          <w:p>
            <w:pPr>
              <w:jc w:val="right"/>
              <w:spacing w:after="0" w:line="210" w:lineRule="exact"/>
              <w:rPr>
                <w:sz w:val="20"/>
                <w:szCs w:val="20"/>
                <w:color w:val="auto"/>
              </w:rPr>
            </w:pPr>
            <w:r>
              <w:rPr>
                <w:rFonts w:ascii="Arial" w:cs="Arial" w:eastAsia="Arial" w:hAnsi="Arial"/>
                <w:sz w:val="20"/>
                <w:szCs w:val="20"/>
                <w:color w:val="0D248E"/>
                <w:w w:val="89"/>
              </w:rPr>
              <w:t>80</w:t>
            </w:r>
          </w:p>
        </w:tc>
      </w:tr>
      <w:tr>
        <w:trPr>
          <w:trHeight w:val="210"/>
        </w:trPr>
        <w:tc>
          <w:tcPr>
            <w:tcW w:w="4620" w:type="dxa"/>
            <w:vAlign w:val="bottom"/>
            <w:tcBorders>
              <w:top w:val="single" w:sz="8" w:color="0D248E"/>
            </w:tcBorders>
            <w:gridSpan w:val="5"/>
          </w:tcPr>
          <w:p>
            <w:pPr>
              <w:spacing w:after="0" w:line="210" w:lineRule="exact"/>
              <w:rPr>
                <w:sz w:val="20"/>
                <w:szCs w:val="20"/>
                <w:color w:val="auto"/>
              </w:rPr>
            </w:pPr>
            <w:r>
              <w:rPr>
                <w:rFonts w:ascii="Arial" w:cs="Arial" w:eastAsia="Arial" w:hAnsi="Arial"/>
                <w:sz w:val="20"/>
                <w:szCs w:val="20"/>
                <w:color w:val="0D248E"/>
                <w:w w:val="96"/>
              </w:rPr>
              <w:t>Consolidated Statements of Changes in Stockholders’</w:t>
            </w:r>
          </w:p>
        </w:tc>
        <w:tc>
          <w:tcPr>
            <w:tcW w:w="4660" w:type="dxa"/>
            <w:vAlign w:val="bottom"/>
            <w:gridSpan w:val="3"/>
          </w:tcPr>
          <w:p>
            <w:pPr>
              <w:ind w:left="220"/>
              <w:spacing w:after="0" w:line="210" w:lineRule="exact"/>
              <w:rPr>
                <w:sz w:val="20"/>
                <w:szCs w:val="20"/>
                <w:color w:val="auto"/>
              </w:rPr>
            </w:pPr>
            <w:r>
              <w:rPr>
                <w:rFonts w:ascii="Arial" w:cs="Arial" w:eastAsia="Arial" w:hAnsi="Arial"/>
                <w:sz w:val="20"/>
                <w:szCs w:val="20"/>
                <w:color w:val="0D248E"/>
              </w:rPr>
              <w:t>Equity</w:t>
            </w:r>
          </w:p>
        </w:tc>
        <w:tc>
          <w:tcPr>
            <w:tcW w:w="1300" w:type="dxa"/>
            <w:vAlign w:val="bottom"/>
          </w:tcPr>
          <w:p>
            <w:pPr>
              <w:spacing w:after="0"/>
              <w:rPr>
                <w:sz w:val="18"/>
                <w:szCs w:val="18"/>
                <w:color w:val="auto"/>
              </w:rPr>
            </w:pPr>
          </w:p>
        </w:tc>
        <w:tc>
          <w:tcPr>
            <w:tcW w:w="220" w:type="dxa"/>
            <w:vAlign w:val="bottom"/>
            <w:tcBorders>
              <w:top w:val="single" w:sz="8" w:color="0D248E"/>
            </w:tcBorders>
          </w:tcPr>
          <w:p>
            <w:pPr>
              <w:jc w:val="right"/>
              <w:spacing w:after="0" w:line="210" w:lineRule="exact"/>
              <w:rPr>
                <w:sz w:val="20"/>
                <w:szCs w:val="20"/>
                <w:color w:val="auto"/>
              </w:rPr>
            </w:pPr>
            <w:r>
              <w:rPr>
                <w:rFonts w:ascii="Arial" w:cs="Arial" w:eastAsia="Arial" w:hAnsi="Arial"/>
                <w:sz w:val="20"/>
                <w:szCs w:val="20"/>
                <w:color w:val="0D248E"/>
                <w:w w:val="89"/>
              </w:rPr>
              <w:t>81</w:t>
            </w:r>
          </w:p>
        </w:tc>
      </w:tr>
      <w:tr>
        <w:trPr>
          <w:trHeight w:val="208"/>
        </w:trPr>
        <w:tc>
          <w:tcPr>
            <w:tcW w:w="3560" w:type="dxa"/>
            <w:vAlign w:val="bottom"/>
            <w:tcBorders>
              <w:top w:val="single" w:sz="8" w:color="0D248E"/>
              <w:bottom w:val="single" w:sz="8" w:color="0D248E"/>
            </w:tcBorders>
            <w:gridSpan w:val="3"/>
          </w:tcPr>
          <w:p>
            <w:pPr>
              <w:spacing w:after="0" w:line="208" w:lineRule="exact"/>
              <w:rPr>
                <w:sz w:val="20"/>
                <w:szCs w:val="20"/>
                <w:color w:val="auto"/>
              </w:rPr>
            </w:pPr>
            <w:r>
              <w:rPr>
                <w:rFonts w:ascii="Arial" w:cs="Arial" w:eastAsia="Arial" w:hAnsi="Arial"/>
                <w:sz w:val="20"/>
                <w:szCs w:val="20"/>
                <w:color w:val="0D248E"/>
                <w:w w:val="99"/>
              </w:rPr>
              <w:t>Consolidated Statements of Cash Flows</w:t>
            </w:r>
          </w:p>
        </w:tc>
        <w:tc>
          <w:tcPr>
            <w:tcW w:w="1840" w:type="dxa"/>
            <w:vAlign w:val="bottom"/>
            <w:tcBorders>
              <w:top w:val="single" w:sz="8" w:color="0D248E"/>
            </w:tcBorders>
            <w:gridSpan w:val="4"/>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0D248E"/>
              <w:bottom w:val="single" w:sz="8" w:color="0D248E"/>
            </w:tcBorders>
          </w:tcPr>
          <w:p>
            <w:pPr>
              <w:jc w:val="right"/>
              <w:spacing w:after="0" w:line="208" w:lineRule="exact"/>
              <w:rPr>
                <w:sz w:val="20"/>
                <w:szCs w:val="20"/>
                <w:color w:val="auto"/>
              </w:rPr>
            </w:pPr>
            <w:r>
              <w:rPr>
                <w:rFonts w:ascii="Arial" w:cs="Arial" w:eastAsia="Arial" w:hAnsi="Arial"/>
                <w:sz w:val="20"/>
                <w:szCs w:val="20"/>
                <w:color w:val="0D248E"/>
                <w:w w:val="89"/>
              </w:rPr>
              <w:t>82</w:t>
            </w:r>
          </w:p>
        </w:tc>
      </w:tr>
      <w:tr>
        <w:trPr>
          <w:trHeight w:val="210"/>
        </w:trPr>
        <w:tc>
          <w:tcPr>
            <w:tcW w:w="9280" w:type="dxa"/>
            <w:vAlign w:val="bottom"/>
            <w:gridSpan w:val="8"/>
          </w:tcPr>
          <w:p>
            <w:pPr>
              <w:spacing w:after="0" w:line="210" w:lineRule="exact"/>
              <w:rPr>
                <w:sz w:val="20"/>
                <w:szCs w:val="20"/>
                <w:color w:val="auto"/>
              </w:rPr>
            </w:pPr>
            <w:r>
              <w:rPr>
                <w:rFonts w:ascii="Arial" w:cs="Arial" w:eastAsia="Arial" w:hAnsi="Arial"/>
                <w:sz w:val="20"/>
                <w:szCs w:val="20"/>
                <w:color w:val="0D248E"/>
              </w:rPr>
              <w:t>Notes to the Consolidated Financial Statements</w:t>
            </w:r>
          </w:p>
        </w:tc>
        <w:tc>
          <w:tcPr>
            <w:tcW w:w="1300" w:type="dxa"/>
            <w:vAlign w:val="bottom"/>
          </w:tcPr>
          <w:p>
            <w:pPr>
              <w:spacing w:after="0"/>
              <w:rPr>
                <w:sz w:val="18"/>
                <w:szCs w:val="18"/>
                <w:color w:val="auto"/>
              </w:rPr>
            </w:pPr>
          </w:p>
        </w:tc>
        <w:tc>
          <w:tcPr>
            <w:tcW w:w="220" w:type="dxa"/>
            <w:vAlign w:val="bottom"/>
          </w:tcPr>
          <w:p>
            <w:pPr>
              <w:jc w:val="right"/>
              <w:spacing w:after="0" w:line="210" w:lineRule="exact"/>
              <w:rPr>
                <w:sz w:val="20"/>
                <w:szCs w:val="20"/>
                <w:color w:val="auto"/>
              </w:rPr>
            </w:pPr>
            <w:r>
              <w:rPr>
                <w:rFonts w:ascii="Arial" w:cs="Arial" w:eastAsia="Arial" w:hAnsi="Arial"/>
                <w:sz w:val="20"/>
                <w:szCs w:val="20"/>
                <w:color w:val="0D248E"/>
                <w:w w:val="89"/>
              </w:rPr>
              <w:t>84</w:t>
            </w:r>
          </w:p>
        </w:tc>
      </w:tr>
      <w:tr>
        <w:trPr>
          <w:trHeight w:val="20"/>
        </w:trPr>
        <w:tc>
          <w:tcPr>
            <w:tcW w:w="2620" w:type="dxa"/>
            <w:vAlign w:val="bottom"/>
            <w:shd w:val="clear" w:color="auto" w:fill="0D248E"/>
          </w:tcPr>
          <w:p>
            <w:pPr>
              <w:spacing w:after="0" w:line="20" w:lineRule="exact"/>
              <w:rPr>
                <w:sz w:val="1"/>
                <w:szCs w:val="1"/>
                <w:color w:val="auto"/>
              </w:rPr>
            </w:pPr>
          </w:p>
        </w:tc>
        <w:tc>
          <w:tcPr>
            <w:tcW w:w="880" w:type="dxa"/>
            <w:vAlign w:val="bottom"/>
            <w:shd w:val="clear" w:color="auto" w:fill="0D248E"/>
          </w:tcPr>
          <w:p>
            <w:pPr>
              <w:spacing w:after="0" w:line="20" w:lineRule="exact"/>
              <w:rPr>
                <w:sz w:val="1"/>
                <w:szCs w:val="1"/>
                <w:color w:val="auto"/>
              </w:rPr>
            </w:pPr>
          </w:p>
        </w:tc>
        <w:tc>
          <w:tcPr>
            <w:tcW w:w="60" w:type="dxa"/>
            <w:vAlign w:val="bottom"/>
            <w:shd w:val="clear" w:color="auto" w:fill="0D248E"/>
          </w:tcPr>
          <w:p>
            <w:pPr>
              <w:spacing w:after="0" w:line="20" w:lineRule="exact"/>
              <w:rPr>
                <w:sz w:val="1"/>
                <w:szCs w:val="1"/>
                <w:color w:val="auto"/>
              </w:rPr>
            </w:pPr>
          </w:p>
        </w:tc>
        <w:tc>
          <w:tcPr>
            <w:tcW w:w="660" w:type="dxa"/>
            <w:vAlign w:val="bottom"/>
            <w:shd w:val="clear" w:color="auto" w:fill="0D248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D248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6" w:name="page77"/>
    <w:bookmarkEnd w:id="76"/>
    <w:p>
      <w:pPr>
        <w:ind w:left="6120"/>
        <w:spacing w:after="0"/>
        <w:rPr>
          <w:sz w:val="20"/>
          <w:szCs w:val="20"/>
          <w:color w:val="auto"/>
        </w:rPr>
      </w:pPr>
      <w:r>
        <w:rPr>
          <w:rFonts w:ascii="Arial" w:cs="Arial" w:eastAsia="Arial" w:hAnsi="Arial"/>
          <w:sz w:val="15"/>
          <w:szCs w:val="15"/>
          <w:b w:val="1"/>
          <w:bCs w:val="1"/>
          <w:color w:val="00001B"/>
        </w:rPr>
        <w:drawing>
          <wp:anchor simplePos="0" relativeHeight="251657728" behindDoc="1" locked="0" layoutInCell="0" allowOverlap="1">
            <wp:simplePos x="0" y="0"/>
            <wp:positionH relativeFrom="page">
              <wp:posOffset>914400</wp:posOffset>
            </wp:positionH>
            <wp:positionV relativeFrom="page">
              <wp:posOffset>91440</wp:posOffset>
            </wp:positionV>
            <wp:extent cx="1905000" cy="581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05000" cy="581025"/>
                    </a:xfrm>
                    <a:prstGeom prst="rect">
                      <a:avLst/>
                    </a:prstGeom>
                    <a:noFill/>
                  </pic:spPr>
                </pic:pic>
              </a:graphicData>
            </a:graphic>
          </wp:anchor>
        </w:drawing>
        <w:t>Crowe LLP</w:t>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2"/>
          <w:szCs w:val="12"/>
          <w:color w:val="00001B"/>
        </w:rPr>
        <w:t>Independent Member Crowe Global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Stockholders and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USCB Financial Holdings, Inc.</w:t>
      </w:r>
    </w:p>
    <w:p>
      <w:pPr>
        <w:spacing w:after="0"/>
        <w:rPr>
          <w:sz w:val="20"/>
          <w:szCs w:val="20"/>
          <w:color w:val="auto"/>
        </w:rPr>
      </w:pPr>
      <w:r>
        <w:rPr>
          <w:rFonts w:ascii="Arial" w:cs="Arial" w:eastAsia="Arial" w:hAnsi="Arial"/>
          <w:sz w:val="20"/>
          <w:szCs w:val="20"/>
          <w:color w:val="auto"/>
        </w:rPr>
        <w:t>Doral, Florida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have audited the accompanying consolidated balance sheets of USCB Financial Holdings, Inc. (the “Company”) as of December 31, 2025 and 2024, the related consolidated statements of operations, comprehensive income,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1" w:lineRule="exact"/>
        <w:rPr>
          <w:sz w:val="20"/>
          <w:szCs w:val="20"/>
          <w:color w:val="auto"/>
        </w:rPr>
      </w:pPr>
    </w:p>
    <w:p>
      <w:pPr>
        <w:jc w:val="right"/>
        <w:ind w:right="4120"/>
        <w:spacing w:after="0"/>
        <w:rPr>
          <w:sz w:val="20"/>
          <w:szCs w:val="20"/>
          <w:color w:val="auto"/>
        </w:rPr>
      </w:pPr>
      <w:r>
        <w:rPr>
          <w:rFonts w:ascii="Arial" w:cs="Arial" w:eastAsia="Arial" w:hAnsi="Arial"/>
          <w:sz w:val="20"/>
          <w:szCs w:val="20"/>
          <w:i w:val="1"/>
          <w:iCs w:val="1"/>
          <w:color w:val="auto"/>
        </w:rPr>
        <w:t>/s/ Crowe LLP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2286000</wp:posOffset>
                </wp:positionH>
                <wp:positionV relativeFrom="paragraph">
                  <wp:posOffset>-3175</wp:posOffset>
                </wp:positionV>
                <wp:extent cx="18288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pt,-0.2499pt" to="324pt,-0.2499pt" o:allowincell="f" strokecolor="#000000" strokeweight="0.72pt"/>
            </w:pict>
          </mc:Fallback>
        </mc:AlternateContent>
      </w:r>
    </w:p>
    <w:p>
      <w:pPr>
        <w:jc w:val="right"/>
        <w:ind w:right="4180"/>
        <w:spacing w:after="0"/>
        <w:rPr>
          <w:sz w:val="20"/>
          <w:szCs w:val="20"/>
          <w:color w:val="auto"/>
        </w:rPr>
      </w:pPr>
      <w:r>
        <w:rPr>
          <w:rFonts w:ascii="Arial" w:cs="Arial" w:eastAsia="Arial" w:hAnsi="Arial"/>
          <w:sz w:val="20"/>
          <w:szCs w:val="20"/>
          <w:color w:val="auto"/>
        </w:rPr>
        <w:t>Crowe LLP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Fort Lauderdale, Florida</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9360"/>
          </w:cols>
          <w:pgMar w:left="1440" w:top="745" w:right="1440" w:bottom="0" w:gutter="0" w:footer="0" w:header="0"/>
        </w:sectPr>
      </w:pPr>
    </w:p>
    <w:bookmarkStart w:id="77" w:name="page78"/>
    <w:bookmarkEnd w:id="77"/>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jc w:val="center"/>
        <w:spacing w:after="0"/>
        <w:rPr>
          <w:sz w:val="20"/>
          <w:szCs w:val="20"/>
          <w:color w:val="auto"/>
        </w:rPr>
      </w:pPr>
      <w:r>
        <w:rPr>
          <w:rFonts w:ascii="Arial" w:cs="Arial" w:eastAsia="Arial" w:hAnsi="Arial"/>
          <w:sz w:val="20"/>
          <w:szCs w:val="20"/>
          <w:color w:val="auto"/>
        </w:rPr>
        <w:t>(Dollars in thousands, except share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213"/>
        </w:trPr>
        <w:tc>
          <w:tcPr>
            <w:tcW w:w="7360" w:type="dxa"/>
            <w:vAlign w:val="bottom"/>
            <w:tcBorders>
              <w:bottom w:val="single" w:sz="8" w:color="D1ED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1EDF5"/>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r>
      <w:tr>
        <w:trPr>
          <w:trHeight w:val="215"/>
        </w:trPr>
        <w:tc>
          <w:tcPr>
            <w:tcW w:w="736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580" w:type="dxa"/>
            <w:vAlign w:val="bottom"/>
            <w:shd w:val="clear" w:color="auto" w:fill="D1EDF5"/>
          </w:tcPr>
          <w:p>
            <w:pPr>
              <w:spacing w:after="0"/>
              <w:rPr>
                <w:sz w:val="18"/>
                <w:szCs w:val="18"/>
                <w:color w:val="auto"/>
              </w:rPr>
            </w:pPr>
          </w:p>
        </w:tc>
        <w:tc>
          <w:tcPr>
            <w:tcW w:w="1100" w:type="dxa"/>
            <w:vAlign w:val="bottom"/>
            <w:shd w:val="clear" w:color="auto" w:fill="D1EDF5"/>
          </w:tcPr>
          <w:p>
            <w:pPr>
              <w:spacing w:after="0"/>
              <w:rPr>
                <w:sz w:val="18"/>
                <w:szCs w:val="18"/>
                <w:color w:val="auto"/>
              </w:rPr>
            </w:pP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6,027</w:t>
            </w:r>
          </w:p>
        </w:tc>
        <w:tc>
          <w:tcPr>
            <w:tcW w:w="660" w:type="dxa"/>
            <w:vAlign w:val="bottom"/>
            <w:gridSpan w:val="2"/>
          </w:tcPr>
          <w:p>
            <w:pPr>
              <w:jc w:val="right"/>
              <w:ind w:right="425"/>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6,986</w:t>
            </w:r>
          </w:p>
        </w:tc>
      </w:tr>
      <w:tr>
        <w:trPr>
          <w:trHeight w:val="226"/>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Interest-bearing deposits in banks</w:t>
            </w:r>
          </w:p>
        </w:tc>
        <w:tc>
          <w:tcPr>
            <w:tcW w:w="180" w:type="dxa"/>
            <w:vAlign w:val="bottom"/>
            <w:tcBorders>
              <w:bottom w:val="single" w:sz="8" w:color="auto"/>
            </w:tcBorders>
            <w:shd w:val="clear" w:color="auto" w:fill="D1EDF5"/>
          </w:tcPr>
          <w:p>
            <w:pPr>
              <w:spacing w:after="0"/>
              <w:rPr>
                <w:sz w:val="19"/>
                <w:szCs w:val="19"/>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32,450</w:t>
            </w:r>
          </w:p>
        </w:tc>
        <w:tc>
          <w:tcPr>
            <w:tcW w:w="80" w:type="dxa"/>
            <w:vAlign w:val="bottom"/>
            <w:shd w:val="clear" w:color="auto" w:fill="D1EDF5"/>
          </w:tcPr>
          <w:p>
            <w:pPr>
              <w:spacing w:after="0"/>
              <w:rPr>
                <w:sz w:val="19"/>
                <w:szCs w:val="19"/>
                <w:color w:val="auto"/>
              </w:rPr>
            </w:pPr>
          </w:p>
        </w:tc>
        <w:tc>
          <w:tcPr>
            <w:tcW w:w="580" w:type="dxa"/>
            <w:vAlign w:val="bottom"/>
            <w:tcBorders>
              <w:bottom w:val="single" w:sz="8" w:color="auto"/>
            </w:tcBorders>
            <w:shd w:val="clear" w:color="auto" w:fill="D1EDF5"/>
          </w:tcPr>
          <w:p>
            <w:pPr>
              <w:spacing w:after="0"/>
              <w:rPr>
                <w:sz w:val="19"/>
                <w:szCs w:val="19"/>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70,049</w:t>
            </w: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Total cash and cash equivalents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38,477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77,035</w:t>
            </w:r>
          </w:p>
        </w:tc>
      </w:tr>
      <w:tr>
        <w:trPr>
          <w:trHeight w:val="266"/>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Investment securities held to maturity net of allowance of $2 and $6, respectively (fair value $142,508</w:t>
            </w:r>
          </w:p>
        </w:tc>
        <w:tc>
          <w:tcPr>
            <w:tcW w:w="180" w:type="dxa"/>
            <w:vAlign w:val="bottom"/>
            <w:shd w:val="clear" w:color="auto" w:fill="D1EDF5"/>
          </w:tcPr>
          <w:p>
            <w:pPr>
              <w:spacing w:after="0"/>
              <w:rPr>
                <w:sz w:val="23"/>
                <w:szCs w:val="23"/>
                <w:color w:val="auto"/>
              </w:rPr>
            </w:pPr>
          </w:p>
        </w:tc>
        <w:tc>
          <w:tcPr>
            <w:tcW w:w="1500" w:type="dxa"/>
            <w:vAlign w:val="bottom"/>
            <w:shd w:val="clear" w:color="auto" w:fill="D1EDF5"/>
          </w:tcPr>
          <w:p>
            <w:pPr>
              <w:spacing w:after="0"/>
              <w:rPr>
                <w:sz w:val="23"/>
                <w:szCs w:val="23"/>
                <w:color w:val="auto"/>
              </w:rPr>
            </w:pPr>
          </w:p>
        </w:tc>
        <w:tc>
          <w:tcPr>
            <w:tcW w:w="80" w:type="dxa"/>
            <w:vAlign w:val="bottom"/>
            <w:shd w:val="clear" w:color="auto" w:fill="D1EDF5"/>
          </w:tcPr>
          <w:p>
            <w:pPr>
              <w:spacing w:after="0"/>
              <w:rPr>
                <w:sz w:val="23"/>
                <w:szCs w:val="23"/>
                <w:color w:val="auto"/>
              </w:rPr>
            </w:pPr>
          </w:p>
        </w:tc>
        <w:tc>
          <w:tcPr>
            <w:tcW w:w="580" w:type="dxa"/>
            <w:vAlign w:val="bottom"/>
            <w:shd w:val="clear" w:color="auto" w:fill="D1EDF5"/>
          </w:tcPr>
          <w:p>
            <w:pPr>
              <w:spacing w:after="0"/>
              <w:rPr>
                <w:sz w:val="23"/>
                <w:szCs w:val="23"/>
                <w:color w:val="auto"/>
              </w:rPr>
            </w:pPr>
          </w:p>
        </w:tc>
        <w:tc>
          <w:tcPr>
            <w:tcW w:w="1100" w:type="dxa"/>
            <w:vAlign w:val="bottom"/>
            <w:shd w:val="clear" w:color="auto" w:fill="D1EDF5"/>
          </w:tcPr>
          <w:p>
            <w:pPr>
              <w:spacing w:after="0"/>
              <w:rPr>
                <w:sz w:val="23"/>
                <w:szCs w:val="23"/>
                <w:color w:val="auto"/>
              </w:rPr>
            </w:pPr>
          </w:p>
        </w:tc>
      </w:tr>
      <w:tr>
        <w:trPr>
          <w:trHeight w:val="182"/>
        </w:trPr>
        <w:tc>
          <w:tcPr>
            <w:tcW w:w="7360" w:type="dxa"/>
            <w:vAlign w:val="bottom"/>
            <w:shd w:val="clear" w:color="auto" w:fill="D1EDF5"/>
          </w:tcPr>
          <w:p>
            <w:pPr>
              <w:spacing w:after="0" w:line="182" w:lineRule="exact"/>
              <w:rPr>
                <w:sz w:val="20"/>
                <w:szCs w:val="20"/>
                <w:color w:val="auto"/>
              </w:rPr>
            </w:pPr>
            <w:r>
              <w:rPr>
                <w:rFonts w:ascii="Arial" w:cs="Arial" w:eastAsia="Arial" w:hAnsi="Arial"/>
                <w:sz w:val="16"/>
                <w:szCs w:val="16"/>
                <w:color w:val="auto"/>
              </w:rPr>
              <w:t>and $145,540, respectively)</w:t>
            </w:r>
          </w:p>
        </w:tc>
        <w:tc>
          <w:tcPr>
            <w:tcW w:w="180" w:type="dxa"/>
            <w:vAlign w:val="bottom"/>
            <w:shd w:val="clear" w:color="auto" w:fill="D1EDF5"/>
          </w:tcPr>
          <w:p>
            <w:pPr>
              <w:spacing w:after="0"/>
              <w:rPr>
                <w:sz w:val="15"/>
                <w:szCs w:val="15"/>
                <w:color w:val="auto"/>
              </w:rPr>
            </w:pPr>
          </w:p>
        </w:tc>
        <w:tc>
          <w:tcPr>
            <w:tcW w:w="1500" w:type="dxa"/>
            <w:vAlign w:val="bottom"/>
            <w:shd w:val="clear" w:color="auto" w:fill="D1EDF5"/>
          </w:tcPr>
          <w:p>
            <w:pPr>
              <w:jc w:val="right"/>
              <w:spacing w:after="0" w:line="182" w:lineRule="exact"/>
              <w:rPr>
                <w:sz w:val="20"/>
                <w:szCs w:val="20"/>
                <w:color w:val="auto"/>
              </w:rPr>
            </w:pPr>
            <w:r>
              <w:rPr>
                <w:rFonts w:ascii="Arial" w:cs="Arial" w:eastAsia="Arial" w:hAnsi="Arial"/>
                <w:sz w:val="16"/>
                <w:szCs w:val="16"/>
                <w:color w:val="auto"/>
              </w:rPr>
              <w:t>153,941</w:t>
            </w:r>
          </w:p>
        </w:tc>
        <w:tc>
          <w:tcPr>
            <w:tcW w:w="80" w:type="dxa"/>
            <w:vAlign w:val="bottom"/>
            <w:shd w:val="clear" w:color="auto" w:fill="D1EDF5"/>
          </w:tcPr>
          <w:p>
            <w:pPr>
              <w:spacing w:after="0"/>
              <w:rPr>
                <w:sz w:val="15"/>
                <w:szCs w:val="15"/>
                <w:color w:val="auto"/>
              </w:rPr>
            </w:pPr>
          </w:p>
        </w:tc>
        <w:tc>
          <w:tcPr>
            <w:tcW w:w="580" w:type="dxa"/>
            <w:vAlign w:val="bottom"/>
            <w:shd w:val="clear" w:color="auto" w:fill="D1EDF5"/>
          </w:tcPr>
          <w:p>
            <w:pPr>
              <w:spacing w:after="0"/>
              <w:rPr>
                <w:sz w:val="15"/>
                <w:szCs w:val="15"/>
                <w:color w:val="auto"/>
              </w:rPr>
            </w:pPr>
          </w:p>
        </w:tc>
        <w:tc>
          <w:tcPr>
            <w:tcW w:w="1100" w:type="dxa"/>
            <w:vAlign w:val="bottom"/>
            <w:shd w:val="clear" w:color="auto" w:fill="D1EDF5"/>
          </w:tcPr>
          <w:p>
            <w:pPr>
              <w:jc w:val="right"/>
              <w:spacing w:after="0" w:line="182" w:lineRule="exact"/>
              <w:rPr>
                <w:sz w:val="20"/>
                <w:szCs w:val="20"/>
                <w:color w:val="auto"/>
              </w:rPr>
            </w:pPr>
            <w:r>
              <w:rPr>
                <w:rFonts w:ascii="Arial" w:cs="Arial" w:eastAsia="Arial" w:hAnsi="Arial"/>
                <w:sz w:val="16"/>
                <w:szCs w:val="16"/>
                <w:color w:val="auto"/>
              </w:rPr>
              <w:t>164,694</w:t>
            </w: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Investment securities available for sale, at fair value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307,490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260,221</w:t>
            </w:r>
          </w:p>
        </w:tc>
      </w:tr>
      <w:tr>
        <w:trPr>
          <w:trHeight w:val="226"/>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Federal Home Loan Bank stock, at cost</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9,323</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9,379</w:t>
            </w: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Loans held for investment, net of allowance of $25,500 and $24,070, respectively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2,163,757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1,948,778</w:t>
            </w:r>
          </w:p>
        </w:tc>
      </w:tr>
      <w:tr>
        <w:trPr>
          <w:trHeight w:val="223"/>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Accrued interest receivable</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11,661</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10,945</w:t>
            </w: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Premises and equipment,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4,563</w:t>
            </w:r>
          </w:p>
        </w:tc>
      </w:tr>
      <w:tr>
        <w:trPr>
          <w:trHeight w:val="226"/>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Bank owned life insurance</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59,424</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53,472</w:t>
            </w: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Deferred tax asset,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18,046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29,646</w:t>
            </w:r>
          </w:p>
        </w:tc>
      </w:tr>
      <w:tr>
        <w:trPr>
          <w:trHeight w:val="223"/>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Lease right-of-use asset</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5,519</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8,451</w:t>
            </w:r>
          </w:p>
        </w:tc>
      </w:tr>
      <w:tr>
        <w:trPr>
          <w:trHeight w:val="226"/>
        </w:trPr>
        <w:tc>
          <w:tcPr>
            <w:tcW w:w="7360" w:type="dxa"/>
            <w:vAlign w:val="bottom"/>
            <w:tcBorders>
              <w:bottom w:val="single" w:sz="8" w:color="D1EDF5"/>
            </w:tcBorders>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19,655</w:t>
            </w:r>
          </w:p>
        </w:tc>
        <w:tc>
          <w:tcPr>
            <w:tcW w:w="80" w:type="dxa"/>
            <w:vAlign w:val="bottom"/>
            <w:tcBorders>
              <w:bottom w:val="single" w:sz="8" w:color="D1EDF5"/>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14,032</w:t>
            </w:r>
          </w:p>
        </w:tc>
      </w:tr>
      <w:tr>
        <w:trPr>
          <w:trHeight w:val="250"/>
        </w:trPr>
        <w:tc>
          <w:tcPr>
            <w:tcW w:w="736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2,791,540</w:t>
            </w:r>
          </w:p>
        </w:tc>
        <w:tc>
          <w:tcPr>
            <w:tcW w:w="80" w:type="dxa"/>
            <w:vAlign w:val="bottom"/>
            <w:tcBorders>
              <w:bottom w:val="single" w:sz="8" w:color="D1EDF5"/>
            </w:tcBorders>
            <w:shd w:val="clear" w:color="auto" w:fill="D1EDF5"/>
          </w:tcPr>
          <w:p>
            <w:pPr>
              <w:spacing w:after="0"/>
              <w:rPr>
                <w:sz w:val="21"/>
                <w:szCs w:val="21"/>
                <w:color w:val="auto"/>
              </w:rPr>
            </w:pPr>
          </w:p>
        </w:tc>
        <w:tc>
          <w:tcPr>
            <w:tcW w:w="580" w:type="dxa"/>
            <w:vAlign w:val="bottom"/>
            <w:tcBorders>
              <w:bottom w:val="single" w:sz="8" w:color="auto"/>
            </w:tcBorders>
            <w:shd w:val="clear" w:color="auto" w:fill="D1EDF5"/>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2,581,216</w:t>
            </w: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6"/>
        </w:trPr>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736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6"/>
                <w:szCs w:val="16"/>
                <w:color w:val="auto"/>
              </w:rPr>
              <w:t>Deposits: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7360" w:type="dxa"/>
            <w:vAlign w:val="bottom"/>
            <w:shd w:val="clear" w:color="auto" w:fill="D1EDF5"/>
          </w:tcPr>
          <w:p>
            <w:pPr>
              <w:ind w:left="140"/>
              <w:spacing w:after="0"/>
              <w:rPr>
                <w:sz w:val="20"/>
                <w:szCs w:val="20"/>
                <w:color w:val="auto"/>
              </w:rPr>
            </w:pPr>
            <w:r>
              <w:rPr>
                <w:rFonts w:ascii="Arial" w:cs="Arial" w:eastAsia="Arial" w:hAnsi="Arial"/>
                <w:sz w:val="16"/>
                <w:szCs w:val="16"/>
                <w:color w:val="auto"/>
              </w:rPr>
              <w:t>Non-interest-bearing demand deposits</w:t>
            </w:r>
          </w:p>
        </w:tc>
        <w:tc>
          <w:tcPr>
            <w:tcW w:w="180" w:type="dxa"/>
            <w:vAlign w:val="bottom"/>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583,860</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575,159</w:t>
            </w:r>
          </w:p>
        </w:tc>
      </w:tr>
      <w:tr>
        <w:trPr>
          <w:trHeight w:val="226"/>
        </w:trPr>
        <w:tc>
          <w:tcPr>
            <w:tcW w:w="7360" w:type="dxa"/>
            <w:vAlign w:val="bottom"/>
          </w:tcPr>
          <w:p>
            <w:pPr>
              <w:ind w:left="140"/>
              <w:spacing w:after="0"/>
              <w:rPr>
                <w:sz w:val="20"/>
                <w:szCs w:val="20"/>
                <w:color w:val="auto"/>
              </w:rPr>
            </w:pPr>
            <w:r>
              <w:rPr>
                <w:rFonts w:ascii="Arial" w:cs="Arial" w:eastAsia="Arial" w:hAnsi="Arial"/>
                <w:sz w:val="16"/>
                <w:szCs w:val="16"/>
                <w:color w:val="auto"/>
              </w:rPr>
              <w:t>Savings and money market deposits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1,186,422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1,180,809</w:t>
            </w:r>
          </w:p>
        </w:tc>
      </w:tr>
      <w:tr>
        <w:trPr>
          <w:trHeight w:val="226"/>
        </w:trPr>
        <w:tc>
          <w:tcPr>
            <w:tcW w:w="7360" w:type="dxa"/>
            <w:vAlign w:val="bottom"/>
            <w:shd w:val="clear" w:color="auto" w:fill="D1EDF5"/>
          </w:tcPr>
          <w:p>
            <w:pPr>
              <w:ind w:left="140"/>
              <w:spacing w:after="0"/>
              <w:rPr>
                <w:sz w:val="20"/>
                <w:szCs w:val="20"/>
                <w:color w:val="auto"/>
              </w:rPr>
            </w:pPr>
            <w:r>
              <w:rPr>
                <w:rFonts w:ascii="Arial" w:cs="Arial" w:eastAsia="Arial" w:hAnsi="Arial"/>
                <w:sz w:val="16"/>
                <w:szCs w:val="16"/>
                <w:color w:val="auto"/>
              </w:rPr>
              <w:t>Interest-bearing demand deposits</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46,989</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50,648</w:t>
            </w:r>
          </w:p>
        </w:tc>
      </w:tr>
      <w:tr>
        <w:trPr>
          <w:trHeight w:val="223"/>
        </w:trPr>
        <w:tc>
          <w:tcPr>
            <w:tcW w:w="736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Time deposits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527,809</w:t>
            </w:r>
          </w:p>
        </w:tc>
        <w:tc>
          <w:tcPr>
            <w:tcW w:w="80" w:type="dxa"/>
            <w:vAlign w:val="bottom"/>
            <w:tcBorders>
              <w:bottom w:val="single" w:sz="8" w:color="D1EDF5"/>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367,388</w:t>
            </w:r>
          </w:p>
        </w:tc>
      </w:tr>
      <w:tr>
        <w:trPr>
          <w:trHeight w:val="215"/>
        </w:trPr>
        <w:tc>
          <w:tcPr>
            <w:tcW w:w="7360" w:type="dxa"/>
            <w:vAlign w:val="bottom"/>
            <w:tcBorders>
              <w:bottom w:val="single" w:sz="8" w:color="D1EDF5"/>
            </w:tcBorders>
            <w:shd w:val="clear" w:color="auto" w:fill="D1EDF5"/>
          </w:tcPr>
          <w:p>
            <w:pPr>
              <w:ind w:left="28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shd w:val="clear" w:color="auto" w:fill="D1EDF5"/>
          </w:tcPr>
          <w:p>
            <w:pPr>
              <w:spacing w:after="0"/>
              <w:rPr>
                <w:sz w:val="18"/>
                <w:szCs w:val="18"/>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2,345,080</w:t>
            </w:r>
          </w:p>
        </w:tc>
        <w:tc>
          <w:tcPr>
            <w:tcW w:w="80" w:type="dxa"/>
            <w:vAlign w:val="bottom"/>
            <w:tcBorders>
              <w:bottom w:val="single" w:sz="8" w:color="D1EDF5"/>
            </w:tcBorders>
            <w:shd w:val="clear" w:color="auto" w:fill="D1EDF5"/>
          </w:tcPr>
          <w:p>
            <w:pPr>
              <w:spacing w:after="0"/>
              <w:rPr>
                <w:sz w:val="18"/>
                <w:szCs w:val="18"/>
                <w:color w:val="auto"/>
              </w:rPr>
            </w:pPr>
          </w:p>
        </w:tc>
        <w:tc>
          <w:tcPr>
            <w:tcW w:w="580" w:type="dxa"/>
            <w:vAlign w:val="bottom"/>
            <w:tcBorders>
              <w:bottom w:val="single" w:sz="8" w:color="auto"/>
            </w:tcBorders>
            <w:shd w:val="clear" w:color="auto" w:fill="D1EDF5"/>
          </w:tcPr>
          <w:p>
            <w:pPr>
              <w:spacing w:after="0"/>
              <w:rPr>
                <w:sz w:val="18"/>
                <w:szCs w:val="18"/>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2,174,004</w:t>
            </w:r>
          </w:p>
        </w:tc>
      </w:t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158,250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163,000</w:t>
            </w:r>
          </w:p>
        </w:tc>
      </w:tr>
      <w:tr>
        <w:trPr>
          <w:trHeight w:val="226"/>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Subordinated notes</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39,300</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Lease liability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5,519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8,451</w:t>
            </w:r>
          </w:p>
        </w:tc>
      </w:tr>
      <w:tr>
        <w:trPr>
          <w:trHeight w:val="226"/>
        </w:trPr>
        <w:tc>
          <w:tcPr>
            <w:tcW w:w="73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6"/>
                <w:szCs w:val="16"/>
                <w:color w:val="auto"/>
              </w:rPr>
              <w:t>Accrued interest and other liabilities</w:t>
            </w:r>
          </w:p>
        </w:tc>
        <w:tc>
          <w:tcPr>
            <w:tcW w:w="180" w:type="dxa"/>
            <w:vAlign w:val="bottom"/>
            <w:tcBorders>
              <w:bottom w:val="single" w:sz="8" w:color="auto"/>
            </w:tcBorders>
            <w:shd w:val="clear" w:color="auto" w:fill="D1EDF5"/>
          </w:tcPr>
          <w:p>
            <w:pPr>
              <w:spacing w:after="0"/>
              <w:rPr>
                <w:sz w:val="19"/>
                <w:szCs w:val="19"/>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26,208</w:t>
            </w:r>
          </w:p>
        </w:tc>
        <w:tc>
          <w:tcPr>
            <w:tcW w:w="80" w:type="dxa"/>
            <w:vAlign w:val="bottom"/>
            <w:tcBorders>
              <w:bottom w:val="single" w:sz="8" w:color="D1EDF5"/>
            </w:tcBorders>
            <w:shd w:val="clear" w:color="auto" w:fill="D1EDF5"/>
          </w:tcPr>
          <w:p>
            <w:pPr>
              <w:spacing w:after="0"/>
              <w:rPr>
                <w:sz w:val="19"/>
                <w:szCs w:val="19"/>
                <w:color w:val="auto"/>
              </w:rPr>
            </w:pPr>
          </w:p>
        </w:tc>
        <w:tc>
          <w:tcPr>
            <w:tcW w:w="580" w:type="dxa"/>
            <w:vAlign w:val="bottom"/>
            <w:tcBorders>
              <w:bottom w:val="single" w:sz="8" w:color="auto"/>
            </w:tcBorders>
            <w:shd w:val="clear" w:color="auto" w:fill="D1EDF5"/>
          </w:tcPr>
          <w:p>
            <w:pPr>
              <w:spacing w:after="0"/>
              <w:rPr>
                <w:sz w:val="19"/>
                <w:szCs w:val="19"/>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20,373</w:t>
            </w:r>
          </w:p>
        </w:tc>
      </w:tr>
      <w:tr>
        <w:trPr>
          <w:trHeight w:val="213"/>
        </w:trPr>
        <w:tc>
          <w:tcPr>
            <w:tcW w:w="736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2,574,357</w:t>
            </w:r>
          </w:p>
        </w:tc>
        <w:tc>
          <w:tcPr>
            <w:tcW w:w="80" w:type="dxa"/>
            <w:vAlign w:val="bottom"/>
            <w:tcBorders>
              <w:bottom w:val="single" w:sz="8" w:color="D1EDF5"/>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2,365,828</w:t>
            </w:r>
          </w:p>
        </w:tc>
      </w:tr>
      <w:tr>
        <w:trPr>
          <w:trHeight w:val="215"/>
        </w:trPr>
        <w:tc>
          <w:tcPr>
            <w:tcW w:w="736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580" w:type="dxa"/>
            <w:vAlign w:val="bottom"/>
            <w:shd w:val="clear" w:color="auto" w:fill="D1EDF5"/>
          </w:tcPr>
          <w:p>
            <w:pPr>
              <w:spacing w:after="0"/>
              <w:rPr>
                <w:sz w:val="18"/>
                <w:szCs w:val="18"/>
                <w:color w:val="auto"/>
              </w:rPr>
            </w:pPr>
          </w:p>
        </w:tc>
        <w:tc>
          <w:tcPr>
            <w:tcW w:w="1100" w:type="dxa"/>
            <w:vAlign w:val="bottom"/>
            <w:shd w:val="clear" w:color="auto" w:fill="D1EDF5"/>
          </w:tcPr>
          <w:p>
            <w:pPr>
              <w:spacing w:after="0"/>
              <w:rPr>
                <w:sz w:val="18"/>
                <w:szCs w:val="18"/>
                <w:color w:val="auto"/>
              </w:rPr>
            </w:pPr>
          </w:p>
        </w:tc>
      </w:tr>
      <w:tr>
        <w:trPr>
          <w:trHeight w:val="226"/>
        </w:trPr>
        <w:tc>
          <w:tcPr>
            <w:tcW w:w="7360" w:type="dxa"/>
            <w:vAlign w:val="bottom"/>
          </w:tcPr>
          <w:p>
            <w:pPr>
              <w:spacing w:after="0"/>
              <w:rPr>
                <w:sz w:val="20"/>
                <w:szCs w:val="20"/>
                <w:color w:val="auto"/>
              </w:rPr>
            </w:pPr>
            <w:r>
              <w:rPr>
                <w:rFonts w:ascii="Arial" w:cs="Arial" w:eastAsia="Arial" w:hAnsi="Arial"/>
                <w:sz w:val="16"/>
                <w:szCs w:val="16"/>
                <w:b w:val="1"/>
                <w:bCs w:val="1"/>
                <w:color w:val="auto"/>
              </w:rPr>
              <w:t>Commitments and contingencies (See Notes 11 and 20)</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736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spacing w:after="0"/>
              <w:rPr>
                <w:sz w:val="19"/>
                <w:szCs w:val="19"/>
                <w:color w:val="auto"/>
              </w:rPr>
            </w:pPr>
          </w:p>
        </w:tc>
      </w:tr>
      <w:tr>
        <w:trPr>
          <w:trHeight w:val="226"/>
        </w:trPr>
        <w:tc>
          <w:tcPr>
            <w:tcW w:w="736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4"/>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Preferred stock - Class C; $1.00 par value; $1,000 per share liquidation preference; 52,748 shares</w:t>
            </w:r>
          </w:p>
        </w:tc>
        <w:tc>
          <w:tcPr>
            <w:tcW w:w="180" w:type="dxa"/>
            <w:vAlign w:val="bottom"/>
            <w:shd w:val="clear" w:color="auto" w:fill="D1EDF5"/>
          </w:tcPr>
          <w:p>
            <w:pPr>
              <w:spacing w:after="0"/>
              <w:rPr>
                <w:sz w:val="22"/>
                <w:szCs w:val="22"/>
                <w:color w:val="auto"/>
              </w:rPr>
            </w:pPr>
          </w:p>
        </w:tc>
        <w:tc>
          <w:tcPr>
            <w:tcW w:w="1500" w:type="dxa"/>
            <w:vAlign w:val="bottom"/>
            <w:shd w:val="clear" w:color="auto" w:fill="D1EDF5"/>
          </w:tcPr>
          <w:p>
            <w:pPr>
              <w:spacing w:after="0"/>
              <w:rPr>
                <w:sz w:val="22"/>
                <w:szCs w:val="22"/>
                <w:color w:val="auto"/>
              </w:rPr>
            </w:pPr>
          </w:p>
        </w:tc>
        <w:tc>
          <w:tcPr>
            <w:tcW w:w="80" w:type="dxa"/>
            <w:vAlign w:val="bottom"/>
            <w:shd w:val="clear" w:color="auto" w:fill="D1EDF5"/>
          </w:tcPr>
          <w:p>
            <w:pPr>
              <w:spacing w:after="0"/>
              <w:rPr>
                <w:sz w:val="22"/>
                <w:szCs w:val="22"/>
                <w:color w:val="auto"/>
              </w:rPr>
            </w:pPr>
          </w:p>
        </w:tc>
        <w:tc>
          <w:tcPr>
            <w:tcW w:w="580" w:type="dxa"/>
            <w:vAlign w:val="bottom"/>
            <w:shd w:val="clear" w:color="auto" w:fill="D1EDF5"/>
          </w:tcPr>
          <w:p>
            <w:pPr>
              <w:spacing w:after="0"/>
              <w:rPr>
                <w:sz w:val="22"/>
                <w:szCs w:val="22"/>
                <w:color w:val="auto"/>
              </w:rPr>
            </w:pPr>
          </w:p>
        </w:tc>
        <w:tc>
          <w:tcPr>
            <w:tcW w:w="1100" w:type="dxa"/>
            <w:vAlign w:val="bottom"/>
            <w:shd w:val="clear" w:color="auto" w:fill="D1EDF5"/>
          </w:tcPr>
          <w:p>
            <w:pPr>
              <w:spacing w:after="0"/>
              <w:rPr>
                <w:sz w:val="22"/>
                <w:szCs w:val="22"/>
                <w:color w:val="auto"/>
              </w:rPr>
            </w:pPr>
          </w:p>
        </w:tc>
      </w:tr>
      <w:tr>
        <w:trPr>
          <w:trHeight w:val="185"/>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authorized; 0 issued and 0 outstanding as of December 31, 2025 and 2024</w:t>
            </w:r>
          </w:p>
        </w:tc>
        <w:tc>
          <w:tcPr>
            <w:tcW w:w="180" w:type="dxa"/>
            <w:vAlign w:val="bottom"/>
            <w:shd w:val="clear" w:color="auto" w:fill="D1EDF5"/>
          </w:tcPr>
          <w:p>
            <w:pPr>
              <w:spacing w:after="0"/>
              <w:rPr>
                <w:sz w:val="16"/>
                <w:szCs w:val="16"/>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1EDF5"/>
          </w:tcPr>
          <w:p>
            <w:pPr>
              <w:spacing w:after="0"/>
              <w:rPr>
                <w:sz w:val="16"/>
                <w:szCs w:val="16"/>
                <w:color w:val="auto"/>
              </w:rPr>
            </w:pPr>
          </w:p>
        </w:tc>
        <w:tc>
          <w:tcPr>
            <w:tcW w:w="580" w:type="dxa"/>
            <w:vAlign w:val="bottom"/>
            <w:shd w:val="clear" w:color="auto" w:fill="D1EDF5"/>
          </w:tcPr>
          <w:p>
            <w:pPr>
              <w:spacing w:after="0"/>
              <w:rPr>
                <w:sz w:val="16"/>
                <w:szCs w:val="16"/>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7360" w:type="dxa"/>
            <w:vAlign w:val="bottom"/>
          </w:tcPr>
          <w:p>
            <w:pPr>
              <w:spacing w:after="0"/>
              <w:rPr>
                <w:sz w:val="20"/>
                <w:szCs w:val="20"/>
                <w:color w:val="auto"/>
              </w:rPr>
            </w:pPr>
            <w:r>
              <w:rPr>
                <w:rFonts w:ascii="Arial" w:cs="Arial" w:eastAsia="Arial" w:hAnsi="Arial"/>
                <w:sz w:val="16"/>
                <w:szCs w:val="16"/>
                <w:color w:val="auto"/>
              </w:rPr>
              <w:t>Preferred stock - Class D; $1.00 par value; $5.00 per share liquidation preference; 12,309,480 shares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7360" w:type="dxa"/>
            <w:vAlign w:val="bottom"/>
          </w:tcPr>
          <w:p>
            <w:pPr>
              <w:spacing w:after="0"/>
              <w:rPr>
                <w:sz w:val="20"/>
                <w:szCs w:val="20"/>
                <w:color w:val="auto"/>
              </w:rPr>
            </w:pPr>
            <w:r>
              <w:rPr>
                <w:rFonts w:ascii="Arial" w:cs="Arial" w:eastAsia="Arial" w:hAnsi="Arial"/>
                <w:sz w:val="16"/>
                <w:szCs w:val="16"/>
                <w:color w:val="auto"/>
              </w:rPr>
              <w:t>authorized; 0 issued and 0 outstanding as of December 31, 2025 and 2024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Preferred stock - Class E; $1.00 par value; $1,000 per share liquidation preference; 3,185,024 shares</w:t>
            </w:r>
          </w:p>
        </w:tc>
        <w:tc>
          <w:tcPr>
            <w:tcW w:w="180" w:type="dxa"/>
            <w:vAlign w:val="bottom"/>
            <w:shd w:val="clear" w:color="auto" w:fill="D1EDF5"/>
          </w:tcPr>
          <w:p>
            <w:pPr>
              <w:spacing w:after="0"/>
              <w:rPr>
                <w:sz w:val="22"/>
                <w:szCs w:val="22"/>
                <w:color w:val="auto"/>
              </w:rPr>
            </w:pPr>
          </w:p>
        </w:tc>
        <w:tc>
          <w:tcPr>
            <w:tcW w:w="1500" w:type="dxa"/>
            <w:vAlign w:val="bottom"/>
            <w:shd w:val="clear" w:color="auto" w:fill="D1EDF5"/>
          </w:tcPr>
          <w:p>
            <w:pPr>
              <w:spacing w:after="0"/>
              <w:rPr>
                <w:sz w:val="22"/>
                <w:szCs w:val="22"/>
                <w:color w:val="auto"/>
              </w:rPr>
            </w:pPr>
          </w:p>
        </w:tc>
        <w:tc>
          <w:tcPr>
            <w:tcW w:w="80" w:type="dxa"/>
            <w:vAlign w:val="bottom"/>
            <w:shd w:val="clear" w:color="auto" w:fill="D1EDF5"/>
          </w:tcPr>
          <w:p>
            <w:pPr>
              <w:spacing w:after="0"/>
              <w:rPr>
                <w:sz w:val="22"/>
                <w:szCs w:val="22"/>
                <w:color w:val="auto"/>
              </w:rPr>
            </w:pPr>
          </w:p>
        </w:tc>
        <w:tc>
          <w:tcPr>
            <w:tcW w:w="580" w:type="dxa"/>
            <w:vAlign w:val="bottom"/>
            <w:shd w:val="clear" w:color="auto" w:fill="D1EDF5"/>
          </w:tcPr>
          <w:p>
            <w:pPr>
              <w:spacing w:after="0"/>
              <w:rPr>
                <w:sz w:val="22"/>
                <w:szCs w:val="22"/>
                <w:color w:val="auto"/>
              </w:rPr>
            </w:pPr>
          </w:p>
        </w:tc>
        <w:tc>
          <w:tcPr>
            <w:tcW w:w="1100" w:type="dxa"/>
            <w:vAlign w:val="bottom"/>
            <w:shd w:val="clear" w:color="auto" w:fill="D1EDF5"/>
          </w:tcPr>
          <w:p>
            <w:pPr>
              <w:spacing w:after="0"/>
              <w:rPr>
                <w:sz w:val="22"/>
                <w:szCs w:val="22"/>
                <w:color w:val="auto"/>
              </w:rPr>
            </w:pPr>
          </w:p>
        </w:tc>
      </w:tr>
      <w:tr>
        <w:trPr>
          <w:trHeight w:val="185"/>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authorized; 0 issued and 0 outstanding as of December 31, 2025 and 2024</w:t>
            </w:r>
          </w:p>
        </w:tc>
        <w:tc>
          <w:tcPr>
            <w:tcW w:w="180" w:type="dxa"/>
            <w:vAlign w:val="bottom"/>
            <w:shd w:val="clear" w:color="auto" w:fill="D1EDF5"/>
          </w:tcPr>
          <w:p>
            <w:pPr>
              <w:spacing w:after="0"/>
              <w:rPr>
                <w:sz w:val="16"/>
                <w:szCs w:val="16"/>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1EDF5"/>
          </w:tcPr>
          <w:p>
            <w:pPr>
              <w:spacing w:after="0"/>
              <w:rPr>
                <w:sz w:val="16"/>
                <w:szCs w:val="16"/>
                <w:color w:val="auto"/>
              </w:rPr>
            </w:pPr>
          </w:p>
        </w:tc>
        <w:tc>
          <w:tcPr>
            <w:tcW w:w="580" w:type="dxa"/>
            <w:vAlign w:val="bottom"/>
            <w:shd w:val="clear" w:color="auto" w:fill="D1EDF5"/>
          </w:tcPr>
          <w:p>
            <w:pPr>
              <w:spacing w:after="0"/>
              <w:rPr>
                <w:sz w:val="16"/>
                <w:szCs w:val="16"/>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7360" w:type="dxa"/>
            <w:vAlign w:val="bottom"/>
          </w:tcPr>
          <w:p>
            <w:pPr>
              <w:spacing w:after="0"/>
              <w:rPr>
                <w:sz w:val="20"/>
                <w:szCs w:val="20"/>
                <w:color w:val="auto"/>
              </w:rPr>
            </w:pPr>
            <w:r>
              <w:rPr>
                <w:rFonts w:ascii="Arial" w:cs="Arial" w:eastAsia="Arial" w:hAnsi="Arial"/>
                <w:sz w:val="16"/>
                <w:szCs w:val="16"/>
                <w:color w:val="auto"/>
              </w:rPr>
              <w:t>Common stock - Class A Voting; $1.00 par value; 45,000,000 shares authorized; 18,137,885 and</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7360" w:type="dxa"/>
            <w:vAlign w:val="bottom"/>
          </w:tcPr>
          <w:p>
            <w:pPr>
              <w:spacing w:after="0"/>
              <w:rPr>
                <w:sz w:val="20"/>
                <w:szCs w:val="20"/>
                <w:color w:val="auto"/>
              </w:rPr>
            </w:pPr>
            <w:r>
              <w:rPr>
                <w:rFonts w:ascii="Arial" w:cs="Arial" w:eastAsia="Arial" w:hAnsi="Arial"/>
                <w:sz w:val="16"/>
                <w:szCs w:val="16"/>
                <w:color w:val="auto"/>
              </w:rPr>
              <w:t>19,924,632 issued and outstanding as of December 31, 2025 and 2024</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18,138</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19,925</w:t>
            </w:r>
          </w:p>
        </w:tc>
      </w:tr>
      <w:tr>
        <w:trPr>
          <w:trHeight w:val="264"/>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w w:val="99"/>
              </w:rPr>
              <w:t>Common stock - Class B Non-Voting; $1.00 par value; 8,000,000 shares authorized; 0 and 0 issued and</w:t>
            </w:r>
          </w:p>
        </w:tc>
        <w:tc>
          <w:tcPr>
            <w:tcW w:w="180" w:type="dxa"/>
            <w:vAlign w:val="bottom"/>
            <w:shd w:val="clear" w:color="auto" w:fill="D1EDF5"/>
          </w:tcPr>
          <w:p>
            <w:pPr>
              <w:spacing w:after="0"/>
              <w:rPr>
                <w:sz w:val="22"/>
                <w:szCs w:val="22"/>
                <w:color w:val="auto"/>
              </w:rPr>
            </w:pPr>
          </w:p>
        </w:tc>
        <w:tc>
          <w:tcPr>
            <w:tcW w:w="1500" w:type="dxa"/>
            <w:vAlign w:val="bottom"/>
            <w:shd w:val="clear" w:color="auto" w:fill="D1EDF5"/>
          </w:tcPr>
          <w:p>
            <w:pPr>
              <w:spacing w:after="0"/>
              <w:rPr>
                <w:sz w:val="22"/>
                <w:szCs w:val="22"/>
                <w:color w:val="auto"/>
              </w:rPr>
            </w:pPr>
          </w:p>
        </w:tc>
        <w:tc>
          <w:tcPr>
            <w:tcW w:w="80" w:type="dxa"/>
            <w:vAlign w:val="bottom"/>
            <w:shd w:val="clear" w:color="auto" w:fill="D1EDF5"/>
          </w:tcPr>
          <w:p>
            <w:pPr>
              <w:spacing w:after="0"/>
              <w:rPr>
                <w:sz w:val="22"/>
                <w:szCs w:val="22"/>
                <w:color w:val="auto"/>
              </w:rPr>
            </w:pPr>
          </w:p>
        </w:tc>
        <w:tc>
          <w:tcPr>
            <w:tcW w:w="580" w:type="dxa"/>
            <w:vAlign w:val="bottom"/>
            <w:shd w:val="clear" w:color="auto" w:fill="D1EDF5"/>
          </w:tcPr>
          <w:p>
            <w:pPr>
              <w:spacing w:after="0"/>
              <w:rPr>
                <w:sz w:val="22"/>
                <w:szCs w:val="22"/>
                <w:color w:val="auto"/>
              </w:rPr>
            </w:pPr>
          </w:p>
        </w:tc>
        <w:tc>
          <w:tcPr>
            <w:tcW w:w="1100" w:type="dxa"/>
            <w:vAlign w:val="bottom"/>
            <w:shd w:val="clear" w:color="auto" w:fill="D1EDF5"/>
          </w:tcPr>
          <w:p>
            <w:pPr>
              <w:spacing w:after="0"/>
              <w:rPr>
                <w:sz w:val="22"/>
                <w:szCs w:val="22"/>
                <w:color w:val="auto"/>
              </w:rPr>
            </w:pPr>
          </w:p>
        </w:tc>
      </w:tr>
      <w:tr>
        <w:trPr>
          <w:trHeight w:val="185"/>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outstanding as of December 31, 2025 and 2024</w:t>
            </w:r>
          </w:p>
        </w:tc>
        <w:tc>
          <w:tcPr>
            <w:tcW w:w="180" w:type="dxa"/>
            <w:vAlign w:val="bottom"/>
            <w:shd w:val="clear" w:color="auto" w:fill="D1EDF5"/>
          </w:tcPr>
          <w:p>
            <w:pPr>
              <w:spacing w:after="0"/>
              <w:rPr>
                <w:sz w:val="16"/>
                <w:szCs w:val="16"/>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1EDF5"/>
          </w:tcPr>
          <w:p>
            <w:pPr>
              <w:spacing w:after="0"/>
              <w:rPr>
                <w:sz w:val="16"/>
                <w:szCs w:val="16"/>
                <w:color w:val="auto"/>
              </w:rPr>
            </w:pPr>
          </w:p>
        </w:tc>
        <w:tc>
          <w:tcPr>
            <w:tcW w:w="580" w:type="dxa"/>
            <w:vAlign w:val="bottom"/>
            <w:shd w:val="clear" w:color="auto" w:fill="D1EDF5"/>
          </w:tcPr>
          <w:p>
            <w:pPr>
              <w:spacing w:after="0"/>
              <w:rPr>
                <w:sz w:val="16"/>
                <w:szCs w:val="16"/>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360" w:type="dxa"/>
            <w:vAlign w:val="bottom"/>
          </w:tcPr>
          <w:p>
            <w:pPr>
              <w:spacing w:after="0"/>
              <w:rPr>
                <w:sz w:val="20"/>
                <w:szCs w:val="20"/>
                <w:color w:val="auto"/>
              </w:rPr>
            </w:pPr>
            <w:r>
              <w:rPr>
                <w:rFonts w:ascii="Arial" w:cs="Arial" w:eastAsia="Arial" w:hAnsi="Arial"/>
                <w:sz w:val="16"/>
                <w:szCs w:val="16"/>
                <w:color w:val="auto"/>
              </w:rPr>
              <w:t>Additional paid-in capital on common stock</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278,852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307,810</w:t>
            </w:r>
          </w:p>
        </w:tc>
      </w:tr>
      <w:tr>
        <w:trPr>
          <w:trHeight w:val="226"/>
        </w:trPr>
        <w:tc>
          <w:tcPr>
            <w:tcW w:w="7360" w:type="dxa"/>
            <w:vAlign w:val="bottom"/>
            <w:shd w:val="clear" w:color="auto" w:fill="D1EDF5"/>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(49,542)</w:t>
            </w:r>
          </w:p>
        </w:tc>
        <w:tc>
          <w:tcPr>
            <w:tcW w:w="80" w:type="dxa"/>
            <w:vAlign w:val="bottom"/>
            <w:shd w:val="clear" w:color="auto" w:fill="D1EDF5"/>
          </w:tcPr>
          <w:p>
            <w:pPr>
              <w:spacing w:after="0"/>
              <w:rPr>
                <w:sz w:val="19"/>
                <w:szCs w:val="19"/>
                <w:color w:val="auto"/>
              </w:rPr>
            </w:pPr>
          </w:p>
        </w:tc>
        <w:tc>
          <w:tcPr>
            <w:tcW w:w="580" w:type="dxa"/>
            <w:vAlign w:val="bottom"/>
            <w:shd w:val="clear" w:color="auto" w:fill="D1EDF5"/>
          </w:tcPr>
          <w:p>
            <w:pPr>
              <w:spacing w:after="0"/>
              <w:rPr>
                <w:sz w:val="19"/>
                <w:szCs w:val="19"/>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(67,813)</w:t>
            </w:r>
          </w:p>
        </w:tc>
      </w:tr>
      <w:tr>
        <w:trPr>
          <w:trHeight w:val="223"/>
        </w:trPr>
        <w:tc>
          <w:tcPr>
            <w:tcW w:w="7360" w:type="dxa"/>
            <w:vAlign w:val="bottom"/>
            <w:tcBorders>
              <w:bottom w:val="single" w:sz="8" w:color="D1EDF5"/>
            </w:tcBorders>
          </w:tcPr>
          <w:p>
            <w:pPr>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(30,265)</w:t>
            </w:r>
          </w:p>
        </w:tc>
        <w:tc>
          <w:tcPr>
            <w:tcW w:w="80" w:type="dxa"/>
            <w:vAlign w:val="bottom"/>
            <w:tcBorders>
              <w:bottom w:val="single" w:sz="8" w:color="D1EDF5"/>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(44,534)</w:t>
            </w:r>
          </w:p>
        </w:tc>
      </w:tr>
      <w:tr>
        <w:trPr>
          <w:trHeight w:val="215"/>
        </w:trPr>
        <w:tc>
          <w:tcPr>
            <w:tcW w:w="7360" w:type="dxa"/>
            <w:vAlign w:val="bottom"/>
            <w:shd w:val="clear" w:color="auto" w:fill="D1EDF5"/>
          </w:tcPr>
          <w:p>
            <w:pPr>
              <w:ind w:left="1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D1EDF5"/>
          </w:tcPr>
          <w:p>
            <w:pPr>
              <w:spacing w:after="0"/>
              <w:rPr>
                <w:sz w:val="18"/>
                <w:szCs w:val="18"/>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217,183</w:t>
            </w:r>
          </w:p>
        </w:tc>
        <w:tc>
          <w:tcPr>
            <w:tcW w:w="80" w:type="dxa"/>
            <w:vAlign w:val="bottom"/>
            <w:shd w:val="clear" w:color="auto" w:fill="D1EDF5"/>
          </w:tcPr>
          <w:p>
            <w:pPr>
              <w:spacing w:after="0"/>
              <w:rPr>
                <w:sz w:val="18"/>
                <w:szCs w:val="18"/>
                <w:color w:val="auto"/>
              </w:rPr>
            </w:pPr>
          </w:p>
        </w:tc>
        <w:tc>
          <w:tcPr>
            <w:tcW w:w="580" w:type="dxa"/>
            <w:vAlign w:val="bottom"/>
            <w:tcBorders>
              <w:bottom w:val="single" w:sz="8" w:color="auto"/>
            </w:tcBorders>
            <w:shd w:val="clear" w:color="auto" w:fill="D1EDF5"/>
          </w:tcPr>
          <w:p>
            <w:pPr>
              <w:spacing w:after="0"/>
              <w:rPr>
                <w:sz w:val="18"/>
                <w:szCs w:val="18"/>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215,388</w:t>
            </w:r>
          </w:p>
        </w:tc>
      </w:tr>
      <w:tr>
        <w:trPr>
          <w:trHeight w:val="230"/>
        </w:trPr>
        <w:tc>
          <w:tcPr>
            <w:tcW w:w="736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2,791,540</w:t>
            </w:r>
          </w:p>
        </w:tc>
        <w:tc>
          <w:tcPr>
            <w:tcW w:w="660" w:type="dxa"/>
            <w:vAlign w:val="bottom"/>
            <w:gridSpan w:val="2"/>
          </w:tcPr>
          <w:p>
            <w:pPr>
              <w:jc w:val="right"/>
              <w:ind w:right="425"/>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2,581,216</w:t>
            </w: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8" w:name="page79"/>
    <w:bookmarkEnd w:id="78"/>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Operations</w:t>
      </w:r>
    </w:p>
    <w:p>
      <w:pPr>
        <w:jc w:val="center"/>
        <w:spacing w:after="0"/>
        <w:rPr>
          <w:sz w:val="20"/>
          <w:szCs w:val="20"/>
          <w:color w:val="auto"/>
        </w:rPr>
      </w:pPr>
      <w:r>
        <w:rPr>
          <w:rFonts w:ascii="Arial" w:cs="Arial" w:eastAsia="Arial" w:hAnsi="Arial"/>
          <w:sz w:val="20"/>
          <w:szCs w:val="20"/>
          <w:color w:val="auto"/>
        </w:rPr>
        <w:t>(Dollars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D1EDF5"/>
            </w:tcBorders>
          </w:tcPr>
          <w:p>
            <w:pPr>
              <w:spacing w:after="0"/>
              <w:rPr>
                <w:sz w:val="19"/>
                <w:szCs w:val="19"/>
                <w:color w:val="auto"/>
              </w:rPr>
            </w:pPr>
          </w:p>
        </w:tc>
        <w:tc>
          <w:tcPr>
            <w:tcW w:w="16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0"/>
        </w:trPr>
        <w:tc>
          <w:tcPr>
            <w:tcW w:w="574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Interest income:</w:t>
            </w:r>
          </w:p>
        </w:tc>
        <w:tc>
          <w:tcPr>
            <w:tcW w:w="16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Loans, including fees</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128,160</w:t>
            </w:r>
          </w:p>
        </w:tc>
        <w:tc>
          <w:tcPr>
            <w:tcW w:w="26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115,236</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Investment securities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13,715</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11,480</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Interest-bearing deposits in financial institutions</w:t>
            </w:r>
          </w:p>
        </w:tc>
        <w:tc>
          <w:tcPr>
            <w:tcW w:w="16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4,517</w:t>
            </w:r>
          </w:p>
        </w:tc>
        <w:tc>
          <w:tcPr>
            <w:tcW w:w="0" w:type="dxa"/>
            <w:vAlign w:val="bottom"/>
          </w:tcPr>
          <w:p>
            <w:pPr>
              <w:spacing w:after="0"/>
              <w:rPr>
                <w:sz w:val="1"/>
                <w:szCs w:val="1"/>
                <w:color w:val="auto"/>
              </w:rPr>
            </w:pPr>
          </w:p>
        </w:tc>
      </w:tr>
      <w:tr>
        <w:trPr>
          <w:trHeight w:val="230"/>
        </w:trPr>
        <w:tc>
          <w:tcPr>
            <w:tcW w:w="5740" w:type="dxa"/>
            <w:vAlign w:val="bottom"/>
            <w:shd w:val="clear" w:color="auto" w:fill="D1EDF5"/>
          </w:tcPr>
          <w:p>
            <w:pPr>
              <w:ind w:left="400"/>
              <w:spacing w:after="0"/>
              <w:rPr>
                <w:sz w:val="20"/>
                <w:szCs w:val="20"/>
                <w:color w:val="auto"/>
              </w:rPr>
            </w:pPr>
            <w:r>
              <w:rPr>
                <w:rFonts w:ascii="Arial" w:cs="Arial" w:eastAsia="Arial" w:hAnsi="Arial"/>
                <w:sz w:val="16"/>
                <w:szCs w:val="16"/>
                <w:color w:val="auto"/>
              </w:rPr>
              <w:t>Total interest income</w:t>
            </w:r>
          </w:p>
        </w:tc>
        <w:tc>
          <w:tcPr>
            <w:tcW w:w="16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145,487</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131,233</w:t>
            </w: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Interest-bearing checking deposits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1,283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Savings and money markets deposits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38,027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40,098</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Time deposits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18,104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13,354</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Federal Home Loan Bank advances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6,336</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Subordinated notes</w:t>
            </w:r>
          </w:p>
        </w:tc>
        <w:tc>
          <w:tcPr>
            <w:tcW w:w="16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1,205</w:t>
            </w:r>
          </w:p>
        </w:tc>
        <w:tc>
          <w:tcPr>
            <w:tcW w:w="8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400"/>
              <w:spacing w:after="0"/>
              <w:rPr>
                <w:sz w:val="20"/>
                <w:szCs w:val="20"/>
                <w:color w:val="auto"/>
              </w:rPr>
            </w:pPr>
            <w:r>
              <w:rPr>
                <w:rFonts w:ascii="Arial" w:cs="Arial" w:eastAsia="Arial" w:hAnsi="Arial"/>
                <w:sz w:val="16"/>
                <w:szCs w:val="16"/>
                <w:color w:val="auto"/>
              </w:rPr>
              <w:t>Total interest expense</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61,857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61,297</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400"/>
              <w:spacing w:after="0"/>
              <w:rPr>
                <w:sz w:val="20"/>
                <w:szCs w:val="20"/>
                <w:color w:val="auto"/>
              </w:rPr>
            </w:pPr>
            <w:r>
              <w:rPr>
                <w:rFonts w:ascii="Arial" w:cs="Arial" w:eastAsia="Arial" w:hAnsi="Arial"/>
                <w:sz w:val="16"/>
                <w:szCs w:val="16"/>
                <w:color w:val="auto"/>
              </w:rPr>
              <w:t>Net interest income before provision for credit losses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83,630</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69,936</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Provision for credit losses</w:t>
            </w:r>
          </w:p>
        </w:tc>
        <w:tc>
          <w:tcPr>
            <w:tcW w:w="16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3,157</w:t>
            </w:r>
          </w:p>
        </w:tc>
        <w:tc>
          <w:tcPr>
            <w:tcW w:w="0" w:type="dxa"/>
            <w:vAlign w:val="bottom"/>
          </w:tcPr>
          <w:p>
            <w:pPr>
              <w:spacing w:after="0"/>
              <w:rPr>
                <w:sz w:val="1"/>
                <w:szCs w:val="1"/>
                <w:color w:val="auto"/>
              </w:rPr>
            </w:pPr>
          </w:p>
        </w:tc>
      </w:tr>
      <w:tr>
        <w:trPr>
          <w:trHeight w:val="252"/>
        </w:trPr>
        <w:tc>
          <w:tcPr>
            <w:tcW w:w="5740" w:type="dxa"/>
            <w:vAlign w:val="bottom"/>
            <w:tcBorders>
              <w:bottom w:val="single" w:sz="8" w:color="D1EDF5"/>
            </w:tcBorders>
            <w:shd w:val="clear" w:color="auto" w:fill="D1EDF5"/>
          </w:tcPr>
          <w:p>
            <w:pPr>
              <w:ind w:left="400"/>
              <w:spacing w:after="0"/>
              <w:rPr>
                <w:sz w:val="20"/>
                <w:szCs w:val="20"/>
                <w:color w:val="auto"/>
              </w:rPr>
            </w:pPr>
            <w:r>
              <w:rPr>
                <w:rFonts w:ascii="Arial" w:cs="Arial" w:eastAsia="Arial" w:hAnsi="Arial"/>
                <w:sz w:val="16"/>
                <w:szCs w:val="16"/>
                <w:color w:val="auto"/>
              </w:rPr>
              <w:t>Net interest income after provision for credit losses</w:t>
            </w:r>
          </w:p>
        </w:tc>
        <w:tc>
          <w:tcPr>
            <w:tcW w:w="16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81,333</w:t>
            </w:r>
          </w:p>
        </w:tc>
        <w:tc>
          <w:tcPr>
            <w:tcW w:w="8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66,779</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6"/>
                <w:szCs w:val="16"/>
                <w:b w:val="1"/>
                <w:bCs w:val="1"/>
                <w:color w:val="auto"/>
              </w:rPr>
              <w:t>Non-interest income: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Service fees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9,603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8,839</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(Loss) gain on sale of securities available for sale, net</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Gain on sale of loans held for sale, net</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1,001</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Other non-interest income</w:t>
            </w:r>
          </w:p>
        </w:tc>
        <w:tc>
          <w:tcPr>
            <w:tcW w:w="16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3,514</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30"/>
        </w:trPr>
        <w:tc>
          <w:tcPr>
            <w:tcW w:w="5740" w:type="dxa"/>
            <w:vAlign w:val="bottom"/>
            <w:shd w:val="clear" w:color="auto" w:fill="D1EDF5"/>
          </w:tcPr>
          <w:p>
            <w:pPr>
              <w:ind w:left="400"/>
              <w:spacing w:after="0"/>
              <w:rPr>
                <w:sz w:val="20"/>
                <w:szCs w:val="20"/>
                <w:color w:val="auto"/>
              </w:rPr>
            </w:pPr>
            <w:r>
              <w:rPr>
                <w:rFonts w:ascii="Arial" w:cs="Arial" w:eastAsia="Arial" w:hAnsi="Arial"/>
                <w:sz w:val="16"/>
                <w:szCs w:val="16"/>
                <w:color w:val="auto"/>
              </w:rPr>
              <w:t>Total non-interest income</w:t>
            </w:r>
          </w:p>
        </w:tc>
        <w:tc>
          <w:tcPr>
            <w:tcW w:w="16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6,592</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12,740</w:t>
            </w: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r>
              <w:rPr>
                <w:rFonts w:ascii="Arial" w:cs="Arial" w:eastAsia="Arial" w:hAnsi="Arial"/>
                <w:sz w:val="16"/>
                <w:szCs w:val="16"/>
                <w:b w:val="1"/>
                <w:bCs w:val="1"/>
                <w:color w:val="auto"/>
              </w:rPr>
              <w:t>Non-interest expense:</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Salaries and employee benefits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32,167</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28,793</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Occupancy</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5,258</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Regulatory assessment and fees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1,637</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6"/>
                <w:szCs w:val="16"/>
                <w:color w:val="auto"/>
              </w:rPr>
              <w:t>Consulting and legal fees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140"/>
              <w:spacing w:after="0"/>
              <w:rPr>
                <w:sz w:val="20"/>
                <w:szCs w:val="20"/>
                <w:color w:val="auto"/>
              </w:rPr>
            </w:pPr>
            <w:r>
              <w:rPr>
                <w:rFonts w:ascii="Arial" w:cs="Arial" w:eastAsia="Arial" w:hAnsi="Arial"/>
                <w:sz w:val="16"/>
                <w:szCs w:val="16"/>
                <w:color w:val="auto"/>
              </w:rPr>
              <w:t>Network and information technology services</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2,324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Other operating expense</w:t>
            </w:r>
          </w:p>
        </w:tc>
        <w:tc>
          <w:tcPr>
            <w:tcW w:w="16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0" w:type="dxa"/>
            <w:vAlign w:val="bottom"/>
          </w:tcPr>
          <w:p>
            <w:pPr>
              <w:spacing w:after="0"/>
              <w:rPr>
                <w:sz w:val="1"/>
                <w:szCs w:val="1"/>
                <w:color w:val="auto"/>
              </w:rPr>
            </w:pPr>
          </w:p>
        </w:tc>
      </w:tr>
      <w:tr>
        <w:trPr>
          <w:trHeight w:val="230"/>
        </w:trPr>
        <w:tc>
          <w:tcPr>
            <w:tcW w:w="5740" w:type="dxa"/>
            <w:vAlign w:val="bottom"/>
            <w:shd w:val="clear" w:color="auto" w:fill="D1EDF5"/>
          </w:tcPr>
          <w:p>
            <w:pPr>
              <w:ind w:left="400"/>
              <w:spacing w:after="0"/>
              <w:rPr>
                <w:sz w:val="20"/>
                <w:szCs w:val="20"/>
                <w:color w:val="auto"/>
              </w:rPr>
            </w:pPr>
            <w:r>
              <w:rPr>
                <w:rFonts w:ascii="Arial" w:cs="Arial" w:eastAsia="Arial" w:hAnsi="Arial"/>
                <w:sz w:val="16"/>
                <w:szCs w:val="16"/>
                <w:color w:val="auto"/>
              </w:rPr>
              <w:t>Total non-interest expense</w:t>
            </w:r>
          </w:p>
        </w:tc>
        <w:tc>
          <w:tcPr>
            <w:tcW w:w="16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52,009</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47,042</w:t>
            </w:r>
          </w:p>
        </w:tc>
        <w:tc>
          <w:tcPr>
            <w:tcW w:w="0" w:type="dxa"/>
            <w:vAlign w:val="bottom"/>
          </w:tcPr>
          <w:p>
            <w:pPr>
              <w:spacing w:after="0"/>
              <w:rPr>
                <w:sz w:val="1"/>
                <w:szCs w:val="1"/>
                <w:color w:val="auto"/>
              </w:rPr>
            </w:pPr>
          </w:p>
        </w:tc>
      </w:tr>
      <w:tr>
        <w:trPr>
          <w:trHeight w:val="240"/>
        </w:trPr>
        <w:tc>
          <w:tcPr>
            <w:tcW w:w="5740" w:type="dxa"/>
            <w:vAlign w:val="bottom"/>
          </w:tcPr>
          <w:p>
            <w:pPr>
              <w:ind w:left="400"/>
              <w:spacing w:after="0"/>
              <w:rPr>
                <w:sz w:val="20"/>
                <w:szCs w:val="20"/>
                <w:color w:val="auto"/>
              </w:rPr>
            </w:pPr>
            <w:r>
              <w:rPr>
                <w:rFonts w:ascii="Arial" w:cs="Arial" w:eastAsia="Arial" w:hAnsi="Arial"/>
                <w:sz w:val="16"/>
                <w:szCs w:val="16"/>
                <w:color w:val="auto"/>
              </w:rPr>
              <w:t>Net income before income tax expense</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35,916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32,477</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6"/>
                <w:szCs w:val="16"/>
                <w:color w:val="auto"/>
              </w:rPr>
              <w:t>Income tax expense</w:t>
            </w:r>
          </w:p>
        </w:tc>
        <w:tc>
          <w:tcPr>
            <w:tcW w:w="162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9,816</w:t>
            </w:r>
          </w:p>
        </w:tc>
        <w:tc>
          <w:tcPr>
            <w:tcW w:w="8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7,803</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D1EDF5"/>
            </w:tcBorders>
          </w:tcPr>
          <w:p>
            <w:pPr>
              <w:ind w:left="400"/>
              <w:spacing w:after="0"/>
              <w:rPr>
                <w:sz w:val="20"/>
                <w:szCs w:val="20"/>
                <w:color w:val="auto"/>
              </w:rPr>
            </w:pPr>
            <w:r>
              <w:rPr>
                <w:rFonts w:ascii="Arial" w:cs="Arial" w:eastAsia="Arial" w:hAnsi="Arial"/>
                <w:sz w:val="16"/>
                <w:szCs w:val="16"/>
                <w:color w:val="auto"/>
              </w:rPr>
              <w:t>Net income</w:t>
            </w:r>
          </w:p>
        </w:tc>
        <w:tc>
          <w:tcPr>
            <w:tcW w:w="16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26,100</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24,674</w:t>
            </w:r>
          </w:p>
        </w:tc>
        <w:tc>
          <w:tcPr>
            <w:tcW w:w="0" w:type="dxa"/>
            <w:vAlign w:val="bottom"/>
          </w:tcPr>
          <w:p>
            <w:pPr>
              <w:spacing w:after="0"/>
              <w:rPr>
                <w:sz w:val="1"/>
                <w:szCs w:val="1"/>
                <w:color w:val="auto"/>
              </w:rPr>
            </w:pPr>
          </w:p>
        </w:tc>
      </w:tr>
      <w:tr>
        <w:trPr>
          <w:trHeight w:val="266"/>
        </w:trPr>
        <w:tc>
          <w:tcPr>
            <w:tcW w:w="5740" w:type="dxa"/>
            <w:vAlign w:val="bottom"/>
            <w:shd w:val="clear" w:color="auto" w:fill="D1EDF5"/>
          </w:tcPr>
          <w:p>
            <w:pPr>
              <w:ind w:left="400"/>
              <w:spacing w:after="0"/>
              <w:rPr>
                <w:sz w:val="20"/>
                <w:szCs w:val="20"/>
                <w:color w:val="auto"/>
              </w:rPr>
            </w:pPr>
            <w:r>
              <w:rPr>
                <w:rFonts w:ascii="Arial" w:cs="Arial" w:eastAsia="Arial" w:hAnsi="Arial"/>
                <w:sz w:val="16"/>
                <w:szCs w:val="16"/>
                <w:color w:val="auto"/>
              </w:rPr>
              <w:t>Net income available to common stockholders</w:t>
            </w:r>
          </w:p>
        </w:tc>
        <w:tc>
          <w:tcPr>
            <w:tcW w:w="1800" w:type="dxa"/>
            <w:vAlign w:val="bottom"/>
            <w:gridSpan w:val="2"/>
            <w:shd w:val="clear" w:color="auto" w:fill="D1EDF5"/>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26,100</w:t>
            </w:r>
          </w:p>
        </w:tc>
        <w:tc>
          <w:tcPr>
            <w:tcW w:w="80" w:type="dxa"/>
            <w:vAlign w:val="bottom"/>
            <w:shd w:val="clear" w:color="auto" w:fill="D1EDF5"/>
          </w:tcPr>
          <w:p>
            <w:pPr>
              <w:spacing w:after="0"/>
              <w:rPr>
                <w:sz w:val="23"/>
                <w:szCs w:val="23"/>
                <w:color w:val="auto"/>
              </w:rPr>
            </w:pPr>
          </w:p>
        </w:tc>
        <w:tc>
          <w:tcPr>
            <w:tcW w:w="180" w:type="dxa"/>
            <w:vAlign w:val="bottom"/>
            <w:shd w:val="clear" w:color="auto" w:fill="D1EDF5"/>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24,674</w:t>
            </w:r>
          </w:p>
        </w:tc>
        <w:tc>
          <w:tcPr>
            <w:tcW w:w="0" w:type="dxa"/>
            <w:vAlign w:val="bottom"/>
          </w:tcPr>
          <w:p>
            <w:pPr>
              <w:spacing w:after="0"/>
              <w:rPr>
                <w:sz w:val="1"/>
                <w:szCs w:val="1"/>
                <w:color w:val="auto"/>
              </w:rPr>
            </w:pPr>
          </w:p>
        </w:tc>
      </w:tr>
      <w:tr>
        <w:trPr>
          <w:trHeight w:val="20"/>
        </w:trPr>
        <w:tc>
          <w:tcPr>
            <w:tcW w:w="5740" w:type="dxa"/>
            <w:vAlign w:val="bottom"/>
            <w:tcBorders>
              <w:top w:val="single" w:sz="8" w:color="D1EDF5"/>
              <w:bottom w:val="single" w:sz="8" w:color="D1EDF5"/>
            </w:tcBorders>
            <w:vMerge w:val="restart"/>
          </w:tcPr>
          <w:p>
            <w:pPr>
              <w:spacing w:after="0"/>
              <w:rPr>
                <w:sz w:val="20"/>
                <w:szCs w:val="20"/>
                <w:color w:val="auto"/>
              </w:rPr>
            </w:pPr>
            <w:r>
              <w:rPr>
                <w:rFonts w:ascii="Arial" w:cs="Arial" w:eastAsia="Arial" w:hAnsi="Arial"/>
                <w:sz w:val="16"/>
                <w:szCs w:val="16"/>
                <w:b w:val="1"/>
                <w:bCs w:val="1"/>
                <w:color w:val="auto"/>
              </w:rPr>
              <w:t>Per share information:</w:t>
            </w:r>
          </w:p>
        </w:tc>
        <w:tc>
          <w:tcPr>
            <w:tcW w:w="162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280"/>
              <w:spacing w:after="0"/>
              <w:rPr>
                <w:sz w:val="20"/>
                <w:szCs w:val="20"/>
                <w:color w:val="auto"/>
              </w:rPr>
            </w:pPr>
            <w:r>
              <w:rPr>
                <w:rFonts w:ascii="Arial" w:cs="Arial" w:eastAsia="Arial" w:hAnsi="Arial"/>
                <w:sz w:val="16"/>
                <w:szCs w:val="16"/>
                <w:color w:val="auto"/>
              </w:rPr>
              <w:t>Earnings per share, basic</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0"/>
        </w:trPr>
        <w:tc>
          <w:tcPr>
            <w:tcW w:w="5740" w:type="dxa"/>
            <w:vAlign w:val="bottom"/>
          </w:tcPr>
          <w:p>
            <w:pPr>
              <w:ind w:left="280"/>
              <w:spacing w:after="0"/>
              <w:rPr>
                <w:sz w:val="20"/>
                <w:szCs w:val="20"/>
                <w:color w:val="auto"/>
              </w:rPr>
            </w:pPr>
            <w:r>
              <w:rPr>
                <w:rFonts w:ascii="Arial" w:cs="Arial" w:eastAsia="Arial" w:hAnsi="Arial"/>
                <w:sz w:val="16"/>
                <w:szCs w:val="16"/>
                <w:color w:val="auto"/>
              </w:rPr>
              <w:t>Earnings per share, diluted</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280"/>
              <w:spacing w:after="0"/>
              <w:rPr>
                <w:sz w:val="20"/>
                <w:szCs w:val="20"/>
                <w:color w:val="auto"/>
              </w:rPr>
            </w:pPr>
            <w:r>
              <w:rPr>
                <w:rFonts w:ascii="Arial" w:cs="Arial" w:eastAsia="Arial" w:hAnsi="Arial"/>
                <w:sz w:val="16"/>
                <w:szCs w:val="16"/>
                <w:color w:val="auto"/>
              </w:rPr>
              <w:t>Common shares, basic</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19,425,746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19,675,444</w:t>
            </w:r>
          </w:p>
        </w:tc>
        <w:tc>
          <w:tcPr>
            <w:tcW w:w="0" w:type="dxa"/>
            <w:vAlign w:val="bottom"/>
          </w:tcPr>
          <w:p>
            <w:pPr>
              <w:spacing w:after="0"/>
              <w:rPr>
                <w:sz w:val="1"/>
                <w:szCs w:val="1"/>
                <w:color w:val="auto"/>
              </w:rPr>
            </w:pPr>
          </w:p>
        </w:tc>
      </w:tr>
      <w:tr>
        <w:trPr>
          <w:trHeight w:val="240"/>
        </w:trPr>
        <w:tc>
          <w:tcPr>
            <w:tcW w:w="5740" w:type="dxa"/>
            <w:vAlign w:val="bottom"/>
            <w:shd w:val="clear" w:color="auto" w:fill="D1EDF5"/>
          </w:tcPr>
          <w:p>
            <w:pPr>
              <w:ind w:left="280"/>
              <w:spacing w:after="0"/>
              <w:rPr>
                <w:sz w:val="20"/>
                <w:szCs w:val="20"/>
                <w:color w:val="auto"/>
              </w:rPr>
            </w:pPr>
            <w:r>
              <w:rPr>
                <w:rFonts w:ascii="Arial" w:cs="Arial" w:eastAsia="Arial" w:hAnsi="Arial"/>
                <w:sz w:val="16"/>
                <w:szCs w:val="16"/>
                <w:color w:val="auto"/>
              </w:rPr>
              <w:t>Common shares, diluted</w:t>
            </w:r>
          </w:p>
        </w:tc>
        <w:tc>
          <w:tcPr>
            <w:tcW w:w="16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19,650,814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19,831,421</w:t>
            </w:r>
          </w:p>
        </w:tc>
        <w:tc>
          <w:tcPr>
            <w:tcW w:w="0" w:type="dxa"/>
            <w:vAlign w:val="bottom"/>
          </w:tcPr>
          <w:p>
            <w:pPr>
              <w:spacing w:after="0"/>
              <w:rPr>
                <w:sz w:val="1"/>
                <w:szCs w:val="1"/>
                <w:color w:val="auto"/>
              </w:rPr>
            </w:pPr>
          </w:p>
        </w:tc>
      </w:tr>
      <w:tr>
        <w:trPr>
          <w:trHeight w:val="240"/>
        </w:trPr>
        <w:tc>
          <w:tcPr>
            <w:tcW w:w="57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79" w:name="page80"/>
    <w:bookmarkEnd w:id="79"/>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Comprehensive Income</w:t>
      </w:r>
    </w:p>
    <w:p>
      <w:pPr>
        <w:jc w:val="center"/>
        <w:spacing w:after="0"/>
        <w:rPr>
          <w:sz w:val="20"/>
          <w:szCs w:val="20"/>
          <w:color w:val="auto"/>
        </w:rPr>
      </w:pPr>
      <w:r>
        <w:rPr>
          <w:rFonts w:ascii="Arial" w:cs="Arial" w:eastAsia="Arial" w:hAnsi="Arial"/>
          <w:sz w:val="20"/>
          <w:szCs w:val="20"/>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Years Ended December 31,</w:t>
            </w:r>
          </w:p>
        </w:tc>
      </w:tr>
      <w:tr>
        <w:trPr>
          <w:trHeight w:val="201"/>
        </w:trPr>
        <w:tc>
          <w:tcPr>
            <w:tcW w:w="7960" w:type="dxa"/>
            <w:vAlign w:val="bottom"/>
            <w:tcBorders>
              <w:bottom w:val="single" w:sz="8" w:color="D1EDF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1EDF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2024</w:t>
            </w:r>
          </w:p>
        </w:tc>
      </w:tr>
      <w:tr>
        <w:trPr>
          <w:trHeight w:val="189"/>
        </w:trPr>
        <w:tc>
          <w:tcPr>
            <w:tcW w:w="7960" w:type="dxa"/>
            <w:vAlign w:val="bottom"/>
            <w:shd w:val="clear" w:color="auto" w:fill="D1EDF5"/>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26,100</w:t>
            </w:r>
          </w:p>
        </w:tc>
        <w:tc>
          <w:tcPr>
            <w:tcW w:w="80" w:type="dxa"/>
            <w:vAlign w:val="bottom"/>
            <w:shd w:val="clear" w:color="auto" w:fill="D1EDF5"/>
          </w:tcPr>
          <w:p>
            <w:pPr>
              <w:spacing w:after="0"/>
              <w:rPr>
                <w:sz w:val="16"/>
                <w:szCs w:val="16"/>
                <w:color w:val="auto"/>
              </w:rPr>
            </w:pPr>
          </w:p>
        </w:tc>
        <w:tc>
          <w:tcPr>
            <w:tcW w:w="300" w:type="dxa"/>
            <w:vAlign w:val="bottom"/>
            <w:shd w:val="clear" w:color="auto" w:fill="D1EDF5"/>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24,674</w:t>
            </w:r>
          </w:p>
        </w:tc>
      </w:tr>
      <w:tr>
        <w:trPr>
          <w:trHeight w:val="202"/>
        </w:trPr>
        <w:tc>
          <w:tcPr>
            <w:tcW w:w="79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7960" w:type="dxa"/>
            <w:vAlign w:val="bottom"/>
            <w:shd w:val="clear" w:color="auto" w:fill="D1EDF5"/>
          </w:tcPr>
          <w:p>
            <w:pPr>
              <w:ind w:left="140"/>
              <w:spacing w:after="0"/>
              <w:rPr>
                <w:sz w:val="20"/>
                <w:szCs w:val="20"/>
                <w:color w:val="auto"/>
              </w:rPr>
            </w:pPr>
            <w:r>
              <w:rPr>
                <w:rFonts w:ascii="Arial" w:cs="Arial" w:eastAsia="Arial" w:hAnsi="Arial"/>
                <w:sz w:val="16"/>
                <w:szCs w:val="16"/>
                <w:color w:val="auto"/>
              </w:rPr>
              <w:t>Unrealized gain (loss) on investment securities</w:t>
            </w:r>
          </w:p>
        </w:tc>
        <w:tc>
          <w:tcPr>
            <w:tcW w:w="180" w:type="dxa"/>
            <w:vAlign w:val="bottom"/>
            <w:shd w:val="clear" w:color="auto" w:fill="D1EDF5"/>
          </w:tcPr>
          <w:p>
            <w:pPr>
              <w:spacing w:after="0"/>
              <w:rPr>
                <w:sz w:val="18"/>
                <w:szCs w:val="18"/>
                <w:color w:val="auto"/>
              </w:rPr>
            </w:pPr>
          </w:p>
        </w:tc>
        <w:tc>
          <w:tcPr>
            <w:tcW w:w="12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11,661</w:t>
            </w:r>
          </w:p>
        </w:tc>
        <w:tc>
          <w:tcPr>
            <w:tcW w:w="80" w:type="dxa"/>
            <w:vAlign w:val="bottom"/>
            <w:shd w:val="clear" w:color="auto" w:fill="D1EDF5"/>
          </w:tcPr>
          <w:p>
            <w:pPr>
              <w:spacing w:after="0"/>
              <w:rPr>
                <w:sz w:val="18"/>
                <w:szCs w:val="18"/>
                <w:color w:val="auto"/>
              </w:rPr>
            </w:pPr>
          </w:p>
        </w:tc>
        <w:tc>
          <w:tcPr>
            <w:tcW w:w="300" w:type="dxa"/>
            <w:vAlign w:val="bottom"/>
            <w:shd w:val="clear" w:color="auto" w:fill="D1EDF5"/>
          </w:tcPr>
          <w:p>
            <w:pPr>
              <w:spacing w:after="0"/>
              <w:rPr>
                <w:sz w:val="18"/>
                <w:szCs w:val="18"/>
                <w:color w:val="auto"/>
              </w:rPr>
            </w:pPr>
          </w:p>
        </w:tc>
        <w:tc>
          <w:tcPr>
            <w:tcW w:w="10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(592)</w:t>
            </w:r>
          </w:p>
        </w:tc>
      </w:tr>
      <w:tr>
        <w:trPr>
          <w:trHeight w:val="199"/>
        </w:trPr>
        <w:tc>
          <w:tcPr>
            <w:tcW w:w="7960" w:type="dxa"/>
            <w:vAlign w:val="bottom"/>
          </w:tcPr>
          <w:p>
            <w:pPr>
              <w:ind w:left="140"/>
              <w:spacing w:after="0"/>
              <w:rPr>
                <w:sz w:val="20"/>
                <w:szCs w:val="20"/>
                <w:color w:val="auto"/>
              </w:rPr>
            </w:pPr>
            <w:r>
              <w:rPr>
                <w:rFonts w:ascii="Arial" w:cs="Arial" w:eastAsia="Arial" w:hAnsi="Arial"/>
                <w:sz w:val="16"/>
                <w:szCs w:val="16"/>
                <w:color w:val="auto"/>
              </w:rPr>
              <w:t>Amortization of net unrealized losses on securities transferred from available-for-sale to held-to-maturity</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02"/>
        </w:trPr>
        <w:tc>
          <w:tcPr>
            <w:tcW w:w="7960" w:type="dxa"/>
            <w:vAlign w:val="bottom"/>
            <w:shd w:val="clear" w:color="auto" w:fill="D1EDF5"/>
          </w:tcPr>
          <w:p>
            <w:pPr>
              <w:ind w:left="140"/>
              <w:spacing w:after="0"/>
              <w:rPr>
                <w:sz w:val="20"/>
                <w:szCs w:val="20"/>
                <w:color w:val="auto"/>
              </w:rPr>
            </w:pPr>
            <w:r>
              <w:rPr>
                <w:rFonts w:ascii="Arial" w:cs="Arial" w:eastAsia="Arial" w:hAnsi="Arial"/>
                <w:sz w:val="16"/>
                <w:szCs w:val="16"/>
                <w:color w:val="auto"/>
              </w:rPr>
              <w:t>Reclassification adjustment on sale of available for sale securities for (income) loss included in net income</w:t>
            </w:r>
          </w:p>
        </w:tc>
        <w:tc>
          <w:tcPr>
            <w:tcW w:w="180" w:type="dxa"/>
            <w:vAlign w:val="bottom"/>
            <w:shd w:val="clear" w:color="auto" w:fill="D1EDF5"/>
          </w:tcPr>
          <w:p>
            <w:pPr>
              <w:spacing w:after="0"/>
              <w:rPr>
                <w:sz w:val="17"/>
                <w:szCs w:val="17"/>
                <w:color w:val="auto"/>
              </w:rPr>
            </w:pPr>
          </w:p>
        </w:tc>
        <w:tc>
          <w:tcPr>
            <w:tcW w:w="12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7,526</w:t>
            </w:r>
          </w:p>
        </w:tc>
        <w:tc>
          <w:tcPr>
            <w:tcW w:w="80" w:type="dxa"/>
            <w:vAlign w:val="bottom"/>
            <w:shd w:val="clear" w:color="auto" w:fill="D1EDF5"/>
          </w:tcPr>
          <w:p>
            <w:pPr>
              <w:spacing w:after="0"/>
              <w:rPr>
                <w:sz w:val="17"/>
                <w:szCs w:val="17"/>
                <w:color w:val="auto"/>
              </w:rPr>
            </w:pPr>
          </w:p>
        </w:tc>
        <w:tc>
          <w:tcPr>
            <w:tcW w:w="300" w:type="dxa"/>
            <w:vAlign w:val="bottom"/>
            <w:shd w:val="clear" w:color="auto" w:fill="D1EDF5"/>
          </w:tcPr>
          <w:p>
            <w:pPr>
              <w:spacing w:after="0"/>
              <w:rPr>
                <w:sz w:val="17"/>
                <w:szCs w:val="17"/>
                <w:color w:val="auto"/>
              </w:rPr>
            </w:pPr>
          </w:p>
        </w:tc>
        <w:tc>
          <w:tcPr>
            <w:tcW w:w="108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(14)</w:t>
            </w:r>
          </w:p>
        </w:tc>
      </w:tr>
      <w:tr>
        <w:trPr>
          <w:trHeight w:val="199"/>
        </w:trPr>
        <w:tc>
          <w:tcPr>
            <w:tcW w:w="7960" w:type="dxa"/>
            <w:vAlign w:val="bottom"/>
          </w:tcPr>
          <w:p>
            <w:pPr>
              <w:ind w:left="140"/>
              <w:spacing w:after="0"/>
              <w:rPr>
                <w:sz w:val="20"/>
                <w:szCs w:val="20"/>
                <w:color w:val="auto"/>
              </w:rPr>
            </w:pPr>
            <w:r>
              <w:rPr>
                <w:rFonts w:ascii="Arial" w:cs="Arial" w:eastAsia="Arial" w:hAnsi="Arial"/>
                <w:sz w:val="16"/>
                <w:szCs w:val="16"/>
                <w:color w:val="auto"/>
              </w:rPr>
              <w:t>Unrealized loss on cash flow hedge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96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6"/>
                <w:szCs w:val="16"/>
                <w:color w:val="auto"/>
              </w:rPr>
              <w:t>Tax (expense) benefit</w:t>
            </w:r>
          </w:p>
        </w:tc>
        <w:tc>
          <w:tcPr>
            <w:tcW w:w="180" w:type="dxa"/>
            <w:vAlign w:val="bottom"/>
            <w:tcBorders>
              <w:bottom w:val="single" w:sz="8" w:color="auto"/>
            </w:tcBorders>
            <w:shd w:val="clear" w:color="auto" w:fill="D1EDF5"/>
          </w:tcPr>
          <w:p>
            <w:pPr>
              <w:spacing w:after="0"/>
              <w:rPr>
                <w:sz w:val="19"/>
                <w:szCs w:val="19"/>
                <w:color w:val="auto"/>
              </w:rPr>
            </w:pPr>
          </w:p>
        </w:tc>
        <w:tc>
          <w:tcPr>
            <w:tcW w:w="12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(4,844)</w:t>
            </w:r>
          </w:p>
        </w:tc>
        <w:tc>
          <w:tcPr>
            <w:tcW w:w="80" w:type="dxa"/>
            <w:vAlign w:val="bottom"/>
            <w:tcBorders>
              <w:bottom w:val="single" w:sz="8" w:color="D1EDF5"/>
            </w:tcBorders>
            <w:shd w:val="clear" w:color="auto" w:fill="D1EDF5"/>
          </w:tcPr>
          <w:p>
            <w:pPr>
              <w:spacing w:after="0"/>
              <w:rPr>
                <w:sz w:val="19"/>
                <w:szCs w:val="19"/>
                <w:color w:val="auto"/>
              </w:rPr>
            </w:pPr>
          </w:p>
        </w:tc>
        <w:tc>
          <w:tcPr>
            <w:tcW w:w="300" w:type="dxa"/>
            <w:vAlign w:val="bottom"/>
            <w:tcBorders>
              <w:bottom w:val="single" w:sz="8" w:color="auto"/>
            </w:tcBorders>
            <w:shd w:val="clear" w:color="auto" w:fill="D1EDF5"/>
          </w:tcPr>
          <w:p>
            <w:pPr>
              <w:spacing w:after="0"/>
              <w:rPr>
                <w:sz w:val="19"/>
                <w:szCs w:val="19"/>
                <w:color w:val="auto"/>
              </w:rPr>
            </w:pP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89</w:t>
            </w:r>
          </w:p>
        </w:tc>
      </w:tr>
      <w:tr>
        <w:trPr>
          <w:trHeight w:val="181"/>
        </w:trPr>
        <w:tc>
          <w:tcPr>
            <w:tcW w:w="7960" w:type="dxa"/>
            <w:vAlign w:val="bottom"/>
            <w:tcBorders>
              <w:bottom w:val="single" w:sz="8" w:color="D1EDF5"/>
            </w:tcBorders>
          </w:tcPr>
          <w:p>
            <w:pPr>
              <w:spacing w:after="0" w:line="181" w:lineRule="exact"/>
              <w:rPr>
                <w:sz w:val="20"/>
                <w:szCs w:val="20"/>
                <w:color w:val="auto"/>
              </w:rPr>
            </w:pPr>
            <w:r>
              <w:rPr>
                <w:rFonts w:ascii="Arial" w:cs="Arial" w:eastAsia="Arial" w:hAnsi="Arial"/>
                <w:sz w:val="16"/>
                <w:szCs w:val="16"/>
                <w:color w:val="auto"/>
              </w:rPr>
              <w:t>Total other comprehensive income (loss), net of tax</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14,269</w:t>
            </w:r>
          </w:p>
        </w:tc>
        <w:tc>
          <w:tcPr>
            <w:tcW w:w="80" w:type="dxa"/>
            <w:vAlign w:val="bottom"/>
            <w:tcBorders>
              <w:bottom w:val="single" w:sz="8" w:color="D1EDF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(263)</w:t>
            </w:r>
          </w:p>
        </w:tc>
      </w:tr>
      <w:tr>
        <w:trPr>
          <w:trHeight w:val="230"/>
        </w:trPr>
        <w:tc>
          <w:tcPr>
            <w:tcW w:w="79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40,369</w:t>
            </w:r>
          </w:p>
        </w:tc>
        <w:tc>
          <w:tcPr>
            <w:tcW w:w="80" w:type="dxa"/>
            <w:vAlign w:val="bottom"/>
            <w:tcBorders>
              <w:bottom w:val="single" w:sz="8" w:color="D1EDF5"/>
            </w:tcBorders>
            <w:shd w:val="clear" w:color="auto" w:fill="D1EDF5"/>
          </w:tcPr>
          <w:p>
            <w:pPr>
              <w:spacing w:after="0"/>
              <w:rPr>
                <w:sz w:val="20"/>
                <w:szCs w:val="20"/>
                <w:color w:val="auto"/>
              </w:rPr>
            </w:pPr>
          </w:p>
        </w:tc>
        <w:tc>
          <w:tcPr>
            <w:tcW w:w="300" w:type="dxa"/>
            <w:vAlign w:val="bottom"/>
            <w:tcBorders>
              <w:bottom w:val="single" w:sz="8" w:color="auto"/>
            </w:tcBorders>
            <w:shd w:val="clear" w:color="auto" w:fill="D1EDF5"/>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24,411</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D248E"/>
        </w:rPr>
        <w:t>Table of Contents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USCB FINANCIAL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20" w:type="dxa"/>
            <w:vAlign w:val="bottom"/>
          </w:tcPr>
          <w:p>
            <w:pPr>
              <w:spacing w:after="0"/>
              <w:rPr>
                <w:sz w:val="13"/>
                <w:szCs w:val="13"/>
                <w:color w:val="auto"/>
              </w:rPr>
            </w:pPr>
          </w:p>
        </w:tc>
        <w:tc>
          <w:tcPr>
            <w:tcW w:w="2200" w:type="dxa"/>
            <w:vAlign w:val="bottom"/>
            <w:gridSpan w:val="5"/>
          </w:tcPr>
          <w:p>
            <w:pPr>
              <w:ind w:left="640"/>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rPr>
              <w:t>Additional Paid-in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8"/>
              <w:spacing w:after="0"/>
              <w:rPr>
                <w:sz w:val="20"/>
                <w:szCs w:val="20"/>
                <w:color w:val="auto"/>
              </w:rPr>
            </w:pPr>
            <w:r>
              <w:rPr>
                <w:rFonts w:ascii="Arial" w:cs="Arial" w:eastAsia="Arial" w:hAnsi="Arial"/>
                <w:sz w:val="12"/>
                <w:szCs w:val="12"/>
                <w:b w:val="1"/>
                <w:bCs w:val="1"/>
                <w:color w:val="auto"/>
                <w:w w:val="99"/>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1"/>
        </w:trPr>
        <w:tc>
          <w:tcPr>
            <w:tcW w:w="4220" w:type="dxa"/>
            <w:vAlign w:val="bottom"/>
          </w:tcPr>
          <w:p>
            <w:pPr>
              <w:spacing w:after="0"/>
              <w:rPr>
                <w:sz w:val="12"/>
                <w:szCs w:val="12"/>
                <w:color w:val="auto"/>
              </w:rPr>
            </w:pPr>
          </w:p>
        </w:tc>
        <w:tc>
          <w:tcPr>
            <w:tcW w:w="100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Par Value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8"/>
              <w:spacing w:after="0"/>
              <w:rPr>
                <w:sz w:val="20"/>
                <w:szCs w:val="20"/>
                <w:color w:val="auto"/>
              </w:rPr>
            </w:pPr>
            <w:r>
              <w:rPr>
                <w:rFonts w:ascii="Arial" w:cs="Arial" w:eastAsia="Arial" w:hAnsi="Arial"/>
                <w:sz w:val="12"/>
                <w:szCs w:val="12"/>
                <w:b w:val="1"/>
                <w:bCs w:val="1"/>
                <w:color w:val="auto"/>
              </w:rPr>
              <w:t>Capital 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2"/>
                <w:szCs w:val="12"/>
                <w:color w:val="auto"/>
              </w:rPr>
            </w:pPr>
          </w:p>
        </w:tc>
        <w:tc>
          <w:tcPr>
            <w:tcW w:w="1040" w:type="dxa"/>
            <w:vAlign w:val="bottom"/>
          </w:tcPr>
          <w:p>
            <w:pPr>
              <w:jc w:val="center"/>
              <w:ind w:right="18"/>
              <w:spacing w:after="0"/>
              <w:rPr>
                <w:sz w:val="20"/>
                <w:szCs w:val="20"/>
                <w:color w:val="auto"/>
              </w:rPr>
            </w:pPr>
            <w:r>
              <w:rPr>
                <w:rFonts w:ascii="Arial" w:cs="Arial" w:eastAsia="Arial" w:hAnsi="Arial"/>
                <w:sz w:val="12"/>
                <w:szCs w:val="12"/>
                <w:b w:val="1"/>
                <w:bCs w:val="1"/>
                <w:color w:val="auto"/>
              </w:rPr>
              <w:t>Comprehensive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38"/>
              <w:spacing w:after="0"/>
              <w:rPr>
                <w:sz w:val="20"/>
                <w:szCs w:val="20"/>
                <w:color w:val="auto"/>
              </w:rPr>
            </w:pPr>
            <w:r>
              <w:rPr>
                <w:rFonts w:ascii="Arial" w:cs="Arial" w:eastAsia="Arial" w:hAnsi="Arial"/>
                <w:sz w:val="12"/>
                <w:szCs w:val="12"/>
                <w:b w:val="1"/>
                <w:bCs w:val="1"/>
                <w:color w:val="auto"/>
              </w:rPr>
              <w:t>Common Stock</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3"/>
                <w:szCs w:val="13"/>
                <w:color w:val="auto"/>
              </w:rPr>
            </w:pPr>
          </w:p>
        </w:tc>
        <w:tc>
          <w:tcPr>
            <w:tcW w:w="1040" w:type="dxa"/>
            <w:vAlign w:val="bottom"/>
          </w:tcPr>
          <w:p>
            <w:pPr>
              <w:jc w:val="center"/>
              <w:ind w:right="18"/>
              <w:spacing w:after="0"/>
              <w:rPr>
                <w:sz w:val="20"/>
                <w:szCs w:val="20"/>
                <w:color w:val="auto"/>
              </w:rPr>
            </w:pPr>
            <w:r>
              <w:rPr>
                <w:rFonts w:ascii="Arial" w:cs="Arial" w:eastAsia="Arial" w:hAnsi="Arial"/>
                <w:sz w:val="12"/>
                <w:szCs w:val="12"/>
                <w:b w:val="1"/>
                <w:bCs w:val="1"/>
                <w:color w:val="auto"/>
                <w:w w:val="99"/>
              </w:rPr>
              <w:t>Loss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8"/>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2"/>
        </w:trPr>
        <w:tc>
          <w:tcPr>
            <w:tcW w:w="422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2"/>
                <w:szCs w:val="12"/>
                <w:color w:val="auto"/>
              </w:rPr>
              <w:t>Balance at January 1, 2025</w:t>
            </w:r>
          </w:p>
        </w:tc>
        <w:tc>
          <w:tcPr>
            <w:tcW w:w="10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19,924,632</w:t>
            </w:r>
          </w:p>
        </w:tc>
        <w:tc>
          <w:tcPr>
            <w:tcW w:w="60" w:type="dxa"/>
            <w:vAlign w:val="bottom"/>
            <w:shd w:val="clear" w:color="auto" w:fill="D1EDF5"/>
          </w:tcPr>
          <w:p>
            <w:pPr>
              <w:spacing w:after="0"/>
              <w:rPr>
                <w:sz w:val="14"/>
                <w:szCs w:val="14"/>
                <w:color w:val="auto"/>
              </w:rPr>
            </w:pPr>
          </w:p>
        </w:tc>
        <w:tc>
          <w:tcPr>
            <w:tcW w:w="160" w:type="dxa"/>
            <w:vAlign w:val="bottom"/>
            <w:tcBorders>
              <w:top w:val="single" w:sz="8" w:color="auto"/>
            </w:tcBorders>
            <w:shd w:val="clear" w:color="auto" w:fill="D1EDF5"/>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19,925</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307,810</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120" w:type="dxa"/>
            <w:vAlign w:val="bottom"/>
            <w:tcBorders>
              <w:top w:val="single" w:sz="8" w:color="auto"/>
            </w:tcBorders>
            <w:shd w:val="clear" w:color="auto" w:fill="D1EDF5"/>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(67,813)</w:t>
            </w:r>
          </w:p>
        </w:tc>
        <w:tc>
          <w:tcPr>
            <w:tcW w:w="60" w:type="dxa"/>
            <w:vAlign w:val="bottom"/>
            <w:shd w:val="clear" w:color="auto" w:fill="D1EDF5"/>
          </w:tcPr>
          <w:p>
            <w:pPr>
              <w:spacing w:after="0"/>
              <w:rPr>
                <w:sz w:val="14"/>
                <w:szCs w:val="14"/>
                <w:color w:val="auto"/>
              </w:rPr>
            </w:pPr>
          </w:p>
        </w:tc>
        <w:tc>
          <w:tcPr>
            <w:tcW w:w="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(44,534)</w:t>
            </w:r>
          </w:p>
        </w:tc>
        <w:tc>
          <w:tcPr>
            <w:tcW w:w="60" w:type="dxa"/>
            <w:vAlign w:val="bottom"/>
            <w:shd w:val="clear" w:color="auto" w:fill="D1EDF5"/>
          </w:tcPr>
          <w:p>
            <w:pPr>
              <w:spacing w:after="0"/>
              <w:rPr>
                <w:sz w:val="14"/>
                <w:szCs w:val="14"/>
                <w:color w:val="auto"/>
              </w:rPr>
            </w:pPr>
          </w:p>
        </w:tc>
        <w:tc>
          <w:tcPr>
            <w:tcW w:w="120" w:type="dxa"/>
            <w:vAlign w:val="bottom"/>
            <w:tcBorders>
              <w:top w:val="single" w:sz="8" w:color="auto"/>
            </w:tcBorders>
            <w:shd w:val="clear" w:color="auto" w:fill="D1EDF5"/>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215,388</w:t>
            </w:r>
          </w:p>
        </w:tc>
        <w:tc>
          <w:tcPr>
            <w:tcW w:w="0" w:type="dxa"/>
            <w:vAlign w:val="bottom"/>
          </w:tcPr>
          <w:p>
            <w:pPr>
              <w:spacing w:after="0"/>
              <w:rPr>
                <w:sz w:val="1"/>
                <w:szCs w:val="1"/>
                <w:color w:val="auto"/>
              </w:rPr>
            </w:pPr>
          </w:p>
        </w:tc>
      </w:tr>
      <w:tr>
        <w:trPr>
          <w:trHeight w:val="174"/>
        </w:trPr>
        <w:tc>
          <w:tcPr>
            <w:tcW w:w="422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26,100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74"/>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Other comprehensive income</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5"/>
                <w:szCs w:val="15"/>
                <w:color w:val="auto"/>
              </w:rPr>
            </w:pPr>
          </w:p>
        </w:tc>
        <w:tc>
          <w:tcPr>
            <w:tcW w:w="160" w:type="dxa"/>
            <w:vAlign w:val="bottom"/>
            <w:shd w:val="clear" w:color="auto" w:fill="D1EDF5"/>
          </w:tcPr>
          <w:p>
            <w:pPr>
              <w:spacing w:after="0"/>
              <w:rPr>
                <w:sz w:val="15"/>
                <w:szCs w:val="15"/>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14,269</w:t>
            </w:r>
          </w:p>
        </w:tc>
        <w:tc>
          <w:tcPr>
            <w:tcW w:w="6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14,269</w:t>
            </w:r>
          </w:p>
        </w:tc>
        <w:tc>
          <w:tcPr>
            <w:tcW w:w="0" w:type="dxa"/>
            <w:vAlign w:val="bottom"/>
          </w:tcPr>
          <w:p>
            <w:pPr>
              <w:spacing w:after="0"/>
              <w:rPr>
                <w:sz w:val="1"/>
                <w:szCs w:val="1"/>
                <w:color w:val="auto"/>
              </w:rPr>
            </w:pPr>
          </w:p>
        </w:tc>
      </w:tr>
      <w:tr>
        <w:trPr>
          <w:trHeight w:val="174"/>
        </w:trPr>
        <w:tc>
          <w:tcPr>
            <w:tcW w:w="4220" w:type="dxa"/>
            <w:vAlign w:val="bottom"/>
          </w:tcPr>
          <w:p>
            <w:pPr>
              <w:ind w:left="100"/>
              <w:spacing w:after="0"/>
              <w:rPr>
                <w:sz w:val="20"/>
                <w:szCs w:val="20"/>
                <w:color w:val="auto"/>
              </w:rPr>
            </w:pPr>
            <w:r>
              <w:rPr>
                <w:rFonts w:ascii="Arial" w:cs="Arial" w:eastAsia="Arial" w:hAnsi="Arial"/>
                <w:sz w:val="12"/>
                <w:szCs w:val="12"/>
                <w:color w:val="auto"/>
              </w:rPr>
              <w:t>Repurchase of Class A common stock</w:t>
            </w:r>
          </w:p>
        </w:tc>
        <w:tc>
          <w:tcPr>
            <w:tcW w:w="1000" w:type="dxa"/>
            <w:vAlign w:val="bottom"/>
          </w:tcPr>
          <w:p>
            <w:pPr>
              <w:jc w:val="right"/>
              <w:spacing w:after="0"/>
              <w:rPr>
                <w:sz w:val="20"/>
                <w:szCs w:val="20"/>
                <w:color w:val="auto"/>
              </w:rPr>
            </w:pPr>
            <w:r>
              <w:rPr>
                <w:rFonts w:ascii="Arial" w:cs="Arial" w:eastAsia="Arial" w:hAnsi="Arial"/>
                <w:sz w:val="12"/>
                <w:szCs w:val="12"/>
                <w:color w:val="auto"/>
              </w:rPr>
              <w:t>(2,009,671)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(2,010)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(32,544)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(34,554)</w:t>
            </w:r>
          </w:p>
        </w:tc>
        <w:tc>
          <w:tcPr>
            <w:tcW w:w="0" w:type="dxa"/>
            <w:vAlign w:val="bottom"/>
          </w:tcPr>
          <w:p>
            <w:pPr>
              <w:spacing w:after="0"/>
              <w:rPr>
                <w:sz w:val="1"/>
                <w:szCs w:val="1"/>
                <w:color w:val="auto"/>
              </w:rPr>
            </w:pPr>
          </w:p>
        </w:tc>
      </w:tr>
      <w:tr>
        <w:trPr>
          <w:trHeight w:val="172"/>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Restricted stock issued</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124,424</w:t>
            </w:r>
          </w:p>
        </w:tc>
        <w:tc>
          <w:tcPr>
            <w:tcW w:w="60" w:type="dxa"/>
            <w:vAlign w:val="bottom"/>
            <w:shd w:val="clear" w:color="auto" w:fill="D1EDF5"/>
          </w:tcPr>
          <w:p>
            <w:pPr>
              <w:spacing w:after="0"/>
              <w:rPr>
                <w:sz w:val="14"/>
                <w:szCs w:val="14"/>
                <w:color w:val="auto"/>
              </w:rPr>
            </w:pPr>
          </w:p>
        </w:tc>
        <w:tc>
          <w:tcPr>
            <w:tcW w:w="160" w:type="dxa"/>
            <w:vAlign w:val="bottom"/>
            <w:shd w:val="clear" w:color="auto" w:fill="D1EDF5"/>
          </w:tcPr>
          <w:p>
            <w:pPr>
              <w:spacing w:after="0"/>
              <w:rPr>
                <w:sz w:val="14"/>
                <w:szCs w:val="14"/>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124</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80" w:type="dxa"/>
            <w:vAlign w:val="bottom"/>
            <w:shd w:val="clear" w:color="auto" w:fill="D1EDF5"/>
          </w:tcPr>
          <w:p>
            <w:pPr>
              <w:spacing w:after="0"/>
              <w:rPr>
                <w:sz w:val="14"/>
                <w:szCs w:val="14"/>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(124)</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120" w:type="dxa"/>
            <w:vAlign w:val="bottom"/>
            <w:shd w:val="clear" w:color="auto" w:fill="D1EDF5"/>
          </w:tcPr>
          <w:p>
            <w:pPr>
              <w:spacing w:after="0"/>
              <w:rPr>
                <w:sz w:val="14"/>
                <w:szCs w:val="14"/>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80" w:type="dxa"/>
            <w:vAlign w:val="bottom"/>
            <w:shd w:val="clear" w:color="auto" w:fill="D1EDF5"/>
          </w:tcPr>
          <w:p>
            <w:pPr>
              <w:spacing w:after="0"/>
              <w:rPr>
                <w:sz w:val="14"/>
                <w:szCs w:val="14"/>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120" w:type="dxa"/>
            <w:vAlign w:val="bottom"/>
            <w:shd w:val="clear" w:color="auto" w:fill="D1EDF5"/>
          </w:tcPr>
          <w:p>
            <w:pPr>
              <w:spacing w:after="0"/>
              <w:rPr>
                <w:sz w:val="14"/>
                <w:szCs w:val="14"/>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4220" w:type="dxa"/>
            <w:vAlign w:val="bottom"/>
          </w:tcPr>
          <w:p>
            <w:pPr>
              <w:ind w:left="100"/>
              <w:spacing w:after="0"/>
              <w:rPr>
                <w:sz w:val="20"/>
                <w:szCs w:val="20"/>
                <w:color w:val="auto"/>
              </w:rPr>
            </w:pPr>
            <w:r>
              <w:rPr>
                <w:rFonts w:ascii="Arial" w:cs="Arial" w:eastAsia="Arial" w:hAnsi="Arial"/>
                <w:sz w:val="12"/>
                <w:szCs w:val="12"/>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2"/>
                <w:szCs w:val="12"/>
                <w:color w:val="auto"/>
              </w:rPr>
              <w:t>98,500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705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804</w:t>
            </w:r>
          </w:p>
        </w:tc>
        <w:tc>
          <w:tcPr>
            <w:tcW w:w="0" w:type="dxa"/>
            <w:vAlign w:val="bottom"/>
          </w:tcPr>
          <w:p>
            <w:pPr>
              <w:spacing w:after="0"/>
              <w:rPr>
                <w:sz w:val="1"/>
                <w:szCs w:val="1"/>
                <w:color w:val="auto"/>
              </w:rPr>
            </w:pPr>
          </w:p>
        </w:tc>
      </w:tr>
      <w:tr>
        <w:trPr>
          <w:trHeight w:val="174"/>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Dividend payment</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5"/>
                <w:szCs w:val="15"/>
                <w:color w:val="auto"/>
              </w:rPr>
            </w:pPr>
          </w:p>
        </w:tc>
        <w:tc>
          <w:tcPr>
            <w:tcW w:w="160" w:type="dxa"/>
            <w:vAlign w:val="bottom"/>
            <w:shd w:val="clear" w:color="auto" w:fill="D1EDF5"/>
          </w:tcPr>
          <w:p>
            <w:pPr>
              <w:spacing w:after="0"/>
              <w:rPr>
                <w:sz w:val="15"/>
                <w:szCs w:val="15"/>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(7,829)</w:t>
            </w:r>
          </w:p>
        </w:tc>
        <w:tc>
          <w:tcPr>
            <w:tcW w:w="6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(7,829)</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D1EDF5"/>
            </w:tcBorders>
          </w:tcPr>
          <w:p>
            <w:pPr>
              <w:ind w:left="100"/>
              <w:spacing w:after="0"/>
              <w:rPr>
                <w:sz w:val="20"/>
                <w:szCs w:val="20"/>
                <w:color w:val="auto"/>
              </w:rPr>
            </w:pPr>
            <w:r>
              <w:rPr>
                <w:rFonts w:ascii="Arial" w:cs="Arial" w:eastAsia="Arial" w:hAnsi="Arial"/>
                <w:sz w:val="12"/>
                <w:szCs w:val="12"/>
                <w:color w:val="auto"/>
              </w:rPr>
              <w:t>Stock-based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1ED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D1EDF5"/>
            </w:tcBorders>
          </w:tcPr>
          <w:p>
            <w:pPr>
              <w:spacing w:after="0"/>
              <w:rPr>
                <w:sz w:val="15"/>
                <w:szCs w:val="15"/>
                <w:color w:val="auto"/>
              </w:rPr>
            </w:pPr>
          </w:p>
        </w:tc>
        <w:tc>
          <w:tcPr>
            <w:tcW w:w="40" w:type="dxa"/>
            <w:vAlign w:val="bottom"/>
            <w:tcBorders>
              <w:bottom w:val="single" w:sz="8" w:color="D1ED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3,005</w:t>
            </w:r>
          </w:p>
        </w:tc>
        <w:tc>
          <w:tcPr>
            <w:tcW w:w="20" w:type="dxa"/>
            <w:vAlign w:val="bottom"/>
            <w:tcBorders>
              <w:bottom w:val="single" w:sz="8" w:color="D1EDF5"/>
            </w:tcBorders>
          </w:tcPr>
          <w:p>
            <w:pPr>
              <w:spacing w:after="0"/>
              <w:rPr>
                <w:sz w:val="15"/>
                <w:szCs w:val="15"/>
                <w:color w:val="auto"/>
              </w:rPr>
            </w:pPr>
          </w:p>
        </w:tc>
        <w:tc>
          <w:tcPr>
            <w:tcW w:w="40" w:type="dxa"/>
            <w:vAlign w:val="bottom"/>
            <w:tcBorders>
              <w:bottom w:val="single" w:sz="8" w:color="D1ED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1ED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1EDF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3,005</w:t>
            </w:r>
          </w:p>
        </w:tc>
        <w:tc>
          <w:tcPr>
            <w:tcW w:w="0" w:type="dxa"/>
            <w:vAlign w:val="bottom"/>
          </w:tcPr>
          <w:p>
            <w:pPr>
              <w:spacing w:after="0"/>
              <w:rPr>
                <w:sz w:val="1"/>
                <w:szCs w:val="1"/>
                <w:color w:val="auto"/>
              </w:rPr>
            </w:pPr>
          </w:p>
        </w:tc>
      </w:tr>
      <w:tr>
        <w:trPr>
          <w:trHeight w:val="173"/>
        </w:trPr>
        <w:tc>
          <w:tcPr>
            <w:tcW w:w="4220" w:type="dxa"/>
            <w:vAlign w:val="bottom"/>
            <w:shd w:val="clear" w:color="auto" w:fill="D1EDF5"/>
          </w:tcPr>
          <w:p>
            <w:pPr>
              <w:spacing w:after="0"/>
              <w:rPr>
                <w:sz w:val="20"/>
                <w:szCs w:val="20"/>
                <w:color w:val="auto"/>
              </w:rPr>
            </w:pPr>
            <w:r>
              <w:rPr>
                <w:rFonts w:ascii="Arial" w:cs="Arial" w:eastAsia="Arial" w:hAnsi="Arial"/>
                <w:sz w:val="12"/>
                <w:szCs w:val="12"/>
                <w:color w:val="auto"/>
              </w:rPr>
              <w:t>Balance at December 31, 2025</w:t>
            </w: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18,137,885</w:t>
            </w:r>
          </w:p>
        </w:tc>
        <w:tc>
          <w:tcPr>
            <w:tcW w:w="60" w:type="dxa"/>
            <w:vAlign w:val="bottom"/>
            <w:shd w:val="clear" w:color="auto" w:fill="D1EDF5"/>
          </w:tcPr>
          <w:p>
            <w:pPr>
              <w:spacing w:after="0"/>
              <w:rPr>
                <w:sz w:val="15"/>
                <w:szCs w:val="15"/>
                <w:color w:val="auto"/>
              </w:rPr>
            </w:pPr>
          </w:p>
        </w:tc>
        <w:tc>
          <w:tcPr>
            <w:tcW w:w="160" w:type="dxa"/>
            <w:vAlign w:val="bottom"/>
            <w:tcBorders>
              <w:bottom w:val="single" w:sz="8" w:color="auto"/>
            </w:tcBorders>
            <w:shd w:val="clear" w:color="auto" w:fill="D1EDF5"/>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18,138</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278,852</w:t>
            </w:r>
          </w:p>
        </w:tc>
        <w:tc>
          <w:tcPr>
            <w:tcW w:w="20" w:type="dxa"/>
            <w:vAlign w:val="bottom"/>
            <w:tcBorders>
              <w:bottom w:val="single" w:sz="8" w:color="auto"/>
            </w:tcBorders>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120" w:type="dxa"/>
            <w:vAlign w:val="bottom"/>
            <w:tcBorders>
              <w:bottom w:val="single" w:sz="8" w:color="auto"/>
            </w:tcBorders>
            <w:shd w:val="clear" w:color="auto" w:fill="D1EDF5"/>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(49,542)</w:t>
            </w:r>
          </w:p>
        </w:tc>
        <w:tc>
          <w:tcPr>
            <w:tcW w:w="60" w:type="dxa"/>
            <w:vAlign w:val="bottom"/>
            <w:shd w:val="clear" w:color="auto" w:fill="D1EDF5"/>
          </w:tcPr>
          <w:p>
            <w:pPr>
              <w:spacing w:after="0"/>
              <w:rPr>
                <w:sz w:val="15"/>
                <w:szCs w:val="15"/>
                <w:color w:val="auto"/>
              </w:rPr>
            </w:pPr>
          </w:p>
        </w:tc>
        <w:tc>
          <w:tcPr>
            <w:tcW w:w="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(30,265)</w:t>
            </w:r>
          </w:p>
        </w:tc>
        <w:tc>
          <w:tcPr>
            <w:tcW w:w="60" w:type="dxa"/>
            <w:vAlign w:val="bottom"/>
            <w:shd w:val="clear" w:color="auto" w:fill="D1EDF5"/>
          </w:tcPr>
          <w:p>
            <w:pPr>
              <w:spacing w:after="0"/>
              <w:rPr>
                <w:sz w:val="15"/>
                <w:szCs w:val="15"/>
                <w:color w:val="auto"/>
              </w:rPr>
            </w:pPr>
          </w:p>
        </w:tc>
        <w:tc>
          <w:tcPr>
            <w:tcW w:w="120" w:type="dxa"/>
            <w:vAlign w:val="bottom"/>
            <w:tcBorders>
              <w:bottom w:val="single" w:sz="8" w:color="auto"/>
            </w:tcBorders>
            <w:shd w:val="clear" w:color="auto" w:fill="D1EDF5"/>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217,183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0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20" w:type="dxa"/>
            <w:vAlign w:val="bottom"/>
            <w:shd w:val="clear" w:color="auto" w:fill="D1EDF5"/>
          </w:tcPr>
          <w:p>
            <w:pPr>
              <w:spacing w:after="0"/>
              <w:rPr>
                <w:sz w:val="20"/>
                <w:szCs w:val="20"/>
                <w:color w:val="auto"/>
              </w:rPr>
            </w:pPr>
            <w:r>
              <w:rPr>
                <w:rFonts w:ascii="Arial" w:cs="Arial" w:eastAsia="Arial" w:hAnsi="Arial"/>
                <w:sz w:val="12"/>
                <w:szCs w:val="12"/>
                <w:color w:val="auto"/>
              </w:rPr>
              <w:t>Balance at January 1, 2024</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19,575,435</w:t>
            </w:r>
          </w:p>
        </w:tc>
        <w:tc>
          <w:tcPr>
            <w:tcW w:w="60" w:type="dxa"/>
            <w:vAlign w:val="bottom"/>
            <w:shd w:val="clear" w:color="auto" w:fill="D1EDF5"/>
          </w:tcPr>
          <w:p>
            <w:pPr>
              <w:spacing w:after="0"/>
              <w:rPr>
                <w:sz w:val="16"/>
                <w:szCs w:val="16"/>
                <w:color w:val="auto"/>
              </w:rPr>
            </w:pPr>
          </w:p>
        </w:tc>
        <w:tc>
          <w:tcPr>
            <w:tcW w:w="160" w:type="dxa"/>
            <w:vAlign w:val="bottom"/>
            <w:shd w:val="clear" w:color="auto" w:fill="D1EDF5"/>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19,575</w:t>
            </w:r>
          </w:p>
        </w:tc>
        <w:tc>
          <w:tcPr>
            <w:tcW w:w="20" w:type="dxa"/>
            <w:vAlign w:val="bottom"/>
            <w:shd w:val="clear" w:color="auto" w:fill="D1EDF5"/>
          </w:tcPr>
          <w:p>
            <w:pPr>
              <w:spacing w:after="0"/>
              <w:rPr>
                <w:sz w:val="16"/>
                <w:szCs w:val="16"/>
                <w:color w:val="auto"/>
              </w:rPr>
            </w:pPr>
          </w:p>
        </w:tc>
        <w:tc>
          <w:tcPr>
            <w:tcW w:w="40" w:type="dxa"/>
            <w:vAlign w:val="bottom"/>
            <w:shd w:val="clear" w:color="auto" w:fill="D1EDF5"/>
          </w:tcPr>
          <w:p>
            <w:pPr>
              <w:spacing w:after="0"/>
              <w:rPr>
                <w:sz w:val="16"/>
                <w:szCs w:val="16"/>
                <w:color w:val="auto"/>
              </w:rPr>
            </w:pPr>
          </w:p>
        </w:tc>
        <w:tc>
          <w:tcPr>
            <w:tcW w:w="80" w:type="dxa"/>
            <w:vAlign w:val="bottom"/>
            <w:shd w:val="clear" w:color="auto" w:fill="D1EDF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305,212</w:t>
            </w:r>
          </w:p>
        </w:tc>
        <w:tc>
          <w:tcPr>
            <w:tcW w:w="60" w:type="dxa"/>
            <w:vAlign w:val="bottom"/>
            <w:gridSpan w:val="2"/>
            <w:shd w:val="clear" w:color="auto" w:fill="D1EDF5"/>
          </w:tcPr>
          <w:p>
            <w:pPr>
              <w:spacing w:after="0"/>
              <w:rPr>
                <w:sz w:val="16"/>
                <w:szCs w:val="16"/>
                <w:color w:val="auto"/>
              </w:rPr>
            </w:pPr>
          </w:p>
        </w:tc>
        <w:tc>
          <w:tcPr>
            <w:tcW w:w="120" w:type="dxa"/>
            <w:vAlign w:val="bottom"/>
            <w:shd w:val="clear" w:color="auto" w:fill="D1EDF5"/>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(88,548)</w:t>
            </w:r>
          </w:p>
        </w:tc>
        <w:tc>
          <w:tcPr>
            <w:tcW w:w="60" w:type="dxa"/>
            <w:vAlign w:val="bottom"/>
            <w:shd w:val="clear" w:color="auto" w:fill="D1EDF5"/>
          </w:tcPr>
          <w:p>
            <w:pPr>
              <w:spacing w:after="0"/>
              <w:rPr>
                <w:sz w:val="16"/>
                <w:szCs w:val="16"/>
                <w:color w:val="auto"/>
              </w:rPr>
            </w:pPr>
          </w:p>
        </w:tc>
        <w:tc>
          <w:tcPr>
            <w:tcW w:w="80" w:type="dxa"/>
            <w:vAlign w:val="bottom"/>
            <w:shd w:val="clear" w:color="auto" w:fill="D1EDF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(44,271)</w:t>
            </w:r>
          </w:p>
        </w:tc>
        <w:tc>
          <w:tcPr>
            <w:tcW w:w="60" w:type="dxa"/>
            <w:vAlign w:val="bottom"/>
            <w:shd w:val="clear" w:color="auto" w:fill="D1EDF5"/>
          </w:tcPr>
          <w:p>
            <w:pPr>
              <w:spacing w:after="0"/>
              <w:rPr>
                <w:sz w:val="16"/>
                <w:szCs w:val="16"/>
                <w:color w:val="auto"/>
              </w:rPr>
            </w:pPr>
          </w:p>
        </w:tc>
        <w:tc>
          <w:tcPr>
            <w:tcW w:w="120" w:type="dxa"/>
            <w:vAlign w:val="bottom"/>
            <w:shd w:val="clear" w:color="auto" w:fill="D1EDF5"/>
          </w:tcPr>
          <w:p>
            <w:pPr>
              <w:jc w:val="right"/>
              <w:ind w:right="8"/>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191,968</w:t>
            </w:r>
          </w:p>
        </w:tc>
        <w:tc>
          <w:tcPr>
            <w:tcW w:w="0" w:type="dxa"/>
            <w:vAlign w:val="bottom"/>
          </w:tcPr>
          <w:p>
            <w:pPr>
              <w:spacing w:after="0"/>
              <w:rPr>
                <w:sz w:val="1"/>
                <w:szCs w:val="1"/>
                <w:color w:val="auto"/>
              </w:rPr>
            </w:pPr>
          </w:p>
        </w:tc>
      </w:tr>
      <w:tr>
        <w:trPr>
          <w:trHeight w:val="185"/>
        </w:trPr>
        <w:tc>
          <w:tcPr>
            <w:tcW w:w="422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24,674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24,674</w:t>
            </w:r>
          </w:p>
        </w:tc>
        <w:tc>
          <w:tcPr>
            <w:tcW w:w="0" w:type="dxa"/>
            <w:vAlign w:val="bottom"/>
          </w:tcPr>
          <w:p>
            <w:pPr>
              <w:spacing w:after="0"/>
              <w:rPr>
                <w:sz w:val="1"/>
                <w:szCs w:val="1"/>
                <w:color w:val="auto"/>
              </w:rPr>
            </w:pPr>
          </w:p>
        </w:tc>
      </w:tr>
      <w:tr>
        <w:trPr>
          <w:trHeight w:val="185"/>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Other comprehensive loss</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6"/>
                <w:szCs w:val="16"/>
                <w:color w:val="auto"/>
              </w:rPr>
            </w:pPr>
          </w:p>
        </w:tc>
        <w:tc>
          <w:tcPr>
            <w:tcW w:w="160" w:type="dxa"/>
            <w:vAlign w:val="bottom"/>
            <w:shd w:val="clear" w:color="auto" w:fill="D1EDF5"/>
          </w:tcPr>
          <w:p>
            <w:pPr>
              <w:spacing w:after="0"/>
              <w:rPr>
                <w:sz w:val="16"/>
                <w:szCs w:val="16"/>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6"/>
                <w:szCs w:val="16"/>
                <w:color w:val="auto"/>
              </w:rPr>
            </w:pPr>
          </w:p>
        </w:tc>
        <w:tc>
          <w:tcPr>
            <w:tcW w:w="4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6"/>
                <w:szCs w:val="16"/>
                <w:color w:val="auto"/>
              </w:rPr>
            </w:pPr>
          </w:p>
        </w:tc>
        <w:tc>
          <w:tcPr>
            <w:tcW w:w="40" w:type="dxa"/>
            <w:vAlign w:val="bottom"/>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(263)</w:t>
            </w:r>
          </w:p>
        </w:tc>
        <w:tc>
          <w:tcPr>
            <w:tcW w:w="60" w:type="dxa"/>
            <w:vAlign w:val="bottom"/>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185"/>
        </w:trPr>
        <w:tc>
          <w:tcPr>
            <w:tcW w:w="4220" w:type="dxa"/>
            <w:vAlign w:val="bottom"/>
          </w:tcPr>
          <w:p>
            <w:pPr>
              <w:ind w:left="100"/>
              <w:spacing w:after="0"/>
              <w:rPr>
                <w:sz w:val="20"/>
                <w:szCs w:val="20"/>
                <w:color w:val="auto"/>
              </w:rPr>
            </w:pPr>
            <w:r>
              <w:rPr>
                <w:rFonts w:ascii="Arial" w:cs="Arial" w:eastAsia="Arial" w:hAnsi="Arial"/>
                <w:sz w:val="12"/>
                <w:szCs w:val="12"/>
                <w:color w:val="auto"/>
              </w:rPr>
              <w:t>Repurchase of Class A common stock</w:t>
            </w:r>
          </w:p>
        </w:tc>
        <w:tc>
          <w:tcPr>
            <w:tcW w:w="1000" w:type="dxa"/>
            <w:vAlign w:val="bottom"/>
          </w:tcPr>
          <w:p>
            <w:pPr>
              <w:jc w:val="right"/>
              <w:spacing w:after="0"/>
              <w:rPr>
                <w:sz w:val="20"/>
                <w:szCs w:val="20"/>
                <w:color w:val="auto"/>
              </w:rPr>
            </w:pPr>
            <w:r>
              <w:rPr>
                <w:rFonts w:ascii="Arial" w:cs="Arial" w:eastAsia="Arial" w:hAnsi="Arial"/>
                <w:sz w:val="12"/>
                <w:szCs w:val="12"/>
                <w:color w:val="auto"/>
              </w:rPr>
              <w:t>(42,100)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(501)</w:t>
            </w:r>
          </w:p>
        </w:tc>
        <w:tc>
          <w:tcPr>
            <w:tcW w:w="0" w:type="dxa"/>
            <w:vAlign w:val="bottom"/>
          </w:tcPr>
          <w:p>
            <w:pPr>
              <w:spacing w:after="0"/>
              <w:rPr>
                <w:sz w:val="1"/>
                <w:szCs w:val="1"/>
                <w:color w:val="auto"/>
              </w:rPr>
            </w:pPr>
          </w:p>
        </w:tc>
      </w:tr>
      <w:tr>
        <w:trPr>
          <w:trHeight w:val="172"/>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Restricted stock issued</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277,922</w:t>
            </w:r>
          </w:p>
        </w:tc>
        <w:tc>
          <w:tcPr>
            <w:tcW w:w="60" w:type="dxa"/>
            <w:vAlign w:val="bottom"/>
            <w:shd w:val="clear" w:color="auto" w:fill="D1EDF5"/>
          </w:tcPr>
          <w:p>
            <w:pPr>
              <w:spacing w:after="0"/>
              <w:rPr>
                <w:sz w:val="14"/>
                <w:szCs w:val="14"/>
                <w:color w:val="auto"/>
              </w:rPr>
            </w:pPr>
          </w:p>
        </w:tc>
        <w:tc>
          <w:tcPr>
            <w:tcW w:w="160" w:type="dxa"/>
            <w:vAlign w:val="bottom"/>
            <w:shd w:val="clear" w:color="auto" w:fill="D1EDF5"/>
          </w:tcPr>
          <w:p>
            <w:pPr>
              <w:spacing w:after="0"/>
              <w:rPr>
                <w:sz w:val="14"/>
                <w:szCs w:val="14"/>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278</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80" w:type="dxa"/>
            <w:vAlign w:val="bottom"/>
            <w:shd w:val="clear" w:color="auto" w:fill="D1EDF5"/>
          </w:tcPr>
          <w:p>
            <w:pPr>
              <w:spacing w:after="0"/>
              <w:rPr>
                <w:sz w:val="14"/>
                <w:szCs w:val="14"/>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(278)</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120" w:type="dxa"/>
            <w:vAlign w:val="bottom"/>
            <w:shd w:val="clear" w:color="auto" w:fill="D1EDF5"/>
          </w:tcPr>
          <w:p>
            <w:pPr>
              <w:spacing w:after="0"/>
              <w:rPr>
                <w:sz w:val="14"/>
                <w:szCs w:val="14"/>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80" w:type="dxa"/>
            <w:vAlign w:val="bottom"/>
            <w:shd w:val="clear" w:color="auto" w:fill="D1EDF5"/>
          </w:tcPr>
          <w:p>
            <w:pPr>
              <w:spacing w:after="0"/>
              <w:rPr>
                <w:sz w:val="14"/>
                <w:szCs w:val="14"/>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120" w:type="dxa"/>
            <w:vAlign w:val="bottom"/>
            <w:shd w:val="clear" w:color="auto" w:fill="D1EDF5"/>
          </w:tcPr>
          <w:p>
            <w:pPr>
              <w:spacing w:after="0"/>
              <w:rPr>
                <w:sz w:val="14"/>
                <w:szCs w:val="14"/>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4220" w:type="dxa"/>
            <w:vAlign w:val="bottom"/>
          </w:tcPr>
          <w:p>
            <w:pPr>
              <w:ind w:left="100"/>
              <w:spacing w:after="0"/>
              <w:rPr>
                <w:sz w:val="20"/>
                <w:szCs w:val="20"/>
                <w:color w:val="auto"/>
              </w:rPr>
            </w:pPr>
            <w:r>
              <w:rPr>
                <w:rFonts w:ascii="Arial" w:cs="Arial" w:eastAsia="Arial" w:hAnsi="Arial"/>
                <w:sz w:val="12"/>
                <w:szCs w:val="12"/>
                <w:color w:val="auto"/>
              </w:rPr>
              <w:t>Restricted stock forfeiture</w:t>
            </w:r>
          </w:p>
        </w:tc>
        <w:tc>
          <w:tcPr>
            <w:tcW w:w="1000" w:type="dxa"/>
            <w:vAlign w:val="bottom"/>
          </w:tcPr>
          <w:p>
            <w:pPr>
              <w:jc w:val="right"/>
              <w:spacing w:after="0"/>
              <w:rPr>
                <w:sz w:val="20"/>
                <w:szCs w:val="20"/>
                <w:color w:val="auto"/>
              </w:rPr>
            </w:pPr>
            <w:r>
              <w:rPr>
                <w:rFonts w:ascii="Arial" w:cs="Arial" w:eastAsia="Arial" w:hAnsi="Arial"/>
                <w:sz w:val="12"/>
                <w:szCs w:val="12"/>
                <w:color w:val="auto"/>
              </w:rPr>
              <w:t>(8,625)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Exercise of stock options</w:t>
            </w: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122,000</w:t>
            </w:r>
          </w:p>
        </w:tc>
        <w:tc>
          <w:tcPr>
            <w:tcW w:w="60" w:type="dxa"/>
            <w:vAlign w:val="bottom"/>
            <w:shd w:val="clear" w:color="auto" w:fill="D1EDF5"/>
          </w:tcPr>
          <w:p>
            <w:pPr>
              <w:spacing w:after="0"/>
              <w:rPr>
                <w:sz w:val="15"/>
                <w:szCs w:val="15"/>
                <w:color w:val="auto"/>
              </w:rPr>
            </w:pPr>
          </w:p>
        </w:tc>
        <w:tc>
          <w:tcPr>
            <w:tcW w:w="160" w:type="dxa"/>
            <w:vAlign w:val="bottom"/>
            <w:shd w:val="clear" w:color="auto" w:fill="D1EDF5"/>
          </w:tcPr>
          <w:p>
            <w:pPr>
              <w:spacing w:after="0"/>
              <w:rPr>
                <w:sz w:val="15"/>
                <w:szCs w:val="15"/>
                <w:color w:val="auto"/>
              </w:rPr>
            </w:pPr>
          </w:p>
        </w:tc>
        <w:tc>
          <w:tcPr>
            <w:tcW w:w="96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122</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1,197</w:t>
            </w:r>
          </w:p>
        </w:tc>
        <w:tc>
          <w:tcPr>
            <w:tcW w:w="20" w:type="dxa"/>
            <w:vAlign w:val="bottom"/>
            <w:shd w:val="clear" w:color="auto" w:fill="D1EDF5"/>
          </w:tcPr>
          <w:p>
            <w:pPr>
              <w:spacing w:after="0"/>
              <w:rPr>
                <w:sz w:val="15"/>
                <w:szCs w:val="15"/>
                <w:color w:val="auto"/>
              </w:rPr>
            </w:pPr>
          </w:p>
        </w:tc>
        <w:tc>
          <w:tcPr>
            <w:tcW w:w="4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5"/>
                <w:szCs w:val="15"/>
                <w:color w:val="auto"/>
              </w:rPr>
            </w:pPr>
          </w:p>
        </w:tc>
        <w:tc>
          <w:tcPr>
            <w:tcW w:w="80" w:type="dxa"/>
            <w:vAlign w:val="bottom"/>
            <w:shd w:val="clear" w:color="auto" w:fill="D1EDF5"/>
          </w:tcPr>
          <w:p>
            <w:pPr>
              <w:spacing w:after="0"/>
              <w:rPr>
                <w:sz w:val="15"/>
                <w:szCs w:val="15"/>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5"/>
                <w:szCs w:val="15"/>
                <w:color w:val="auto"/>
              </w:rPr>
            </w:pPr>
          </w:p>
        </w:tc>
        <w:tc>
          <w:tcPr>
            <w:tcW w:w="120" w:type="dxa"/>
            <w:vAlign w:val="bottom"/>
            <w:shd w:val="clear" w:color="auto" w:fill="D1EDF5"/>
          </w:tcPr>
          <w:p>
            <w:pPr>
              <w:spacing w:after="0"/>
              <w:rPr>
                <w:sz w:val="15"/>
                <w:szCs w:val="15"/>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174"/>
        </w:trPr>
        <w:tc>
          <w:tcPr>
            <w:tcW w:w="4220" w:type="dxa"/>
            <w:vAlign w:val="bottom"/>
          </w:tcPr>
          <w:p>
            <w:pPr>
              <w:ind w:left="100"/>
              <w:spacing w:after="0"/>
              <w:rPr>
                <w:sz w:val="20"/>
                <w:szCs w:val="20"/>
                <w:color w:val="auto"/>
              </w:rPr>
            </w:pPr>
            <w:r>
              <w:rPr>
                <w:rFonts w:ascii="Arial" w:cs="Arial" w:eastAsia="Arial" w:hAnsi="Arial"/>
                <w:sz w:val="12"/>
                <w:szCs w:val="12"/>
                <w:color w:val="auto"/>
              </w:rPr>
              <w:t>Dividend payment</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(3,939)</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(3,939)</w:t>
            </w:r>
          </w:p>
        </w:tc>
        <w:tc>
          <w:tcPr>
            <w:tcW w:w="0" w:type="dxa"/>
            <w:vAlign w:val="bottom"/>
          </w:tcPr>
          <w:p>
            <w:pPr>
              <w:spacing w:after="0"/>
              <w:rPr>
                <w:sz w:val="1"/>
                <w:szCs w:val="1"/>
                <w:color w:val="auto"/>
              </w:rPr>
            </w:pPr>
          </w:p>
        </w:tc>
      </w:tr>
      <w:tr>
        <w:trPr>
          <w:trHeight w:val="172"/>
        </w:trPr>
        <w:tc>
          <w:tcPr>
            <w:tcW w:w="4220" w:type="dxa"/>
            <w:vAlign w:val="bottom"/>
            <w:shd w:val="clear" w:color="auto" w:fill="D1EDF5"/>
          </w:tcPr>
          <w:p>
            <w:pPr>
              <w:ind w:left="100"/>
              <w:spacing w:after="0"/>
              <w:rPr>
                <w:sz w:val="20"/>
                <w:szCs w:val="20"/>
                <w:color w:val="auto"/>
              </w:rPr>
            </w:pPr>
            <w:r>
              <w:rPr>
                <w:rFonts w:ascii="Arial" w:cs="Arial" w:eastAsia="Arial" w:hAnsi="Arial"/>
                <w:sz w:val="12"/>
                <w:szCs w:val="12"/>
                <w:color w:val="auto"/>
              </w:rPr>
              <w:t>Stock-based compensation</w:t>
            </w: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160" w:type="dxa"/>
            <w:vAlign w:val="bottom"/>
            <w:tcBorders>
              <w:bottom w:val="single" w:sz="8" w:color="auto"/>
            </w:tcBorders>
            <w:shd w:val="clear" w:color="auto" w:fill="D1EDF5"/>
          </w:tcPr>
          <w:p>
            <w:pPr>
              <w:spacing w:after="0"/>
              <w:rPr>
                <w:sz w:val="14"/>
                <w:szCs w:val="14"/>
                <w:color w:val="auto"/>
              </w:rPr>
            </w:pPr>
          </w:p>
        </w:tc>
        <w:tc>
          <w:tcPr>
            <w:tcW w:w="9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80" w:type="dxa"/>
            <w:vAlign w:val="bottom"/>
            <w:tcBorders>
              <w:bottom w:val="single" w:sz="8" w:color="auto"/>
            </w:tcBorders>
            <w:shd w:val="clear" w:color="auto" w:fill="D1EDF5"/>
          </w:tcPr>
          <w:p>
            <w:pPr>
              <w:spacing w:after="0"/>
              <w:rPr>
                <w:sz w:val="14"/>
                <w:szCs w:val="14"/>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2,130</w:t>
            </w:r>
          </w:p>
        </w:tc>
        <w:tc>
          <w:tcPr>
            <w:tcW w:w="20" w:type="dxa"/>
            <w:vAlign w:val="bottom"/>
            <w:shd w:val="clear" w:color="auto" w:fill="D1EDF5"/>
          </w:tcPr>
          <w:p>
            <w:pPr>
              <w:spacing w:after="0"/>
              <w:rPr>
                <w:sz w:val="14"/>
                <w:szCs w:val="14"/>
                <w:color w:val="auto"/>
              </w:rPr>
            </w:pPr>
          </w:p>
        </w:tc>
        <w:tc>
          <w:tcPr>
            <w:tcW w:w="40" w:type="dxa"/>
            <w:vAlign w:val="bottom"/>
            <w:shd w:val="clear" w:color="auto" w:fill="D1EDF5"/>
          </w:tcPr>
          <w:p>
            <w:pPr>
              <w:spacing w:after="0"/>
              <w:rPr>
                <w:sz w:val="14"/>
                <w:szCs w:val="14"/>
                <w:color w:val="auto"/>
              </w:rPr>
            </w:pPr>
          </w:p>
        </w:tc>
        <w:tc>
          <w:tcPr>
            <w:tcW w:w="120" w:type="dxa"/>
            <w:vAlign w:val="bottom"/>
            <w:tcBorders>
              <w:bottom w:val="single" w:sz="8" w:color="auto"/>
            </w:tcBorders>
            <w:shd w:val="clear" w:color="auto" w:fill="D1EDF5"/>
          </w:tcPr>
          <w:p>
            <w:pPr>
              <w:spacing w:after="0"/>
              <w:rPr>
                <w:sz w:val="14"/>
                <w:szCs w:val="14"/>
                <w:color w:val="auto"/>
              </w:rPr>
            </w:pP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80" w:type="dxa"/>
            <w:vAlign w:val="bottom"/>
            <w:tcBorders>
              <w:bottom w:val="single" w:sz="8" w:color="auto"/>
            </w:tcBorders>
            <w:shd w:val="clear" w:color="auto" w:fill="D1EDF5"/>
          </w:tcPr>
          <w:p>
            <w:pPr>
              <w:spacing w:after="0"/>
              <w:rPr>
                <w:sz w:val="14"/>
                <w:szCs w:val="14"/>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D1EDF5"/>
          </w:tcPr>
          <w:p>
            <w:pPr>
              <w:spacing w:after="0"/>
              <w:rPr>
                <w:sz w:val="14"/>
                <w:szCs w:val="14"/>
                <w:color w:val="auto"/>
              </w:rPr>
            </w:pPr>
          </w:p>
        </w:tc>
        <w:tc>
          <w:tcPr>
            <w:tcW w:w="120" w:type="dxa"/>
            <w:vAlign w:val="bottom"/>
            <w:tcBorders>
              <w:bottom w:val="single" w:sz="8" w:color="auto"/>
            </w:tcBorders>
            <w:shd w:val="clear" w:color="auto" w:fill="D1EDF5"/>
          </w:tcPr>
          <w:p>
            <w:pPr>
              <w:spacing w:after="0"/>
              <w:rPr>
                <w:sz w:val="14"/>
                <w:szCs w:val="14"/>
                <w:color w:val="auto"/>
              </w:rPr>
            </w:pP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2"/>
                <w:szCs w:val="12"/>
                <w:color w:val="auto"/>
              </w:rPr>
              <w:t>2,130</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20"/>
                <w:szCs w:val="20"/>
                <w:color w:val="auto"/>
              </w:rPr>
            </w:pPr>
            <w:r>
              <w:rPr>
                <w:rFonts w:ascii="Arial" w:cs="Arial" w:eastAsia="Arial" w:hAnsi="Arial"/>
                <w:sz w:val="12"/>
                <w:szCs w:val="12"/>
                <w:color w:val="auto"/>
              </w:rPr>
              <w:t>Balance at December 31, 2024</w:t>
            </w:r>
          </w:p>
        </w:tc>
        <w:tc>
          <w:tcPr>
            <w:tcW w:w="1000" w:type="dxa"/>
            <w:vAlign w:val="bottom"/>
          </w:tcPr>
          <w:p>
            <w:pPr>
              <w:jc w:val="right"/>
              <w:spacing w:after="0"/>
              <w:rPr>
                <w:sz w:val="20"/>
                <w:szCs w:val="20"/>
                <w:color w:val="auto"/>
              </w:rPr>
            </w:pPr>
            <w:r>
              <w:rPr>
                <w:rFonts w:ascii="Arial" w:cs="Arial" w:eastAsia="Arial" w:hAnsi="Arial"/>
                <w:sz w:val="12"/>
                <w:szCs w:val="12"/>
                <w:color w:val="auto"/>
              </w:rPr>
              <w:t>19,924,632</w:t>
            </w:r>
          </w:p>
        </w:tc>
        <w:tc>
          <w:tcPr>
            <w:tcW w:w="220" w:type="dxa"/>
            <w:vAlign w:val="bottom"/>
            <w:gridSpan w:val="2"/>
          </w:tcPr>
          <w:p>
            <w:pPr>
              <w:jc w:val="right"/>
              <w:ind w:right="48"/>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19,925</w:t>
            </w:r>
          </w:p>
        </w:tc>
        <w:tc>
          <w:tcPr>
            <w:tcW w:w="2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307,810</w:t>
            </w:r>
          </w:p>
        </w:tc>
        <w:tc>
          <w:tcPr>
            <w:tcW w:w="180" w:type="dxa"/>
            <w:vAlign w:val="bottom"/>
            <w:gridSpan w:val="3"/>
          </w:tcPr>
          <w:p>
            <w:pPr>
              <w:jc w:val="right"/>
              <w:ind w:right="8"/>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(67,813)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(44,534)</w:t>
            </w:r>
          </w:p>
        </w:tc>
        <w:tc>
          <w:tcPr>
            <w:tcW w:w="180" w:type="dxa"/>
            <w:vAlign w:val="bottom"/>
            <w:gridSpan w:val="2"/>
          </w:tcPr>
          <w:p>
            <w:pPr>
              <w:jc w:val="right"/>
              <w:ind w:right="8"/>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215,388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3310255</wp:posOffset>
                </wp:positionH>
                <wp:positionV relativeFrom="paragraph">
                  <wp:posOffset>-2315210</wp:posOffset>
                </wp:positionV>
                <wp:extent cx="3619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4723">
                          <a:solidFill>
                            <a:srgbClr val="D1EDF5"/>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65pt,-182.2999pt" to="263.5pt,-182.2999pt" o:allowincell="f" strokecolor="#D1EDF5" strokeweight="0.3719pt"/>
            </w:pict>
          </mc:Fallback>
        </mc:AlternateContent>
        <mc:AlternateContent>
          <mc:Choice Requires="wps">
            <w:drawing>
              <wp:anchor simplePos="0" relativeHeight="251657728" behindDoc="1" locked="0" layoutInCell="0" allowOverlap="1">
                <wp:simplePos x="0" y="0"/>
                <wp:positionH relativeFrom="column">
                  <wp:posOffset>4060190</wp:posOffset>
                </wp:positionH>
                <wp:positionV relativeFrom="paragraph">
                  <wp:posOffset>-2315210</wp:posOffset>
                </wp:positionV>
                <wp:extent cx="3683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4723">
                          <a:solidFill>
                            <a:srgbClr val="D1EDF5"/>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7pt,-182.2999pt" to="322.6pt,-182.2999pt" o:allowincell="f" strokecolor="#D1EDF5" strokeweight="0.3719pt"/>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-2315210</wp:posOffset>
                </wp:positionV>
                <wp:extent cx="368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4763"/>
                        </a:xfrm>
                        <a:prstGeom prst="line">
                          <a:avLst/>
                        </a:prstGeom>
                        <a:solidFill>
                          <a:srgbClr val="FFFFFF"/>
                        </a:solidFill>
                        <a:ln w="4723">
                          <a:solidFill>
                            <a:srgbClr val="D1EDF5"/>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85pt,-182.2999pt" to="381.75pt,-182.2999pt" o:allowincell="f" strokecolor="#D1EDF5" strokeweight="0.3719pt"/>
            </w:pict>
          </mc:Fallback>
        </mc:AlternateContent>
        <mc:AlternateContent>
          <mc:Choice Requires="wps">
            <w:drawing>
              <wp:anchor simplePos="0" relativeHeight="251657728" behindDoc="1" locked="0" layoutInCell="0" allowOverlap="1">
                <wp:simplePos x="0" y="0"/>
                <wp:positionH relativeFrom="column">
                  <wp:posOffset>5561965</wp:posOffset>
                </wp:positionH>
                <wp:positionV relativeFrom="paragraph">
                  <wp:posOffset>-2315210</wp:posOffset>
                </wp:positionV>
                <wp:extent cx="3619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4723">
                          <a:solidFill>
                            <a:srgbClr val="D1EDF5"/>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95pt,-182.2999pt" to="440.8pt,-182.2999pt" o:allowincell="f" strokecolor="#D1EDF5" strokeweight="0.3719pt"/>
            </w:pict>
          </mc:Fallback>
        </mc:AlternateContent>
        <mc:AlternateContent>
          <mc:Choice Requires="wps">
            <w:drawing>
              <wp:anchor simplePos="0" relativeHeight="251657728" behindDoc="1" locked="0" layoutInCell="0" allowOverlap="1">
                <wp:simplePos x="0" y="0"/>
                <wp:positionH relativeFrom="column">
                  <wp:posOffset>6313170</wp:posOffset>
                </wp:positionH>
                <wp:positionV relativeFrom="paragraph">
                  <wp:posOffset>-2315210</wp:posOffset>
                </wp:positionV>
                <wp:extent cx="3619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4723">
                          <a:solidFill>
                            <a:srgbClr val="D1EDF5"/>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1pt,-182.2999pt" to="499.95pt,-182.2999pt" o:allowincell="f" strokecolor="#D1EDF5" strokeweight="0.3719pt"/>
            </w:pict>
          </mc:Fallback>
        </mc:AlternateConten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tabs>
          <w:tab w:leader="none" w:pos="280" w:val="left"/>
          <w:tab w:leader="none" w:pos="16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5"/>
          <w:szCs w:val="15"/>
          <w:color w:val="auto"/>
        </w:rPr>
        <w:t>USCB Financial Holdings, Inc.</w:t>
        <w:tab/>
        <w:t>2025 10-K</w:t>
      </w:r>
    </w:p>
    <w:p>
      <w:pPr>
        <w:sectPr>
          <w:pgSz w:w="12240" w:h="15840" w:orient="portrait"/>
          <w:cols w:equalWidth="0" w:num="1">
            <w:col w:w="11120"/>
          </w:cols>
          <w:pgMar w:left="560" w:top="1440" w:right="560" w:bottom="1440" w:gutter="0" w:footer="0" w:header="0"/>
        </w:sectPr>
      </w:pPr>
    </w:p>
    <w:bookmarkStart w:id="81" w:name="page82"/>
    <w:bookmarkEnd w:id="81"/>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w:t>
      </w:r>
    </w:p>
    <w:p>
      <w:pPr>
        <w:jc w:val="center"/>
        <w:spacing w:after="0"/>
        <w:rPr>
          <w:sz w:val="20"/>
          <w:szCs w:val="20"/>
          <w:color w:val="auto"/>
        </w:rPr>
      </w:pPr>
      <w:r>
        <w:rPr>
          <w:rFonts w:ascii="Arial" w:cs="Arial" w:eastAsia="Arial" w:hAnsi="Arial"/>
          <w:sz w:val="20"/>
          <w:szCs w:val="20"/>
          <w:color w:val="auto"/>
        </w:rPr>
        <w:t>(Dollars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r>
      <w:tr>
        <w:trPr>
          <w:trHeight w:val="213"/>
        </w:trPr>
        <w:tc>
          <w:tcPr>
            <w:tcW w:w="6680" w:type="dxa"/>
            <w:vAlign w:val="bottom"/>
            <w:tcBorders>
              <w:bottom w:val="single" w:sz="8" w:color="D1EDF5"/>
            </w:tcBorders>
          </w:tcPr>
          <w:p>
            <w:pPr>
              <w:spacing w:after="0"/>
              <w:rPr>
                <w:sz w:val="18"/>
                <w:szCs w:val="18"/>
                <w:color w:val="auto"/>
              </w:rPr>
            </w:pPr>
          </w:p>
        </w:tc>
        <w:tc>
          <w:tcPr>
            <w:tcW w:w="680" w:type="dxa"/>
            <w:vAlign w:val="bottom"/>
            <w:tcBorders>
              <w:bottom w:val="single" w:sz="8" w:color="D1ED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1ED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r>
      <w:tr>
        <w:trPr>
          <w:trHeight w:val="215"/>
        </w:trPr>
        <w:tc>
          <w:tcPr>
            <w:tcW w:w="668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spacing w:after="0"/>
              <w:rPr>
                <w:sz w:val="18"/>
                <w:szCs w:val="18"/>
                <w:color w:val="auto"/>
              </w:rPr>
            </w:pP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26,100</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24,674</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3,157</w:t>
            </w:r>
          </w:p>
        </w:tc>
      </w:tr>
      <w:tr>
        <w:trPr>
          <w:trHeight w:val="223"/>
        </w:trPr>
        <w:tc>
          <w:tcPr>
            <w:tcW w:w="6680" w:type="dxa"/>
            <w:vAlign w:val="bottom"/>
            <w:shd w:val="clear" w:color="auto" w:fill="D1EDF5"/>
          </w:tcPr>
          <w:p>
            <w:pPr>
              <w:ind w:left="280"/>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619</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587</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Accretion of premiums on securities, net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26"/>
        </w:trPr>
        <w:tc>
          <w:tcPr>
            <w:tcW w:w="6680" w:type="dxa"/>
            <w:vAlign w:val="bottom"/>
            <w:shd w:val="clear" w:color="auto" w:fill="D1EDF5"/>
          </w:tcPr>
          <w:p>
            <w:pPr>
              <w:ind w:left="280"/>
              <w:spacing w:after="0"/>
              <w:rPr>
                <w:sz w:val="20"/>
                <w:szCs w:val="20"/>
                <w:color w:val="auto"/>
              </w:rPr>
            </w:pPr>
            <w:r>
              <w:rPr>
                <w:rFonts w:ascii="Arial" w:cs="Arial" w:eastAsia="Arial" w:hAnsi="Arial"/>
                <w:sz w:val="16"/>
                <w:szCs w:val="16"/>
                <w:color w:val="auto"/>
              </w:rPr>
              <w:t>Amortization of deferred loan fees, net</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1,020</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660</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2,130</w:t>
            </w:r>
          </w:p>
        </w:tc>
      </w:tr>
      <w:tr>
        <w:trPr>
          <w:trHeight w:val="223"/>
        </w:trPr>
        <w:tc>
          <w:tcPr>
            <w:tcW w:w="6680" w:type="dxa"/>
            <w:vAlign w:val="bottom"/>
            <w:shd w:val="clear" w:color="auto" w:fill="D1EDF5"/>
          </w:tcPr>
          <w:p>
            <w:pPr>
              <w:ind w:left="280"/>
              <w:spacing w:after="0"/>
              <w:rPr>
                <w:sz w:val="20"/>
                <w:szCs w:val="20"/>
                <w:color w:val="auto"/>
              </w:rPr>
            </w:pPr>
            <w:r>
              <w:rPr>
                <w:rFonts w:ascii="Arial" w:cs="Arial" w:eastAsia="Arial" w:hAnsi="Arial"/>
                <w:sz w:val="16"/>
                <w:szCs w:val="16"/>
                <w:color w:val="auto"/>
              </w:rPr>
              <w:t>Loss (gain) on sale of available for sale securities</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7,526</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(14)</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Gain on sale of loans held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(747)</w:t>
            </w:r>
          </w:p>
        </w:tc>
      </w:tr>
      <w:tr>
        <w:trPr>
          <w:trHeight w:val="226"/>
        </w:trPr>
        <w:tc>
          <w:tcPr>
            <w:tcW w:w="6680" w:type="dxa"/>
            <w:vAlign w:val="bottom"/>
            <w:shd w:val="clear" w:color="auto" w:fill="D1EDF5"/>
          </w:tcPr>
          <w:p>
            <w:pPr>
              <w:ind w:left="280"/>
              <w:spacing w:after="0"/>
              <w:rPr>
                <w:sz w:val="20"/>
                <w:szCs w:val="20"/>
                <w:color w:val="auto"/>
              </w:rPr>
            </w:pPr>
            <w:r>
              <w:rPr>
                <w:rFonts w:ascii="Arial" w:cs="Arial" w:eastAsia="Arial" w:hAnsi="Arial"/>
                <w:sz w:val="16"/>
                <w:szCs w:val="16"/>
                <w:color w:val="auto"/>
              </w:rPr>
              <w:t>Proceeds from the sale of loans held for sale</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13,810</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9,137</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Origination of loans held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(12,809)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(8,390)</w:t>
            </w:r>
          </w:p>
        </w:tc>
      </w:tr>
      <w:tr>
        <w:trPr>
          <w:trHeight w:val="223"/>
        </w:trPr>
        <w:tc>
          <w:tcPr>
            <w:tcW w:w="6680" w:type="dxa"/>
            <w:vAlign w:val="bottom"/>
            <w:shd w:val="clear" w:color="auto" w:fill="D1EDF5"/>
          </w:tcPr>
          <w:p>
            <w:pPr>
              <w:ind w:left="280"/>
              <w:spacing w:after="0"/>
              <w:rPr>
                <w:sz w:val="20"/>
                <w:szCs w:val="20"/>
                <w:color w:val="auto"/>
              </w:rPr>
            </w:pPr>
            <w:r>
              <w:rPr>
                <w:rFonts w:ascii="Arial" w:cs="Arial" w:eastAsia="Arial" w:hAnsi="Arial"/>
                <w:sz w:val="16"/>
                <w:szCs w:val="16"/>
                <w:color w:val="auto"/>
              </w:rPr>
              <w:t>Increase in cash surrender value of bank owned life insurance</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(1,952)</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(1,691)</w:t>
            </w: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Decrease in deferred tax asset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7,725</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Net change in operating assets and liabilities:</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r>
      <w:tr>
        <w:trPr>
          <w:trHeight w:val="226"/>
        </w:trPr>
        <w:tc>
          <w:tcPr>
            <w:tcW w:w="6680" w:type="dxa"/>
            <w:vAlign w:val="bottom"/>
          </w:tcPr>
          <w:p>
            <w:pPr>
              <w:ind w:left="280"/>
              <w:spacing w:after="0"/>
              <w:rPr>
                <w:sz w:val="20"/>
                <w:szCs w:val="20"/>
                <w:color w:val="auto"/>
              </w:rPr>
            </w:pPr>
            <w:r>
              <w:rPr>
                <w:rFonts w:ascii="Arial" w:cs="Arial" w:eastAsia="Arial" w:hAnsi="Arial"/>
                <w:sz w:val="16"/>
                <w:szCs w:val="16"/>
                <w:color w:val="auto"/>
              </w:rPr>
              <w:t>Accrued interest receivable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23"/>
        </w:trPr>
        <w:tc>
          <w:tcPr>
            <w:tcW w:w="6680" w:type="dxa"/>
            <w:vAlign w:val="bottom"/>
            <w:shd w:val="clear" w:color="auto" w:fill="D1EDF5"/>
          </w:tcPr>
          <w:p>
            <w:pPr>
              <w:ind w:left="280"/>
              <w:spacing w:after="0"/>
              <w:rPr>
                <w:sz w:val="20"/>
                <w:szCs w:val="20"/>
                <w:color w:val="auto"/>
              </w:rPr>
            </w:pPr>
            <w:r>
              <w:rPr>
                <w:rFonts w:ascii="Arial" w:cs="Arial" w:eastAsia="Arial" w:hAnsi="Arial"/>
                <w:sz w:val="16"/>
                <w:szCs w:val="16"/>
                <w:color w:val="auto"/>
              </w:rPr>
              <w:t>Other assets</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(5,930)</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(6,223)</w:t>
            </w:r>
          </w:p>
        </w:tc>
      </w:tr>
      <w:tr>
        <w:trPr>
          <w:trHeight w:val="226"/>
        </w:trPr>
        <w:tc>
          <w:tcPr>
            <w:tcW w:w="6680" w:type="dxa"/>
            <w:vAlign w:val="bottom"/>
            <w:tcBorders>
              <w:bottom w:val="single" w:sz="8" w:color="D1EDF5"/>
            </w:tcBorders>
          </w:tcPr>
          <w:p>
            <w:pPr>
              <w:ind w:left="280"/>
              <w:spacing w:after="0"/>
              <w:rPr>
                <w:sz w:val="20"/>
                <w:szCs w:val="20"/>
                <w:color w:val="auto"/>
              </w:rPr>
            </w:pPr>
            <w:r>
              <w:rPr>
                <w:rFonts w:ascii="Arial" w:cs="Arial" w:eastAsia="Arial" w:hAnsi="Arial"/>
                <w:sz w:val="16"/>
                <w:szCs w:val="16"/>
                <w:color w:val="auto"/>
              </w:rPr>
              <w:t>Accrued interest and other liabilities</w:t>
            </w:r>
          </w:p>
        </w:tc>
        <w:tc>
          <w:tcPr>
            <w:tcW w:w="6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5,620</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w:t>
            </w:r>
          </w:p>
        </w:tc>
      </w:tr>
      <w:tr>
        <w:trPr>
          <w:trHeight w:val="215"/>
        </w:trPr>
        <w:tc>
          <w:tcPr>
            <w:tcW w:w="6680" w:type="dxa"/>
            <w:vAlign w:val="bottom"/>
            <w:shd w:val="clear" w:color="auto" w:fill="D1EDF5"/>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6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42,805</w:t>
            </w:r>
          </w:p>
        </w:tc>
        <w:tc>
          <w:tcPr>
            <w:tcW w:w="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34,837</w:t>
            </w:r>
          </w:p>
        </w:tc>
      </w:tr>
      <w:tr>
        <w:trPr>
          <w:trHeight w:val="226"/>
        </w:trPr>
        <w:tc>
          <w:tcPr>
            <w:tcW w:w="6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6"/>
        </w:trPr>
        <w:tc>
          <w:tcPr>
            <w:tcW w:w="668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spacing w:after="0"/>
              <w:rPr>
                <w:sz w:val="19"/>
                <w:szCs w:val="19"/>
                <w:color w:val="auto"/>
              </w:rPr>
            </w:pPr>
          </w:p>
        </w:tc>
      </w:tr>
      <w:tr>
        <w:trPr>
          <w:trHeight w:val="223"/>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maturities and pay-downs of investment securities held to maturity</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10,461</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Purchase of investment securities available for sale</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(139,841)</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(85,673)</w:t>
            </w: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maturities and pay-downs of investment securities available for sale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23,364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20,045</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Proceeds from sales of investment securities available for sale</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82,497</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34,753</w:t>
            </w:r>
          </w:p>
        </w:tc>
      </w:tr>
      <w:tr>
        <w:trPr>
          <w:trHeight w:val="223"/>
        </w:trPr>
        <w:tc>
          <w:tcPr>
            <w:tcW w:w="6680" w:type="dxa"/>
            <w:vAlign w:val="bottom"/>
          </w:tcPr>
          <w:p>
            <w:pPr>
              <w:ind w:left="140"/>
              <w:spacing w:after="0"/>
              <w:rPr>
                <w:sz w:val="20"/>
                <w:szCs w:val="20"/>
                <w:color w:val="auto"/>
              </w:rPr>
            </w:pPr>
            <w:r>
              <w:rPr>
                <w:rFonts w:ascii="Arial" w:cs="Arial" w:eastAsia="Arial" w:hAnsi="Arial"/>
                <w:sz w:val="16"/>
                <w:szCs w:val="16"/>
                <w:color w:val="auto"/>
              </w:rPr>
              <w:t>Net increase in loans held for investment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(136,726)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(126,049)</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Purchase of loans held for investment</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(81,392)</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(66,605)</w:t>
            </w:r>
          </w:p>
        </w:tc>
      </w:tr>
      <w:tr>
        <w:trPr>
          <w:trHeight w:val="226"/>
        </w:trPr>
        <w:tc>
          <w:tcPr>
            <w:tcW w:w="6680" w:type="dxa"/>
            <w:vAlign w:val="bottom"/>
          </w:tcPr>
          <w:p>
            <w:pPr>
              <w:ind w:left="140"/>
              <w:spacing w:after="0"/>
              <w:rPr>
                <w:sz w:val="20"/>
                <w:szCs w:val="20"/>
                <w:color w:val="auto"/>
              </w:rPr>
            </w:pPr>
            <w:r>
              <w:rPr>
                <w:rFonts w:ascii="Arial" w:cs="Arial" w:eastAsia="Arial" w:hAnsi="Arial"/>
                <w:sz w:val="16"/>
                <w:szCs w:val="16"/>
                <w:color w:val="auto"/>
              </w:rPr>
              <w:t>Additions to premises and equipment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Proceeds from the redemption of Federal Home Loan Bank stock</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16,221</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shd w:val="clear" w:color="auto" w:fill="D1EDF5"/>
          </w:tcPr>
          <w:p>
            <w:pPr>
              <w:jc w:val="right"/>
              <w:spacing w:after="0"/>
              <w:rPr>
                <w:sz w:val="20"/>
                <w:szCs w:val="20"/>
                <w:color w:val="auto"/>
              </w:rPr>
            </w:pPr>
            <w:r>
              <w:rPr>
                <w:rFonts w:ascii="Arial" w:cs="Arial" w:eastAsia="Arial" w:hAnsi="Arial"/>
                <w:sz w:val="16"/>
                <w:szCs w:val="16"/>
                <w:color w:val="auto"/>
              </w:rPr>
              <w:t>11,733</w:t>
            </w:r>
          </w:p>
        </w:tc>
      </w:tr>
      <w:tr>
        <w:trPr>
          <w:trHeight w:val="223"/>
        </w:trPr>
        <w:tc>
          <w:tcPr>
            <w:tcW w:w="6680" w:type="dxa"/>
            <w:vAlign w:val="bottom"/>
          </w:tcPr>
          <w:p>
            <w:pPr>
              <w:ind w:left="140"/>
              <w:spacing w:after="0"/>
              <w:rPr>
                <w:sz w:val="20"/>
                <w:szCs w:val="20"/>
                <w:color w:val="auto"/>
              </w:rPr>
            </w:pPr>
            <w:r>
              <w:rPr>
                <w:rFonts w:ascii="Arial" w:cs="Arial" w:eastAsia="Arial" w:hAnsi="Arial"/>
                <w:sz w:val="16"/>
                <w:szCs w:val="16"/>
                <w:color w:val="auto"/>
              </w:rPr>
              <w:t>Purchase of Federal Home Loan Bank stock</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(16,165)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(10,959)</w:t>
            </w:r>
          </w:p>
        </w:tc>
      </w:tr>
      <w:tr>
        <w:trPr>
          <w:trHeight w:val="226"/>
        </w:trPr>
        <w:tc>
          <w:tcPr>
            <w:tcW w:w="6680" w:type="dxa"/>
            <w:vAlign w:val="bottom"/>
            <w:shd w:val="clear" w:color="auto" w:fill="D1EDF5"/>
          </w:tcPr>
          <w:p>
            <w:pPr>
              <w:ind w:left="140"/>
              <w:spacing w:after="0"/>
              <w:rPr>
                <w:sz w:val="20"/>
                <w:szCs w:val="20"/>
                <w:color w:val="auto"/>
              </w:rPr>
            </w:pPr>
            <w:r>
              <w:rPr>
                <w:rFonts w:ascii="Arial" w:cs="Arial" w:eastAsia="Arial" w:hAnsi="Arial"/>
                <w:sz w:val="16"/>
                <w:szCs w:val="16"/>
                <w:color w:val="auto"/>
              </w:rPr>
              <w:t>Purchase of bank owned life insurance, net</w:t>
            </w:r>
          </w:p>
        </w:tc>
        <w:tc>
          <w:tcPr>
            <w:tcW w:w="6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(4,000)</w:t>
            </w:r>
          </w:p>
        </w:tc>
        <w:tc>
          <w:tcPr>
            <w:tcW w:w="80" w:type="dxa"/>
            <w:vAlign w:val="bottom"/>
            <w:shd w:val="clear" w:color="auto" w:fill="D1EDF5"/>
          </w:tcPr>
          <w:p>
            <w:pPr>
              <w:spacing w:after="0"/>
              <w:rPr>
                <w:sz w:val="19"/>
                <w:szCs w:val="19"/>
                <w:color w:val="auto"/>
              </w:rPr>
            </w:pPr>
          </w:p>
        </w:tc>
        <w:tc>
          <w:tcPr>
            <w:tcW w:w="180" w:type="dxa"/>
            <w:vAlign w:val="bottom"/>
            <w:tcBorders>
              <w:bottom w:val="single" w:sz="8" w:color="auto"/>
            </w:tcBorders>
            <w:shd w:val="clear" w:color="auto" w:fill="D1EDF5"/>
          </w:tcPr>
          <w:p>
            <w:pPr>
              <w:spacing w:after="0"/>
              <w:rPr>
                <w:sz w:val="19"/>
                <w:szCs w:val="19"/>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680" w:type="dxa"/>
            <w:vAlign w:val="bottom"/>
          </w:tcPr>
          <w:p>
            <w:pPr>
              <w:ind w:left="400"/>
              <w:spacing w:after="0"/>
              <w:rPr>
                <w:sz w:val="20"/>
                <w:szCs w:val="20"/>
                <w:color w:val="auto"/>
              </w:rPr>
            </w:pPr>
            <w:r>
              <w:rPr>
                <w:rFonts w:ascii="Arial" w:cs="Arial" w:eastAsia="Arial" w:hAnsi="Arial"/>
                <w:sz w:val="16"/>
                <w:szCs w:val="16"/>
                <w:color w:val="auto"/>
              </w:rPr>
              <w:t>Net cash used in investment activities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(245,410)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(212,608)</w:t>
            </w:r>
          </w:p>
        </w:tc>
      </w:tr>
      <w:tr>
        <w:trPr>
          <w:trHeight w:val="226"/>
        </w:trPr>
        <w:tc>
          <w:tcPr>
            <w:tcW w:w="6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(Continued)</w:t>
            </w: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2" w:name="page83"/>
    <w:bookmarkEnd w:id="82"/>
    <w:p>
      <w:pPr>
        <w:spacing w:after="0"/>
        <w:rPr>
          <w:sz w:val="20"/>
          <w:szCs w:val="20"/>
          <w:color w:val="auto"/>
        </w:rPr>
      </w:pPr>
      <w:r>
        <w:rPr>
          <w:rFonts w:ascii="Arial" w:cs="Arial" w:eastAsia="Arial" w:hAnsi="Arial"/>
          <w:sz w:val="20"/>
          <w:szCs w:val="20"/>
          <w:u w:val="single" w:color="auto"/>
          <w:color w:val="0D248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 (Continued)</w:t>
      </w:r>
    </w:p>
    <w:p>
      <w:pPr>
        <w:jc w:val="center"/>
        <w:spacing w:after="0"/>
        <w:rPr>
          <w:sz w:val="20"/>
          <w:szCs w:val="20"/>
          <w:color w:val="auto"/>
        </w:rPr>
      </w:pPr>
      <w:r>
        <w:rPr>
          <w:rFonts w:ascii="Arial" w:cs="Arial" w:eastAsia="Arial" w:hAnsi="Arial"/>
          <w:sz w:val="20"/>
          <w:szCs w:val="20"/>
          <w:color w:val="auto"/>
        </w:rPr>
        <w:t>(Dollars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rPr>
              <w:t>Years Ended December 31,</w:t>
            </w:r>
          </w:p>
        </w:tc>
      </w:tr>
      <w:tr>
        <w:trPr>
          <w:trHeight w:val="213"/>
        </w:trPr>
        <w:tc>
          <w:tcPr>
            <w:tcW w:w="40" w:type="dxa"/>
            <w:vAlign w:val="bottom"/>
            <w:tcBorders>
              <w:bottom w:val="single" w:sz="8" w:color="D1EDF5"/>
            </w:tcBorders>
          </w:tcPr>
          <w:p>
            <w:pPr>
              <w:spacing w:after="0"/>
              <w:rPr>
                <w:sz w:val="18"/>
                <w:szCs w:val="18"/>
                <w:color w:val="auto"/>
              </w:rPr>
            </w:pPr>
          </w:p>
        </w:tc>
        <w:tc>
          <w:tcPr>
            <w:tcW w:w="7320" w:type="dxa"/>
            <w:vAlign w:val="bottom"/>
            <w:tcBorders>
              <w:bottom w:val="single" w:sz="8" w:color="D1ED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1ED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r>
      <w:tr>
        <w:trPr>
          <w:trHeight w:val="215"/>
        </w:trPr>
        <w:tc>
          <w:tcPr>
            <w:tcW w:w="40" w:type="dxa"/>
            <w:vAlign w:val="bottom"/>
            <w:shd w:val="clear" w:color="auto" w:fill="D1EDF5"/>
          </w:tcPr>
          <w:p>
            <w:pPr>
              <w:spacing w:after="0"/>
              <w:rPr>
                <w:sz w:val="18"/>
                <w:szCs w:val="18"/>
                <w:color w:val="auto"/>
              </w:rPr>
            </w:pPr>
          </w:p>
        </w:tc>
        <w:tc>
          <w:tcPr>
            <w:tcW w:w="732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D1EDF5"/>
          </w:tcPr>
          <w:p>
            <w:pPr>
              <w:spacing w:after="0"/>
              <w:rPr>
                <w:sz w:val="18"/>
                <w:szCs w:val="18"/>
                <w:color w:val="auto"/>
              </w:rPr>
            </w:pPr>
          </w:p>
        </w:tc>
        <w:tc>
          <w:tcPr>
            <w:tcW w:w="152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160" w:type="dxa"/>
            <w:vAlign w:val="bottom"/>
            <w:shd w:val="clear" w:color="auto" w:fill="D1EDF5"/>
          </w:tcPr>
          <w:p>
            <w:pPr>
              <w:spacing w:after="0"/>
              <w:rPr>
                <w:sz w:val="18"/>
                <w:szCs w:val="18"/>
                <w:color w:val="auto"/>
              </w:rPr>
            </w:pPr>
          </w:p>
        </w:tc>
        <w:tc>
          <w:tcPr>
            <w:tcW w:w="1520" w:type="dxa"/>
            <w:vAlign w:val="bottom"/>
            <w:shd w:val="clear" w:color="auto" w:fill="D1EDF5"/>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Proceeds from exercise of Class A common stock options, net</w:t>
            </w: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1,319</w:t>
            </w:r>
          </w:p>
        </w:tc>
      </w:tr>
      <w:tr>
        <w:trPr>
          <w:trHeight w:val="226"/>
        </w:trPr>
        <w:tc>
          <w:tcPr>
            <w:tcW w:w="40" w:type="dxa"/>
            <w:vAlign w:val="bottom"/>
            <w:shd w:val="clear" w:color="auto" w:fill="D1EDF5"/>
          </w:tcPr>
          <w:p>
            <w:pPr>
              <w:spacing w:after="0"/>
              <w:rPr>
                <w:sz w:val="19"/>
                <w:szCs w:val="19"/>
                <w:color w:val="auto"/>
              </w:rPr>
            </w:pPr>
          </w:p>
        </w:tc>
        <w:tc>
          <w:tcPr>
            <w:tcW w:w="7320" w:type="dxa"/>
            <w:vAlign w:val="bottom"/>
            <w:shd w:val="clear" w:color="auto" w:fill="D1EDF5"/>
          </w:tcPr>
          <w:p>
            <w:pPr>
              <w:ind w:left="140"/>
              <w:spacing w:after="0"/>
              <w:rPr>
                <w:sz w:val="20"/>
                <w:szCs w:val="20"/>
                <w:color w:val="auto"/>
              </w:rPr>
            </w:pPr>
            <w:r>
              <w:rPr>
                <w:rFonts w:ascii="Arial" w:cs="Arial" w:eastAsia="Arial" w:hAnsi="Arial"/>
                <w:sz w:val="16"/>
                <w:szCs w:val="16"/>
                <w:color w:val="auto"/>
              </w:rPr>
              <w:t>Cash dividends paid</w:t>
            </w: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(7,829)</w:t>
            </w:r>
          </w:p>
        </w:tc>
        <w:tc>
          <w:tcPr>
            <w:tcW w:w="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(3,939)</w:t>
            </w:r>
          </w:p>
        </w:tc>
      </w:tr>
      <w:tr>
        <w:trPr>
          <w:trHeight w:val="226"/>
        </w:trPr>
        <w:tc>
          <w:tcPr>
            <w:tcW w:w="4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Repurchase of Class A common stock</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(34,554)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23"/>
        </w:trPr>
        <w:tc>
          <w:tcPr>
            <w:tcW w:w="40" w:type="dxa"/>
            <w:vAlign w:val="bottom"/>
            <w:shd w:val="clear" w:color="auto" w:fill="D1EDF5"/>
          </w:tcPr>
          <w:p>
            <w:pPr>
              <w:spacing w:after="0"/>
              <w:rPr>
                <w:sz w:val="19"/>
                <w:szCs w:val="19"/>
                <w:color w:val="auto"/>
              </w:rPr>
            </w:pPr>
          </w:p>
        </w:tc>
        <w:tc>
          <w:tcPr>
            <w:tcW w:w="7320" w:type="dxa"/>
            <w:vAlign w:val="bottom"/>
            <w:shd w:val="clear" w:color="auto" w:fill="D1EDF5"/>
          </w:tcPr>
          <w:p>
            <w:pPr>
              <w:ind w:left="140"/>
              <w:spacing w:after="0"/>
              <w:rPr>
                <w:sz w:val="20"/>
                <w:szCs w:val="20"/>
                <w:color w:val="auto"/>
              </w:rPr>
            </w:pPr>
            <w:r>
              <w:rPr>
                <w:rFonts w:ascii="Arial" w:cs="Arial" w:eastAsia="Arial" w:hAnsi="Arial"/>
                <w:sz w:val="16"/>
                <w:szCs w:val="16"/>
                <w:color w:val="auto"/>
              </w:rPr>
              <w:t>Net increase in deposits</w:t>
            </w: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171,076</w:t>
            </w:r>
          </w:p>
        </w:tc>
        <w:tc>
          <w:tcPr>
            <w:tcW w:w="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236,865</w:t>
            </w:r>
          </w:p>
        </w:tc>
      </w:tr>
      <w:tr>
        <w:trPr>
          <w:trHeight w:val="226"/>
        </w:trPr>
        <w:tc>
          <w:tcPr>
            <w:tcW w:w="40" w:type="dxa"/>
            <w:vAlign w:val="bottom"/>
          </w:tcPr>
          <w:p>
            <w:pPr>
              <w:spacing w:after="0"/>
              <w:rPr>
                <w:sz w:val="19"/>
                <w:szCs w:val="19"/>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Proceeds from subordinated notes, net</w:t>
            </w: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39,300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26"/>
        </w:trPr>
        <w:tc>
          <w:tcPr>
            <w:tcW w:w="40" w:type="dxa"/>
            <w:vAlign w:val="bottom"/>
            <w:shd w:val="clear" w:color="auto" w:fill="D1EDF5"/>
          </w:tcPr>
          <w:p>
            <w:pPr>
              <w:spacing w:after="0"/>
              <w:rPr>
                <w:sz w:val="19"/>
                <w:szCs w:val="19"/>
                <w:color w:val="auto"/>
              </w:rPr>
            </w:pPr>
          </w:p>
        </w:tc>
        <w:tc>
          <w:tcPr>
            <w:tcW w:w="7320" w:type="dxa"/>
            <w:vAlign w:val="bottom"/>
            <w:shd w:val="clear" w:color="auto" w:fill="D1EDF5"/>
          </w:tcPr>
          <w:p>
            <w:pPr>
              <w:ind w:left="140"/>
              <w:spacing w:after="0"/>
              <w:rPr>
                <w:sz w:val="20"/>
                <w:szCs w:val="20"/>
                <w:color w:val="auto"/>
              </w:rPr>
            </w:pPr>
            <w:r>
              <w:rPr>
                <w:rFonts w:ascii="Arial" w:cs="Arial" w:eastAsia="Arial" w:hAnsi="Arial"/>
                <w:sz w:val="16"/>
                <w:szCs w:val="16"/>
                <w:color w:val="auto"/>
              </w:rPr>
              <w:t>Proceeds from Federal Home Loan Bank advances and other borrowings</w:t>
            </w: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336,750</w:t>
            </w:r>
          </w:p>
        </w:tc>
        <w:tc>
          <w:tcPr>
            <w:tcW w:w="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227,000</w:t>
            </w:r>
          </w:p>
        </w:tc>
      </w:tr>
      <w:tr>
        <w:trPr>
          <w:trHeight w:val="226"/>
        </w:trPr>
        <w:tc>
          <w:tcPr>
            <w:tcW w:w="40" w:type="dxa"/>
            <w:vAlign w:val="bottom"/>
            <w:tcBorders>
              <w:bottom w:val="single" w:sz="8" w:color="D1EDF5"/>
            </w:tcBorders>
          </w:tcPr>
          <w:p>
            <w:pPr>
              <w:spacing w:after="0"/>
              <w:rPr>
                <w:sz w:val="19"/>
                <w:szCs w:val="19"/>
                <w:color w:val="auto"/>
              </w:rPr>
            </w:pPr>
          </w:p>
        </w:tc>
        <w:tc>
          <w:tcPr>
            <w:tcW w:w="7320" w:type="dxa"/>
            <w:vAlign w:val="bottom"/>
            <w:tcBorders>
              <w:bottom w:val="single" w:sz="8" w:color="D1EDF5"/>
            </w:tcBorders>
          </w:tcPr>
          <w:p>
            <w:pPr>
              <w:ind w:left="140"/>
              <w:spacing w:after="0"/>
              <w:rPr>
                <w:sz w:val="20"/>
                <w:szCs w:val="20"/>
                <w:color w:val="auto"/>
              </w:rPr>
            </w:pPr>
            <w:r>
              <w:rPr>
                <w:rFonts w:ascii="Arial" w:cs="Arial" w:eastAsia="Arial" w:hAnsi="Arial"/>
                <w:sz w:val="16"/>
                <w:szCs w:val="16"/>
                <w:color w:val="auto"/>
              </w:rPr>
              <w:t>Repayments on Federal Home Loan Bank advances and other borrowings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(341,500)</w:t>
            </w:r>
          </w:p>
        </w:tc>
        <w:tc>
          <w:tcPr>
            <w:tcW w:w="8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(247,000)</w:t>
            </w:r>
          </w:p>
        </w:tc>
      </w:tr>
      <w:tr>
        <w:trPr>
          <w:trHeight w:val="215"/>
        </w:trPr>
        <w:tc>
          <w:tcPr>
            <w:tcW w:w="40" w:type="dxa"/>
            <w:vAlign w:val="bottom"/>
            <w:shd w:val="clear" w:color="auto" w:fill="D1EDF5"/>
          </w:tcPr>
          <w:p>
            <w:pPr>
              <w:spacing w:after="0"/>
              <w:rPr>
                <w:sz w:val="18"/>
                <w:szCs w:val="18"/>
                <w:color w:val="auto"/>
              </w:rPr>
            </w:pPr>
          </w:p>
        </w:tc>
        <w:tc>
          <w:tcPr>
            <w:tcW w:w="7320" w:type="dxa"/>
            <w:vAlign w:val="bottom"/>
            <w:shd w:val="clear" w:color="auto" w:fill="D1EDF5"/>
          </w:tcPr>
          <w:p>
            <w:pPr>
              <w:ind w:left="40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shd w:val="clear" w:color="auto" w:fill="D1EDF5"/>
          </w:tcPr>
          <w:p>
            <w:pPr>
              <w:spacing w:after="0"/>
              <w:rPr>
                <w:sz w:val="18"/>
                <w:szCs w:val="18"/>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164,047</w:t>
            </w:r>
          </w:p>
        </w:tc>
        <w:tc>
          <w:tcPr>
            <w:tcW w:w="80" w:type="dxa"/>
            <w:vAlign w:val="bottom"/>
            <w:shd w:val="clear" w:color="auto" w:fill="D1EDF5"/>
          </w:tcPr>
          <w:p>
            <w:pPr>
              <w:spacing w:after="0"/>
              <w:rPr>
                <w:sz w:val="18"/>
                <w:szCs w:val="18"/>
                <w:color w:val="auto"/>
              </w:rPr>
            </w:pPr>
          </w:p>
        </w:tc>
        <w:tc>
          <w:tcPr>
            <w:tcW w:w="160" w:type="dxa"/>
            <w:vAlign w:val="bottom"/>
            <w:shd w:val="clear" w:color="auto" w:fill="D1EDF5"/>
          </w:tcPr>
          <w:p>
            <w:pPr>
              <w:spacing w:after="0"/>
              <w:rPr>
                <w:sz w:val="18"/>
                <w:szCs w:val="18"/>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213,744</w:t>
            </w:r>
          </w:p>
        </w:tc>
      </w:tr>
      <w:tr>
        <w:trPr>
          <w:trHeight w:val="223"/>
        </w:trPr>
        <w:tc>
          <w:tcPr>
            <w:tcW w:w="4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40" w:type="dxa"/>
            <w:vAlign w:val="bottom"/>
            <w:shd w:val="clear" w:color="auto" w:fill="D1EDF5"/>
          </w:tcPr>
          <w:p>
            <w:pPr>
              <w:spacing w:after="0"/>
              <w:rPr>
                <w:sz w:val="19"/>
                <w:szCs w:val="19"/>
                <w:color w:val="auto"/>
              </w:rPr>
            </w:pPr>
          </w:p>
        </w:tc>
        <w:tc>
          <w:tcPr>
            <w:tcW w:w="7320" w:type="dxa"/>
            <w:vAlign w:val="bottom"/>
            <w:shd w:val="clear" w:color="auto" w:fill="D1EDF5"/>
          </w:tcPr>
          <w:p>
            <w:pPr>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spacing w:after="0"/>
              <w:rPr>
                <w:sz w:val="20"/>
                <w:szCs w:val="20"/>
                <w:color w:val="auto"/>
              </w:rPr>
            </w:pPr>
            <w:r>
              <w:rPr>
                <w:rFonts w:ascii="Arial" w:cs="Arial" w:eastAsia="Arial" w:hAnsi="Arial"/>
                <w:sz w:val="16"/>
                <w:szCs w:val="16"/>
                <w:color w:val="auto"/>
              </w:rPr>
              <w:t>(38,558)</w:t>
            </w:r>
          </w:p>
        </w:tc>
        <w:tc>
          <w:tcPr>
            <w:tcW w:w="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jc w:val="right"/>
              <w:ind w:right="20"/>
              <w:spacing w:after="0"/>
              <w:rPr>
                <w:sz w:val="20"/>
                <w:szCs w:val="20"/>
                <w:color w:val="auto"/>
              </w:rPr>
            </w:pPr>
            <w:r>
              <w:rPr>
                <w:rFonts w:ascii="Arial" w:cs="Arial" w:eastAsia="Arial" w:hAnsi="Arial"/>
                <w:sz w:val="16"/>
                <w:szCs w:val="16"/>
                <w:color w:val="auto"/>
              </w:rPr>
              <w:t>35,973</w:t>
            </w:r>
          </w:p>
        </w:tc>
      </w:tr>
      <w:tr>
        <w:trPr>
          <w:trHeight w:val="226"/>
        </w:trPr>
        <w:tc>
          <w:tcPr>
            <w:tcW w:w="40" w:type="dxa"/>
            <w:vAlign w:val="bottom"/>
            <w:tcBorders>
              <w:bottom w:val="single" w:sz="8" w:color="D1EDF5"/>
            </w:tcBorders>
          </w:tcPr>
          <w:p>
            <w:pPr>
              <w:spacing w:after="0"/>
              <w:rPr>
                <w:sz w:val="19"/>
                <w:szCs w:val="19"/>
                <w:color w:val="auto"/>
              </w:rPr>
            </w:pPr>
          </w:p>
        </w:tc>
        <w:tc>
          <w:tcPr>
            <w:tcW w:w="7320" w:type="dxa"/>
            <w:vAlign w:val="bottom"/>
            <w:tcBorders>
              <w:bottom w:val="single" w:sz="8" w:color="D1EDF5"/>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77,035</w:t>
            </w:r>
          </w:p>
        </w:tc>
        <w:tc>
          <w:tcPr>
            <w:tcW w:w="8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41,062</w:t>
            </w:r>
          </w:p>
        </w:tc>
      </w:tr>
      <w:tr>
        <w:trPr>
          <w:trHeight w:val="230"/>
        </w:trPr>
        <w:tc>
          <w:tcPr>
            <w:tcW w:w="40" w:type="dxa"/>
            <w:vAlign w:val="bottom"/>
            <w:shd w:val="clear" w:color="auto" w:fill="D1EDF5"/>
          </w:tcPr>
          <w:p>
            <w:pPr>
              <w:spacing w:after="0"/>
              <w:rPr>
                <w:sz w:val="19"/>
                <w:szCs w:val="19"/>
                <w:color w:val="auto"/>
              </w:rPr>
            </w:pPr>
          </w:p>
        </w:tc>
        <w:tc>
          <w:tcPr>
            <w:tcW w:w="7320" w:type="dxa"/>
            <w:vAlign w:val="bottom"/>
            <w:shd w:val="clear" w:color="auto" w:fill="D1EDF5"/>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w:t>
            </w:r>
          </w:p>
        </w:tc>
        <w:tc>
          <w:tcPr>
            <w:tcW w:w="1520" w:type="dxa"/>
            <w:vAlign w:val="bottom"/>
            <w:tcBorders>
              <w:bottom w:val="single" w:sz="8" w:color="auto"/>
            </w:tcBorders>
            <w:shd w:val="clear" w:color="auto" w:fill="D1EDF5"/>
          </w:tcPr>
          <w:p>
            <w:pPr>
              <w:jc w:val="right"/>
              <w:ind w:right="20"/>
              <w:spacing w:after="0"/>
              <w:rPr>
                <w:sz w:val="20"/>
                <w:szCs w:val="20"/>
                <w:color w:val="auto"/>
              </w:rPr>
            </w:pPr>
            <w:r>
              <w:rPr>
                <w:rFonts w:ascii="Arial" w:cs="Arial" w:eastAsia="Arial" w:hAnsi="Arial"/>
                <w:sz w:val="16"/>
                <w:szCs w:val="16"/>
                <w:color w:val="auto"/>
              </w:rPr>
              <w:t>38,477</w:t>
            </w:r>
          </w:p>
        </w:tc>
        <w:tc>
          <w:tcPr>
            <w:tcW w:w="80" w:type="dxa"/>
            <w:vAlign w:val="bottom"/>
            <w:shd w:val="clear" w:color="auto" w:fill="D1EDF5"/>
          </w:tcPr>
          <w:p>
            <w:pPr>
              <w:spacing w:after="0"/>
              <w:rPr>
                <w:sz w:val="19"/>
                <w:szCs w:val="19"/>
                <w:color w:val="auto"/>
              </w:rPr>
            </w:pPr>
          </w:p>
        </w:tc>
        <w:tc>
          <w:tcPr>
            <w:tcW w:w="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shd w:val="clear" w:color="auto" w:fill="D1EDF5"/>
              </w:rPr>
              <w:t>$</w:t>
            </w:r>
          </w:p>
        </w:tc>
        <w:tc>
          <w:tcPr>
            <w:tcW w:w="1520" w:type="dxa"/>
            <w:vAlign w:val="bottom"/>
            <w:tcBorders>
              <w:bottom w:val="single" w:sz="8" w:color="auto"/>
            </w:tcBorders>
            <w:shd w:val="clear" w:color="auto" w:fill="D1EDF5"/>
          </w:tcPr>
          <w:p>
            <w:pPr>
              <w:jc w:val="right"/>
              <w:ind w:right="20"/>
              <w:spacing w:after="0"/>
              <w:rPr>
                <w:sz w:val="20"/>
                <w:szCs w:val="20"/>
                <w:color w:val="auto"/>
              </w:rPr>
            </w:pPr>
            <w:r>
              <w:rPr>
                <w:rFonts w:ascii="Arial" w:cs="Arial" w:eastAsia="Arial" w:hAnsi="Arial"/>
                <w:sz w:val="16"/>
                <w:szCs w:val="16"/>
                <w:color w:val="auto"/>
              </w:rPr>
              <w:t>77,035</w:t>
            </w:r>
          </w:p>
        </w:tc>
      </w:tr>
      <w:tr>
        <w:trPr>
          <w:trHeight w:val="20"/>
        </w:trPr>
        <w:tc>
          <w:tcPr>
            <w:tcW w:w="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40" w:type="dxa"/>
            <w:vAlign w:val="bottom"/>
            <w:shd w:val="clear" w:color="auto" w:fill="D1EDF5"/>
          </w:tcPr>
          <w:p>
            <w:pPr>
              <w:spacing w:after="0"/>
              <w:rPr>
                <w:sz w:val="19"/>
                <w:szCs w:val="19"/>
                <w:color w:val="auto"/>
              </w:rPr>
            </w:pPr>
          </w:p>
        </w:tc>
        <w:tc>
          <w:tcPr>
            <w:tcW w:w="7320" w:type="dxa"/>
            <w:vAlign w:val="bottom"/>
            <w:shd w:val="clear" w:color="auto" w:fill="D1EDF5"/>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1520" w:type="dxa"/>
            <w:vAlign w:val="bottom"/>
            <w:shd w:val="clear" w:color="auto" w:fill="D1EDF5"/>
          </w:tcPr>
          <w:p>
            <w:pPr>
              <w:spacing w:after="0"/>
              <w:rPr>
                <w:sz w:val="19"/>
                <w:szCs w:val="19"/>
                <w:color w:val="auto"/>
              </w:rPr>
            </w:pPr>
          </w:p>
        </w:tc>
      </w:tr>
      <w:tr>
        <w:trPr>
          <w:trHeight w:val="240"/>
        </w:trPr>
        <w:tc>
          <w:tcPr>
            <w:tcW w:w="4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59,998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60,544</w:t>
            </w:r>
          </w:p>
        </w:tc>
      </w:tr>
      <w:tr>
        <w:trPr>
          <w:trHeight w:val="20"/>
        </w:trPr>
        <w:tc>
          <w:tcPr>
            <w:tcW w:w="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3" w:name="page84"/>
    <w:bookmarkEnd w:id="83"/>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540" w:hanging="540"/>
        <w:spacing w:after="0"/>
        <w:tabs>
          <w:tab w:leader="none" w:pos="5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7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In December 2021, USCB Financial Holdings, Inc. acquired all issued and outstanding shares of the Class A common stock of the Bank in connection with the reorganization of the Bank into a holding company structure. Each of the outstanding shares of the Bank’s class A common stock, par value $1.00 per share, formerly held by its stockholders were converted into and exchanged for one newly issued share of the Company’s Class A common stock, par value $1.00 per share.</w:t>
      </w:r>
    </w:p>
    <w:p>
      <w:pPr>
        <w:spacing w:after="0" w:line="16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Intercompany transactions and balances are eliminated in consolidation. The consolidated financial statements have been prepared in accordance with GAAP.</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Company has established policies and control procedures that are intended to ensure valuation methods are controlled and applied consistently from period to period. These estimates and assumptions, which may materially affect the reported amounts of certain assets, liabilities, revenues and expenses, are based on information available as of the date of the financial statements, and changes in this information over time and the use of revised estimates and assumptions could materially affect amounts reported in subsequent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may be required to maintain funds at other banks to satisfy the terms of a loan participation agreement. The Company reports restricted cash within cash and cash equivalents. At both December 31, 2025 and 2024, the Company had $0 in restricted cash.</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Interest-Bearing Deposits in Banks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Interest-bearing deposits in other financial institutions consist of accounts at the Federal Reserve Bank of Atlanta, Federal Home Loan Bank of Atlanta and other accounts.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Securities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Debt securities are recorded at fair value except for those securities which the Company has the positive intent and ability to hold to maturity. Management generally determines the appropriate classification of its securities at the time of purchase and accounts for them on a trade date basis.</w:t>
      </w:r>
    </w:p>
    <w:p>
      <w:pPr>
        <w:spacing w:after="0" w:line="17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w:t>
      </w:r>
    </w:p>
    <w:p>
      <w:pPr>
        <w:spacing w:after="0" w:line="200" w:lineRule="exact"/>
        <w:rPr>
          <w:sz w:val="20"/>
          <w:szCs w:val="20"/>
          <w:color w:val="auto"/>
        </w:rPr>
      </w:pPr>
    </w:p>
    <w:p>
      <w:pPr>
        <w:spacing w:after="0" w:line="26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4" w:name="page85"/>
    <w:bookmarkEnd w:id="84"/>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8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For available-for-sale debt securities in an unrealized loss position, the Company first assesses whether it intends to sell, or it is more likely than not that it will be required to sell, the security before recovery of its amortized cost basis. If the Company has the intent to sell, or is required to sell, the difference between fair value and amortized cost is considered impaired and is recognized in the provision for credit losses. For available-for-sale debt securities that do not meet the aforementioned criteria, the Company evaluates whether the decline in fair value has resulted from credit factors or other market conditions. The Company monitors the credit quality of debt securities through the use of credit ratings. Credit ratings are monitored by the Company on at least a quarterly basis.</w:t>
      </w:r>
    </w:p>
    <w:p>
      <w:pPr>
        <w:spacing w:after="0" w:line="18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CECL requires a loss reserve for securities classified as HTM. The reserve should reflect historical credit performance as well as the impact of projected economic forecast. For U.S. Government bonds and U.S. Agency issued bonds in HTM the explicit and/or implicit guarantee of the U.S. Government is sufficient to conclude that a credit loss reserve is not required. The reserve requirement is for three primary assets groups: municipal bonds, corporate bonds, and non- 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Home Loan Bank (FHLB) Stock</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2025 and 2024, FHLB stock amounted to $9.3 million and $9.4 million, respectively, with no impairment deemed necessary. Both cash and stock dividends are reported as interest income.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Loans Held for Investment and Allowance for Credit Losses (“ACL”)</w:t>
      </w:r>
    </w:p>
    <w:p>
      <w:pPr>
        <w:spacing w:after="0" w:line="233"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Loans held for investment (“loans”) are reported at their outstanding principal balance net of charge- offs, deferred loan cost,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76"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9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has determined that the entire balance of a loan is contractually delinquent for all loan categories if the minimum payment is not received by the specified due date on the borrower's statement. Interest and fees continue to accrue on past due loans until the date the loan goes into nonaccrual status.</w:t>
      </w:r>
    </w:p>
    <w:p>
      <w:pPr>
        <w:spacing w:after="0" w:line="172"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Company provides for loan losses through a provision for credit losses charged to earnings. When management believes that a loan or a portion of the loan balance is uncollectible, that amount is charged against the ACL. Subsequent recoveries, if any, are credited to the ACL.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5" w:name="page86"/>
    <w:bookmarkEnd w:id="85"/>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ACL reflects management's judgment of expected loan losses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76" w:lineRule="exact"/>
        <w:rPr>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Residential real estate</w:t>
      </w:r>
    </w:p>
    <w:p>
      <w:pPr>
        <w:spacing w:after="0" w:line="26" w:lineRule="exact"/>
        <w:rPr>
          <w:rFonts w:ascii="Arial" w:cs="Arial" w:eastAsia="Arial" w:hAnsi="Arial"/>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Commercial real estate</w:t>
      </w: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Commercial and industrial</w:t>
      </w: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Correspondent banks</w:t>
      </w: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Other loans (secured and unsecured consumer loans)</w:t>
      </w:r>
    </w:p>
    <w:p>
      <w:pPr>
        <w:spacing w:after="0" w:line="203"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Residential real estate loans are underwritten following the policies of the Company which include a review of the borrower’s credit, capacity and the collateral securing the loan. The borrower’s ability to repay involves an analysis of factors including: current income, employment status, monthly payment of the loan, current debt obligations, monthly debt to income ratio and credit history. The Company relies on appraisals in determining the value of the property. Risk is mitigated by this analysis and the diversity of the residential portfolio.</w:t>
      </w:r>
    </w:p>
    <w:p>
      <w:pPr>
        <w:spacing w:after="0" w:line="183"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Commercial real estate loans are secured by liens on commercial properties, land, construction and multifamily housing. Underwriting of commercial real estate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loan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7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Commercial and industrial loans are secured by the business assets of the borrower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Correspondent bank loans are short- 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where the borrower is located and a review by the authorized signer within the Company. The risk is mitigated as these loans are short term, have limited exposure, and are geographically dispersed.</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Other loans are secured and unsecured consumer loans including yacht loans, personal loans, home equity lines of credit,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8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Under CECL, the Company estimates the ACL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 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83"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200" w:lineRule="exact"/>
        <w:rPr>
          <w:sz w:val="20"/>
          <w:szCs w:val="20"/>
          <w:color w:val="auto"/>
        </w:rPr>
      </w:pPr>
    </w:p>
    <w:p>
      <w:pPr>
        <w:spacing w:after="0" w:line="32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6" w:name="page87"/>
    <w:bookmarkEnd w:id="86"/>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Management elected the Remaining Life (WARM) methodology for correspondent bank loans and secured and unsecured consumer loan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70"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9"/>
          <w:szCs w:val="19"/>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the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HPI projections published by Fannie Mae’s Economic and Strategic Research Group are utilized for the forecast. Forecasts are applied to the first four quarters of the credit loss estimate and revert on a straight-line basis to the lookback period's historical mean for the economic indicator over the expected life of loans.</w:t>
      </w:r>
    </w:p>
    <w:p>
      <w:pPr>
        <w:spacing w:after="0" w:line="182"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Qualitative factors (“Q-Factors”) used in the ACL methodology include:</w:t>
      </w:r>
    </w:p>
    <w:p>
      <w:pPr>
        <w:spacing w:after="0" w:line="231" w:lineRule="exact"/>
        <w:rPr>
          <w:sz w:val="20"/>
          <w:szCs w:val="20"/>
          <w:color w:val="auto"/>
        </w:rPr>
      </w:pP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lending policies, procedures, and strategies</w:t>
      </w:r>
    </w:p>
    <w:p>
      <w:pPr>
        <w:spacing w:after="0" w:line="26" w:lineRule="exact"/>
        <w:rPr>
          <w:rFonts w:ascii="Arial" w:cs="Arial" w:eastAsia="Arial" w:hAnsi="Arial"/>
          <w:sz w:val="20"/>
          <w:szCs w:val="20"/>
          <w:color w:val="auto"/>
        </w:rPr>
      </w:pP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international, national, regional, and local conditions</w:t>
      </w:r>
    </w:p>
    <w:p>
      <w:pPr>
        <w:ind w:left="480" w:hanging="120"/>
        <w:spacing w:after="0" w:line="238" w:lineRule="auto"/>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nature and volume of portfolio</w:t>
      </w: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the volume and severity of past due loans and other similar conditions</w:t>
      </w: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Concentration risk</w:t>
      </w: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the value of underlying collateral</w:t>
      </w: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other external factors: e.g., competition, legal, and regulatory requirements</w:t>
      </w:r>
    </w:p>
    <w:p>
      <w:pPr>
        <w:ind w:left="480" w:hanging="120"/>
        <w:spacing w:after="0"/>
        <w:tabs>
          <w:tab w:leader="none" w:pos="4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lending management, among others</w:t>
      </w:r>
    </w:p>
    <w:p>
      <w:pPr>
        <w:spacing w:after="0" w:line="20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 to be required.</w:t>
      </w:r>
    </w:p>
    <w:p>
      <w:pPr>
        <w:spacing w:after="0" w:line="17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estimates a reserve for unfunded commitments, which is reported separately from the ACL within accrued interest and other liabilities. The reserve is based upon the same quantitative and qualitative factors applied to the collectively evaluated loan portfolio.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 of Credit Risks</w:t>
      </w:r>
    </w:p>
    <w:p>
      <w:pPr>
        <w:spacing w:after="0" w:line="23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8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 the South Florida real estate industry or the South Florida economy, in general, could adversely impact the Company's loan portfolio.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7" w:name="page88"/>
    <w:bookmarkEnd w:id="87"/>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20"/>
          <w:szCs w:val="20"/>
          <w:color w:val="auto"/>
        </w:rPr>
        <w:t>At December 31, 2025 and 2024, the Company had a concentration of risk with loans outstanding to the Company’s top ten lending relationships totaling $224.9 million and $236.2 million, respectively. At December 31, 2025 and 2024, this concentration represented 10.3% and 12.0% of net loans outstanding, respectively. At December 31, 2025 and December 31, 2024, the largest loan relationship outside Florida was a commercial real estate loan with an outstanding balance of $19.0 million and $19.8 million, at such dates respectively, collateralized by a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lien on a commercial property located in New York State.</w:t>
      </w:r>
    </w:p>
    <w:p>
      <w:pPr>
        <w:spacing w:after="0" w:line="19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At December 31, 2025, the Company had a concentration of risk with loans outstanding totaling $128.0 million to correspondent banks located in Ecuador, Guatemala, Dominican Republic, Honduras, Panama, and El Salvador. At December 31, 2024, the Company also had a concentration of risk with loans outstanding totaling $82.4 million to correspondent banks located in Ecuador, Dominican Republic, Honduras, and El Salvador. These banks maintained deposits with right of offset totaling $57.1 million and $62.6 million at December 31, 2025 and 2024, respectively.</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At various times during the year, the Company has maintained deposits with other financial institutions. The exposure to the Company from these transactions is solely dependent upon daily balances and the financial strength of the respective institutions.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Premises and Equipment, net</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Land is carried at cost. Premises and equipment are stated at cost less accumulated depreciation and amortization. Depreciation is computed on the straight- line method over the estimated useful life of the asset. Leasehold improvements are amortized over the remaining term of the applicable leases or their useful lives, whichever is shorter. Estimated useful lives of these assets were as follows:</w:t>
      </w:r>
    </w:p>
    <w:p>
      <w:pPr>
        <w:sectPr>
          <w:pgSz w:w="12240" w:h="15840" w:orient="portrait"/>
          <w:cols w:equalWidth="0" w:num="1">
            <w:col w:w="10800"/>
          </w:cols>
          <w:pgMar w:left="720" w:top="355" w:right="720" w:bottom="0" w:gutter="0" w:footer="0" w:header="0"/>
        </w:sectPr>
      </w:pPr>
    </w:p>
    <w:p>
      <w:pPr>
        <w:spacing w:after="0" w:line="18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Building s</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Furniture, fixtures and equipment</w:t>
      </w:r>
    </w:p>
    <w:p>
      <w:pPr>
        <w:ind w:left="1440"/>
        <w:spacing w:after="0"/>
        <w:rPr>
          <w:sz w:val="20"/>
          <w:szCs w:val="20"/>
          <w:color w:val="auto"/>
        </w:rPr>
      </w:pPr>
      <w:r>
        <w:rPr>
          <w:rFonts w:ascii="Arial" w:cs="Arial" w:eastAsia="Arial" w:hAnsi="Arial"/>
          <w:sz w:val="19"/>
          <w:szCs w:val="19"/>
          <w:color w:val="auto"/>
        </w:rPr>
        <w:t>Computer hardware and software</w:t>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Leasehold improvements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40 years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3 to 25 years</w:t>
      </w:r>
    </w:p>
    <w:p>
      <w:pPr>
        <w:spacing w:after="0" w:line="238" w:lineRule="auto"/>
        <w:rPr>
          <w:sz w:val="20"/>
          <w:szCs w:val="20"/>
          <w:color w:val="auto"/>
        </w:rPr>
      </w:pPr>
      <w:r>
        <w:rPr>
          <w:rFonts w:ascii="Arial" w:cs="Arial" w:eastAsia="Arial" w:hAnsi="Arial"/>
          <w:sz w:val="20"/>
          <w:szCs w:val="20"/>
          <w:color w:val="auto"/>
        </w:rPr>
        <w:t>3 to 5 years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Shorter of life or term of lease</w:t>
      </w:r>
    </w:p>
    <w:p>
      <w:pPr>
        <w:spacing w:after="0" w:line="200" w:lineRule="exact"/>
        <w:rPr>
          <w:sz w:val="20"/>
          <w:szCs w:val="20"/>
          <w:color w:val="auto"/>
        </w:rPr>
      </w:pPr>
    </w:p>
    <w:p>
      <w:pPr>
        <w:sectPr>
          <w:pgSz w:w="12240" w:h="15840" w:orient="portrait"/>
          <w:cols w:equalWidth="0" w:num="2">
            <w:col w:w="5040" w:space="720"/>
            <w:col w:w="5040"/>
          </w:cols>
          <w:pgMar w:left="720" w:top="355" w:right="720" w:bottom="0" w:gutter="0" w:footer="0" w:header="0"/>
          <w:type w:val="continuous"/>
        </w:sectPr>
      </w:pPr>
    </w:p>
    <w:p>
      <w:pPr>
        <w:spacing w:after="0" w:line="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Real Estate Owned</w:t>
      </w:r>
    </w:p>
    <w:p>
      <w:pPr>
        <w:spacing w:after="0" w:line="235"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OREO consists of real estate properties acquired through, or in lieu of, foreclosure that are held for sale and are initially recorded at the fair value of the property less estimated selling costs as of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OREO expenses in the accompanying Consolidated Statements of Operation. Gains or losses on sale of OREO are recognized when consideration has been exchanged, all closing conditions have been met and permanent financing has been arranged.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Owned Life Insurance</w:t>
      </w:r>
    </w:p>
    <w:p>
      <w:pPr>
        <w:spacing w:after="0" w:line="23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Bank Owned Life Insurance (“BOLI”) is carried at the amount that could be realized under the contract at the balance sheet date, which is typically the cash surrender value. Changes in cash surrender value are recorded in non-interest income. At December 31, 2025, the Company maintained BOLI policies with five insurance carriers with a combined cash surrender value of $59.4 million. At December 31, 2024, the Company maintained BOLI policies with five insurance carriers with a combined cash surrender value of $53.5 million. These policies cover certain present and former executives and officers; the Company is the beneficiary of these policies.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401(k) Plan</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 has an 401(k) plan covering substantially all eligible employees. Employee 401(k) plan expense is the amount of matching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80"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3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of Financial Assets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3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are components of comprehensive loss. Additionally, any unrealized gains or losses on transfers of investment securities from available-for-sale to held-to-maturity are recorded to accumulated other comprehensive income (loss)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change in fair value on the interest rate swaps is recorded in other assets or accrued interest and other liabilities with a corresponding recognition in other comprehensive income (loss) and subsequently reclassified to earnings when gains or losses are realized. See Note 12. “Derivatives” for further discussion.</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 Costs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Advertising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89" w:name="page90"/>
    <w:bookmarkEnd w:id="89"/>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Common Share</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Basic earnings per common share is net income available to common stockholders divided by the weighted average number of common shares outstanding during the period. Diluted earnings per common share include the effect of additional potential common shares issuable under vested stock options and unvested shares of restricted stock. Basic and diluted earnings per share are updated to reflect the effect of stock splits as occurred. See Note 15 “Earnings Per Share” for additional information on earnings per common share.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income is recognized as earned, based upon the principal amount outstanding, on an accrual basis.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Segments</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Stock-based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awards, performance-based awards, share appreciation rights, and employee share purchase plans.</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stock-based compensation accounting guidance requires that compensation cost for all stock awards be calculated and recognized over the employees' service period, generally defined as the vesting period. For awards with graded vesting, compensation cost is recognized on a straight-line basis over the requisite service period for the entire award. A Black-Scholes model is used to estimate the fair value of stock options.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Loss Contingencies</w:t>
      </w:r>
    </w:p>
    <w:p>
      <w:pPr>
        <w:spacing w:after="0" w:line="23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20 “Loss Contingencies” for further details.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Banking regulations require maintaining certain capital levels and may limit the dividends paid by the Bank to the Company or by the Company to the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Fair values of financial instruments are estimated using relevant market information and other assumptions, as more fully disclosed in Note 13 “Fair Value Measurements”. Fair value estimates involve uncertainties and matters of significant judgment. Changes in assumptions or in market conditions could significantly affect the estimates.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Instruments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Rate Swaps Designated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90</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90" w:name="page91"/>
    <w:bookmarkEnd w:id="90"/>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changes in fair value on the interest rate swap is recorded in other assets or accrued interest and other liabilities with a corresponding recognition in other comprehensive income (loss) and subsequently reclassified to earnings when gains or losses are realized. As of December 31, 2025, the cash flow hedge was effective.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 Designated as Fair Value Hedges</w:t>
      </w:r>
    </w:p>
    <w:p>
      <w:pPr>
        <w:spacing w:after="0" w:line="23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changes in fair value on these interest rate swaps are recorded in other assets or accrued interest and other liabilities with a corresponding recognition in the assets being hedged.</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w:t>
      </w:r>
    </w:p>
    <w:p>
      <w:pPr>
        <w:spacing w:after="0" w:line="229"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Company enters into interest rate swaps agreements to provide commercial loan clients the ability to swap from a variable interest rate to a fixed rate. The Company enters into a floating- rate loan with a customer with a separately issued swap agreement allowing the customer to convert floating payments on the loan into a fixed interest rate. To mitigate risk, the Company enters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Interest rate swap agreements are used by the Company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from Contracts with Customers</w:t>
      </w:r>
    </w:p>
    <w:p>
      <w:pPr>
        <w:spacing w:after="0" w:line="235"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 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Statement</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Company reports the net activity rather than gross activity in the Consolidated Statements of Cash Flows. The net cash flows are reported for loans held for investment, accrued interest receivable, deferred tax assets, other assets, customer deposits, accrued interest payable, accrued interest and other liabilities, exercise of options, and proceeds from the issuance of Class A common shares and subordinated debt.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Certain amounts in the Consolidated Financial Statements have been reclassified to conform to the current presentation. Reclassifications had no impact on the net income or stockholders’ equity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Standards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Issued and Adopted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Improvements to Income Tax Disclosures</w:t>
      </w:r>
    </w:p>
    <w:p>
      <w:pPr>
        <w:spacing w:after="0" w:line="221"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December 2023, the FASB issued Accounting Standards Update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December 15, 2024. The Company adopted this ASU 2023-09 effective January 1, 2025; the adoption of this ASU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91" w:name="page92"/>
    <w:bookmarkEnd w:id="91"/>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540" w:hanging="540"/>
        <w:spacing w:after="0"/>
        <w:tabs>
          <w:tab w:leader="none" w:pos="5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4pt"/>
            </w:pict>
          </mc:Fallback>
        </mc:AlternateContent>
      </w:r>
    </w:p>
    <w:p>
      <w:pPr>
        <w:spacing w:after="0" w:line="265" w:lineRule="exact"/>
        <w:rPr>
          <w:sz w:val="20"/>
          <w:szCs w:val="20"/>
          <w:color w:val="auto"/>
        </w:rPr>
      </w:pPr>
    </w:p>
    <w:p>
      <w:pPr>
        <w:ind w:firstLine="360"/>
        <w:spacing w:after="0" w:line="280" w:lineRule="auto"/>
        <w:rPr>
          <w:sz w:val="20"/>
          <w:szCs w:val="20"/>
          <w:color w:val="auto"/>
        </w:rPr>
      </w:pPr>
      <w:r>
        <w:rPr>
          <w:rFonts w:ascii="Arial" w:cs="Arial" w:eastAsia="Arial" w:hAnsi="Arial"/>
          <w:sz w:val="20"/>
          <w:szCs w:val="20"/>
          <w:color w:val="auto"/>
        </w:rPr>
        <w:t>The following tables present a summary of the amortized cost, unrealized or unrecognized gains and losses, and fair value of investment securities at the dates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9"/>
              </w:rPr>
              <w:t>December 31, 2025</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57"/>
        </w:trPr>
        <w:tc>
          <w:tcPr>
            <w:tcW w:w="4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4320" w:type="dxa"/>
            <w:vAlign w:val="bottom"/>
            <w:tcBorders>
              <w:bottom w:val="single" w:sz="8" w:color="D1EDF5"/>
            </w:tcBorders>
          </w:tcPr>
          <w:p>
            <w:pPr>
              <w:spacing w:after="0"/>
              <w:rPr>
                <w:sz w:val="20"/>
                <w:szCs w:val="20"/>
                <w:color w:val="auto"/>
              </w:rPr>
            </w:pPr>
            <w:r>
              <w:rPr>
                <w:rFonts w:ascii="Arial" w:cs="Arial" w:eastAsia="Arial" w:hAnsi="Arial"/>
                <w:sz w:val="18"/>
                <w:szCs w:val="18"/>
                <w:b w:val="1"/>
                <w:bCs w:val="1"/>
                <w:color w:val="auto"/>
              </w:rPr>
              <w:t>Available-for-sale:</w:t>
            </w:r>
          </w:p>
        </w:tc>
        <w:tc>
          <w:tcPr>
            <w:tcW w:w="104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Losses</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320" w:type="dxa"/>
            <w:vAlign w:val="bottom"/>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1040" w:type="dxa"/>
            <w:vAlign w:val="bottom"/>
            <w:shd w:val="clear" w:color="auto" w:fill="D1EDF5"/>
          </w:tcPr>
          <w:p>
            <w:pPr>
              <w:spacing w:after="0"/>
              <w:rPr>
                <w:sz w:val="19"/>
                <w:szCs w:val="19"/>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15,169</w:t>
            </w: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14,144</w:t>
            </w:r>
          </w:p>
        </w:tc>
      </w:tr>
      <w:tr>
        <w:trPr>
          <w:trHeight w:val="240"/>
        </w:trPr>
        <w:tc>
          <w:tcPr>
            <w:tcW w:w="432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(17,043)</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75,828</w:t>
            </w:r>
          </w:p>
        </w:tc>
      </w:tr>
      <w:tr>
        <w:trPr>
          <w:trHeight w:val="240"/>
        </w:trPr>
        <w:tc>
          <w:tcPr>
            <w:tcW w:w="432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10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35,865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(6,083)</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29,917</w:t>
            </w:r>
          </w:p>
        </w:tc>
      </w:tr>
      <w:tr>
        <w:trPr>
          <w:trHeight w:val="240"/>
        </w:trPr>
        <w:tc>
          <w:tcPr>
            <w:tcW w:w="432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174,622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(6,861)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168,108</w:t>
            </w:r>
          </w:p>
        </w:tc>
      </w:tr>
      <w:tr>
        <w:trPr>
          <w:trHeight w:val="240"/>
        </w:trPr>
        <w:tc>
          <w:tcPr>
            <w:tcW w:w="4320" w:type="dxa"/>
            <w:vAlign w:val="bottom"/>
            <w:shd w:val="clear" w:color="auto" w:fill="D1EDF5"/>
          </w:tcPr>
          <w:p>
            <w:pPr>
              <w:spacing w:after="0"/>
              <w:rPr>
                <w:sz w:val="20"/>
                <w:szCs w:val="20"/>
                <w:color w:val="auto"/>
              </w:rPr>
            </w:pPr>
            <w:r>
              <w:rPr>
                <w:rFonts w:ascii="Arial" w:cs="Arial" w:eastAsia="Arial" w:hAnsi="Arial"/>
                <w:sz w:val="18"/>
                <w:szCs w:val="18"/>
                <w:color w:val="auto"/>
              </w:rPr>
              <w:t>Municipal securities</w:t>
            </w:r>
          </w:p>
        </w:tc>
        <w:tc>
          <w:tcPr>
            <w:tcW w:w="104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5,196</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(933)</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4,263</w:t>
            </w:r>
          </w:p>
        </w:tc>
      </w:tr>
      <w:tr>
        <w:trPr>
          <w:trHeight w:val="240"/>
        </w:trPr>
        <w:tc>
          <w:tcPr>
            <w:tcW w:w="4320" w:type="dxa"/>
            <w:vAlign w:val="bottom"/>
          </w:tcPr>
          <w:p>
            <w:pPr>
              <w:spacing w:after="0"/>
              <w:rPr>
                <w:sz w:val="20"/>
                <w:szCs w:val="20"/>
                <w:color w:val="auto"/>
              </w:rPr>
            </w:pPr>
            <w:r>
              <w:rPr>
                <w:rFonts w:ascii="Arial" w:cs="Arial" w:eastAsia="Arial" w:hAnsi="Arial"/>
                <w:sz w:val="18"/>
                <w:szCs w:val="18"/>
                <w:color w:val="auto"/>
              </w:rPr>
              <w:t>Bank subordinated debt securities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15,230</w:t>
            </w:r>
          </w:p>
        </w:tc>
      </w:tr>
      <w:tr>
        <w:trPr>
          <w:trHeight w:val="20"/>
        </w:trPr>
        <w:tc>
          <w:tcPr>
            <w:tcW w:w="4320" w:type="dxa"/>
            <w:vAlign w:val="bottom"/>
            <w:shd w:val="clear" w:color="auto" w:fill="D1EDF5"/>
          </w:tcPr>
          <w:p>
            <w:pPr>
              <w:spacing w:after="0" w:line="20" w:lineRule="exact"/>
              <w:rPr>
                <w:sz w:val="1"/>
                <w:szCs w:val="1"/>
                <w:color w:val="auto"/>
              </w:rPr>
            </w:pPr>
          </w:p>
        </w:tc>
        <w:tc>
          <w:tcPr>
            <w:tcW w:w="1040" w:type="dxa"/>
            <w:vAlign w:val="bottom"/>
            <w:shd w:val="clear" w:color="auto" w:fill="D1EDF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D1ED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44"/>
        </w:trPr>
        <w:tc>
          <w:tcPr>
            <w:tcW w:w="4320" w:type="dxa"/>
            <w:vAlign w:val="bottom"/>
            <w:shd w:val="clear" w:color="auto" w:fill="D1EDF5"/>
          </w:tcPr>
          <w:p>
            <w:pPr>
              <w:spacing w:after="0"/>
              <w:rPr>
                <w:sz w:val="21"/>
                <w:szCs w:val="21"/>
                <w:color w:val="auto"/>
              </w:rPr>
            </w:pPr>
          </w:p>
        </w:tc>
        <w:tc>
          <w:tcPr>
            <w:tcW w:w="1040" w:type="dxa"/>
            <w:vAlign w:val="bottom"/>
            <w:shd w:val="clear" w:color="auto" w:fill="D1EDF5"/>
          </w:tcPr>
          <w:p>
            <w:pPr>
              <w:spacing w:after="0"/>
              <w:rPr>
                <w:sz w:val="21"/>
                <w:szCs w:val="21"/>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339,007</w:t>
            </w:r>
          </w:p>
        </w:tc>
        <w:tc>
          <w:tcPr>
            <w:tcW w:w="80" w:type="dxa"/>
            <w:vAlign w:val="bottom"/>
            <w:shd w:val="clear" w:color="auto" w:fill="D1EDF5"/>
          </w:tcPr>
          <w:p>
            <w:pPr>
              <w:spacing w:after="0"/>
              <w:rPr>
                <w:sz w:val="21"/>
                <w:szCs w:val="21"/>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D1EDF5"/>
          </w:tcPr>
          <w:p>
            <w:pPr>
              <w:spacing w:after="0"/>
              <w:rPr>
                <w:sz w:val="21"/>
                <w:szCs w:val="21"/>
                <w:color w:val="auto"/>
              </w:rPr>
            </w:pPr>
          </w:p>
        </w:tc>
        <w:tc>
          <w:tcPr>
            <w:tcW w:w="140" w:type="dxa"/>
            <w:vAlign w:val="bottom"/>
            <w:shd w:val="clear" w:color="auto" w:fill="D1EDF5"/>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rPr>
              <w:t>(32,206)</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307,490</w:t>
            </w: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December 31, 2025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Amortized</w:t>
            </w:r>
          </w:p>
        </w:tc>
        <w:tc>
          <w:tcPr>
            <w:tcW w:w="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Unrecognized</w:t>
            </w: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Unrecognized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340" w:type="dxa"/>
            <w:vAlign w:val="bottom"/>
            <w:tcBorders>
              <w:bottom w:val="single" w:sz="8" w:color="D1EDF5"/>
            </w:tcBorders>
          </w:tcPr>
          <w:p>
            <w:pPr>
              <w:spacing w:after="0"/>
              <w:rPr>
                <w:sz w:val="20"/>
                <w:szCs w:val="20"/>
                <w:color w:val="auto"/>
              </w:rPr>
            </w:pPr>
            <w:r>
              <w:rPr>
                <w:rFonts w:ascii="Arial" w:cs="Arial" w:eastAsia="Arial" w:hAnsi="Arial"/>
                <w:sz w:val="18"/>
                <w:szCs w:val="18"/>
                <w:b w:val="1"/>
                <w:bCs w:val="1"/>
                <w:color w:val="auto"/>
              </w:rPr>
              <w:t>Held-to-maturity:</w:t>
            </w: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D1EDF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Borders>
              <w:bottom w:val="single" w:sz="8" w:color="D1ED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Losses</w:t>
            </w:r>
          </w:p>
        </w:tc>
        <w:tc>
          <w:tcPr>
            <w:tcW w:w="4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5340" w:type="dxa"/>
            <w:vAlign w:val="bottom"/>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41,158</w:t>
            </w:r>
          </w:p>
        </w:tc>
        <w:tc>
          <w:tcPr>
            <w:tcW w:w="80" w:type="dxa"/>
            <w:vAlign w:val="bottom"/>
            <w:shd w:val="clear" w:color="auto" w:fill="D1EDF5"/>
          </w:tcPr>
          <w:p>
            <w:pPr>
              <w:spacing w:after="0"/>
              <w:rPr>
                <w:sz w:val="19"/>
                <w:szCs w:val="19"/>
                <w:color w:val="auto"/>
              </w:rPr>
            </w:pPr>
          </w:p>
        </w:tc>
        <w:tc>
          <w:tcPr>
            <w:tcW w:w="240" w:type="dxa"/>
            <w:vAlign w:val="bottom"/>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D1EDF5"/>
          </w:tcPr>
          <w:p>
            <w:pPr>
              <w:spacing w:after="0"/>
              <w:rPr>
                <w:sz w:val="19"/>
                <w:szCs w:val="19"/>
                <w:color w:val="auto"/>
              </w:rPr>
            </w:pPr>
          </w:p>
        </w:tc>
        <w:tc>
          <w:tcPr>
            <w:tcW w:w="220" w:type="dxa"/>
            <w:vAlign w:val="bottom"/>
            <w:shd w:val="clear" w:color="auto" w:fill="D1EDF5"/>
          </w:tcPr>
          <w:p>
            <w:pPr>
              <w:jc w:val="center"/>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(3,279)</w:t>
            </w:r>
          </w:p>
        </w:tc>
        <w:tc>
          <w:tcPr>
            <w:tcW w:w="4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37,970</w:t>
            </w:r>
          </w:p>
        </w:tc>
        <w:tc>
          <w:tcPr>
            <w:tcW w:w="0" w:type="dxa"/>
            <w:vAlign w:val="bottom"/>
          </w:tcPr>
          <w:p>
            <w:pPr>
              <w:spacing w:after="0"/>
              <w:rPr>
                <w:sz w:val="1"/>
                <w:szCs w:val="1"/>
                <w:color w:val="auto"/>
              </w:rPr>
            </w:pPr>
          </w:p>
        </w:tc>
      </w:tr>
      <w:tr>
        <w:trPr>
          <w:trHeight w:val="240"/>
        </w:trPr>
        <w:tc>
          <w:tcPr>
            <w:tcW w:w="534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(5,499)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46,786</w:t>
            </w:r>
          </w:p>
        </w:tc>
        <w:tc>
          <w:tcPr>
            <w:tcW w:w="0" w:type="dxa"/>
            <w:vAlign w:val="bottom"/>
          </w:tcPr>
          <w:p>
            <w:pPr>
              <w:spacing w:after="0"/>
              <w:rPr>
                <w:sz w:val="1"/>
                <w:szCs w:val="1"/>
                <w:color w:val="auto"/>
              </w:rPr>
            </w:pPr>
          </w:p>
        </w:tc>
      </w:tr>
      <w:tr>
        <w:trPr>
          <w:trHeight w:val="240"/>
        </w:trPr>
        <w:tc>
          <w:tcPr>
            <w:tcW w:w="534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37,221</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760</w:t>
            </w: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112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(3,263)</w:t>
            </w: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34,718</w:t>
            </w:r>
          </w:p>
        </w:tc>
        <w:tc>
          <w:tcPr>
            <w:tcW w:w="0" w:type="dxa"/>
            <w:vAlign w:val="bottom"/>
          </w:tcPr>
          <w:p>
            <w:pPr>
              <w:spacing w:after="0"/>
              <w:rPr>
                <w:sz w:val="1"/>
                <w:szCs w:val="1"/>
                <w:color w:val="auto"/>
              </w:rPr>
            </w:pPr>
          </w:p>
        </w:tc>
      </w:tr>
      <w:tr>
        <w:trPr>
          <w:trHeight w:val="240"/>
        </w:trPr>
        <w:tc>
          <w:tcPr>
            <w:tcW w:w="5340" w:type="dxa"/>
            <w:vAlign w:val="bottom"/>
          </w:tcPr>
          <w:p>
            <w:pPr>
              <w:spacing w:after="0"/>
              <w:rPr>
                <w:sz w:val="20"/>
                <w:szCs w:val="20"/>
                <w:color w:val="auto"/>
              </w:rPr>
            </w:pPr>
            <w:r>
              <w:rPr>
                <w:rFonts w:ascii="Arial" w:cs="Arial" w:eastAsia="Arial" w:hAnsi="Arial"/>
                <w:sz w:val="18"/>
                <w:szCs w:val="18"/>
                <w:color w:val="auto"/>
              </w:rPr>
              <w:t>Mortgage-backed securities - commercial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40"/>
        </w:trPr>
        <w:tc>
          <w:tcPr>
            <w:tcW w:w="5340" w:type="dxa"/>
            <w:vAlign w:val="bottom"/>
            <w:shd w:val="clear" w:color="auto" w:fill="D1EDF5"/>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9,045</w:t>
            </w: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112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153,943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1,705</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(13,140)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142,508</w:t>
            </w:r>
          </w:p>
        </w:tc>
        <w:tc>
          <w:tcPr>
            <w:tcW w:w="0" w:type="dxa"/>
            <w:vAlign w:val="bottom"/>
          </w:tcPr>
          <w:p>
            <w:pPr>
              <w:spacing w:after="0"/>
              <w:rPr>
                <w:sz w:val="1"/>
                <w:szCs w:val="1"/>
                <w:color w:val="auto"/>
              </w:rPr>
            </w:pPr>
          </w:p>
        </w:tc>
      </w:tr>
      <w:tr>
        <w:trPr>
          <w:trHeight w:val="257"/>
        </w:trPr>
        <w:tc>
          <w:tcPr>
            <w:tcW w:w="53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Allowance for credit losses - securities held-to-maturity</w:t>
            </w:r>
          </w:p>
        </w:tc>
        <w:tc>
          <w:tcPr>
            <w:tcW w:w="20" w:type="dxa"/>
            <w:vAlign w:val="bottom"/>
            <w:tcBorders>
              <w:top w:val="single" w:sz="8" w:color="D1EDF5"/>
            </w:tcBorders>
            <w:shd w:val="clear" w:color="auto" w:fill="D1EDF5"/>
          </w:tcPr>
          <w:p>
            <w:pPr>
              <w:spacing w:after="0"/>
              <w:rPr>
                <w:sz w:val="22"/>
                <w:szCs w:val="22"/>
                <w:color w:val="auto"/>
              </w:rPr>
            </w:pPr>
          </w:p>
        </w:tc>
        <w:tc>
          <w:tcPr>
            <w:tcW w:w="180" w:type="dxa"/>
            <w:vAlign w:val="bottom"/>
            <w:tcBorders>
              <w:top w:val="single" w:sz="8" w:color="auto"/>
              <w:bottom w:val="single" w:sz="8" w:color="auto"/>
            </w:tcBorders>
            <w:shd w:val="clear" w:color="auto" w:fill="D1EDF5"/>
          </w:tcPr>
          <w:p>
            <w:pPr>
              <w:spacing w:after="0"/>
              <w:rPr>
                <w:sz w:val="22"/>
                <w:szCs w:val="22"/>
                <w:color w:val="auto"/>
              </w:rPr>
            </w:pPr>
          </w:p>
        </w:tc>
        <w:tc>
          <w:tcPr>
            <w:tcW w:w="1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D1EDF5"/>
            </w:tcBorders>
            <w:shd w:val="clear" w:color="auto" w:fill="D1EDF5"/>
          </w:tcPr>
          <w:p>
            <w:pPr>
              <w:spacing w:after="0"/>
              <w:rPr>
                <w:sz w:val="22"/>
                <w:szCs w:val="22"/>
                <w:color w:val="auto"/>
              </w:rPr>
            </w:pPr>
          </w:p>
        </w:tc>
        <w:tc>
          <w:tcPr>
            <w:tcW w:w="240" w:type="dxa"/>
            <w:vAlign w:val="bottom"/>
            <w:tcBorders>
              <w:top w:val="single" w:sz="8" w:color="auto"/>
            </w:tcBorders>
            <w:shd w:val="clear" w:color="auto" w:fill="D1EDF5"/>
          </w:tcPr>
          <w:p>
            <w:pPr>
              <w:spacing w:after="0"/>
              <w:rPr>
                <w:sz w:val="22"/>
                <w:szCs w:val="22"/>
                <w:color w:val="auto"/>
              </w:rPr>
            </w:pPr>
          </w:p>
        </w:tc>
        <w:tc>
          <w:tcPr>
            <w:tcW w:w="1060" w:type="dxa"/>
            <w:vAlign w:val="bottom"/>
            <w:tcBorders>
              <w:top w:val="single" w:sz="8" w:color="auto"/>
            </w:tcBorders>
            <w:shd w:val="clear" w:color="auto" w:fill="D1EDF5"/>
          </w:tcPr>
          <w:p>
            <w:pPr>
              <w:spacing w:after="0"/>
              <w:rPr>
                <w:sz w:val="22"/>
                <w:szCs w:val="22"/>
                <w:color w:val="auto"/>
              </w:rPr>
            </w:pPr>
          </w:p>
        </w:tc>
        <w:tc>
          <w:tcPr>
            <w:tcW w:w="80" w:type="dxa"/>
            <w:vAlign w:val="bottom"/>
            <w:tcBorders>
              <w:top w:val="single" w:sz="8" w:color="D1EDF5"/>
            </w:tcBorders>
            <w:shd w:val="clear" w:color="auto" w:fill="D1EDF5"/>
          </w:tcPr>
          <w:p>
            <w:pPr>
              <w:spacing w:after="0"/>
              <w:rPr>
                <w:sz w:val="22"/>
                <w:szCs w:val="22"/>
                <w:color w:val="auto"/>
              </w:rPr>
            </w:pPr>
          </w:p>
        </w:tc>
        <w:tc>
          <w:tcPr>
            <w:tcW w:w="220" w:type="dxa"/>
            <w:vAlign w:val="bottom"/>
            <w:tcBorders>
              <w:top w:val="single" w:sz="8" w:color="auto"/>
            </w:tcBorders>
            <w:shd w:val="clear" w:color="auto" w:fill="D1EDF5"/>
          </w:tcPr>
          <w:p>
            <w:pPr>
              <w:spacing w:after="0"/>
              <w:rPr>
                <w:sz w:val="22"/>
                <w:szCs w:val="22"/>
                <w:color w:val="auto"/>
              </w:rPr>
            </w:pPr>
          </w:p>
        </w:tc>
        <w:tc>
          <w:tcPr>
            <w:tcW w:w="1080" w:type="dxa"/>
            <w:vAlign w:val="bottom"/>
            <w:tcBorders>
              <w:top w:val="single" w:sz="8" w:color="auto"/>
            </w:tcBorders>
            <w:shd w:val="clear" w:color="auto" w:fill="D1EDF5"/>
          </w:tcPr>
          <w:p>
            <w:pPr>
              <w:spacing w:after="0"/>
              <w:rPr>
                <w:sz w:val="22"/>
                <w:szCs w:val="22"/>
                <w:color w:val="auto"/>
              </w:rPr>
            </w:pPr>
          </w:p>
        </w:tc>
        <w:tc>
          <w:tcPr>
            <w:tcW w:w="40" w:type="dxa"/>
            <w:vAlign w:val="bottom"/>
            <w:tcBorders>
              <w:top w:val="single" w:sz="8" w:color="D1EDF5"/>
            </w:tcBorders>
            <w:shd w:val="clear" w:color="auto" w:fill="D1EDF5"/>
          </w:tcPr>
          <w:p>
            <w:pPr>
              <w:spacing w:after="0"/>
              <w:rPr>
                <w:sz w:val="22"/>
                <w:szCs w:val="22"/>
                <w:color w:val="auto"/>
              </w:rPr>
            </w:pPr>
          </w:p>
        </w:tc>
        <w:tc>
          <w:tcPr>
            <w:tcW w:w="40" w:type="dxa"/>
            <w:vAlign w:val="bottom"/>
            <w:tcBorders>
              <w:top w:val="single" w:sz="8" w:color="D1EDF5"/>
            </w:tcBorders>
            <w:shd w:val="clear" w:color="auto" w:fill="D1EDF5"/>
          </w:tcPr>
          <w:p>
            <w:pPr>
              <w:spacing w:after="0"/>
              <w:rPr>
                <w:sz w:val="22"/>
                <w:szCs w:val="22"/>
                <w:color w:val="auto"/>
              </w:rPr>
            </w:pPr>
          </w:p>
        </w:tc>
        <w:tc>
          <w:tcPr>
            <w:tcW w:w="180" w:type="dxa"/>
            <w:vAlign w:val="bottom"/>
            <w:tcBorders>
              <w:top w:val="single" w:sz="8" w:color="auto"/>
            </w:tcBorders>
            <w:shd w:val="clear" w:color="auto" w:fill="D1EDF5"/>
          </w:tcPr>
          <w:p>
            <w:pPr>
              <w:spacing w:after="0"/>
              <w:rPr>
                <w:sz w:val="22"/>
                <w:szCs w:val="22"/>
                <w:color w:val="auto"/>
              </w:rPr>
            </w:pPr>
          </w:p>
        </w:tc>
        <w:tc>
          <w:tcPr>
            <w:tcW w:w="1120" w:type="dxa"/>
            <w:vAlign w:val="bottom"/>
            <w:tcBorders>
              <w:top w:val="single" w:sz="8" w:color="auto"/>
            </w:tcBorders>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vMerge w:val="continue"/>
          </w:tcPr>
          <w:p>
            <w:pPr>
              <w:spacing w:after="0"/>
              <w:rPr>
                <w:sz w:val="22"/>
                <w:szCs w:val="22"/>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153,941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59"/>
        </w:trPr>
        <w:tc>
          <w:tcPr>
            <w:tcW w:w="4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7"/>
        </w:trPr>
        <w:tc>
          <w:tcPr>
            <w:tcW w:w="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Losses</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528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14,279</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2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12,625</w:t>
            </w: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101,808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78,905</w:t>
            </w:r>
          </w:p>
        </w:tc>
      </w:tr>
      <w:tr>
        <w:trPr>
          <w:trHeight w:val="240"/>
        </w:trPr>
        <w:tc>
          <w:tcPr>
            <w:tcW w:w="40" w:type="dxa"/>
            <w:vAlign w:val="bottom"/>
            <w:shd w:val="clear" w:color="auto" w:fill="D1EDF5"/>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58,995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(12,063)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46,933</w:t>
            </w: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86,604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78,739</w:t>
            </w:r>
          </w:p>
        </w:tc>
      </w:tr>
      <w:tr>
        <w:trPr>
          <w:trHeight w:val="240"/>
        </w:trPr>
        <w:tc>
          <w:tcPr>
            <w:tcW w:w="40" w:type="dxa"/>
            <w:vAlign w:val="bottom"/>
            <w:shd w:val="clear" w:color="auto" w:fill="D1EDF5"/>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Arial" w:cs="Arial" w:eastAsia="Arial" w:hAnsi="Arial"/>
                <w:sz w:val="18"/>
                <w:szCs w:val="18"/>
                <w:color w:val="auto"/>
              </w:rPr>
              <w:t>Municipal securities</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24,925</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(5,614)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19,311</w:t>
            </w:r>
          </w:p>
        </w:tc>
      </w:tr>
      <w:tr>
        <w:trPr>
          <w:trHeight w:val="240"/>
        </w:trPr>
        <w:tc>
          <w:tcPr>
            <w:tcW w:w="40" w:type="dxa"/>
            <w:vAlign w:val="bottom"/>
            <w:tcBorders>
              <w:bottom w:val="single" w:sz="8" w:color="D1EDF5"/>
            </w:tcBorders>
          </w:tcPr>
          <w:p>
            <w:pPr>
              <w:spacing w:after="0"/>
              <w:rPr>
                <w:sz w:val="20"/>
                <w:szCs w:val="20"/>
                <w:color w:val="auto"/>
              </w:rPr>
            </w:pPr>
          </w:p>
        </w:tc>
        <w:tc>
          <w:tcPr>
            <w:tcW w:w="532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Bank subordinated debt securities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24,314</w:t>
            </w:r>
          </w:p>
        </w:tc>
        <w:tc>
          <w:tcPr>
            <w:tcW w:w="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8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23,708</w:t>
            </w:r>
          </w:p>
        </w:tc>
      </w:tr>
      <w:tr>
        <w:trPr>
          <w:trHeight w:val="244"/>
        </w:trPr>
        <w:tc>
          <w:tcPr>
            <w:tcW w:w="40" w:type="dxa"/>
            <w:vAlign w:val="bottom"/>
            <w:shd w:val="clear" w:color="auto" w:fill="D1EDF5"/>
          </w:tcPr>
          <w:p>
            <w:pPr>
              <w:spacing w:after="0"/>
              <w:rPr>
                <w:sz w:val="21"/>
                <w:szCs w:val="21"/>
                <w:color w:val="auto"/>
              </w:rPr>
            </w:pPr>
          </w:p>
        </w:tc>
        <w:tc>
          <w:tcPr>
            <w:tcW w:w="5280" w:type="dxa"/>
            <w:vAlign w:val="bottom"/>
            <w:shd w:val="clear" w:color="auto" w:fill="D1EDF5"/>
          </w:tcPr>
          <w:p>
            <w:pPr>
              <w:spacing w:after="0"/>
              <w:rPr>
                <w:sz w:val="21"/>
                <w:szCs w:val="21"/>
                <w:color w:val="auto"/>
              </w:rPr>
            </w:pPr>
          </w:p>
        </w:tc>
        <w:tc>
          <w:tcPr>
            <w:tcW w:w="4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310,925</w:t>
            </w:r>
          </w:p>
        </w:tc>
        <w:tc>
          <w:tcPr>
            <w:tcW w:w="8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(51,212)</w:t>
            </w:r>
          </w:p>
        </w:tc>
        <w:tc>
          <w:tcPr>
            <w:tcW w:w="80" w:type="dxa"/>
            <w:vAlign w:val="bottom"/>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260,221</w:t>
            </w: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w:t>
            </w:r>
          </w:p>
        </w:tc>
        <w:tc>
          <w:tcPr>
            <w:tcW w:w="80" w:type="dxa"/>
            <w:vAlign w:val="bottom"/>
          </w:tcPr>
          <w:p>
            <w:pPr>
              <w:spacing w:after="0"/>
              <w:rPr>
                <w:sz w:val="23"/>
                <w:szCs w:val="23"/>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Unrecognized</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Held-to-maturity:</w:t>
            </w:r>
          </w:p>
        </w:tc>
        <w:tc>
          <w:tcPr>
            <w:tcW w:w="14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528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42,538</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w w:val="79"/>
                <w:shd w:val="clear" w:color="auto" w:fill="D1EDF5"/>
              </w:rPr>
              <w:t>$</w:t>
            </w:r>
          </w:p>
        </w:tc>
        <w:tc>
          <w:tcPr>
            <w:tcW w:w="116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w w:val="79"/>
                <w:shd w:val="clear" w:color="auto" w:fill="D1EDF5"/>
              </w:rPr>
              <w:t>$</w:t>
            </w:r>
          </w:p>
        </w:tc>
        <w:tc>
          <w:tcPr>
            <w:tcW w:w="11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(5,094)</w:t>
            </w:r>
          </w:p>
        </w:tc>
        <w:tc>
          <w:tcPr>
            <w:tcW w:w="8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12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37,444</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56,987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49,259</w:t>
            </w:r>
          </w:p>
        </w:tc>
        <w:tc>
          <w:tcPr>
            <w:tcW w:w="0" w:type="dxa"/>
            <w:vAlign w:val="bottom"/>
          </w:tcPr>
          <w:p>
            <w:pPr>
              <w:spacing w:after="0"/>
              <w:rPr>
                <w:sz w:val="1"/>
                <w:szCs w:val="1"/>
                <w:color w:val="auto"/>
              </w:rPr>
            </w:pPr>
          </w:p>
        </w:tc>
      </w:tr>
      <w:tr>
        <w:trPr>
          <w:trHeight w:val="240"/>
        </w:trPr>
        <w:tc>
          <w:tcPr>
            <w:tcW w:w="40" w:type="dxa"/>
            <w:vAlign w:val="bottom"/>
            <w:shd w:val="clear" w:color="auto" w:fill="D1EDF5"/>
          </w:tcPr>
          <w:p>
            <w:pPr>
              <w:spacing w:after="0"/>
              <w:rPr>
                <w:sz w:val="20"/>
                <w:szCs w:val="20"/>
                <w:color w:val="auto"/>
              </w:rPr>
            </w:pPr>
          </w:p>
        </w:tc>
        <w:tc>
          <w:tcPr>
            <w:tcW w:w="528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40,681</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53</w:t>
            </w: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(4,613)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36,121</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13,887</w:t>
            </w:r>
          </w:p>
        </w:tc>
        <w:tc>
          <w:tcPr>
            <w:tcW w:w="0" w:type="dxa"/>
            <w:vAlign w:val="bottom"/>
          </w:tcPr>
          <w:p>
            <w:pPr>
              <w:spacing w:after="0"/>
              <w:rPr>
                <w:sz w:val="1"/>
                <w:szCs w:val="1"/>
                <w:color w:val="auto"/>
              </w:rPr>
            </w:pPr>
          </w:p>
        </w:tc>
      </w:tr>
      <w:tr>
        <w:trPr>
          <w:trHeight w:val="232"/>
        </w:trPr>
        <w:tc>
          <w:tcPr>
            <w:tcW w:w="40" w:type="dxa"/>
            <w:vAlign w:val="bottom"/>
            <w:tcBorders>
              <w:bottom w:val="single" w:sz="8" w:color="D1EDF5"/>
            </w:tcBorders>
            <w:shd w:val="clear" w:color="auto" w:fill="D1EDF5"/>
          </w:tcPr>
          <w:p>
            <w:pPr>
              <w:spacing w:after="0"/>
              <w:rPr>
                <w:sz w:val="20"/>
                <w:szCs w:val="20"/>
                <w:color w:val="auto"/>
              </w:rPr>
            </w:pPr>
          </w:p>
        </w:tc>
        <w:tc>
          <w:tcPr>
            <w:tcW w:w="52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Corporate bonds</w:t>
            </w:r>
          </w:p>
        </w:tc>
        <w:tc>
          <w:tcPr>
            <w:tcW w:w="4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9,222</w:t>
            </w:r>
          </w:p>
        </w:tc>
        <w:tc>
          <w:tcPr>
            <w:tcW w:w="8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1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164,700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(19,270)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145,540</w:t>
            </w:r>
          </w:p>
        </w:tc>
        <w:tc>
          <w:tcPr>
            <w:tcW w:w="0" w:type="dxa"/>
            <w:vAlign w:val="bottom"/>
          </w:tcPr>
          <w:p>
            <w:pPr>
              <w:spacing w:after="0"/>
              <w:rPr>
                <w:sz w:val="1"/>
                <w:szCs w:val="1"/>
                <w:color w:val="auto"/>
              </w:rPr>
            </w:pPr>
          </w:p>
        </w:tc>
      </w:tr>
      <w:tr>
        <w:trPr>
          <w:trHeight w:val="254"/>
        </w:trPr>
        <w:tc>
          <w:tcPr>
            <w:tcW w:w="40" w:type="dxa"/>
            <w:vAlign w:val="bottom"/>
            <w:tcBorders>
              <w:top w:val="single" w:sz="8" w:color="D1EDF5"/>
              <w:bottom w:val="single" w:sz="8" w:color="D1EDF5"/>
            </w:tcBorders>
            <w:shd w:val="clear" w:color="auto" w:fill="D1EDF5"/>
          </w:tcPr>
          <w:p>
            <w:pPr>
              <w:spacing w:after="0"/>
              <w:rPr>
                <w:sz w:val="22"/>
                <w:szCs w:val="22"/>
                <w:color w:val="auto"/>
              </w:rPr>
            </w:pPr>
          </w:p>
        </w:tc>
        <w:tc>
          <w:tcPr>
            <w:tcW w:w="5280" w:type="dxa"/>
            <w:vAlign w:val="bottom"/>
            <w:tcBorders>
              <w:top w:val="single" w:sz="8" w:color="D1EDF5"/>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Allowance for credit losses - securities held-to-maturity</w:t>
            </w:r>
          </w:p>
        </w:tc>
        <w:tc>
          <w:tcPr>
            <w:tcW w:w="40" w:type="dxa"/>
            <w:vAlign w:val="bottom"/>
            <w:tcBorders>
              <w:top w:val="single" w:sz="8" w:color="D1EDF5"/>
              <w:bottom w:val="single" w:sz="8" w:color="D1EDF5"/>
            </w:tcBorders>
            <w:shd w:val="clear" w:color="auto" w:fill="D1EDF5"/>
          </w:tcPr>
          <w:p>
            <w:pPr>
              <w:spacing w:after="0"/>
              <w:rPr>
                <w:sz w:val="22"/>
                <w:szCs w:val="22"/>
                <w:color w:val="auto"/>
              </w:rPr>
            </w:pPr>
          </w:p>
        </w:tc>
        <w:tc>
          <w:tcPr>
            <w:tcW w:w="140" w:type="dxa"/>
            <w:vAlign w:val="bottom"/>
            <w:tcBorders>
              <w:top w:val="single" w:sz="8" w:color="auto"/>
              <w:bottom w:val="single" w:sz="8" w:color="D1EDF5"/>
            </w:tcBorders>
            <w:shd w:val="clear" w:color="auto" w:fill="D1EDF5"/>
          </w:tcPr>
          <w:p>
            <w:pPr>
              <w:spacing w:after="0"/>
              <w:rPr>
                <w:sz w:val="22"/>
                <w:szCs w:val="22"/>
                <w:color w:val="auto"/>
              </w:rPr>
            </w:pPr>
          </w:p>
        </w:tc>
        <w:tc>
          <w:tcPr>
            <w:tcW w:w="1160" w:type="dxa"/>
            <w:vAlign w:val="bottom"/>
            <w:tcBorders>
              <w:top w:val="single" w:sz="8" w:color="auto"/>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140" w:type="dxa"/>
            <w:vAlign w:val="bottom"/>
            <w:tcBorders>
              <w:top w:val="single" w:sz="8" w:color="auto"/>
              <w:bottom w:val="single" w:sz="8" w:color="D1EDF5"/>
            </w:tcBorders>
            <w:shd w:val="clear" w:color="auto" w:fill="D1EDF5"/>
          </w:tcPr>
          <w:p>
            <w:pPr>
              <w:spacing w:after="0"/>
              <w:rPr>
                <w:sz w:val="22"/>
                <w:szCs w:val="22"/>
                <w:color w:val="auto"/>
              </w:rPr>
            </w:pPr>
          </w:p>
        </w:tc>
        <w:tc>
          <w:tcPr>
            <w:tcW w:w="1160" w:type="dxa"/>
            <w:vAlign w:val="bottom"/>
            <w:tcBorders>
              <w:top w:val="single" w:sz="8" w:color="auto"/>
              <w:bottom w:val="single" w:sz="8" w:color="D1EDF5"/>
            </w:tcBorders>
            <w:shd w:val="clear" w:color="auto" w:fill="D1EDF5"/>
          </w:tcPr>
          <w:p>
            <w:pPr>
              <w:spacing w:after="0"/>
              <w:rPr>
                <w:sz w:val="22"/>
                <w:szCs w:val="22"/>
                <w:color w:val="auto"/>
              </w:rPr>
            </w:pP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140" w:type="dxa"/>
            <w:vAlign w:val="bottom"/>
            <w:tcBorders>
              <w:top w:val="single" w:sz="8" w:color="auto"/>
              <w:bottom w:val="single" w:sz="8" w:color="D1EDF5"/>
            </w:tcBorders>
            <w:shd w:val="clear" w:color="auto" w:fill="D1EDF5"/>
          </w:tcPr>
          <w:p>
            <w:pPr>
              <w:spacing w:after="0"/>
              <w:rPr>
                <w:sz w:val="22"/>
                <w:szCs w:val="22"/>
                <w:color w:val="auto"/>
              </w:rPr>
            </w:pPr>
          </w:p>
        </w:tc>
        <w:tc>
          <w:tcPr>
            <w:tcW w:w="1160" w:type="dxa"/>
            <w:vAlign w:val="bottom"/>
            <w:tcBorders>
              <w:top w:val="single" w:sz="8" w:color="auto"/>
              <w:bottom w:val="single" w:sz="8" w:color="D1EDF5"/>
            </w:tcBorders>
            <w:shd w:val="clear" w:color="auto" w:fill="D1EDF5"/>
          </w:tcPr>
          <w:p>
            <w:pPr>
              <w:spacing w:after="0"/>
              <w:rPr>
                <w:sz w:val="22"/>
                <w:szCs w:val="22"/>
                <w:color w:val="auto"/>
              </w:rPr>
            </w:pPr>
          </w:p>
        </w:tc>
        <w:tc>
          <w:tcPr>
            <w:tcW w:w="80" w:type="dxa"/>
            <w:vAlign w:val="bottom"/>
            <w:tcBorders>
              <w:top w:val="single" w:sz="8" w:color="D1EDF5"/>
              <w:bottom w:val="single" w:sz="8" w:color="D1EDF5"/>
            </w:tcBorders>
            <w:shd w:val="clear" w:color="auto" w:fill="D1EDF5"/>
          </w:tcPr>
          <w:p>
            <w:pPr>
              <w:spacing w:after="0"/>
              <w:rPr>
                <w:sz w:val="22"/>
                <w:szCs w:val="22"/>
                <w:color w:val="auto"/>
              </w:rPr>
            </w:pPr>
          </w:p>
        </w:tc>
        <w:tc>
          <w:tcPr>
            <w:tcW w:w="180" w:type="dxa"/>
            <w:vAlign w:val="bottom"/>
            <w:tcBorders>
              <w:top w:val="single" w:sz="8" w:color="auto"/>
              <w:bottom w:val="single" w:sz="8" w:color="D1EDF5"/>
            </w:tcBorders>
            <w:shd w:val="clear" w:color="auto" w:fill="D1EDF5"/>
          </w:tcPr>
          <w:p>
            <w:pPr>
              <w:spacing w:after="0"/>
              <w:rPr>
                <w:sz w:val="22"/>
                <w:szCs w:val="22"/>
                <w:color w:val="auto"/>
              </w:rPr>
            </w:pPr>
          </w:p>
        </w:tc>
        <w:tc>
          <w:tcPr>
            <w:tcW w:w="1120" w:type="dxa"/>
            <w:vAlign w:val="bottom"/>
            <w:tcBorders>
              <w:top w:val="single" w:sz="8" w:color="auto"/>
              <w:bottom w:val="single" w:sz="8" w:color="D1EDF5"/>
            </w:tcBorders>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Securities held-to maturity, net of allowance for credit 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5320" w:type="dxa"/>
            <w:vAlign w:val="bottom"/>
            <w:gridSpan w:val="2"/>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164,694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92" w:name="page93"/>
    <w:bookmarkEnd w:id="92"/>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Transfers of debt securities into the HTM category from the available for sale (“AFS”) category are made at fair value as of the date of transfer. The unrealized gain or loss at the date of transfer is retained in accumulated other comprehensive loss (“AOCL”) and in the carrying value of the HTM securities and there is no impact to net income. Such amounts are amortized over the remaining life of the securities. The Company made two transfers from AFS to HTM portfolios in 2022.</w:t>
      </w:r>
    </w:p>
    <w:p>
      <w:pPr>
        <w:spacing w:after="0" w:line="16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There were no investment securities that were transferred from AFS to HTM for the years ended December 31, 2025, and 2024.</w:t>
      </w:r>
    </w:p>
    <w:p>
      <w:pPr>
        <w:spacing w:after="0" w:line="151"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For the years ended December 31, 2025 and 2024, total amortization out of AOCL for the net unrealized losses on securities transferred from AFS to HTM in 2022 was $266 thousand and $267 thousand, respectively. The remaining balance of the net unrealized losses retained in AOCL was $9.0 million at December 31, 2025 and $9.3 million at December 31, 2024. The fair value of the transferred securities was $99.6 million at December 31, 2025 and $101.2 million at December 31, 2024.</w:t>
      </w:r>
    </w:p>
    <w:p>
      <w:pPr>
        <w:spacing w:after="0" w:line="183"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years ended December 31, 2025 and 2024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30"/>
        </w:trPr>
        <w:tc>
          <w:tcPr>
            <w:tcW w:w="736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Proceeds from sales and call of securities</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82,497</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34,753</w:t>
            </w:r>
          </w:p>
        </w:tc>
      </w:tr>
      <w:tr>
        <w:trPr>
          <w:trHeight w:val="240"/>
        </w:trPr>
        <w:tc>
          <w:tcPr>
            <w:tcW w:w="1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r>
      <w:tr>
        <w:trPr>
          <w:trHeight w:val="240"/>
        </w:trPr>
        <w:tc>
          <w:tcPr>
            <w:tcW w:w="736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Gross gains</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195</w:t>
            </w:r>
          </w:p>
        </w:tc>
      </w:tr>
      <w:tr>
        <w:trPr>
          <w:trHeight w:val="240"/>
        </w:trPr>
        <w:tc>
          <w:tcPr>
            <w:tcW w:w="736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Gross losses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(7,926)</w:t>
            </w: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6"/>
        </w:trPr>
        <w:tc>
          <w:tcPr>
            <w:tcW w:w="140" w:type="dxa"/>
            <w:vAlign w:val="bottom"/>
            <w:tcBorders>
              <w:bottom w:val="single" w:sz="8" w:color="D1EDF5"/>
            </w:tcBorders>
            <w:shd w:val="clear" w:color="auto" w:fill="D1EDF5"/>
          </w:tcPr>
          <w:p>
            <w:pPr>
              <w:spacing w:after="0"/>
              <w:rPr>
                <w:sz w:val="21"/>
                <w:szCs w:val="21"/>
                <w:color w:val="auto"/>
              </w:rPr>
            </w:pPr>
          </w:p>
        </w:tc>
        <w:tc>
          <w:tcPr>
            <w:tcW w:w="72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Net realized (losses) gains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D1EDF5"/>
            </w:tcBorders>
            <w:gridSpan w:val="2"/>
            <w:shd w:val="clear" w:color="auto" w:fill="D1EDF5"/>
          </w:tcPr>
          <w:p>
            <w:pPr>
              <w:jc w:val="right"/>
              <w:ind w:right="60"/>
              <w:spacing w:after="0"/>
              <w:rPr>
                <w:sz w:val="20"/>
                <w:szCs w:val="20"/>
                <w:color w:val="auto"/>
              </w:rPr>
            </w:pPr>
            <w:r>
              <w:rPr>
                <w:rFonts w:ascii="Arial" w:cs="Arial" w:eastAsia="Arial" w:hAnsi="Arial"/>
                <w:sz w:val="18"/>
                <w:szCs w:val="18"/>
                <w:color w:val="auto"/>
              </w:rPr>
              <w:t>(7,526)</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Available-for-sale</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Held-to-maturity</w:t>
            </w:r>
          </w:p>
        </w:tc>
      </w:tr>
      <w:tr>
        <w:trPr>
          <w:trHeight w:val="217"/>
        </w:trPr>
        <w:tc>
          <w:tcPr>
            <w:tcW w:w="5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Amortized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Amortized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5580" w:type="dxa"/>
            <w:vAlign w:val="bottom"/>
            <w:tcBorders>
              <w:bottom w:val="single" w:sz="8" w:color="D1EDF5"/>
            </w:tcBorders>
          </w:tcPr>
          <w:p>
            <w:pPr>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6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r>
      <w:tr>
        <w:trPr>
          <w:trHeight w:val="230"/>
        </w:trPr>
        <w:tc>
          <w:tcPr>
            <w:tcW w:w="5580" w:type="dxa"/>
            <w:vAlign w:val="bottom"/>
            <w:shd w:val="clear" w:color="auto" w:fill="D1EDF5"/>
          </w:tcPr>
          <w:p>
            <w:pPr>
              <w:spacing w:after="0"/>
              <w:rPr>
                <w:sz w:val="20"/>
                <w:szCs w:val="20"/>
                <w:color w:val="auto"/>
              </w:rPr>
            </w:pPr>
            <w:r>
              <w:rPr>
                <w:rFonts w:ascii="Arial" w:cs="Arial" w:eastAsia="Arial" w:hAnsi="Arial"/>
                <w:sz w:val="18"/>
                <w:szCs w:val="18"/>
                <w:color w:val="auto"/>
              </w:rPr>
              <w:t>Due within one year</w:t>
            </w:r>
          </w:p>
        </w:tc>
        <w:tc>
          <w:tcPr>
            <w:tcW w:w="220" w:type="dxa"/>
            <w:vAlign w:val="bottom"/>
            <w:gridSpan w:val="3"/>
            <w:shd w:val="clear" w:color="auto" w:fill="D1EDF5"/>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9,045</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8,983</w:t>
            </w:r>
          </w:p>
        </w:tc>
      </w:tr>
      <w:tr>
        <w:trPr>
          <w:trHeight w:val="240"/>
        </w:trPr>
        <w:tc>
          <w:tcPr>
            <w:tcW w:w="55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80" w:type="dxa"/>
            <w:vAlign w:val="bottom"/>
            <w:shd w:val="clear" w:color="auto" w:fill="D1EDF5"/>
          </w:tcPr>
          <w:p>
            <w:pPr>
              <w:spacing w:after="0"/>
              <w:rPr>
                <w:sz w:val="20"/>
                <w:szCs w:val="20"/>
                <w:color w:val="auto"/>
              </w:rPr>
            </w:pPr>
            <w:r>
              <w:rPr>
                <w:rFonts w:ascii="Arial" w:cs="Arial" w:eastAsia="Arial" w:hAnsi="Arial"/>
                <w:sz w:val="18"/>
                <w:szCs w:val="18"/>
                <w:color w:val="auto"/>
              </w:rPr>
              <w:t>Due after five years through ten years</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16,007</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14,989</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80" w:type="dxa"/>
            <w:vAlign w:val="bottom"/>
          </w:tcPr>
          <w:p>
            <w:pPr>
              <w:spacing w:after="0"/>
              <w:rPr>
                <w:sz w:val="20"/>
                <w:szCs w:val="20"/>
                <w:color w:val="auto"/>
              </w:rPr>
            </w:pPr>
            <w:r>
              <w:rPr>
                <w:rFonts w:ascii="Arial" w:cs="Arial" w:eastAsia="Arial" w:hAnsi="Arial"/>
                <w:sz w:val="18"/>
                <w:szCs w:val="18"/>
                <w:color w:val="auto"/>
              </w:rPr>
              <w:t>Due after ten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580" w:type="dxa"/>
            <w:vAlign w:val="bottom"/>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15,169</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14,144</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41,158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37,970</w:t>
            </w:r>
          </w:p>
        </w:tc>
      </w:tr>
      <w:tr>
        <w:trPr>
          <w:trHeight w:val="240"/>
        </w:trPr>
        <w:tc>
          <w:tcPr>
            <w:tcW w:w="558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92,871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46,786</w:t>
            </w:r>
          </w:p>
        </w:tc>
      </w:tr>
      <w:tr>
        <w:trPr>
          <w:trHeight w:val="240"/>
        </w:trPr>
        <w:tc>
          <w:tcPr>
            <w:tcW w:w="5580" w:type="dxa"/>
            <w:vAlign w:val="bottom"/>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35,865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29,917</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37,221</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34,718</w:t>
            </w:r>
          </w:p>
        </w:tc>
      </w:tr>
      <w:tr>
        <w:trPr>
          <w:trHeight w:val="240"/>
        </w:trPr>
        <w:tc>
          <w:tcPr>
            <w:tcW w:w="558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Mortgage-backed securities - commercial</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174,622</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168,108</w:t>
            </w:r>
          </w:p>
        </w:tc>
        <w:tc>
          <w:tcPr>
            <w:tcW w:w="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w:t>
            </w:r>
          </w:p>
        </w:tc>
      </w:tr>
      <w:tr>
        <w:trPr>
          <w:trHeight w:val="246"/>
        </w:trPr>
        <w:tc>
          <w:tcPr>
            <w:tcW w:w="5580" w:type="dxa"/>
            <w:vAlign w:val="bottom"/>
            <w:shd w:val="clear" w:color="auto" w:fill="D1EDF5"/>
          </w:tcPr>
          <w:p>
            <w:pPr>
              <w:spacing w:after="0"/>
              <w:rPr>
                <w:sz w:val="21"/>
                <w:szCs w:val="21"/>
                <w:color w:val="auto"/>
              </w:rPr>
            </w:pPr>
          </w:p>
        </w:tc>
        <w:tc>
          <w:tcPr>
            <w:tcW w:w="220" w:type="dxa"/>
            <w:vAlign w:val="bottom"/>
            <w:gridSpan w:val="3"/>
            <w:shd w:val="clear" w:color="auto" w:fill="D1EDF5"/>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339,007</w:t>
            </w:r>
          </w:p>
        </w:tc>
        <w:tc>
          <w:tcPr>
            <w:tcW w:w="6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307,490</w:t>
            </w:r>
          </w:p>
        </w:tc>
        <w:tc>
          <w:tcPr>
            <w:tcW w:w="60" w:type="dxa"/>
            <w:vAlign w:val="bottom"/>
            <w:shd w:val="clear" w:color="auto" w:fill="D1EDF5"/>
          </w:tcPr>
          <w:p>
            <w:pPr>
              <w:spacing w:after="0"/>
              <w:rPr>
                <w:sz w:val="21"/>
                <w:szCs w:val="21"/>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153,943</w:t>
            </w:r>
          </w:p>
        </w:tc>
        <w:tc>
          <w:tcPr>
            <w:tcW w:w="6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142,508</w:t>
            </w: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At December 31, 2025 and 2024, there were no securities to any one issuer in an amount greater than 10% of total stockholders’ equity other than the U.S. Government and U.S. Government Agencies. All the collateralized mortgage obligations and mortgage-backed securities are issued by U.S. government sponsored entities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sectPr>
      </w:pPr>
    </w:p>
    <w:bookmarkStart w:id="93" w:name="page94"/>
    <w:bookmarkEnd w:id="93"/>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ectPr>
          <w:pgSz w:w="12240" w:h="15840"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2948940" cy="16192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8940" cy="161925"/>
                        </a:xfrm>
                        <a:prstGeom prst="rect">
                          <a:avLst/>
                        </a:prstGeom>
                        <a:solidFill>
                          <a:srgbClr val="D1EDF5"/>
                        </a:solidFill>
                      </wps:spPr>
                      <wps:bodyPr/>
                    </wps:wsp>
                  </a:graphicData>
                </a:graphic>
              </wp:anchor>
            </w:drawing>
          </mc:Choice>
          <mc:Fallback>
            <w:pict>
              <v:rect id="Shape 47" o:spid="_x0000_s1072" style="position:absolute;margin-left:0pt;margin-top:1.6pt;width:232.2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21336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6108">
                          <a:solidFill>
                            <a:srgbClr val="D1EDF5"/>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168pt,1.35pt" o:allowincell="f" strokecolor="#D1EDF5" strokeweight="0.4809pt"/>
            </w:pict>
          </mc:Fallback>
        </mc:AlternateContent>
      </w:r>
    </w:p>
    <w:p>
      <w:pPr>
        <w:spacing w:after="0" w:line="28" w:lineRule="exact"/>
        <w:rPr>
          <w:sz w:val="20"/>
          <w:szCs w:val="20"/>
          <w:color w:val="auto"/>
        </w:rPr>
      </w:pPr>
    </w:p>
    <w:p>
      <w:pPr>
        <w:ind w:left="40" w:right="380"/>
        <w:spacing w:after="0" w:line="279" w:lineRule="auto"/>
        <w:rPr>
          <w:sz w:val="20"/>
          <w:szCs w:val="20"/>
          <w:color w:val="auto"/>
        </w:rPr>
      </w:pPr>
      <w:r>
        <w:rPr>
          <w:rFonts w:ascii="Arial" w:cs="Arial" w:eastAsia="Arial" w:hAnsi="Arial"/>
          <w:sz w:val="18"/>
          <w:szCs w:val="18"/>
          <w:color w:val="auto"/>
        </w:rPr>
        <w:t>U.S. Government Agency Collateralized mortgage obligations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-299720</wp:posOffset>
                </wp:positionV>
                <wp:extent cx="2082165" cy="13081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2165" cy="130810"/>
                        </a:xfrm>
                        <a:prstGeom prst="rect">
                          <a:avLst/>
                        </a:prstGeom>
                        <a:solidFill>
                          <a:srgbClr val="D1EDF5"/>
                        </a:solidFill>
                      </wps:spPr>
                      <wps:bodyPr/>
                    </wps:wsp>
                  </a:graphicData>
                </a:graphic>
              </wp:anchor>
            </w:drawing>
          </mc:Choice>
          <mc:Fallback>
            <w:pict>
              <v:rect id="Shape 49" o:spid="_x0000_s1074" style="position:absolute;margin-left:2pt;margin-top:-23.5999pt;width:163.9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2948940" cy="15176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8940" cy="151765"/>
                        </a:xfrm>
                        <a:prstGeom prst="rect">
                          <a:avLst/>
                        </a:prstGeom>
                        <a:solidFill>
                          <a:srgbClr val="D1EDF5"/>
                        </a:solidFill>
                      </wps:spPr>
                      <wps:bodyPr/>
                    </wps:wsp>
                  </a:graphicData>
                </a:graphic>
              </wp:anchor>
            </w:drawing>
          </mc:Choice>
          <mc:Fallback>
            <w:pict>
              <v:rect id="Shape 50" o:spid="_x0000_s1075" style="position:absolute;margin-left:0pt;margin-top:-0.0499pt;width:232.2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ind w:left="40"/>
        <w:spacing w:after="0" w:line="258" w:lineRule="auto"/>
        <w:rPr>
          <w:sz w:val="20"/>
          <w:szCs w:val="20"/>
          <w:color w:val="auto"/>
        </w:rPr>
      </w:pPr>
      <w:r>
        <w:rPr>
          <w:rFonts w:ascii="Arial" w:cs="Arial" w:eastAsia="Arial" w:hAnsi="Arial"/>
          <w:sz w:val="18"/>
          <w:szCs w:val="18"/>
          <w:color w:val="auto"/>
          <w:shd w:val="clear" w:color="auto" w:fill="D1EDF5"/>
        </w:rPr>
        <w:t xml:space="preserve">Mortgage-backed securities - residential </w:t>
      </w:r>
      <w:r>
        <w:rPr>
          <w:rFonts w:ascii="Arial" w:cs="Arial" w:eastAsia="Arial" w:hAnsi="Arial"/>
          <w:sz w:val="18"/>
          <w:szCs w:val="18"/>
          <w:color w:val="auto"/>
        </w:rPr>
        <w:t>Mortgage-backed securities - commercial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2948940" cy="1517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8940" cy="151765"/>
                        </a:xfrm>
                        <a:prstGeom prst="rect">
                          <a:avLst/>
                        </a:prstGeom>
                        <a:solidFill>
                          <a:srgbClr val="D1EDF5"/>
                        </a:solidFill>
                      </wps:spPr>
                      <wps:bodyPr/>
                    </wps:wsp>
                  </a:graphicData>
                </a:graphic>
              </wp:anchor>
            </w:drawing>
          </mc:Choice>
          <mc:Fallback>
            <w:pict>
              <v:rect id="Shape 51" o:spid="_x0000_s1076" style="position:absolute;margin-left:0pt;margin-top:-0.6999pt;width:232.2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0</wp:posOffset>
                </wp:positionV>
                <wp:extent cx="2082165" cy="13208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2165" cy="132080"/>
                        </a:xfrm>
                        <a:prstGeom prst="rect">
                          <a:avLst/>
                        </a:prstGeom>
                        <a:solidFill>
                          <a:srgbClr val="D1EDF5"/>
                        </a:solidFill>
                      </wps:spPr>
                      <wps:bodyPr/>
                    </wps:wsp>
                  </a:graphicData>
                </a:graphic>
              </wp:anchor>
            </w:drawing>
          </mc:Choice>
          <mc:Fallback>
            <w:pict>
              <v:rect id="Shape 52" o:spid="_x0000_s1077" style="position:absolute;margin-left:2pt;margin-top:0pt;width:163.9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ind w:left="40"/>
        <w:spacing w:after="0"/>
        <w:rPr>
          <w:sz w:val="20"/>
          <w:szCs w:val="20"/>
          <w:color w:val="auto"/>
        </w:rPr>
      </w:pPr>
      <w:r>
        <w:rPr>
          <w:rFonts w:ascii="Arial" w:cs="Arial" w:eastAsia="Arial" w:hAnsi="Arial"/>
          <w:sz w:val="18"/>
          <w:szCs w:val="18"/>
          <w:color w:val="auto"/>
        </w:rPr>
        <w:t>Municipal securities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Bank subordinated debt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2948940" cy="16129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8940" cy="161290"/>
                        </a:xfrm>
                        <a:prstGeom prst="rect">
                          <a:avLst/>
                        </a:prstGeom>
                        <a:solidFill>
                          <a:srgbClr val="D1EDF5"/>
                        </a:solidFill>
                      </wps:spPr>
                      <wps:bodyPr/>
                    </wps:wsp>
                  </a:graphicData>
                </a:graphic>
              </wp:anchor>
            </w:drawing>
          </mc:Choice>
          <mc:Fallback>
            <w:pict>
              <v:rect id="Shape 53" o:spid="_x0000_s1078" style="position:absolute;margin-left:0pt;margin-top:2.1pt;width:232.2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21336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6095">
                          <a:solidFill>
                            <a:srgbClr val="D1EDF5"/>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168pt,1.85pt" o:allowincell="f" strokecolor="#D1EDF5" strokeweight="0.4799pt"/>
            </w:pict>
          </mc:Fallback>
        </mc:AlternateConten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47244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44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372pt,1.35pt" o:allowincell="f" strokecolor="#000000" strokeweight="0.48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12 months or more</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Arial" w:cs="Arial" w:eastAsia="Arial" w:hAnsi="Arial"/>
                <w:sz w:val="18"/>
                <w:szCs w:val="18"/>
                <w:b w:val="1"/>
                <w:bCs w:val="1"/>
                <w:color w:val="auto"/>
              </w:rPr>
              <w:t>Unrealized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2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9"/>
                <w:szCs w:val="19"/>
                <w:color w:val="auto"/>
              </w:rPr>
            </w:pPr>
          </w:p>
        </w:tc>
        <w:tc>
          <w:tcPr>
            <w:tcW w:w="1280" w:type="dxa"/>
            <w:vAlign w:val="bottom"/>
            <w:gridSpan w:val="4"/>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Losses</w:t>
            </w:r>
          </w:p>
        </w:tc>
        <w:tc>
          <w:tcPr>
            <w:tcW w:w="300" w:type="dxa"/>
            <w:vAlign w:val="bottom"/>
          </w:tcPr>
          <w:p>
            <w:pPr>
              <w:spacing w:after="0"/>
              <w:rPr>
                <w:sz w:val="19"/>
                <w:szCs w:val="19"/>
                <w:color w:val="auto"/>
              </w:rPr>
            </w:pPr>
          </w:p>
        </w:tc>
        <w:tc>
          <w:tcPr>
            <w:tcW w:w="1280" w:type="dxa"/>
            <w:vAlign w:val="bottom"/>
            <w:gridSpan w:val="5"/>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Losses</w:t>
            </w:r>
          </w:p>
        </w:tc>
        <w:tc>
          <w:tcPr>
            <w:tcW w:w="0" w:type="dxa"/>
            <w:vAlign w:val="bottom"/>
          </w:tcPr>
          <w:p>
            <w:pPr>
              <w:spacing w:after="0"/>
              <w:rPr>
                <w:sz w:val="1"/>
                <w:szCs w:val="1"/>
                <w:color w:val="auto"/>
              </w:rPr>
            </w:pPr>
          </w:p>
        </w:tc>
      </w:tr>
      <w:tr>
        <w:trPr>
          <w:trHeight w:val="38"/>
        </w:trPr>
        <w:tc>
          <w:tcPr>
            <w:tcW w:w="40" w:type="dxa"/>
            <w:vAlign w:val="bottom"/>
            <w:tcBorders>
              <w:top w:val="single" w:sz="8" w:color="auto"/>
            </w:tcBorders>
            <w:vMerge w:val="restart"/>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vMerge w:val="restart"/>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vMerge w:val="restart"/>
          </w:tcPr>
          <w:p>
            <w:pPr>
              <w:spacing w:after="0"/>
              <w:rPr>
                <w:sz w:val="3"/>
                <w:szCs w:val="3"/>
                <w:color w:val="auto"/>
              </w:rPr>
            </w:pPr>
          </w:p>
        </w:tc>
        <w:tc>
          <w:tcPr>
            <w:tcW w:w="260" w:type="dxa"/>
            <w:vAlign w:val="bottom"/>
            <w:tcBorders>
              <w:top w:val="single" w:sz="8" w:color="D1EDF5"/>
            </w:tcBorders>
            <w:vMerge w:val="restart"/>
          </w:tcPr>
          <w:p>
            <w:pPr>
              <w:spacing w:after="0"/>
              <w:rPr>
                <w:sz w:val="3"/>
                <w:szCs w:val="3"/>
                <w:color w:val="auto"/>
              </w:rPr>
            </w:pPr>
          </w:p>
        </w:tc>
        <w:tc>
          <w:tcPr>
            <w:tcW w:w="20" w:type="dxa"/>
            <w:vAlign w:val="bottom"/>
            <w:tcBorders>
              <w:top w:val="single" w:sz="8" w:color="D1EDF5"/>
            </w:tcBorders>
          </w:tcPr>
          <w:p>
            <w:pPr>
              <w:spacing w:after="0"/>
              <w:rPr>
                <w:sz w:val="3"/>
                <w:szCs w:val="3"/>
                <w:color w:val="auto"/>
              </w:rPr>
            </w:pPr>
          </w:p>
        </w:tc>
        <w:tc>
          <w:tcPr>
            <w:tcW w:w="180" w:type="dxa"/>
            <w:vAlign w:val="bottom"/>
            <w:tcBorders>
              <w:top w:val="single" w:sz="8" w:color="auto"/>
            </w:tcBorders>
            <w:vMerge w:val="restart"/>
            <w:shd w:val="clear" w:color="auto" w:fill="D1EDF5"/>
          </w:tcPr>
          <w:p>
            <w:pPr>
              <w:ind w:left="40"/>
              <w:spacing w:after="0"/>
              <w:rPr>
                <w:sz w:val="20"/>
                <w:szCs w:val="20"/>
                <w:color w:val="auto"/>
              </w:rPr>
            </w:pPr>
            <w:r>
              <w:rPr>
                <w:rFonts w:ascii="Arial" w:cs="Arial" w:eastAsia="Arial" w:hAnsi="Arial"/>
                <w:sz w:val="18"/>
                <w:szCs w:val="18"/>
                <w:color w:val="auto"/>
                <w:shd w:val="clear" w:color="auto" w:fill="D1EDF5"/>
              </w:rPr>
              <w:t>$</w:t>
            </w:r>
          </w:p>
        </w:tc>
        <w:tc>
          <w:tcPr>
            <w:tcW w:w="800" w:type="dxa"/>
            <w:vAlign w:val="bottom"/>
            <w:tcBorders>
              <w:top w:val="single" w:sz="8" w:color="auto"/>
            </w:tcBorders>
            <w:gridSpan w:val="2"/>
            <w:vMerge w:val="restart"/>
            <w:shd w:val="clear" w:color="auto" w:fill="D1EDF5"/>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auto"/>
            </w:tcBorders>
            <w:vMerge w:val="restart"/>
            <w:shd w:val="clear" w:color="auto" w:fill="D1EDF5"/>
          </w:tcPr>
          <w:p>
            <w:pPr>
              <w:spacing w:after="0"/>
              <w:rPr>
                <w:sz w:val="3"/>
                <w:szCs w:val="3"/>
                <w:color w:val="auto"/>
              </w:rPr>
            </w:pPr>
          </w:p>
        </w:tc>
        <w:tc>
          <w:tcPr>
            <w:tcW w:w="280" w:type="dxa"/>
            <w:vAlign w:val="bottom"/>
            <w:tcBorders>
              <w:top w:val="single" w:sz="8" w:color="D1EDF5"/>
            </w:tcBorders>
            <w:vMerge w:val="restart"/>
            <w:shd w:val="clear" w:color="auto" w:fill="D1EDF5"/>
          </w:tcPr>
          <w:p>
            <w:pPr>
              <w:spacing w:after="0"/>
              <w:rPr>
                <w:sz w:val="3"/>
                <w:szCs w:val="3"/>
                <w:color w:val="auto"/>
              </w:rPr>
            </w:pPr>
          </w:p>
        </w:tc>
        <w:tc>
          <w:tcPr>
            <w:tcW w:w="18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40" w:type="dxa"/>
            <w:vAlign w:val="bottom"/>
            <w:tcBorders>
              <w:top w:val="single" w:sz="8" w:color="auto"/>
            </w:tcBorders>
            <w:vMerge w:val="restart"/>
            <w:shd w:val="clear" w:color="auto" w:fill="D1EDF5"/>
          </w:tcPr>
          <w:p>
            <w:pPr>
              <w:spacing w:after="0"/>
              <w:rPr>
                <w:sz w:val="3"/>
                <w:szCs w:val="3"/>
                <w:color w:val="auto"/>
              </w:rPr>
            </w:pPr>
          </w:p>
        </w:tc>
        <w:tc>
          <w:tcPr>
            <w:tcW w:w="780" w:type="dxa"/>
            <w:vAlign w:val="bottom"/>
            <w:tcBorders>
              <w:top w:val="single" w:sz="8" w:color="auto"/>
            </w:tcBorders>
            <w:vMerge w:val="restart"/>
            <w:shd w:val="clear" w:color="auto" w:fill="D1EDF5"/>
          </w:tcPr>
          <w:p>
            <w:pPr>
              <w:jc w:val="right"/>
              <w:ind w:right="10"/>
              <w:spacing w:after="0"/>
              <w:rPr>
                <w:sz w:val="20"/>
                <w:szCs w:val="20"/>
                <w:color w:val="auto"/>
              </w:rPr>
            </w:pPr>
            <w:r>
              <w:rPr>
                <w:rFonts w:ascii="Arial" w:cs="Arial" w:eastAsia="Arial" w:hAnsi="Arial"/>
                <w:sz w:val="18"/>
                <w:szCs w:val="18"/>
                <w:color w:val="auto"/>
              </w:rPr>
              <w:t>5,649</w:t>
            </w:r>
          </w:p>
        </w:tc>
        <w:tc>
          <w:tcPr>
            <w:tcW w:w="280" w:type="dxa"/>
            <w:vAlign w:val="bottom"/>
            <w:tcBorders>
              <w:top w:val="single" w:sz="8" w:color="D1EDF5"/>
            </w:tcBorders>
            <w:vMerge w:val="restart"/>
            <w:shd w:val="clear" w:color="auto" w:fill="D1EDF5"/>
          </w:tcPr>
          <w:p>
            <w:pPr>
              <w:spacing w:after="0"/>
              <w:rPr>
                <w:sz w:val="3"/>
                <w:szCs w:val="3"/>
                <w:color w:val="auto"/>
              </w:rPr>
            </w:pPr>
          </w:p>
        </w:tc>
        <w:tc>
          <w:tcPr>
            <w:tcW w:w="180" w:type="dxa"/>
            <w:vAlign w:val="bottom"/>
            <w:tcBorders>
              <w:top w:val="single" w:sz="8" w:color="auto"/>
            </w:tcBorders>
            <w:vMerge w:val="restart"/>
            <w:shd w:val="clear" w:color="auto" w:fill="D1EDF5"/>
          </w:tcPr>
          <w:p>
            <w:pPr>
              <w:ind w:left="40"/>
              <w:spacing w:after="0"/>
              <w:rPr>
                <w:sz w:val="20"/>
                <w:szCs w:val="20"/>
                <w:color w:val="auto"/>
              </w:rPr>
            </w:pPr>
            <w:r>
              <w:rPr>
                <w:rFonts w:ascii="Arial" w:cs="Arial" w:eastAsia="Arial" w:hAnsi="Arial"/>
                <w:sz w:val="18"/>
                <w:szCs w:val="18"/>
                <w:color w:val="auto"/>
                <w:shd w:val="clear" w:color="auto" w:fill="D1EDF5"/>
              </w:rPr>
              <w:t>$</w:t>
            </w:r>
          </w:p>
        </w:tc>
        <w:tc>
          <w:tcPr>
            <w:tcW w:w="82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(984)</w:t>
            </w:r>
          </w:p>
        </w:tc>
        <w:tc>
          <w:tcPr>
            <w:tcW w:w="300" w:type="dxa"/>
            <w:vAlign w:val="bottom"/>
            <w:tcBorders>
              <w:top w:val="single" w:sz="8" w:color="D1EDF5"/>
            </w:tcBorders>
            <w:vMerge w:val="restart"/>
            <w:shd w:val="clear" w:color="auto" w:fill="D1EDF5"/>
          </w:tcPr>
          <w:p>
            <w:pPr>
              <w:spacing w:after="0"/>
              <w:rPr>
                <w:sz w:val="3"/>
                <w:szCs w:val="3"/>
                <w:color w:val="auto"/>
              </w:rPr>
            </w:pPr>
          </w:p>
        </w:tc>
        <w:tc>
          <w:tcPr>
            <w:tcW w:w="160" w:type="dxa"/>
            <w:vAlign w:val="bottom"/>
            <w:tcBorders>
              <w:top w:val="single" w:sz="8" w:color="auto"/>
            </w:tcBorders>
            <w:vMerge w:val="restart"/>
            <w:shd w:val="clear" w:color="auto" w:fill="D1EDF5"/>
          </w:tcPr>
          <w:p>
            <w:pPr>
              <w:ind w:left="40"/>
              <w:spacing w:after="0"/>
              <w:rPr>
                <w:sz w:val="20"/>
                <w:szCs w:val="20"/>
                <w:color w:val="auto"/>
              </w:rPr>
            </w:pPr>
            <w:r>
              <w:rPr>
                <w:rFonts w:ascii="Arial" w:cs="Arial" w:eastAsia="Arial" w:hAnsi="Arial"/>
                <w:sz w:val="18"/>
                <w:szCs w:val="18"/>
                <w:color w:val="auto"/>
                <w:w w:val="99"/>
                <w:shd w:val="clear" w:color="auto" w:fill="D1EDF5"/>
              </w:rPr>
              <w:t>$</w:t>
            </w:r>
          </w:p>
        </w:tc>
        <w:tc>
          <w:tcPr>
            <w:tcW w:w="40" w:type="dxa"/>
            <w:vAlign w:val="bottom"/>
            <w:tcBorders>
              <w:top w:val="single" w:sz="8" w:color="auto"/>
            </w:tcBorders>
            <w:vMerge w:val="restart"/>
            <w:shd w:val="clear" w:color="auto" w:fill="D1EDF5"/>
          </w:tcPr>
          <w:p>
            <w:pPr>
              <w:spacing w:after="0"/>
              <w:rPr>
                <w:sz w:val="3"/>
                <w:szCs w:val="3"/>
                <w:color w:val="auto"/>
              </w:rPr>
            </w:pPr>
          </w:p>
        </w:tc>
        <w:tc>
          <w:tcPr>
            <w:tcW w:w="70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11,586</w:t>
            </w:r>
          </w:p>
        </w:tc>
        <w:tc>
          <w:tcPr>
            <w:tcW w:w="100" w:type="dxa"/>
            <w:vAlign w:val="bottom"/>
            <w:tcBorders>
              <w:top w:val="single" w:sz="8" w:color="auto"/>
            </w:tcBorders>
            <w:vMerge w:val="restart"/>
            <w:shd w:val="clear" w:color="auto" w:fill="D1EDF5"/>
          </w:tcPr>
          <w:p>
            <w:pPr>
              <w:spacing w:after="0"/>
              <w:rPr>
                <w:sz w:val="3"/>
                <w:szCs w:val="3"/>
                <w:color w:val="auto"/>
              </w:rPr>
            </w:pPr>
          </w:p>
        </w:tc>
        <w:tc>
          <w:tcPr>
            <w:tcW w:w="280" w:type="dxa"/>
            <w:vAlign w:val="bottom"/>
            <w:tcBorders>
              <w:top w:val="single" w:sz="8" w:color="D1EDF5"/>
            </w:tcBorders>
            <w:vMerge w:val="restart"/>
            <w:shd w:val="clear" w:color="auto" w:fill="D1EDF5"/>
          </w:tcPr>
          <w:p>
            <w:pPr>
              <w:spacing w:after="0"/>
              <w:rPr>
                <w:sz w:val="3"/>
                <w:szCs w:val="3"/>
                <w:color w:val="auto"/>
              </w:rPr>
            </w:pPr>
          </w:p>
        </w:tc>
        <w:tc>
          <w:tcPr>
            <w:tcW w:w="160" w:type="dxa"/>
            <w:vAlign w:val="bottom"/>
            <w:tcBorders>
              <w:top w:val="single" w:sz="8" w:color="auto"/>
            </w:tcBorders>
            <w:vMerge w:val="restart"/>
            <w:shd w:val="clear" w:color="auto" w:fill="D1EDF5"/>
          </w:tcPr>
          <w:p>
            <w:pPr>
              <w:ind w:left="40"/>
              <w:spacing w:after="0"/>
              <w:rPr>
                <w:sz w:val="20"/>
                <w:szCs w:val="20"/>
                <w:color w:val="auto"/>
              </w:rPr>
            </w:pPr>
            <w:r>
              <w:rPr>
                <w:rFonts w:ascii="Arial" w:cs="Arial" w:eastAsia="Arial" w:hAnsi="Arial"/>
                <w:sz w:val="18"/>
                <w:szCs w:val="18"/>
                <w:color w:val="auto"/>
                <w:w w:val="99"/>
                <w:shd w:val="clear" w:color="auto" w:fill="D1EDF5"/>
              </w:rPr>
              <w:t>$</w:t>
            </w:r>
          </w:p>
        </w:tc>
        <w:tc>
          <w:tcPr>
            <w:tcW w:w="84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line="20" w:lineRule="exact"/>
              <w:rPr>
                <w:sz w:val="1"/>
                <w:szCs w:val="1"/>
                <w:color w:val="auto"/>
              </w:rPr>
            </w:pPr>
          </w:p>
        </w:tc>
      </w:tr>
      <w:tr>
        <w:trPr>
          <w:trHeight w:val="206"/>
        </w:trPr>
        <w:tc>
          <w:tcPr>
            <w:tcW w:w="40" w:type="dxa"/>
            <w:vAlign w:val="bottom"/>
            <w:vMerge w:val="continue"/>
          </w:tcPr>
          <w:p>
            <w:pPr>
              <w:spacing w:after="0"/>
              <w:rPr>
                <w:sz w:val="17"/>
                <w:szCs w:val="17"/>
                <w:color w:val="auto"/>
              </w:rPr>
            </w:pPr>
          </w:p>
        </w:tc>
        <w:tc>
          <w:tcPr>
            <w:tcW w:w="80" w:type="dxa"/>
            <w:vAlign w:val="bottom"/>
            <w:shd w:val="clear" w:color="auto" w:fill="D1EDF5"/>
          </w:tcPr>
          <w:p>
            <w:pPr>
              <w:spacing w:after="0"/>
              <w:rPr>
                <w:sz w:val="20"/>
                <w:szCs w:val="20"/>
                <w:color w:val="auto"/>
              </w:rPr>
            </w:pPr>
            <w:r>
              <w:rPr>
                <w:rFonts w:ascii="Arial" w:cs="Arial" w:eastAsia="Arial" w:hAnsi="Arial"/>
                <w:sz w:val="15"/>
                <w:szCs w:val="15"/>
                <w:color w:val="auto"/>
                <w:w w:val="71"/>
                <w:shd w:val="clear" w:color="auto" w:fill="D1EDF5"/>
              </w:rPr>
              <w:t>$</w:t>
            </w:r>
          </w:p>
        </w:tc>
        <w:tc>
          <w:tcPr>
            <w:tcW w:w="80" w:type="dxa"/>
            <w:vAlign w:val="bottom"/>
            <w:vMerge w:val="continue"/>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5,937</w:t>
            </w:r>
          </w:p>
        </w:tc>
        <w:tc>
          <w:tcPr>
            <w:tcW w:w="1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vMerge w:val="continue"/>
            <w:shd w:val="clear" w:color="auto" w:fill="D1EDF5"/>
          </w:tcPr>
          <w:p>
            <w:pPr>
              <w:spacing w:after="0"/>
              <w:rPr>
                <w:sz w:val="17"/>
                <w:szCs w:val="17"/>
                <w:color w:val="auto"/>
              </w:rPr>
            </w:pPr>
          </w:p>
        </w:tc>
        <w:tc>
          <w:tcPr>
            <w:tcW w:w="800" w:type="dxa"/>
            <w:vAlign w:val="bottom"/>
            <w:gridSpan w:val="2"/>
            <w:vMerge w:val="continue"/>
            <w:shd w:val="clear" w:color="auto" w:fill="D1EDF5"/>
          </w:tcPr>
          <w:p>
            <w:pPr>
              <w:spacing w:after="0"/>
              <w:rPr>
                <w:sz w:val="17"/>
                <w:szCs w:val="17"/>
                <w:color w:val="auto"/>
              </w:rPr>
            </w:pPr>
          </w:p>
        </w:tc>
        <w:tc>
          <w:tcPr>
            <w:tcW w:w="40" w:type="dxa"/>
            <w:vAlign w:val="bottom"/>
            <w:vMerge w:val="continue"/>
            <w:shd w:val="clear" w:color="auto" w:fill="D1EDF5"/>
          </w:tcPr>
          <w:p>
            <w:pPr>
              <w:spacing w:after="0"/>
              <w:rPr>
                <w:sz w:val="17"/>
                <w:szCs w:val="17"/>
                <w:color w:val="auto"/>
              </w:rPr>
            </w:pPr>
          </w:p>
        </w:tc>
        <w:tc>
          <w:tcPr>
            <w:tcW w:w="280" w:type="dxa"/>
            <w:vAlign w:val="bottom"/>
            <w:vMerge w:val="continue"/>
            <w:shd w:val="clear" w:color="auto" w:fill="D1EDF5"/>
          </w:tcPr>
          <w:p>
            <w:pPr>
              <w:spacing w:after="0"/>
              <w:rPr>
                <w:sz w:val="17"/>
                <w:szCs w:val="17"/>
                <w:color w:val="auto"/>
              </w:rPr>
            </w:pPr>
          </w:p>
        </w:tc>
        <w:tc>
          <w:tcPr>
            <w:tcW w:w="180" w:type="dxa"/>
            <w:vAlign w:val="bottom"/>
            <w:vMerge w:val="continue"/>
            <w:shd w:val="clear" w:color="auto" w:fill="D1EDF5"/>
          </w:tcPr>
          <w:p>
            <w:pPr>
              <w:spacing w:after="0"/>
              <w:rPr>
                <w:sz w:val="17"/>
                <w:szCs w:val="17"/>
                <w:color w:val="auto"/>
              </w:rPr>
            </w:pPr>
          </w:p>
        </w:tc>
        <w:tc>
          <w:tcPr>
            <w:tcW w:w="40" w:type="dxa"/>
            <w:vAlign w:val="bottom"/>
            <w:vMerge w:val="continue"/>
            <w:shd w:val="clear" w:color="auto" w:fill="D1EDF5"/>
          </w:tcPr>
          <w:p>
            <w:pPr>
              <w:spacing w:after="0"/>
              <w:rPr>
                <w:sz w:val="17"/>
                <w:szCs w:val="17"/>
                <w:color w:val="auto"/>
              </w:rPr>
            </w:pPr>
          </w:p>
        </w:tc>
        <w:tc>
          <w:tcPr>
            <w:tcW w:w="780" w:type="dxa"/>
            <w:vAlign w:val="bottom"/>
            <w:vMerge w:val="continue"/>
            <w:shd w:val="clear" w:color="auto" w:fill="D1EDF5"/>
          </w:tcPr>
          <w:p>
            <w:pPr>
              <w:spacing w:after="0"/>
              <w:rPr>
                <w:sz w:val="17"/>
                <w:szCs w:val="17"/>
                <w:color w:val="auto"/>
              </w:rPr>
            </w:pPr>
          </w:p>
        </w:tc>
        <w:tc>
          <w:tcPr>
            <w:tcW w:w="280" w:type="dxa"/>
            <w:vAlign w:val="bottom"/>
            <w:vMerge w:val="continue"/>
            <w:shd w:val="clear" w:color="auto" w:fill="D1EDF5"/>
          </w:tcPr>
          <w:p>
            <w:pPr>
              <w:spacing w:after="0"/>
              <w:rPr>
                <w:sz w:val="17"/>
                <w:szCs w:val="17"/>
                <w:color w:val="auto"/>
              </w:rPr>
            </w:pPr>
          </w:p>
        </w:tc>
        <w:tc>
          <w:tcPr>
            <w:tcW w:w="180" w:type="dxa"/>
            <w:vAlign w:val="bottom"/>
            <w:vMerge w:val="continue"/>
            <w:shd w:val="clear" w:color="auto" w:fill="D1EDF5"/>
          </w:tcPr>
          <w:p>
            <w:pPr>
              <w:spacing w:after="0"/>
              <w:rPr>
                <w:sz w:val="17"/>
                <w:szCs w:val="17"/>
                <w:color w:val="auto"/>
              </w:rPr>
            </w:pPr>
          </w:p>
        </w:tc>
        <w:tc>
          <w:tcPr>
            <w:tcW w:w="820" w:type="dxa"/>
            <w:vAlign w:val="bottom"/>
            <w:vMerge w:val="continue"/>
            <w:shd w:val="clear" w:color="auto" w:fill="D1EDF5"/>
          </w:tcPr>
          <w:p>
            <w:pPr>
              <w:spacing w:after="0"/>
              <w:rPr>
                <w:sz w:val="17"/>
                <w:szCs w:val="17"/>
                <w:color w:val="auto"/>
              </w:rPr>
            </w:pPr>
          </w:p>
        </w:tc>
        <w:tc>
          <w:tcPr>
            <w:tcW w:w="300" w:type="dxa"/>
            <w:vAlign w:val="bottom"/>
            <w:vMerge w:val="continue"/>
            <w:shd w:val="clear" w:color="auto" w:fill="D1EDF5"/>
          </w:tcPr>
          <w:p>
            <w:pPr>
              <w:spacing w:after="0"/>
              <w:rPr>
                <w:sz w:val="17"/>
                <w:szCs w:val="17"/>
                <w:color w:val="auto"/>
              </w:rPr>
            </w:pPr>
          </w:p>
        </w:tc>
        <w:tc>
          <w:tcPr>
            <w:tcW w:w="160" w:type="dxa"/>
            <w:vAlign w:val="bottom"/>
            <w:vMerge w:val="continue"/>
            <w:shd w:val="clear" w:color="auto" w:fill="D1EDF5"/>
          </w:tcPr>
          <w:p>
            <w:pPr>
              <w:spacing w:after="0"/>
              <w:rPr>
                <w:sz w:val="17"/>
                <w:szCs w:val="17"/>
                <w:color w:val="auto"/>
              </w:rPr>
            </w:pPr>
          </w:p>
        </w:tc>
        <w:tc>
          <w:tcPr>
            <w:tcW w:w="40" w:type="dxa"/>
            <w:vAlign w:val="bottom"/>
            <w:vMerge w:val="continue"/>
            <w:shd w:val="clear" w:color="auto" w:fill="D1EDF5"/>
          </w:tcPr>
          <w:p>
            <w:pPr>
              <w:spacing w:after="0"/>
              <w:rPr>
                <w:sz w:val="17"/>
                <w:szCs w:val="17"/>
                <w:color w:val="auto"/>
              </w:rPr>
            </w:pPr>
          </w:p>
        </w:tc>
        <w:tc>
          <w:tcPr>
            <w:tcW w:w="700" w:type="dxa"/>
            <w:vAlign w:val="bottom"/>
            <w:vMerge w:val="continue"/>
            <w:shd w:val="clear" w:color="auto" w:fill="D1EDF5"/>
          </w:tcPr>
          <w:p>
            <w:pPr>
              <w:spacing w:after="0"/>
              <w:rPr>
                <w:sz w:val="17"/>
                <w:szCs w:val="17"/>
                <w:color w:val="auto"/>
              </w:rPr>
            </w:pPr>
          </w:p>
        </w:tc>
        <w:tc>
          <w:tcPr>
            <w:tcW w:w="100" w:type="dxa"/>
            <w:vAlign w:val="bottom"/>
            <w:vMerge w:val="continue"/>
            <w:shd w:val="clear" w:color="auto" w:fill="D1EDF5"/>
          </w:tcPr>
          <w:p>
            <w:pPr>
              <w:spacing w:after="0"/>
              <w:rPr>
                <w:sz w:val="17"/>
                <w:szCs w:val="17"/>
                <w:color w:val="auto"/>
              </w:rPr>
            </w:pPr>
          </w:p>
        </w:tc>
        <w:tc>
          <w:tcPr>
            <w:tcW w:w="280" w:type="dxa"/>
            <w:vAlign w:val="bottom"/>
            <w:vMerge w:val="continue"/>
            <w:shd w:val="clear" w:color="auto" w:fill="D1EDF5"/>
          </w:tcPr>
          <w:p>
            <w:pPr>
              <w:spacing w:after="0"/>
              <w:rPr>
                <w:sz w:val="17"/>
                <w:szCs w:val="17"/>
                <w:color w:val="auto"/>
              </w:rPr>
            </w:pPr>
          </w:p>
        </w:tc>
        <w:tc>
          <w:tcPr>
            <w:tcW w:w="160" w:type="dxa"/>
            <w:vAlign w:val="bottom"/>
            <w:vMerge w:val="continue"/>
            <w:shd w:val="clear" w:color="auto" w:fill="D1EDF5"/>
          </w:tcPr>
          <w:p>
            <w:pPr>
              <w:spacing w:after="0"/>
              <w:rPr>
                <w:sz w:val="17"/>
                <w:szCs w:val="17"/>
                <w:color w:val="auto"/>
              </w:rPr>
            </w:pPr>
          </w:p>
        </w:tc>
        <w:tc>
          <w:tcPr>
            <w:tcW w:w="840" w:type="dxa"/>
            <w:vAlign w:val="bottom"/>
            <w:vMerge w:val="continue"/>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840" w:type="dxa"/>
            <w:vAlign w:val="bottom"/>
            <w:tcBorders>
              <w:bottom w:val="single" w:sz="8" w:color="D1EDF5"/>
            </w:tcBorders>
            <w:gridSpan w:val="3"/>
          </w:tcPr>
          <w:p>
            <w:pPr>
              <w:jc w:val="right"/>
              <w:ind w:right="40"/>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40" w:type="dxa"/>
            <w:vAlign w:val="bottom"/>
            <w:tcBorders>
              <w:bottom w:val="single" w:sz="8" w:color="D1EDF5"/>
            </w:tcBorders>
          </w:tcPr>
          <w:p>
            <w:pPr>
              <w:spacing w:after="0"/>
              <w:rPr>
                <w:sz w:val="22"/>
                <w:szCs w:val="22"/>
                <w:color w:val="auto"/>
              </w:rPr>
            </w:pPr>
          </w:p>
        </w:tc>
        <w:tc>
          <w:tcPr>
            <w:tcW w:w="780" w:type="dxa"/>
            <w:vAlign w:val="bottom"/>
            <w:tcBorders>
              <w:bottom w:val="single" w:sz="8" w:color="D1EDF5"/>
            </w:tcBorders>
          </w:tcPr>
          <w:p>
            <w:pPr>
              <w:jc w:val="right"/>
              <w:ind w:right="10"/>
              <w:spacing w:after="0"/>
              <w:rPr>
                <w:sz w:val="20"/>
                <w:szCs w:val="20"/>
                <w:color w:val="auto"/>
              </w:rPr>
            </w:pPr>
            <w:r>
              <w:rPr>
                <w:rFonts w:ascii="Arial" w:cs="Arial" w:eastAsia="Arial" w:hAnsi="Arial"/>
                <w:sz w:val="18"/>
                <w:szCs w:val="18"/>
                <w:color w:val="auto"/>
              </w:rPr>
              <w:t>66,899</w:t>
            </w:r>
          </w:p>
        </w:tc>
        <w:tc>
          <w:tcPr>
            <w:tcW w:w="28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8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(16,950)</w:t>
            </w:r>
          </w:p>
        </w:tc>
        <w:tc>
          <w:tcPr>
            <w:tcW w:w="300" w:type="dxa"/>
            <w:vAlign w:val="bottom"/>
            <w:tcBorders>
              <w:bottom w:val="single" w:sz="8" w:color="D1EDF5"/>
            </w:tcBorders>
          </w:tcPr>
          <w:p>
            <w:pPr>
              <w:spacing w:after="0"/>
              <w:rPr>
                <w:sz w:val="22"/>
                <w:szCs w:val="22"/>
                <w:color w:val="auto"/>
              </w:rPr>
            </w:pPr>
          </w:p>
        </w:tc>
        <w:tc>
          <w:tcPr>
            <w:tcW w:w="160" w:type="dxa"/>
            <w:vAlign w:val="bottom"/>
            <w:tcBorders>
              <w:bottom w:val="single" w:sz="8" w:color="D1EDF5"/>
            </w:tcBorders>
          </w:tcPr>
          <w:p>
            <w:pPr>
              <w:spacing w:after="0"/>
              <w:rPr>
                <w:sz w:val="22"/>
                <w:szCs w:val="22"/>
                <w:color w:val="auto"/>
              </w:rPr>
            </w:pPr>
          </w:p>
        </w:tc>
        <w:tc>
          <w:tcPr>
            <w:tcW w:w="40" w:type="dxa"/>
            <w:vAlign w:val="bottom"/>
            <w:tcBorders>
              <w:bottom w:val="single" w:sz="8" w:color="D1EDF5"/>
            </w:tcBorders>
          </w:tcPr>
          <w:p>
            <w:pPr>
              <w:spacing w:after="0"/>
              <w:rPr>
                <w:sz w:val="22"/>
                <w:szCs w:val="22"/>
                <w:color w:val="auto"/>
              </w:rPr>
            </w:pPr>
          </w:p>
        </w:tc>
        <w:tc>
          <w:tcPr>
            <w:tcW w:w="800" w:type="dxa"/>
            <w:vAlign w:val="bottom"/>
            <w:tcBorders>
              <w:bottom w:val="single" w:sz="8" w:color="D1EDF5"/>
            </w:tcBorders>
            <w:gridSpan w:val="2"/>
          </w:tcPr>
          <w:p>
            <w:pPr>
              <w:jc w:val="right"/>
              <w:ind w:right="10"/>
              <w:spacing w:after="0"/>
              <w:rPr>
                <w:sz w:val="20"/>
                <w:szCs w:val="20"/>
                <w:color w:val="auto"/>
              </w:rPr>
            </w:pPr>
            <w:r>
              <w:rPr>
                <w:rFonts w:ascii="Arial" w:cs="Arial" w:eastAsia="Arial" w:hAnsi="Arial"/>
                <w:sz w:val="18"/>
                <w:szCs w:val="18"/>
                <w:color w:val="auto"/>
              </w:rPr>
              <w:t>75,828</w:t>
            </w:r>
          </w:p>
        </w:tc>
        <w:tc>
          <w:tcPr>
            <w:tcW w:w="280" w:type="dxa"/>
            <w:vAlign w:val="bottom"/>
            <w:tcBorders>
              <w:bottom w:val="single" w:sz="8" w:color="D1EDF5"/>
            </w:tcBorders>
          </w:tcPr>
          <w:p>
            <w:pPr>
              <w:spacing w:after="0"/>
              <w:rPr>
                <w:sz w:val="22"/>
                <w:szCs w:val="22"/>
                <w:color w:val="auto"/>
              </w:rPr>
            </w:pPr>
          </w:p>
        </w:tc>
        <w:tc>
          <w:tcPr>
            <w:tcW w:w="160" w:type="dxa"/>
            <w:vAlign w:val="bottom"/>
            <w:tcBorders>
              <w:bottom w:val="single" w:sz="8" w:color="D1EDF5"/>
            </w:tcBorders>
          </w:tcPr>
          <w:p>
            <w:pPr>
              <w:spacing w:after="0"/>
              <w:rPr>
                <w:sz w:val="22"/>
                <w:szCs w:val="22"/>
                <w:color w:val="auto"/>
              </w:rPr>
            </w:pPr>
          </w:p>
        </w:tc>
        <w:tc>
          <w:tcPr>
            <w:tcW w:w="84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78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22,695</w:t>
            </w:r>
          </w:p>
        </w:tc>
        <w:tc>
          <w:tcPr>
            <w:tcW w:w="28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(6,083)</w:t>
            </w:r>
          </w:p>
        </w:tc>
        <w:tc>
          <w:tcPr>
            <w:tcW w:w="300" w:type="dxa"/>
            <w:vAlign w:val="bottom"/>
            <w:shd w:val="clear" w:color="auto" w:fill="D1EDF5"/>
          </w:tcPr>
          <w:p>
            <w:pPr>
              <w:spacing w:after="0"/>
              <w:rPr>
                <w:sz w:val="17"/>
                <w:szCs w:val="17"/>
                <w:color w:val="auto"/>
              </w:rPr>
            </w:pPr>
          </w:p>
        </w:tc>
        <w:tc>
          <w:tcPr>
            <w:tcW w:w="16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22,695</w:t>
            </w:r>
          </w:p>
        </w:tc>
        <w:tc>
          <w:tcPr>
            <w:tcW w:w="100" w:type="dxa"/>
            <w:vAlign w:val="bottom"/>
            <w:shd w:val="clear" w:color="auto" w:fill="D1EDF5"/>
          </w:tcPr>
          <w:p>
            <w:pPr>
              <w:spacing w:after="0"/>
              <w:rPr>
                <w:sz w:val="17"/>
                <w:szCs w:val="17"/>
                <w:color w:val="auto"/>
              </w:rPr>
            </w:pPr>
          </w:p>
        </w:tc>
        <w:tc>
          <w:tcPr>
            <w:tcW w:w="280" w:type="dxa"/>
            <w:vAlign w:val="bottom"/>
            <w:shd w:val="clear" w:color="auto" w:fill="D1EDF5"/>
          </w:tcPr>
          <w:p>
            <w:pPr>
              <w:spacing w:after="0"/>
              <w:rPr>
                <w:sz w:val="17"/>
                <w:szCs w:val="17"/>
                <w:color w:val="auto"/>
              </w:rPr>
            </w:pPr>
          </w:p>
        </w:tc>
        <w:tc>
          <w:tcPr>
            <w:tcW w:w="160" w:type="dxa"/>
            <w:vAlign w:val="bottom"/>
            <w:shd w:val="clear" w:color="auto" w:fill="D1EDF5"/>
          </w:tcPr>
          <w:p>
            <w:pPr>
              <w:spacing w:after="0"/>
              <w:rPr>
                <w:sz w:val="17"/>
                <w:szCs w:val="17"/>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59,655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D1EDF5"/>
            </w:tcBorders>
          </w:tcPr>
          <w:p>
            <w:pPr>
              <w:spacing w:after="0"/>
              <w:rPr>
                <w:sz w:val="24"/>
                <w:szCs w:val="24"/>
                <w:color w:val="auto"/>
              </w:rPr>
            </w:pPr>
          </w:p>
        </w:tc>
        <w:tc>
          <w:tcPr>
            <w:tcW w:w="840" w:type="dxa"/>
            <w:vAlign w:val="bottom"/>
            <w:tcBorders>
              <w:bottom w:val="single" w:sz="8" w:color="D1EDF5"/>
            </w:tcBorders>
            <w:gridSpan w:val="3"/>
          </w:tcPr>
          <w:p>
            <w:pPr>
              <w:jc w:val="right"/>
              <w:ind w:right="40"/>
              <w:spacing w:after="0"/>
              <w:rPr>
                <w:sz w:val="20"/>
                <w:szCs w:val="20"/>
                <w:color w:val="auto"/>
              </w:rPr>
            </w:pPr>
            <w:r>
              <w:rPr>
                <w:rFonts w:ascii="Arial" w:cs="Arial" w:eastAsia="Arial" w:hAnsi="Arial"/>
                <w:sz w:val="18"/>
                <w:szCs w:val="18"/>
                <w:color w:val="auto"/>
              </w:rPr>
              <w:t>(477)</w:t>
            </w:r>
          </w:p>
        </w:tc>
        <w:tc>
          <w:tcPr>
            <w:tcW w:w="280" w:type="dxa"/>
            <w:vAlign w:val="bottom"/>
            <w:tcBorders>
              <w:bottom w:val="single" w:sz="8" w:color="D1EDF5"/>
            </w:tcBorders>
          </w:tcPr>
          <w:p>
            <w:pPr>
              <w:spacing w:after="0"/>
              <w:rPr>
                <w:sz w:val="24"/>
                <w:szCs w:val="24"/>
                <w:color w:val="auto"/>
              </w:rPr>
            </w:pPr>
          </w:p>
        </w:tc>
        <w:tc>
          <w:tcPr>
            <w:tcW w:w="180" w:type="dxa"/>
            <w:vAlign w:val="bottom"/>
            <w:tcBorders>
              <w:bottom w:val="single" w:sz="8" w:color="D1EDF5"/>
            </w:tcBorders>
          </w:tcPr>
          <w:p>
            <w:pPr>
              <w:spacing w:after="0"/>
              <w:rPr>
                <w:sz w:val="24"/>
                <w:szCs w:val="24"/>
                <w:color w:val="auto"/>
              </w:rPr>
            </w:pPr>
          </w:p>
        </w:tc>
        <w:tc>
          <w:tcPr>
            <w:tcW w:w="40" w:type="dxa"/>
            <w:vAlign w:val="bottom"/>
            <w:tcBorders>
              <w:bottom w:val="single" w:sz="8" w:color="D1EDF5"/>
            </w:tcBorders>
          </w:tcPr>
          <w:p>
            <w:pPr>
              <w:spacing w:after="0"/>
              <w:rPr>
                <w:sz w:val="24"/>
                <w:szCs w:val="24"/>
                <w:color w:val="auto"/>
              </w:rPr>
            </w:pPr>
          </w:p>
        </w:tc>
        <w:tc>
          <w:tcPr>
            <w:tcW w:w="780" w:type="dxa"/>
            <w:vAlign w:val="bottom"/>
            <w:tcBorders>
              <w:bottom w:val="single" w:sz="8" w:color="D1EDF5"/>
            </w:tcBorders>
          </w:tcPr>
          <w:p>
            <w:pPr>
              <w:jc w:val="right"/>
              <w:ind w:right="10"/>
              <w:spacing w:after="0"/>
              <w:rPr>
                <w:sz w:val="20"/>
                <w:szCs w:val="20"/>
                <w:color w:val="auto"/>
              </w:rPr>
            </w:pPr>
            <w:r>
              <w:rPr>
                <w:rFonts w:ascii="Arial" w:cs="Arial" w:eastAsia="Arial" w:hAnsi="Arial"/>
                <w:sz w:val="18"/>
                <w:szCs w:val="18"/>
                <w:color w:val="auto"/>
              </w:rPr>
              <w:t>56,852</w:t>
            </w:r>
          </w:p>
        </w:tc>
        <w:tc>
          <w:tcPr>
            <w:tcW w:w="280" w:type="dxa"/>
            <w:vAlign w:val="bottom"/>
            <w:tcBorders>
              <w:bottom w:val="single" w:sz="8" w:color="D1EDF5"/>
            </w:tcBorders>
          </w:tcPr>
          <w:p>
            <w:pPr>
              <w:spacing w:after="0"/>
              <w:rPr>
                <w:sz w:val="24"/>
                <w:szCs w:val="24"/>
                <w:color w:val="auto"/>
              </w:rPr>
            </w:pPr>
          </w:p>
        </w:tc>
        <w:tc>
          <w:tcPr>
            <w:tcW w:w="180" w:type="dxa"/>
            <w:vAlign w:val="bottom"/>
            <w:tcBorders>
              <w:bottom w:val="single" w:sz="8" w:color="D1EDF5"/>
            </w:tcBorders>
          </w:tcPr>
          <w:p>
            <w:pPr>
              <w:spacing w:after="0"/>
              <w:rPr>
                <w:sz w:val="24"/>
                <w:szCs w:val="24"/>
                <w:color w:val="auto"/>
              </w:rPr>
            </w:pPr>
          </w:p>
        </w:tc>
        <w:tc>
          <w:tcPr>
            <w:tcW w:w="8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(6,384)</w:t>
            </w:r>
          </w:p>
        </w:tc>
        <w:tc>
          <w:tcPr>
            <w:tcW w:w="300" w:type="dxa"/>
            <w:vAlign w:val="bottom"/>
            <w:tcBorders>
              <w:bottom w:val="single" w:sz="8" w:color="D1EDF5"/>
            </w:tcBorders>
          </w:tcPr>
          <w:p>
            <w:pPr>
              <w:spacing w:after="0"/>
              <w:rPr>
                <w:sz w:val="24"/>
                <w:szCs w:val="24"/>
                <w:color w:val="auto"/>
              </w:rPr>
            </w:pPr>
          </w:p>
        </w:tc>
        <w:tc>
          <w:tcPr>
            <w:tcW w:w="160" w:type="dxa"/>
            <w:vAlign w:val="bottom"/>
            <w:tcBorders>
              <w:bottom w:val="single" w:sz="8" w:color="D1EDF5"/>
            </w:tcBorders>
          </w:tcPr>
          <w:p>
            <w:pPr>
              <w:spacing w:after="0"/>
              <w:rPr>
                <w:sz w:val="24"/>
                <w:szCs w:val="24"/>
                <w:color w:val="auto"/>
              </w:rPr>
            </w:pPr>
          </w:p>
        </w:tc>
        <w:tc>
          <w:tcPr>
            <w:tcW w:w="40" w:type="dxa"/>
            <w:vAlign w:val="bottom"/>
            <w:tcBorders>
              <w:bottom w:val="single" w:sz="8" w:color="D1EDF5"/>
            </w:tcBorders>
          </w:tcPr>
          <w:p>
            <w:pPr>
              <w:spacing w:after="0"/>
              <w:rPr>
                <w:sz w:val="24"/>
                <w:szCs w:val="24"/>
                <w:color w:val="auto"/>
              </w:rPr>
            </w:pPr>
          </w:p>
        </w:tc>
        <w:tc>
          <w:tcPr>
            <w:tcW w:w="800" w:type="dxa"/>
            <w:vAlign w:val="bottom"/>
            <w:tcBorders>
              <w:bottom w:val="single" w:sz="8" w:color="D1EDF5"/>
            </w:tcBorders>
            <w:gridSpan w:val="2"/>
          </w:tcPr>
          <w:p>
            <w:pPr>
              <w:jc w:val="right"/>
              <w:ind w:right="10"/>
              <w:spacing w:after="0"/>
              <w:rPr>
                <w:sz w:val="20"/>
                <w:szCs w:val="20"/>
                <w:color w:val="auto"/>
              </w:rPr>
            </w:pPr>
            <w:r>
              <w:rPr>
                <w:rFonts w:ascii="Arial" w:cs="Arial" w:eastAsia="Arial" w:hAnsi="Arial"/>
                <w:sz w:val="18"/>
                <w:szCs w:val="18"/>
                <w:color w:val="auto"/>
              </w:rPr>
              <w:t>116,507</w:t>
            </w:r>
          </w:p>
        </w:tc>
        <w:tc>
          <w:tcPr>
            <w:tcW w:w="280" w:type="dxa"/>
            <w:vAlign w:val="bottom"/>
            <w:tcBorders>
              <w:bottom w:val="single" w:sz="8" w:color="D1EDF5"/>
            </w:tcBorders>
          </w:tcPr>
          <w:p>
            <w:pPr>
              <w:spacing w:after="0"/>
              <w:rPr>
                <w:sz w:val="24"/>
                <w:szCs w:val="24"/>
                <w:color w:val="auto"/>
              </w:rPr>
            </w:pPr>
          </w:p>
        </w:tc>
        <w:tc>
          <w:tcPr>
            <w:tcW w:w="160" w:type="dxa"/>
            <w:vAlign w:val="bottom"/>
            <w:tcBorders>
              <w:bottom w:val="single" w:sz="8" w:color="D1EDF5"/>
            </w:tcBorders>
          </w:tcPr>
          <w:p>
            <w:pPr>
              <w:spacing w:after="0"/>
              <w:rPr>
                <w:sz w:val="24"/>
                <w:szCs w:val="24"/>
                <w:color w:val="auto"/>
              </w:rPr>
            </w:pPr>
          </w:p>
        </w:tc>
        <w:tc>
          <w:tcPr>
            <w:tcW w:w="84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7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8"/>
                <w:szCs w:val="18"/>
                <w:color w:val="auto"/>
              </w:rPr>
            </w:pPr>
          </w:p>
        </w:tc>
        <w:tc>
          <w:tcPr>
            <w:tcW w:w="40" w:type="dxa"/>
            <w:vAlign w:val="bottom"/>
            <w:shd w:val="clear" w:color="auto" w:fill="D1EDF5"/>
          </w:tcPr>
          <w:p>
            <w:pPr>
              <w:spacing w:after="0"/>
              <w:rPr>
                <w:sz w:val="18"/>
                <w:szCs w:val="18"/>
                <w:color w:val="auto"/>
              </w:rPr>
            </w:pPr>
          </w:p>
        </w:tc>
        <w:tc>
          <w:tcPr>
            <w:tcW w:w="2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40" w:type="dxa"/>
            <w:vAlign w:val="bottom"/>
            <w:shd w:val="clear" w:color="auto" w:fill="D1EDF5"/>
          </w:tcPr>
          <w:p>
            <w:pPr>
              <w:spacing w:after="0"/>
              <w:rPr>
                <w:sz w:val="18"/>
                <w:szCs w:val="18"/>
                <w:color w:val="auto"/>
              </w:rPr>
            </w:pPr>
          </w:p>
        </w:tc>
        <w:tc>
          <w:tcPr>
            <w:tcW w:w="78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4,263</w:t>
            </w:r>
          </w:p>
        </w:tc>
        <w:tc>
          <w:tcPr>
            <w:tcW w:w="2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(933)</w:t>
            </w:r>
          </w:p>
        </w:tc>
        <w:tc>
          <w:tcPr>
            <w:tcW w:w="300" w:type="dxa"/>
            <w:vAlign w:val="bottom"/>
            <w:shd w:val="clear" w:color="auto" w:fill="D1EDF5"/>
          </w:tcPr>
          <w:p>
            <w:pPr>
              <w:spacing w:after="0"/>
              <w:rPr>
                <w:sz w:val="18"/>
                <w:szCs w:val="18"/>
                <w:color w:val="auto"/>
              </w:rPr>
            </w:pPr>
          </w:p>
        </w:tc>
        <w:tc>
          <w:tcPr>
            <w:tcW w:w="160" w:type="dxa"/>
            <w:vAlign w:val="bottom"/>
            <w:shd w:val="clear" w:color="auto" w:fill="D1EDF5"/>
          </w:tcPr>
          <w:p>
            <w:pPr>
              <w:spacing w:after="0"/>
              <w:rPr>
                <w:sz w:val="18"/>
                <w:szCs w:val="18"/>
                <w:color w:val="auto"/>
              </w:rPr>
            </w:pPr>
          </w:p>
        </w:tc>
        <w:tc>
          <w:tcPr>
            <w:tcW w:w="40" w:type="dxa"/>
            <w:vAlign w:val="bottom"/>
            <w:shd w:val="clear" w:color="auto" w:fill="D1EDF5"/>
          </w:tcPr>
          <w:p>
            <w:pPr>
              <w:spacing w:after="0"/>
              <w:rPr>
                <w:sz w:val="18"/>
                <w:szCs w:val="18"/>
                <w:color w:val="auto"/>
              </w:rPr>
            </w:pPr>
          </w:p>
        </w:tc>
        <w:tc>
          <w:tcPr>
            <w:tcW w:w="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D1EDF5"/>
          </w:tcPr>
          <w:p>
            <w:pPr>
              <w:spacing w:after="0"/>
              <w:rPr>
                <w:sz w:val="18"/>
                <w:szCs w:val="18"/>
                <w:color w:val="auto"/>
              </w:rPr>
            </w:pPr>
          </w:p>
        </w:tc>
        <w:tc>
          <w:tcPr>
            <w:tcW w:w="280" w:type="dxa"/>
            <w:vAlign w:val="bottom"/>
            <w:shd w:val="clear" w:color="auto" w:fill="D1EDF5"/>
          </w:tcPr>
          <w:p>
            <w:pPr>
              <w:spacing w:after="0"/>
              <w:rPr>
                <w:sz w:val="18"/>
                <w:szCs w:val="18"/>
                <w:color w:val="auto"/>
              </w:rPr>
            </w:pPr>
          </w:p>
        </w:tc>
        <w:tc>
          <w:tcPr>
            <w:tcW w:w="160" w:type="dxa"/>
            <w:vAlign w:val="bottom"/>
            <w:shd w:val="clear" w:color="auto" w:fill="D1EDF5"/>
          </w:tcPr>
          <w:p>
            <w:pPr>
              <w:spacing w:after="0"/>
              <w:rPr>
                <w:sz w:val="18"/>
                <w:szCs w:val="18"/>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8"/>
        </w:trPr>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7,234</w:t>
            </w:r>
          </w:p>
        </w:tc>
        <w:tc>
          <w:tcPr>
            <w:tcW w:w="28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Borders>
              <w:bottom w:val="single" w:sz="8" w:color="D1EDF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9,254</w:t>
            </w:r>
          </w:p>
        </w:tc>
        <w:tc>
          <w:tcPr>
            <w:tcW w:w="280" w:type="dxa"/>
            <w:vAlign w:val="bottom"/>
            <w:tcBorders>
              <w:bottom w:val="single" w:sz="8" w:color="D1EDF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shd w:val="clear" w:color="auto" w:fill="D1EDF5"/>
          </w:tcPr>
          <w:p>
            <w:pPr>
              <w:spacing w:after="0"/>
              <w:rPr>
                <w:sz w:val="20"/>
                <w:szCs w:val="20"/>
                <w:color w:val="auto"/>
              </w:rPr>
            </w:pPr>
            <w:r>
              <w:rPr>
                <w:rFonts w:ascii="Arial" w:cs="Arial" w:eastAsia="Arial" w:hAnsi="Arial"/>
                <w:sz w:val="15"/>
                <w:szCs w:val="15"/>
                <w:color w:val="auto"/>
                <w:w w:val="71"/>
                <w:shd w:val="clear" w:color="auto" w:fill="D1EDF5"/>
              </w:rPr>
              <w:t>$</w:t>
            </w: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76,541</w:t>
            </w:r>
          </w:p>
        </w:tc>
        <w:tc>
          <w:tcPr>
            <w:tcW w:w="1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D1EDF5"/>
              <w:bottom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shd w:val="clear" w:color="auto" w:fill="D1EDF5"/>
              </w:rPr>
              <w:t>$</w:t>
            </w:r>
          </w:p>
        </w:tc>
        <w:tc>
          <w:tcPr>
            <w:tcW w:w="800" w:type="dxa"/>
            <w:vAlign w:val="bottom"/>
            <w:tcBorders>
              <w:top w:val="single" w:sz="8" w:color="D1EDF5"/>
              <w:bottom w:val="single" w:sz="8" w:color="auto"/>
            </w:tcBorders>
            <w:gridSpan w:val="2"/>
            <w:shd w:val="clear" w:color="auto" w:fill="D1EDF5"/>
          </w:tcPr>
          <w:p>
            <w:pPr>
              <w:jc w:val="right"/>
              <w:spacing w:after="0"/>
              <w:rPr>
                <w:sz w:val="20"/>
                <w:szCs w:val="20"/>
                <w:color w:val="auto"/>
              </w:rPr>
            </w:pPr>
            <w:r>
              <w:rPr>
                <w:rFonts w:ascii="Arial" w:cs="Arial" w:eastAsia="Arial" w:hAnsi="Arial"/>
                <w:sz w:val="18"/>
                <w:szCs w:val="18"/>
                <w:color w:val="auto"/>
              </w:rPr>
              <w:t>(633)</w:t>
            </w:r>
          </w:p>
        </w:tc>
        <w:tc>
          <w:tcPr>
            <w:tcW w:w="40" w:type="dxa"/>
            <w:vAlign w:val="bottom"/>
            <w:tcBorders>
              <w:top w:val="single" w:sz="8" w:color="D1EDF5"/>
              <w:bottom w:val="single" w:sz="8" w:color="auto"/>
            </w:tcBorders>
            <w:shd w:val="clear" w:color="auto" w:fill="D1EDF5"/>
          </w:tcPr>
          <w:p>
            <w:pPr>
              <w:spacing w:after="0"/>
              <w:rPr>
                <w:sz w:val="21"/>
                <w:szCs w:val="21"/>
                <w:color w:val="auto"/>
              </w:rPr>
            </w:pPr>
          </w:p>
        </w:tc>
        <w:tc>
          <w:tcPr>
            <w:tcW w:w="280" w:type="dxa"/>
            <w:vAlign w:val="bottom"/>
            <w:tcBorders>
              <w:top w:val="single" w:sz="8" w:color="D1EDF5"/>
              <w:bottom w:val="single" w:sz="8" w:color="D1EDF5"/>
            </w:tcBorders>
            <w:shd w:val="clear" w:color="auto" w:fill="D1EDF5"/>
          </w:tcPr>
          <w:p>
            <w:pPr>
              <w:spacing w:after="0"/>
              <w:rPr>
                <w:sz w:val="21"/>
                <w:szCs w:val="21"/>
                <w:color w:val="auto"/>
              </w:rPr>
            </w:pPr>
          </w:p>
        </w:tc>
        <w:tc>
          <w:tcPr>
            <w:tcW w:w="18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40" w:type="dxa"/>
            <w:vAlign w:val="bottom"/>
            <w:tcBorders>
              <w:top w:val="single" w:sz="8" w:color="D1EDF5"/>
              <w:bottom w:val="single" w:sz="8" w:color="auto"/>
            </w:tcBorders>
            <w:shd w:val="clear" w:color="auto" w:fill="D1EDF5"/>
          </w:tcPr>
          <w:p>
            <w:pPr>
              <w:spacing w:after="0"/>
              <w:rPr>
                <w:sz w:val="21"/>
                <w:szCs w:val="21"/>
                <w:color w:val="auto"/>
              </w:rPr>
            </w:pPr>
          </w:p>
        </w:tc>
        <w:tc>
          <w:tcPr>
            <w:tcW w:w="780" w:type="dxa"/>
            <w:vAlign w:val="bottom"/>
            <w:tcBorders>
              <w:top w:val="single" w:sz="8" w:color="D1EDF5"/>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shd w:val="clear" w:color="auto" w:fill="D1EDF5"/>
              </w:rPr>
              <w:t>163,592</w:t>
            </w:r>
          </w:p>
        </w:tc>
        <w:tc>
          <w:tcPr>
            <w:tcW w:w="280" w:type="dxa"/>
            <w:vAlign w:val="bottom"/>
            <w:tcBorders>
              <w:top w:val="single" w:sz="8" w:color="D1EDF5"/>
              <w:bottom w:val="single" w:sz="8" w:color="D1EDF5"/>
            </w:tcBorders>
            <w:shd w:val="clear" w:color="auto" w:fill="D1EDF5"/>
          </w:tcPr>
          <w:p>
            <w:pPr>
              <w:spacing w:after="0"/>
              <w:rPr>
                <w:sz w:val="21"/>
                <w:szCs w:val="21"/>
                <w:color w:val="auto"/>
              </w:rPr>
            </w:pPr>
          </w:p>
        </w:tc>
        <w:tc>
          <w:tcPr>
            <w:tcW w:w="180" w:type="dxa"/>
            <w:vAlign w:val="bottom"/>
            <w:tcBorders>
              <w:top w:val="single" w:sz="8" w:color="D1EDF5"/>
              <w:bottom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shd w:val="clear" w:color="auto" w:fill="D1EDF5"/>
              </w:rPr>
              <w:t>$</w:t>
            </w:r>
          </w:p>
        </w:tc>
        <w:tc>
          <w:tcPr>
            <w:tcW w:w="82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(31,573)</w:t>
            </w:r>
          </w:p>
        </w:tc>
        <w:tc>
          <w:tcPr>
            <w:tcW w:w="300" w:type="dxa"/>
            <w:vAlign w:val="bottom"/>
            <w:tcBorders>
              <w:top w:val="single" w:sz="8" w:color="D1EDF5"/>
              <w:bottom w:val="single" w:sz="8" w:color="D1EDF5"/>
            </w:tcBorders>
            <w:shd w:val="clear" w:color="auto" w:fill="D1EDF5"/>
          </w:tcPr>
          <w:p>
            <w:pPr>
              <w:spacing w:after="0"/>
              <w:rPr>
                <w:sz w:val="21"/>
                <w:szCs w:val="21"/>
                <w:color w:val="auto"/>
              </w:rPr>
            </w:pPr>
          </w:p>
        </w:tc>
        <w:tc>
          <w:tcPr>
            <w:tcW w:w="160" w:type="dxa"/>
            <w:vAlign w:val="bottom"/>
            <w:tcBorders>
              <w:top w:val="single" w:sz="8" w:color="D1EDF5"/>
              <w:bottom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w w:val="99"/>
                <w:shd w:val="clear" w:color="auto" w:fill="D1EDF5"/>
              </w:rPr>
              <w:t>$</w:t>
            </w:r>
          </w:p>
        </w:tc>
        <w:tc>
          <w:tcPr>
            <w:tcW w:w="40" w:type="dxa"/>
            <w:vAlign w:val="bottom"/>
            <w:tcBorders>
              <w:top w:val="single" w:sz="8" w:color="D1EDF5"/>
              <w:bottom w:val="single" w:sz="8" w:color="auto"/>
            </w:tcBorders>
            <w:shd w:val="clear" w:color="auto" w:fill="D1EDF5"/>
          </w:tcPr>
          <w:p>
            <w:pPr>
              <w:spacing w:after="0"/>
              <w:rPr>
                <w:sz w:val="21"/>
                <w:szCs w:val="21"/>
                <w:color w:val="auto"/>
              </w:rPr>
            </w:pPr>
          </w:p>
        </w:tc>
        <w:tc>
          <w:tcPr>
            <w:tcW w:w="70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240,133</w:t>
            </w:r>
          </w:p>
        </w:tc>
        <w:tc>
          <w:tcPr>
            <w:tcW w:w="100" w:type="dxa"/>
            <w:vAlign w:val="bottom"/>
            <w:tcBorders>
              <w:top w:val="single" w:sz="8" w:color="D1EDF5"/>
              <w:bottom w:val="single" w:sz="8" w:color="auto"/>
            </w:tcBorders>
            <w:shd w:val="clear" w:color="auto" w:fill="D1EDF5"/>
          </w:tcPr>
          <w:p>
            <w:pPr>
              <w:spacing w:after="0"/>
              <w:rPr>
                <w:sz w:val="21"/>
                <w:szCs w:val="21"/>
                <w:color w:val="auto"/>
              </w:rPr>
            </w:pPr>
          </w:p>
        </w:tc>
        <w:tc>
          <w:tcPr>
            <w:tcW w:w="280" w:type="dxa"/>
            <w:vAlign w:val="bottom"/>
            <w:tcBorders>
              <w:top w:val="single" w:sz="8" w:color="D1EDF5"/>
              <w:bottom w:val="single" w:sz="8" w:color="D1EDF5"/>
            </w:tcBorders>
            <w:shd w:val="clear" w:color="auto" w:fill="D1EDF5"/>
          </w:tcPr>
          <w:p>
            <w:pPr>
              <w:spacing w:after="0"/>
              <w:rPr>
                <w:sz w:val="21"/>
                <w:szCs w:val="21"/>
                <w:color w:val="auto"/>
              </w:rPr>
            </w:pPr>
          </w:p>
        </w:tc>
        <w:tc>
          <w:tcPr>
            <w:tcW w:w="160" w:type="dxa"/>
            <w:vAlign w:val="bottom"/>
            <w:tcBorders>
              <w:top w:val="single" w:sz="8" w:color="D1EDF5"/>
              <w:bottom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w w:val="99"/>
                <w:shd w:val="clear" w:color="auto" w:fill="D1EDF5"/>
              </w:rPr>
              <w:t>$</w:t>
            </w:r>
          </w:p>
        </w:tc>
        <w:tc>
          <w:tcPr>
            <w:tcW w:w="84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(32,206)</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3240" w:space="120"/>
            <w:col w:w="7440"/>
          </w:cols>
          <w:pgMar w:left="720" w:top="355" w:right="720" w:bottom="0" w:gutter="0" w:footer="0" w:header="0"/>
          <w:type w:val="continuous"/>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December 31, 2024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30"/>
        </w:trPr>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12 months or more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spacing w:after="0"/>
              <w:rPr>
                <w:sz w:val="19"/>
                <w:szCs w:val="19"/>
                <w:color w:val="auto"/>
              </w:rPr>
            </w:pPr>
          </w:p>
        </w:tc>
      </w:tr>
      <w:tr>
        <w:trPr>
          <w:trHeight w:val="228"/>
        </w:trPr>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Unrealized</w:t>
            </w:r>
          </w:p>
        </w:tc>
      </w:tr>
      <w:tr>
        <w:trPr>
          <w:trHeight w:val="256"/>
        </w:trPr>
        <w:tc>
          <w:tcPr>
            <w:tcW w:w="344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bottom w:val="single" w:sz="8" w:color="D1EDF5"/>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Losses</w:t>
            </w:r>
          </w:p>
        </w:tc>
        <w:tc>
          <w:tcPr>
            <w:tcW w:w="28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8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Losses</w:t>
            </w:r>
          </w:p>
        </w:tc>
      </w:tr>
      <w:tr>
        <w:trPr>
          <w:trHeight w:val="206"/>
        </w:trPr>
        <w:tc>
          <w:tcPr>
            <w:tcW w:w="344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U.S. Government Agency</w:t>
            </w:r>
          </w:p>
        </w:tc>
        <w:tc>
          <w:tcPr>
            <w:tcW w:w="1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4,468</w:t>
            </w:r>
          </w:p>
        </w:tc>
        <w:tc>
          <w:tcPr>
            <w:tcW w:w="28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7,451</w:t>
            </w:r>
          </w:p>
        </w:tc>
        <w:tc>
          <w:tcPr>
            <w:tcW w:w="280" w:type="dxa"/>
            <w:vAlign w:val="bottom"/>
            <w:tcBorders>
              <w:top w:val="single" w:sz="8" w:color="D1EDF5"/>
            </w:tcBorders>
            <w:shd w:val="clear" w:color="auto" w:fill="D1EDF5"/>
          </w:tcPr>
          <w:p>
            <w:pPr>
              <w:spacing w:after="0"/>
              <w:rPr>
                <w:sz w:val="17"/>
                <w:szCs w:val="17"/>
                <w:color w:val="auto"/>
              </w:rPr>
            </w:pPr>
          </w:p>
        </w:tc>
        <w:tc>
          <w:tcPr>
            <w:tcW w:w="160" w:type="dxa"/>
            <w:vAlign w:val="bottom"/>
            <w:tcBorders>
              <w:top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(1,592)</w:t>
            </w:r>
          </w:p>
        </w:tc>
        <w:tc>
          <w:tcPr>
            <w:tcW w:w="2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84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11,919</w:t>
            </w:r>
          </w:p>
        </w:tc>
        <w:tc>
          <w:tcPr>
            <w:tcW w:w="260" w:type="dxa"/>
            <w:vAlign w:val="bottom"/>
            <w:tcBorders>
              <w:top w:val="single" w:sz="8" w:color="D1EDF5"/>
            </w:tcBorders>
            <w:shd w:val="clear" w:color="auto" w:fill="D1EDF5"/>
          </w:tcPr>
          <w:p>
            <w:pPr>
              <w:spacing w:after="0"/>
              <w:rPr>
                <w:sz w:val="17"/>
                <w:szCs w:val="17"/>
                <w:color w:val="auto"/>
              </w:rPr>
            </w:pPr>
          </w:p>
        </w:tc>
        <w:tc>
          <w:tcPr>
            <w:tcW w:w="160" w:type="dxa"/>
            <w:vAlign w:val="bottom"/>
            <w:tcBorders>
              <w:top w:val="single" w:sz="8" w:color="D1EDF5"/>
            </w:tcBorders>
            <w:gridSpan w:val="2"/>
            <w:shd w:val="clear" w:color="auto" w:fill="D1EDF5"/>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(1,668)</w:t>
            </w:r>
          </w:p>
        </w:tc>
      </w:tr>
      <w:tr>
        <w:trPr>
          <w:trHeight w:val="240"/>
        </w:trPr>
        <w:tc>
          <w:tcPr>
            <w:tcW w:w="344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(22,895)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76,053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(22,918)</w:t>
            </w:r>
          </w:p>
        </w:tc>
      </w:tr>
      <w:tr>
        <w:trPr>
          <w:trHeight w:val="240"/>
        </w:trPr>
        <w:tc>
          <w:tcPr>
            <w:tcW w:w="34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Mortgage-backed securities - residential</w:t>
            </w:r>
          </w:p>
        </w:tc>
        <w:tc>
          <w:tcPr>
            <w:tcW w:w="16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100" w:type="dxa"/>
            <w:vAlign w:val="bottom"/>
            <w:gridSpan w:val="2"/>
            <w:shd w:val="clear" w:color="auto" w:fill="D1EDF5"/>
          </w:tcPr>
          <w:p>
            <w:pPr>
              <w:jc w:val="right"/>
              <w:ind w:right="280"/>
              <w:spacing w:after="0"/>
              <w:rPr>
                <w:sz w:val="20"/>
                <w:szCs w:val="20"/>
                <w:color w:val="auto"/>
              </w:rPr>
            </w:pPr>
            <w:r>
              <w:rPr>
                <w:rFonts w:ascii="Arial" w:cs="Arial" w:eastAsia="Arial" w:hAnsi="Arial"/>
                <w:sz w:val="18"/>
                <w:szCs w:val="18"/>
                <w:color w:val="auto"/>
              </w:rPr>
              <w:t>(11)</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44,600</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00" w:type="dxa"/>
            <w:vAlign w:val="bottom"/>
            <w:gridSpan w:val="2"/>
            <w:shd w:val="clear" w:color="auto" w:fill="D1EDF5"/>
          </w:tcPr>
          <w:p>
            <w:pPr>
              <w:jc w:val="right"/>
              <w:ind w:right="260"/>
              <w:spacing w:after="0"/>
              <w:rPr>
                <w:sz w:val="20"/>
                <w:szCs w:val="20"/>
                <w:color w:val="auto"/>
              </w:rPr>
            </w:pPr>
            <w:r>
              <w:rPr>
                <w:rFonts w:ascii="Arial" w:cs="Arial" w:eastAsia="Arial" w:hAnsi="Arial"/>
                <w:sz w:val="18"/>
                <w:szCs w:val="18"/>
                <w:color w:val="auto"/>
              </w:rPr>
              <w:t>(12,052)</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45,572</w:t>
            </w:r>
          </w:p>
        </w:tc>
        <w:tc>
          <w:tcPr>
            <w:tcW w:w="2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(12,063)</w:t>
            </w:r>
          </w:p>
        </w:tc>
      </w:tr>
      <w:tr>
        <w:trPr>
          <w:trHeight w:val="240"/>
        </w:trPr>
        <w:tc>
          <w:tcPr>
            <w:tcW w:w="3440" w:type="dxa"/>
            <w:vAlign w:val="bottom"/>
            <w:gridSpan w:val="2"/>
          </w:tcPr>
          <w:p>
            <w:pPr>
              <w:spacing w:after="0"/>
              <w:rPr>
                <w:sz w:val="20"/>
                <w:szCs w:val="20"/>
                <w:color w:val="auto"/>
              </w:rPr>
            </w:pPr>
            <w:r>
              <w:rPr>
                <w:rFonts w:ascii="Arial" w:cs="Arial" w:eastAsia="Arial" w:hAnsi="Arial"/>
                <w:sz w:val="18"/>
                <w:szCs w:val="18"/>
                <w:color w:val="auto"/>
              </w:rPr>
              <w:t>Mortgage-backed securities - commercial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44,410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27,875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(6,639)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72,285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(7,905)</w:t>
            </w:r>
          </w:p>
        </w:tc>
      </w:tr>
      <w:tr>
        <w:trPr>
          <w:trHeight w:val="240"/>
        </w:trPr>
        <w:tc>
          <w:tcPr>
            <w:tcW w:w="344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19,311</w:t>
            </w:r>
          </w:p>
        </w:tc>
        <w:tc>
          <w:tcPr>
            <w:tcW w:w="2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00" w:type="dxa"/>
            <w:vAlign w:val="bottom"/>
            <w:gridSpan w:val="2"/>
            <w:shd w:val="clear" w:color="auto" w:fill="D1EDF5"/>
          </w:tcPr>
          <w:p>
            <w:pPr>
              <w:jc w:val="right"/>
              <w:ind w:right="260"/>
              <w:spacing w:after="0"/>
              <w:rPr>
                <w:sz w:val="20"/>
                <w:szCs w:val="20"/>
                <w:color w:val="auto"/>
              </w:rPr>
            </w:pPr>
            <w:r>
              <w:rPr>
                <w:rFonts w:ascii="Arial" w:cs="Arial" w:eastAsia="Arial" w:hAnsi="Arial"/>
                <w:sz w:val="18"/>
                <w:szCs w:val="18"/>
                <w:color w:val="auto"/>
              </w:rPr>
              <w:t>(5,614)</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19,311</w:t>
            </w:r>
          </w:p>
        </w:tc>
        <w:tc>
          <w:tcPr>
            <w:tcW w:w="2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(5,614)</w:t>
            </w:r>
          </w:p>
        </w:tc>
      </w:tr>
      <w:tr>
        <w:trPr>
          <w:trHeight w:val="240"/>
        </w:trPr>
        <w:tc>
          <w:tcPr>
            <w:tcW w:w="344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Bank subordinated debt securities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14,352</w:t>
            </w:r>
          </w:p>
        </w:tc>
        <w:tc>
          <w:tcPr>
            <w:tcW w:w="28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14,352</w:t>
            </w:r>
          </w:p>
        </w:tc>
        <w:tc>
          <w:tcPr>
            <w:tcW w:w="2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r>
      <w:tr>
        <w:trPr>
          <w:trHeight w:val="245"/>
        </w:trPr>
        <w:tc>
          <w:tcPr>
            <w:tcW w:w="342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52,951</w:t>
            </w:r>
          </w:p>
        </w:tc>
        <w:tc>
          <w:tcPr>
            <w:tcW w:w="28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00" w:type="dxa"/>
            <w:vAlign w:val="bottom"/>
            <w:gridSpan w:val="2"/>
            <w:shd w:val="clear" w:color="auto" w:fill="D1EDF5"/>
          </w:tcPr>
          <w:p>
            <w:pPr>
              <w:jc w:val="right"/>
              <w:ind w:right="280"/>
              <w:spacing w:after="0"/>
              <w:rPr>
                <w:sz w:val="20"/>
                <w:szCs w:val="20"/>
                <w:color w:val="auto"/>
              </w:rPr>
            </w:pPr>
            <w:r>
              <w:rPr>
                <w:rFonts w:ascii="Arial" w:cs="Arial" w:eastAsia="Arial" w:hAnsi="Arial"/>
                <w:sz w:val="18"/>
                <w:szCs w:val="18"/>
                <w:color w:val="auto"/>
                <w:shd w:val="clear" w:color="auto" w:fill="D1EDF5"/>
              </w:rPr>
              <w:t>(1,376)</w:t>
            </w:r>
          </w:p>
        </w:tc>
        <w:tc>
          <w:tcPr>
            <w:tcW w:w="180" w:type="dxa"/>
            <w:vAlign w:val="bottom"/>
            <w:gridSpan w:val="2"/>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186,541</w:t>
            </w:r>
          </w:p>
        </w:tc>
        <w:tc>
          <w:tcPr>
            <w:tcW w:w="28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00" w:type="dxa"/>
            <w:vAlign w:val="bottom"/>
            <w:gridSpan w:val="2"/>
            <w:shd w:val="clear" w:color="auto" w:fill="D1EDF5"/>
          </w:tcPr>
          <w:p>
            <w:pPr>
              <w:jc w:val="right"/>
              <w:ind w:right="260"/>
              <w:spacing w:after="0"/>
              <w:rPr>
                <w:sz w:val="20"/>
                <w:szCs w:val="20"/>
                <w:color w:val="auto"/>
              </w:rPr>
            </w:pPr>
            <w:r>
              <w:rPr>
                <w:rFonts w:ascii="Arial" w:cs="Arial" w:eastAsia="Arial" w:hAnsi="Arial"/>
                <w:sz w:val="18"/>
                <w:szCs w:val="18"/>
                <w:color w:val="auto"/>
                <w:shd w:val="clear" w:color="auto" w:fill="D1EDF5"/>
              </w:rPr>
              <w:t>(49,836)</w:t>
            </w:r>
          </w:p>
        </w:tc>
        <w:tc>
          <w:tcPr>
            <w:tcW w:w="180" w:type="dxa"/>
            <w:vAlign w:val="bottom"/>
            <w:gridSpan w:val="2"/>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239,492</w:t>
            </w:r>
          </w:p>
        </w:tc>
        <w:tc>
          <w:tcPr>
            <w:tcW w:w="26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(51,212)</w:t>
            </w:r>
          </w:p>
        </w:tc>
      </w:tr>
      <w:tr>
        <w:trPr>
          <w:trHeight w:val="20"/>
        </w:trPr>
        <w:tc>
          <w:tcPr>
            <w:tcW w:w="3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44" w:lineRule="auto"/>
        <w:rPr>
          <w:sz w:val="20"/>
          <w:szCs w:val="20"/>
          <w:color w:val="auto"/>
        </w:rPr>
      </w:pPr>
      <w:r>
        <w:rPr>
          <w:rFonts w:ascii="Arial" w:cs="Arial" w:eastAsia="Arial" w:hAnsi="Arial"/>
          <w:sz w:val="20"/>
          <w:szCs w:val="20"/>
          <w:color w:val="auto"/>
        </w:rPr>
        <w:t>At December 31, 2025, the Company had $32.2 million of unrealized losses in its AFS securities portfolio, which had a fair value of $240.1 million with respect to the securities with unrealized losses. Mortgage-backed securities and collateralized mortgage obligations issued by U.S. government-sponsored entities accounted for $31.0 million of the unrealized losses and had a fair value of $226.6 million. These unrealized losses were primarily attributable to changes in interest rates since the time of purchase. The contractual cash flows for these securities are guaranteed by U.S. Government Agencies and U.S. government-sponsored entities. Municipal bonds had unrealized losses of $933 thousand and a fair value of $4.3 million. These securities are of high credit quality, and the decline in fair value was not attributable to credit deterioration. Bank subordinated debt securities had unrealized losses of $243 thousand and a fair value of $9.3 million, primarily due to changes in interest rate market conditions since purchase. Based on the assessment of these mitigating factors, management believes that the unrealized losses on these debt security holdings are a function of changes in investment spreads and interest rate movements and not changes in credit quality.</w:t>
      </w:r>
    </w:p>
    <w:p>
      <w:pPr>
        <w:spacing w:after="0" w:line="18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measurement of expected credit losses under the CECL methodology is applicable to financial assets measured at amortized cost, including loan receivables and HTM debt securities.</w:t>
      </w:r>
    </w:p>
    <w:p>
      <w:pPr>
        <w:spacing w:after="0" w:line="149"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Moody’s model, this is determined using historical default data, adjusted for the current economic environment. LGD projects the expected loss if a borrower were to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0"/>
          </w:cols>
          <w:pgMar w:left="720" w:top="355" w:right="720" w:bottom="0" w:gutter="0" w:footer="0" w:header="0"/>
          <w:type w:val="continuous"/>
        </w:sectPr>
      </w:pPr>
    </w:p>
    <w:bookmarkStart w:id="94" w:name="page95"/>
    <w:bookmarkEnd w:id="94"/>
    <w:p>
      <w:pPr>
        <w:ind w:left="1"/>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left="1"/>
        <w:spacing w:after="0" w:line="261" w:lineRule="auto"/>
        <w:rPr>
          <w:sz w:val="20"/>
          <w:szCs w:val="20"/>
          <w:color w:val="auto"/>
        </w:rPr>
      </w:pPr>
      <w:r>
        <w:rPr>
          <w:rFonts w:ascii="Arial" w:cs="Arial" w:eastAsia="Arial" w:hAnsi="Arial"/>
          <w:sz w:val="20"/>
          <w:szCs w:val="20"/>
          <w:color w:val="auto"/>
        </w:rPr>
        <w:t>The Company monitors the credit quality of HTM securities through the use of credit ratings. Credit ratings are monitored by the Company on at least a quarterly basis. As of December 31, 2025 and December 31, 2024, all HTM securities held by the Company were rated investment grade.</w:t>
      </w:r>
    </w:p>
    <w:p>
      <w:pPr>
        <w:spacing w:after="0" w:line="169" w:lineRule="exact"/>
        <w:rPr>
          <w:sz w:val="20"/>
          <w:szCs w:val="20"/>
          <w:color w:val="auto"/>
        </w:rPr>
      </w:pPr>
    </w:p>
    <w:p>
      <w:pPr>
        <w:jc w:val="both"/>
        <w:ind w:left="1" w:firstLine="360"/>
        <w:spacing w:after="0" w:line="247" w:lineRule="auto"/>
        <w:rPr>
          <w:sz w:val="20"/>
          <w:szCs w:val="20"/>
          <w:color w:val="auto"/>
        </w:rPr>
      </w:pPr>
      <w:r>
        <w:rPr>
          <w:rFonts w:ascii="Arial" w:cs="Arial" w:eastAsia="Arial" w:hAnsi="Arial"/>
          <w:sz w:val="20"/>
          <w:szCs w:val="20"/>
          <w:color w:val="auto"/>
        </w:rPr>
        <w:t>At December 31, 2025, HTM securities included $144.9 million of U.S. Government and U.S. Agency issued bonds and mortgage-backed securities. Because of the explicit and/or implicit guarantee on these bonds, the Company holds no reserves on these holdings. The remaining portion of the HTM portfolio is made up of $9.0 million in investment grade corporate bonds. The required reserve for these holdings is determined each quarter using the model described above. For the portion of the HTM exposed to non-government credit risk, the Company utilized the PD/LGD methodology to estimate a $2 thousand ACL as of December 31, 2025. The book value for debt securities classified as HTM represents amortized cost less ACL.</w:t>
      </w:r>
    </w:p>
    <w:p>
      <w:pPr>
        <w:spacing w:after="0" w:line="185" w:lineRule="exact"/>
        <w:rPr>
          <w:sz w:val="20"/>
          <w:szCs w:val="20"/>
          <w:color w:val="auto"/>
        </w:rPr>
      </w:pPr>
    </w:p>
    <w:p>
      <w:pPr>
        <w:jc w:val="both"/>
        <w:ind w:left="1" w:firstLine="360"/>
        <w:spacing w:after="0" w:line="282" w:lineRule="auto"/>
        <w:rPr>
          <w:sz w:val="20"/>
          <w:szCs w:val="20"/>
          <w:color w:val="auto"/>
        </w:rPr>
      </w:pPr>
      <w:r>
        <w:rPr>
          <w:rFonts w:ascii="Arial" w:cs="Arial" w:eastAsia="Arial" w:hAnsi="Arial"/>
          <w:sz w:val="20"/>
          <w:szCs w:val="20"/>
          <w:color w:val="auto"/>
        </w:rPr>
        <w:t>The Company determined that an ACL on its debt securities available for sale as was not required as of December 31, 2025 and December 31, 2024.</w:t>
      </w:r>
    </w:p>
    <w:p>
      <w:pPr>
        <w:spacing w:after="0" w:line="149" w:lineRule="exact"/>
        <w:rPr>
          <w:sz w:val="20"/>
          <w:szCs w:val="20"/>
          <w:color w:val="auto"/>
        </w:rPr>
      </w:pPr>
    </w:p>
    <w:p>
      <w:pPr>
        <w:jc w:val="both"/>
        <w:ind w:left="1" w:firstLine="360"/>
        <w:spacing w:after="0" w:line="251" w:lineRule="auto"/>
        <w:rPr>
          <w:sz w:val="20"/>
          <w:szCs w:val="20"/>
          <w:color w:val="auto"/>
        </w:rPr>
      </w:pPr>
      <w:r>
        <w:rPr>
          <w:rFonts w:ascii="Arial" w:cs="Arial" w:eastAsia="Arial" w:hAnsi="Arial"/>
          <w:sz w:val="20"/>
          <w:szCs w:val="20"/>
          <w:color w:val="auto"/>
        </w:rPr>
        <w:t>In 2018, the Company became a Qualified Public Depository (“QPD”) with the State of Florida. As a QPD, the Company has the authority to legally maintain public deposits from cities, municipalities, and the State of Florida. These public deposits are secured by securities pledged to the State of Florida at a ratio of 25% and 50% of the average outstanding amount of uninsured deposits at December 31, 2025 and December 31, 2024, respectively. The Company must also maintain a minimum amount of pledged securities to be in the program related to these deposits.</w:t>
      </w:r>
    </w:p>
    <w:p>
      <w:pPr>
        <w:spacing w:after="0" w:line="178" w:lineRule="exact"/>
        <w:rPr>
          <w:sz w:val="20"/>
          <w:szCs w:val="20"/>
          <w:color w:val="auto"/>
        </w:rPr>
      </w:pPr>
    </w:p>
    <w:p>
      <w:pPr>
        <w:jc w:val="both"/>
        <w:ind w:left="1" w:firstLine="360"/>
        <w:spacing w:after="0" w:line="261" w:lineRule="auto"/>
        <w:rPr>
          <w:sz w:val="20"/>
          <w:szCs w:val="20"/>
          <w:color w:val="auto"/>
        </w:rPr>
      </w:pPr>
      <w:r>
        <w:rPr>
          <w:rFonts w:ascii="Arial" w:cs="Arial" w:eastAsia="Arial" w:hAnsi="Arial"/>
          <w:sz w:val="20"/>
          <w:szCs w:val="20"/>
          <w:color w:val="auto"/>
        </w:rPr>
        <w:t>At December 31, 2025, the Company had fifteen securities with an aggregate fair value of $43.5 million pledged to the State of Florida under the public funds program. The Company held a total of $167.7 million in public funds at December 31, 2025.</w:t>
      </w:r>
    </w:p>
    <w:p>
      <w:pPr>
        <w:spacing w:after="0" w:line="172" w:lineRule="exact"/>
        <w:rPr>
          <w:sz w:val="20"/>
          <w:szCs w:val="20"/>
          <w:color w:val="auto"/>
        </w:rPr>
      </w:pPr>
    </w:p>
    <w:p>
      <w:pPr>
        <w:jc w:val="both"/>
        <w:ind w:left="1" w:firstLine="360"/>
        <w:spacing w:after="0" w:line="260" w:lineRule="auto"/>
        <w:rPr>
          <w:sz w:val="20"/>
          <w:szCs w:val="20"/>
          <w:color w:val="auto"/>
        </w:rPr>
      </w:pPr>
      <w:r>
        <w:rPr>
          <w:rFonts w:ascii="Arial" w:cs="Arial" w:eastAsia="Arial" w:hAnsi="Arial"/>
          <w:sz w:val="20"/>
          <w:szCs w:val="20"/>
          <w:color w:val="auto"/>
        </w:rPr>
        <w:t>At December 31, 2024, the Company had twenty-one securities with an aggregate fair value of $66.1 million pledged to the State of Florida under the public funds program. The Company held a total of $110.5 million in public funds at December 31, 2024.</w:t>
      </w:r>
    </w:p>
    <w:p>
      <w:pPr>
        <w:spacing w:after="0" w:line="168" w:lineRule="exact"/>
        <w:rPr>
          <w:sz w:val="20"/>
          <w:szCs w:val="20"/>
          <w:color w:val="auto"/>
        </w:rPr>
      </w:pPr>
    </w:p>
    <w:p>
      <w:pPr>
        <w:ind w:left="541" w:hanging="541"/>
        <w:spacing w:after="0"/>
        <w:tabs>
          <w:tab w:leader="none" w:pos="541"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LOANS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34290</wp:posOffset>
                </wp:positionV>
                <wp:extent cx="689356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2.7pt" to="541.45pt,2.7pt" o:allowincell="f" strokecolor="#000000" strokeweight="1.4399pt"/>
            </w:pict>
          </mc:Fallback>
        </mc:AlternateContent>
      </w:r>
    </w:p>
    <w:p>
      <w:pPr>
        <w:spacing w:after="0" w:line="263" w:lineRule="exact"/>
        <w:rPr>
          <w:sz w:val="20"/>
          <w:szCs w:val="20"/>
          <w:color w:val="auto"/>
        </w:rPr>
      </w:pPr>
    </w:p>
    <w:p>
      <w:pPr>
        <w:ind w:left="361"/>
        <w:spacing w:after="0"/>
        <w:rPr>
          <w:sz w:val="20"/>
          <w:szCs w:val="20"/>
          <w:color w:val="auto"/>
        </w:rPr>
      </w:pPr>
      <w:r>
        <w:rPr>
          <w:rFonts w:ascii="Arial" w:cs="Arial" w:eastAsia="Arial" w:hAnsi="Arial"/>
          <w:sz w:val="20"/>
          <w:szCs w:val="20"/>
          <w:color w:val="auto"/>
        </w:rPr>
        <w:t>The following table is a summary of the distribution of loans held for investment by type (in thousands):</w:t>
      </w:r>
    </w:p>
    <w:p>
      <w:pPr>
        <w:spacing w:after="0" w:line="320" w:lineRule="exact"/>
        <w:rPr>
          <w:sz w:val="20"/>
          <w:szCs w:val="20"/>
          <w:color w:val="auto"/>
        </w:rPr>
      </w:pPr>
    </w:p>
    <w:tbl>
      <w:tblPr>
        <w:tblLayout w:type="fixed"/>
        <w:tblInd w:w="1"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December 31, 2024</w:t>
            </w:r>
          </w:p>
        </w:tc>
      </w:tr>
      <w:tr>
        <w:trPr>
          <w:trHeight w:val="259"/>
        </w:trPr>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Percent of</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Percent of</w:t>
            </w:r>
          </w:p>
        </w:tc>
      </w:tr>
      <w:tr>
        <w:trPr>
          <w:trHeight w:val="227"/>
        </w:trPr>
        <w:tc>
          <w:tcPr>
            <w:tcW w:w="514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D1EDF5"/>
            </w:tcBorders>
          </w:tcPr>
          <w:p>
            <w:pPr>
              <w:spacing w:after="0"/>
              <w:rPr>
                <w:sz w:val="19"/>
                <w:szCs w:val="19"/>
                <w:color w:val="auto"/>
              </w:rPr>
            </w:pPr>
          </w:p>
        </w:tc>
        <w:tc>
          <w:tcPr>
            <w:tcW w:w="12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D1EDF5"/>
            </w:tcBorders>
          </w:tcPr>
          <w:p>
            <w:pPr>
              <w:spacing w:after="0"/>
              <w:rPr>
                <w:sz w:val="19"/>
                <w:szCs w:val="19"/>
                <w:color w:val="auto"/>
              </w:rPr>
            </w:pPr>
          </w:p>
        </w:tc>
        <w:tc>
          <w:tcPr>
            <w:tcW w:w="12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30"/>
        </w:trPr>
        <w:tc>
          <w:tcPr>
            <w:tcW w:w="5140" w:type="dxa"/>
            <w:vAlign w:val="bottom"/>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307,692</w:t>
            </w:r>
          </w:p>
        </w:tc>
        <w:tc>
          <w:tcPr>
            <w:tcW w:w="6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D1EDF5"/>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289,961</w:t>
            </w:r>
          </w:p>
        </w:tc>
        <w:tc>
          <w:tcPr>
            <w:tcW w:w="6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1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1,244,835</w:t>
            </w:r>
          </w:p>
        </w:tc>
        <w:tc>
          <w:tcPr>
            <w:tcW w:w="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57.0 %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1,136,417</w:t>
            </w:r>
          </w:p>
        </w:tc>
        <w:tc>
          <w:tcPr>
            <w:tcW w:w="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57.8 %</w:t>
            </w:r>
          </w:p>
        </w:tc>
      </w:tr>
      <w:tr>
        <w:trPr>
          <w:trHeight w:val="240"/>
        </w:trPr>
        <w:tc>
          <w:tcPr>
            <w:tcW w:w="5140" w:type="dxa"/>
            <w:vAlign w:val="bottom"/>
            <w:shd w:val="clear" w:color="auto" w:fill="D1EDF5"/>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D1EDF5"/>
          </w:tcPr>
          <w:p>
            <w:pPr>
              <w:spacing w:after="0"/>
              <w:rPr>
                <w:sz w:val="20"/>
                <w:szCs w:val="20"/>
                <w:color w:val="auto"/>
              </w:rPr>
            </w:pPr>
          </w:p>
        </w:tc>
        <w:tc>
          <w:tcPr>
            <w:tcW w:w="1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295,548</w:t>
            </w:r>
          </w:p>
        </w:tc>
        <w:tc>
          <w:tcPr>
            <w:tcW w:w="6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258,311</w:t>
            </w:r>
          </w:p>
        </w:tc>
        <w:tc>
          <w:tcPr>
            <w:tcW w:w="6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0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140" w:type="dxa"/>
            <w:vAlign w:val="bottom"/>
          </w:tcPr>
          <w:p>
            <w:pPr>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127,968</w:t>
            </w:r>
          </w:p>
        </w:tc>
        <w:tc>
          <w:tcPr>
            <w:tcW w:w="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82,438</w:t>
            </w:r>
          </w:p>
        </w:tc>
        <w:tc>
          <w:tcPr>
            <w:tcW w:w="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60"/>
        </w:trPr>
        <w:tc>
          <w:tcPr>
            <w:tcW w:w="514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shd w:val="clear" w:color="auto" w:fill="D1EDF5"/>
          </w:tcPr>
          <w:p>
            <w:pPr>
              <w:spacing w:after="0"/>
              <w:rPr>
                <w:sz w:val="22"/>
                <w:szCs w:val="22"/>
                <w:color w:val="auto"/>
              </w:rPr>
            </w:pPr>
          </w:p>
        </w:tc>
        <w:tc>
          <w:tcPr>
            <w:tcW w:w="1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207,215</w:t>
            </w:r>
          </w:p>
        </w:tc>
        <w:tc>
          <w:tcPr>
            <w:tcW w:w="60" w:type="dxa"/>
            <w:vAlign w:val="bottom"/>
            <w:tcBorders>
              <w:bottom w:val="single" w:sz="8" w:color="auto"/>
            </w:tcBorders>
            <w:shd w:val="clear" w:color="auto" w:fill="D1EDF5"/>
          </w:tcPr>
          <w:p>
            <w:pPr>
              <w:spacing w:after="0"/>
              <w:rPr>
                <w:sz w:val="22"/>
                <w:szCs w:val="22"/>
                <w:color w:val="auto"/>
              </w:rPr>
            </w:pPr>
          </w:p>
        </w:tc>
        <w:tc>
          <w:tcPr>
            <w:tcW w:w="80" w:type="dxa"/>
            <w:vAlign w:val="bottom"/>
            <w:tcBorders>
              <w:bottom w:val="single" w:sz="8" w:color="D1EDF5"/>
            </w:tcBorders>
            <w:shd w:val="clear" w:color="auto" w:fill="D1EDF5"/>
          </w:tcPr>
          <w:p>
            <w:pPr>
              <w:spacing w:after="0"/>
              <w:rPr>
                <w:sz w:val="22"/>
                <w:szCs w:val="22"/>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280" w:type="dxa"/>
            <w:vAlign w:val="bottom"/>
            <w:tcBorders>
              <w:bottom w:val="single" w:sz="8" w:color="auto"/>
            </w:tcBorders>
            <w:shd w:val="clear" w:color="auto" w:fill="D1EDF5"/>
          </w:tcPr>
          <w:p>
            <w:pPr>
              <w:spacing w:after="0"/>
              <w:rPr>
                <w:sz w:val="22"/>
                <w:szCs w:val="22"/>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198,091</w:t>
            </w:r>
          </w:p>
        </w:tc>
        <w:tc>
          <w:tcPr>
            <w:tcW w:w="60" w:type="dxa"/>
            <w:vAlign w:val="bottom"/>
            <w:tcBorders>
              <w:bottom w:val="single" w:sz="8" w:color="auto"/>
            </w:tcBorders>
            <w:shd w:val="clear" w:color="auto" w:fill="D1EDF5"/>
          </w:tcPr>
          <w:p>
            <w:pPr>
              <w:spacing w:after="0"/>
              <w:rPr>
                <w:sz w:val="22"/>
                <w:szCs w:val="22"/>
                <w:color w:val="auto"/>
              </w:rPr>
            </w:pPr>
          </w:p>
        </w:tc>
        <w:tc>
          <w:tcPr>
            <w:tcW w:w="80" w:type="dxa"/>
            <w:vAlign w:val="bottom"/>
            <w:tcBorders>
              <w:bottom w:val="single" w:sz="8" w:color="D1EDF5"/>
            </w:tcBorders>
            <w:shd w:val="clear" w:color="auto" w:fill="D1EDF5"/>
          </w:tcPr>
          <w:p>
            <w:pPr>
              <w:spacing w:after="0"/>
              <w:rPr>
                <w:sz w:val="22"/>
                <w:szCs w:val="22"/>
                <w:color w:val="auto"/>
              </w:rPr>
            </w:pPr>
          </w:p>
        </w:tc>
        <w:tc>
          <w:tcPr>
            <w:tcW w:w="1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140" w:type="dxa"/>
            <w:vAlign w:val="bottom"/>
            <w:tcBorders>
              <w:bottom w:val="single" w:sz="8" w:color="D1EDF5"/>
            </w:tcBorders>
          </w:tcPr>
          <w:p>
            <w:pPr>
              <w:ind w:left="140"/>
              <w:spacing w:after="0"/>
              <w:rPr>
                <w:sz w:val="20"/>
                <w:szCs w:val="20"/>
                <w:color w:val="auto"/>
              </w:rPr>
            </w:pPr>
            <w:r>
              <w:rPr>
                <w:rFonts w:ascii="Arial" w:cs="Arial" w:eastAsia="Arial" w:hAnsi="Arial"/>
                <w:sz w:val="18"/>
                <w:szCs w:val="18"/>
                <w:color w:val="auto"/>
              </w:rPr>
              <w:t>Total gross loans</w:t>
            </w:r>
          </w:p>
        </w:tc>
        <w:tc>
          <w:tcPr>
            <w:tcW w:w="180" w:type="dxa"/>
            <w:vAlign w:val="bottom"/>
            <w:tcBorders>
              <w:bottom w:val="single" w:sz="8" w:color="D1EDF5"/>
            </w:tcBorders>
          </w:tcPr>
          <w:p>
            <w:pPr>
              <w:spacing w:after="0"/>
              <w:rPr>
                <w:sz w:val="22"/>
                <w:szCs w:val="22"/>
                <w:color w:val="auto"/>
              </w:rPr>
            </w:pPr>
          </w:p>
        </w:tc>
        <w:tc>
          <w:tcPr>
            <w:tcW w:w="1280" w:type="dxa"/>
            <w:vAlign w:val="bottom"/>
            <w:tcBorders>
              <w:bottom w:val="single" w:sz="8" w:color="D1EDF5"/>
            </w:tcBorders>
            <w:gridSpan w:val="2"/>
          </w:tcPr>
          <w:p>
            <w:pPr>
              <w:jc w:val="right"/>
              <w:ind w:right="60"/>
              <w:spacing w:after="0"/>
              <w:rPr>
                <w:sz w:val="20"/>
                <w:szCs w:val="20"/>
                <w:color w:val="auto"/>
              </w:rPr>
            </w:pPr>
            <w:r>
              <w:rPr>
                <w:rFonts w:ascii="Arial" w:cs="Arial" w:eastAsia="Arial" w:hAnsi="Arial"/>
                <w:sz w:val="18"/>
                <w:szCs w:val="18"/>
                <w:color w:val="auto"/>
              </w:rPr>
              <w:t>2,183,258</w:t>
            </w:r>
          </w:p>
        </w:tc>
        <w:tc>
          <w:tcPr>
            <w:tcW w:w="80" w:type="dxa"/>
            <w:vAlign w:val="bottom"/>
            <w:tcBorders>
              <w:bottom w:val="single" w:sz="8" w:color="D1EDF5"/>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280" w:type="dxa"/>
            <w:vAlign w:val="bottom"/>
            <w:tcBorders>
              <w:bottom w:val="single" w:sz="8" w:color="D1EDF5"/>
            </w:tcBorders>
          </w:tcPr>
          <w:p>
            <w:pPr>
              <w:spacing w:after="0"/>
              <w:rPr>
                <w:sz w:val="22"/>
                <w:szCs w:val="22"/>
                <w:color w:val="auto"/>
              </w:rPr>
            </w:pPr>
          </w:p>
        </w:tc>
        <w:tc>
          <w:tcPr>
            <w:tcW w:w="1160" w:type="dxa"/>
            <w:vAlign w:val="bottom"/>
            <w:tcBorders>
              <w:bottom w:val="single" w:sz="8" w:color="D1EDF5"/>
            </w:tcBorders>
            <w:gridSpan w:val="2"/>
          </w:tcPr>
          <w:p>
            <w:pPr>
              <w:jc w:val="right"/>
              <w:ind w:right="60"/>
              <w:spacing w:after="0"/>
              <w:rPr>
                <w:sz w:val="20"/>
                <w:szCs w:val="20"/>
                <w:color w:val="auto"/>
              </w:rPr>
            </w:pPr>
            <w:r>
              <w:rPr>
                <w:rFonts w:ascii="Arial" w:cs="Arial" w:eastAsia="Arial" w:hAnsi="Arial"/>
                <w:sz w:val="18"/>
                <w:szCs w:val="18"/>
                <w:color w:val="auto"/>
              </w:rPr>
              <w:t>1,965,218</w:t>
            </w:r>
          </w:p>
        </w:tc>
        <w:tc>
          <w:tcPr>
            <w:tcW w:w="80" w:type="dxa"/>
            <w:vAlign w:val="bottom"/>
            <w:tcBorders>
              <w:bottom w:val="single" w:sz="8" w:color="D1EDF5"/>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r>
      <w:tr>
        <w:trPr>
          <w:trHeight w:val="240"/>
        </w:trPr>
        <w:tc>
          <w:tcPr>
            <w:tcW w:w="5140" w:type="dxa"/>
            <w:vAlign w:val="bottom"/>
            <w:shd w:val="clear" w:color="auto" w:fill="D1EDF5"/>
          </w:tcPr>
          <w:p>
            <w:pPr>
              <w:spacing w:after="0"/>
              <w:rPr>
                <w:sz w:val="20"/>
                <w:szCs w:val="20"/>
                <w:color w:val="auto"/>
              </w:rPr>
            </w:pPr>
            <w:r>
              <w:rPr>
                <w:rFonts w:ascii="Arial" w:cs="Arial" w:eastAsia="Arial" w:hAnsi="Arial"/>
                <w:sz w:val="18"/>
                <w:szCs w:val="18"/>
                <w:color w:val="auto"/>
              </w:rPr>
              <w:t>Plus: Deferred costs/fees</w:t>
            </w:r>
          </w:p>
        </w:tc>
        <w:tc>
          <w:tcPr>
            <w:tcW w:w="180" w:type="dxa"/>
            <w:vAlign w:val="bottom"/>
            <w:tcBorders>
              <w:bottom w:val="single" w:sz="8" w:color="auto"/>
            </w:tcBorders>
            <w:shd w:val="clear" w:color="auto" w:fill="D1EDF5"/>
          </w:tcPr>
          <w:p>
            <w:pPr>
              <w:spacing w:after="0"/>
              <w:rPr>
                <w:sz w:val="20"/>
                <w:szCs w:val="20"/>
                <w:color w:val="auto"/>
              </w:rPr>
            </w:pPr>
          </w:p>
        </w:tc>
        <w:tc>
          <w:tcPr>
            <w:tcW w:w="1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5,999</w:t>
            </w:r>
          </w:p>
        </w:tc>
        <w:tc>
          <w:tcPr>
            <w:tcW w:w="60" w:type="dxa"/>
            <w:vAlign w:val="bottom"/>
            <w:tcBorders>
              <w:bottom w:val="single" w:sz="8" w:color="auto"/>
            </w:tcBorders>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tcBorders>
              <w:bottom w:val="single" w:sz="8" w:color="auto"/>
            </w:tcBorders>
            <w:shd w:val="clear" w:color="auto" w:fill="D1EDF5"/>
          </w:tcPr>
          <w:p>
            <w:pPr>
              <w:spacing w:after="0"/>
              <w:rPr>
                <w:sz w:val="20"/>
                <w:szCs w:val="20"/>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7,630</w:t>
            </w:r>
          </w:p>
        </w:tc>
        <w:tc>
          <w:tcPr>
            <w:tcW w:w="60" w:type="dxa"/>
            <w:vAlign w:val="bottom"/>
            <w:tcBorders>
              <w:bottom w:val="single" w:sz="8" w:color="auto"/>
            </w:tcBorders>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0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r>
      <w:tr>
        <w:trPr>
          <w:trHeight w:val="232"/>
        </w:trPr>
        <w:tc>
          <w:tcPr>
            <w:tcW w:w="5140" w:type="dxa"/>
            <w:vAlign w:val="bottom"/>
          </w:tcPr>
          <w:p>
            <w:pPr>
              <w:ind w:left="140"/>
              <w:spacing w:after="0"/>
              <w:rPr>
                <w:sz w:val="20"/>
                <w:szCs w:val="20"/>
                <w:color w:val="auto"/>
              </w:rPr>
            </w:pPr>
            <w:r>
              <w:rPr>
                <w:rFonts w:ascii="Arial" w:cs="Arial" w:eastAsia="Arial" w:hAnsi="Arial"/>
                <w:sz w:val="18"/>
                <w:szCs w:val="18"/>
                <w:color w:val="auto"/>
              </w:rPr>
              <w:t>Total loans held for investment, net of deferred costs/fees</w:t>
            </w: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2,189,257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1,972,848</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60"/>
        </w:trPr>
        <w:tc>
          <w:tcPr>
            <w:tcW w:w="514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Less: Allowance for credit losses</w:t>
            </w:r>
          </w:p>
        </w:tc>
        <w:tc>
          <w:tcPr>
            <w:tcW w:w="180" w:type="dxa"/>
            <w:vAlign w:val="bottom"/>
            <w:tcBorders>
              <w:bottom w:val="single" w:sz="8" w:color="auto"/>
            </w:tcBorders>
            <w:shd w:val="clear" w:color="auto" w:fill="D1EDF5"/>
          </w:tcPr>
          <w:p>
            <w:pPr>
              <w:spacing w:after="0"/>
              <w:rPr>
                <w:sz w:val="22"/>
                <w:szCs w:val="22"/>
                <w:color w:val="auto"/>
              </w:rPr>
            </w:pPr>
          </w:p>
        </w:tc>
        <w:tc>
          <w:tcPr>
            <w:tcW w:w="1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25,500</w:t>
            </w:r>
          </w:p>
        </w:tc>
        <w:tc>
          <w:tcPr>
            <w:tcW w:w="60" w:type="dxa"/>
            <w:vAlign w:val="bottom"/>
            <w:tcBorders>
              <w:bottom w:val="single" w:sz="8" w:color="auto"/>
            </w:tcBorders>
            <w:shd w:val="clear" w:color="auto" w:fill="D1EDF5"/>
          </w:tcPr>
          <w:p>
            <w:pPr>
              <w:spacing w:after="0"/>
              <w:rPr>
                <w:sz w:val="22"/>
                <w:szCs w:val="22"/>
                <w:color w:val="auto"/>
              </w:rPr>
            </w:pPr>
          </w:p>
        </w:tc>
        <w:tc>
          <w:tcPr>
            <w:tcW w:w="80" w:type="dxa"/>
            <w:vAlign w:val="bottom"/>
            <w:tcBorders>
              <w:bottom w:val="single" w:sz="8" w:color="D1EDF5"/>
            </w:tcBorders>
            <w:shd w:val="clear" w:color="auto" w:fill="D1EDF5"/>
          </w:tcPr>
          <w:p>
            <w:pPr>
              <w:spacing w:after="0"/>
              <w:rPr>
                <w:sz w:val="22"/>
                <w:szCs w:val="22"/>
                <w:color w:val="auto"/>
              </w:rPr>
            </w:pPr>
          </w:p>
        </w:tc>
        <w:tc>
          <w:tcPr>
            <w:tcW w:w="980" w:type="dxa"/>
            <w:vAlign w:val="bottom"/>
            <w:tcBorders>
              <w:bottom w:val="single" w:sz="8" w:color="D1EDF5"/>
            </w:tcBorders>
            <w:shd w:val="clear" w:color="auto" w:fill="D1EDF5"/>
          </w:tcPr>
          <w:p>
            <w:pPr>
              <w:spacing w:after="0"/>
              <w:rPr>
                <w:sz w:val="22"/>
                <w:szCs w:val="22"/>
                <w:color w:val="auto"/>
              </w:rPr>
            </w:pPr>
          </w:p>
        </w:tc>
        <w:tc>
          <w:tcPr>
            <w:tcW w:w="280" w:type="dxa"/>
            <w:vAlign w:val="bottom"/>
            <w:tcBorders>
              <w:bottom w:val="single" w:sz="8" w:color="D1EDF5"/>
            </w:tcBorders>
            <w:shd w:val="clear" w:color="auto" w:fill="D1EDF5"/>
          </w:tcPr>
          <w:p>
            <w:pPr>
              <w:spacing w:after="0"/>
              <w:rPr>
                <w:sz w:val="22"/>
                <w:szCs w:val="22"/>
                <w:color w:val="auto"/>
              </w:rPr>
            </w:pPr>
          </w:p>
        </w:tc>
        <w:tc>
          <w:tcPr>
            <w:tcW w:w="6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280" w:type="dxa"/>
            <w:vAlign w:val="bottom"/>
            <w:tcBorders>
              <w:bottom w:val="single" w:sz="8" w:color="auto"/>
            </w:tcBorders>
            <w:shd w:val="clear" w:color="auto" w:fill="D1EDF5"/>
          </w:tcPr>
          <w:p>
            <w:pPr>
              <w:spacing w:after="0"/>
              <w:rPr>
                <w:sz w:val="22"/>
                <w:szCs w:val="22"/>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24,070</w:t>
            </w:r>
          </w:p>
        </w:tc>
        <w:tc>
          <w:tcPr>
            <w:tcW w:w="60" w:type="dxa"/>
            <w:vAlign w:val="bottom"/>
            <w:tcBorders>
              <w:bottom w:val="single" w:sz="8" w:color="auto"/>
            </w:tcBorders>
            <w:shd w:val="clear" w:color="auto" w:fill="D1EDF5"/>
          </w:tcPr>
          <w:p>
            <w:pPr>
              <w:spacing w:after="0"/>
              <w:rPr>
                <w:sz w:val="22"/>
                <w:szCs w:val="22"/>
                <w:color w:val="auto"/>
              </w:rPr>
            </w:pPr>
          </w:p>
        </w:tc>
        <w:tc>
          <w:tcPr>
            <w:tcW w:w="80" w:type="dxa"/>
            <w:vAlign w:val="bottom"/>
            <w:tcBorders>
              <w:bottom w:val="single" w:sz="8" w:color="D1EDF5"/>
            </w:tcBorders>
            <w:shd w:val="clear" w:color="auto" w:fill="D1EDF5"/>
          </w:tcPr>
          <w:p>
            <w:pPr>
              <w:spacing w:after="0"/>
              <w:rPr>
                <w:sz w:val="22"/>
                <w:szCs w:val="22"/>
                <w:color w:val="auto"/>
              </w:rPr>
            </w:pPr>
          </w:p>
        </w:tc>
        <w:tc>
          <w:tcPr>
            <w:tcW w:w="1000" w:type="dxa"/>
            <w:vAlign w:val="bottom"/>
            <w:tcBorders>
              <w:bottom w:val="single" w:sz="8" w:color="D1EDF5"/>
            </w:tcBorders>
            <w:shd w:val="clear" w:color="auto" w:fill="D1EDF5"/>
          </w:tcPr>
          <w:p>
            <w:pPr>
              <w:spacing w:after="0"/>
              <w:rPr>
                <w:sz w:val="22"/>
                <w:szCs w:val="22"/>
                <w:color w:val="auto"/>
              </w:rPr>
            </w:pPr>
          </w:p>
        </w:tc>
        <w:tc>
          <w:tcPr>
            <w:tcW w:w="260" w:type="dxa"/>
            <w:vAlign w:val="bottom"/>
            <w:tcBorders>
              <w:bottom w:val="single" w:sz="8" w:color="D1EDF5"/>
            </w:tcBorders>
            <w:shd w:val="clear" w:color="auto" w:fill="D1EDF5"/>
          </w:tcPr>
          <w:p>
            <w:pPr>
              <w:spacing w:after="0"/>
              <w:rPr>
                <w:sz w:val="22"/>
                <w:szCs w:val="22"/>
                <w:color w:val="auto"/>
              </w:rPr>
            </w:pPr>
          </w:p>
        </w:tc>
      </w:tr>
      <w:tr>
        <w:trPr>
          <w:trHeight w:val="226"/>
        </w:trPr>
        <w:tc>
          <w:tcPr>
            <w:tcW w:w="5140" w:type="dxa"/>
            <w:vAlign w:val="bottom"/>
          </w:tcPr>
          <w:p>
            <w:pPr>
              <w:ind w:left="140"/>
              <w:spacing w:after="0"/>
              <w:rPr>
                <w:sz w:val="20"/>
                <w:szCs w:val="20"/>
                <w:color w:val="auto"/>
              </w:rPr>
            </w:pPr>
            <w:r>
              <w:rPr>
                <w:rFonts w:ascii="Arial" w:cs="Arial" w:eastAsia="Arial" w:hAnsi="Arial"/>
                <w:sz w:val="18"/>
                <w:szCs w:val="18"/>
                <w:color w:val="auto"/>
              </w:rPr>
              <w:t>Total loans held for investment, net of allowance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2,163,757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1,948,778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 w:firstLine="360"/>
        <w:spacing w:after="0" w:line="261" w:lineRule="auto"/>
        <w:rPr>
          <w:sz w:val="20"/>
          <w:szCs w:val="20"/>
          <w:color w:val="auto"/>
        </w:rPr>
      </w:pPr>
      <w:r>
        <w:rPr>
          <w:rFonts w:ascii="Arial" w:cs="Arial" w:eastAsia="Arial" w:hAnsi="Arial"/>
          <w:sz w:val="20"/>
          <w:szCs w:val="20"/>
          <w:color w:val="auto"/>
        </w:rPr>
        <w:t>At December 31, 2025 and 2024, the Company had $561.4 million and $ 518.8 million, respectively, of commercial real estate and residential mortgage loans pledged as collateral on lines of credit with the FHLB and the Federal Reserve Bank of Atlanta. At December 31, 2025 and 2024, the Company had no real estate loans in the process of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tabs>
          <w:tab w:leader="none" w:pos="380" w:val="left"/>
          <w:tab w:leader="none" w:pos="20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801"/>
          </w:cols>
          <w:pgMar w:left="719" w:top="355" w:right="720" w:bottom="0" w:gutter="0" w:footer="0" w:header="0"/>
        </w:sectPr>
      </w:pPr>
    </w:p>
    <w:bookmarkStart w:id="95" w:name="page96"/>
    <w:bookmarkEnd w:id="95"/>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Changes in the ACL for the years ended December 31, 2025 and 2024 are as follows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9"/>
              </w:rPr>
              <w:t>Residential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Commercial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Commercial</w:t>
            </w:r>
          </w:p>
        </w:tc>
        <w:tc>
          <w:tcPr>
            <w:tcW w:w="80" w:type="dxa"/>
            <w:vAlign w:val="bottom"/>
          </w:tcPr>
          <w:p>
            <w:pPr>
              <w:spacing w:after="0"/>
              <w:rPr>
                <w:sz w:val="18"/>
                <w:szCs w:val="18"/>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Correspondent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Consumer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Real Estate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Real Estate</w:t>
            </w:r>
          </w:p>
        </w:tc>
        <w:tc>
          <w:tcPr>
            <w:tcW w:w="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and Industrial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Banks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and 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30"/>
        </w:trPr>
        <w:tc>
          <w:tcPr>
            <w:tcW w:w="298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tcBorders>
              <w:top w:val="single" w:sz="8" w:color="auto"/>
            </w:tcBorders>
            <w:shd w:val="clear" w:color="auto" w:fill="D1EDF5"/>
          </w:tcPr>
          <w:p>
            <w:pPr>
              <w:spacing w:after="0"/>
              <w:rPr>
                <w:sz w:val="19"/>
                <w:szCs w:val="19"/>
                <w:color w:val="auto"/>
              </w:rPr>
            </w:pPr>
          </w:p>
        </w:tc>
        <w:tc>
          <w:tcPr>
            <w:tcW w:w="106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180" w:type="dxa"/>
            <w:vAlign w:val="bottom"/>
            <w:tcBorders>
              <w:top w:val="single" w:sz="8" w:color="auto"/>
            </w:tcBorders>
            <w:shd w:val="clear" w:color="auto" w:fill="D1EDF5"/>
          </w:tcPr>
          <w:p>
            <w:pPr>
              <w:spacing w:after="0"/>
              <w:rPr>
                <w:sz w:val="19"/>
                <w:szCs w:val="19"/>
                <w:color w:val="auto"/>
              </w:rPr>
            </w:pPr>
          </w:p>
        </w:tc>
        <w:tc>
          <w:tcPr>
            <w:tcW w:w="8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124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10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auto"/>
            </w:tcBorders>
            <w:shd w:val="clear" w:color="auto" w:fill="D1EDF5"/>
          </w:tcPr>
          <w:p>
            <w:pPr>
              <w:spacing w:after="0"/>
              <w:rPr>
                <w:sz w:val="19"/>
                <w:szCs w:val="19"/>
                <w:color w:val="auto"/>
              </w:rPr>
            </w:pPr>
          </w:p>
        </w:tc>
        <w:tc>
          <w:tcPr>
            <w:tcW w:w="160" w:type="dxa"/>
            <w:vAlign w:val="bottom"/>
            <w:tcBorders>
              <w:top w:val="single" w:sz="8" w:color="auto"/>
            </w:tcBorders>
            <w:shd w:val="clear" w:color="auto" w:fill="D1EDF5"/>
          </w:tcPr>
          <w:p>
            <w:pPr>
              <w:spacing w:after="0"/>
              <w:rPr>
                <w:sz w:val="19"/>
                <w:szCs w:val="19"/>
                <w:color w:val="auto"/>
              </w:rPr>
            </w:pPr>
          </w:p>
        </w:tc>
        <w:tc>
          <w:tcPr>
            <w:tcW w:w="1040" w:type="dxa"/>
            <w:vAlign w:val="bottom"/>
            <w:tcBorders>
              <w:top w:val="single" w:sz="8" w:color="auto"/>
            </w:tcBorders>
            <w:shd w:val="clear" w:color="auto" w:fill="D1EDF5"/>
          </w:tcPr>
          <w:p>
            <w:pPr>
              <w:spacing w:after="0"/>
              <w:rPr>
                <w:sz w:val="19"/>
                <w:szCs w:val="19"/>
                <w:color w:val="auto"/>
              </w:rPr>
            </w:pP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8,788</w:t>
            </w: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24,070</w:t>
            </w:r>
          </w:p>
        </w:tc>
      </w:tr>
      <w:tr>
        <w:trPr>
          <w:trHeight w:val="271"/>
        </w:trPr>
        <w:tc>
          <w:tcPr>
            <w:tcW w:w="2980" w:type="dxa"/>
            <w:vAlign w:val="bottom"/>
            <w:shd w:val="clear" w:color="auto" w:fill="D1EDF5"/>
          </w:tcPr>
          <w:p>
            <w:pPr>
              <w:spacing w:after="0" w:line="271"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(1)</w:t>
            </w:r>
          </w:p>
        </w:tc>
        <w:tc>
          <w:tcPr>
            <w:tcW w:w="100" w:type="dxa"/>
            <w:vAlign w:val="bottom"/>
            <w:shd w:val="clear" w:color="auto" w:fill="D1EDF5"/>
          </w:tcPr>
          <w:p>
            <w:pPr>
              <w:spacing w:after="0"/>
              <w:rPr>
                <w:sz w:val="23"/>
                <w:szCs w:val="23"/>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763</w:t>
            </w:r>
          </w:p>
        </w:tc>
        <w:tc>
          <w:tcPr>
            <w:tcW w:w="60" w:type="dxa"/>
            <w:vAlign w:val="bottom"/>
            <w:shd w:val="clear" w:color="auto" w:fill="D1EDF5"/>
          </w:tcPr>
          <w:p>
            <w:pPr>
              <w:spacing w:after="0"/>
              <w:rPr>
                <w:sz w:val="23"/>
                <w:szCs w:val="23"/>
                <w:color w:val="auto"/>
              </w:rPr>
            </w:pPr>
          </w:p>
        </w:tc>
        <w:tc>
          <w:tcPr>
            <w:tcW w:w="80" w:type="dxa"/>
            <w:vAlign w:val="bottom"/>
            <w:shd w:val="clear" w:color="auto" w:fill="D1EDF5"/>
          </w:tcPr>
          <w:p>
            <w:pPr>
              <w:spacing w:after="0"/>
              <w:rPr>
                <w:sz w:val="23"/>
                <w:szCs w:val="23"/>
                <w:color w:val="auto"/>
              </w:rPr>
            </w:pPr>
          </w:p>
        </w:tc>
        <w:tc>
          <w:tcPr>
            <w:tcW w:w="100" w:type="dxa"/>
            <w:vAlign w:val="bottom"/>
            <w:shd w:val="clear" w:color="auto" w:fill="D1EDF5"/>
          </w:tcPr>
          <w:p>
            <w:pPr>
              <w:spacing w:after="0"/>
              <w:rPr>
                <w:sz w:val="23"/>
                <w:szCs w:val="23"/>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688</w:t>
            </w:r>
          </w:p>
        </w:tc>
        <w:tc>
          <w:tcPr>
            <w:tcW w:w="40" w:type="dxa"/>
            <w:vAlign w:val="bottom"/>
            <w:shd w:val="clear" w:color="auto" w:fill="D1EDF5"/>
          </w:tcPr>
          <w:p>
            <w:pPr>
              <w:spacing w:after="0"/>
              <w:rPr>
                <w:sz w:val="23"/>
                <w:szCs w:val="23"/>
                <w:color w:val="auto"/>
              </w:rPr>
            </w:pPr>
          </w:p>
        </w:tc>
        <w:tc>
          <w:tcPr>
            <w:tcW w:w="4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1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D1EDF5"/>
          </w:tcPr>
          <w:p>
            <w:pPr>
              <w:spacing w:after="0"/>
              <w:rPr>
                <w:sz w:val="23"/>
                <w:szCs w:val="23"/>
                <w:color w:val="auto"/>
              </w:rPr>
            </w:pPr>
          </w:p>
        </w:tc>
        <w:tc>
          <w:tcPr>
            <w:tcW w:w="180" w:type="dxa"/>
            <w:vAlign w:val="bottom"/>
            <w:shd w:val="clear" w:color="auto" w:fill="D1EDF5"/>
          </w:tcPr>
          <w:p>
            <w:pPr>
              <w:spacing w:after="0"/>
              <w:rPr>
                <w:sz w:val="23"/>
                <w:szCs w:val="23"/>
                <w:color w:val="auto"/>
              </w:rPr>
            </w:pPr>
          </w:p>
        </w:tc>
        <w:tc>
          <w:tcPr>
            <w:tcW w:w="1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D1EDF5"/>
          </w:tcPr>
          <w:p>
            <w:pPr>
              <w:spacing w:after="0"/>
              <w:rPr>
                <w:sz w:val="23"/>
                <w:szCs w:val="23"/>
                <w:color w:val="auto"/>
              </w:rPr>
            </w:pPr>
          </w:p>
        </w:tc>
        <w:tc>
          <w:tcPr>
            <w:tcW w:w="40" w:type="dxa"/>
            <w:vAlign w:val="bottom"/>
            <w:shd w:val="clear" w:color="auto" w:fill="D1EDF5"/>
          </w:tcPr>
          <w:p>
            <w:pPr>
              <w:spacing w:after="0"/>
              <w:rPr>
                <w:sz w:val="23"/>
                <w:szCs w:val="23"/>
                <w:color w:val="auto"/>
              </w:rPr>
            </w:pPr>
          </w:p>
        </w:tc>
        <w:tc>
          <w:tcPr>
            <w:tcW w:w="140" w:type="dxa"/>
            <w:vAlign w:val="bottom"/>
            <w:shd w:val="clear" w:color="auto" w:fill="D1EDF5"/>
          </w:tcPr>
          <w:p>
            <w:pPr>
              <w:spacing w:after="0"/>
              <w:rPr>
                <w:sz w:val="23"/>
                <w:szCs w:val="23"/>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D1EDF5"/>
          </w:tcPr>
          <w:p>
            <w:pPr>
              <w:spacing w:after="0"/>
              <w:rPr>
                <w:sz w:val="23"/>
                <w:szCs w:val="23"/>
                <w:color w:val="auto"/>
              </w:rPr>
            </w:pPr>
          </w:p>
        </w:tc>
        <w:tc>
          <w:tcPr>
            <w:tcW w:w="20" w:type="dxa"/>
            <w:vAlign w:val="bottom"/>
            <w:shd w:val="clear" w:color="auto" w:fill="D1EDF5"/>
          </w:tcPr>
          <w:p>
            <w:pPr>
              <w:spacing w:after="0"/>
              <w:rPr>
                <w:sz w:val="23"/>
                <w:szCs w:val="23"/>
                <w:color w:val="auto"/>
              </w:rPr>
            </w:pPr>
          </w:p>
        </w:tc>
        <w:tc>
          <w:tcPr>
            <w:tcW w:w="40" w:type="dxa"/>
            <w:vAlign w:val="bottom"/>
            <w:shd w:val="clear" w:color="auto" w:fill="D1EDF5"/>
          </w:tcPr>
          <w:p>
            <w:pPr>
              <w:spacing w:after="0"/>
              <w:rPr>
                <w:sz w:val="23"/>
                <w:szCs w:val="23"/>
                <w:color w:val="auto"/>
              </w:rPr>
            </w:pPr>
          </w:p>
        </w:tc>
        <w:tc>
          <w:tcPr>
            <w:tcW w:w="20" w:type="dxa"/>
            <w:vAlign w:val="bottom"/>
            <w:shd w:val="clear" w:color="auto" w:fill="D1EDF5"/>
          </w:tcPr>
          <w:p>
            <w:pPr>
              <w:spacing w:after="0"/>
              <w:rPr>
                <w:sz w:val="23"/>
                <w:szCs w:val="23"/>
                <w:color w:val="auto"/>
              </w:rPr>
            </w:pPr>
          </w:p>
        </w:tc>
        <w:tc>
          <w:tcPr>
            <w:tcW w:w="160" w:type="dxa"/>
            <w:vAlign w:val="bottom"/>
            <w:shd w:val="clear" w:color="auto" w:fill="D1EDF5"/>
          </w:tcPr>
          <w:p>
            <w:pPr>
              <w:spacing w:after="0"/>
              <w:rPr>
                <w:sz w:val="23"/>
                <w:szCs w:val="23"/>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2,119</w:t>
            </w: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0"/>
        </w:trPr>
        <w:tc>
          <w:tcPr>
            <w:tcW w:w="29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Charge-offs</w:t>
            </w:r>
          </w:p>
        </w:tc>
        <w:tc>
          <w:tcPr>
            <w:tcW w:w="100" w:type="dxa"/>
            <w:vAlign w:val="bottom"/>
            <w:tcBorders>
              <w:bottom w:val="single" w:sz="8" w:color="auto"/>
            </w:tcBorders>
            <w:shd w:val="clear" w:color="auto" w:fill="D1EDF5"/>
          </w:tcPr>
          <w:p>
            <w:pPr>
              <w:spacing w:after="0"/>
              <w:rPr>
                <w:sz w:val="22"/>
                <w:szCs w:val="22"/>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1EDF5"/>
          </w:tcPr>
          <w:p>
            <w:pPr>
              <w:spacing w:after="0"/>
              <w:rPr>
                <w:sz w:val="22"/>
                <w:szCs w:val="22"/>
                <w:color w:val="auto"/>
              </w:rPr>
            </w:pPr>
          </w:p>
        </w:tc>
        <w:tc>
          <w:tcPr>
            <w:tcW w:w="80" w:type="dxa"/>
            <w:vAlign w:val="bottom"/>
            <w:tcBorders>
              <w:bottom w:val="single" w:sz="8" w:color="D1EDF5"/>
            </w:tcBorders>
            <w:shd w:val="clear" w:color="auto" w:fill="D1EDF5"/>
          </w:tcPr>
          <w:p>
            <w:pPr>
              <w:spacing w:after="0"/>
              <w:rPr>
                <w:sz w:val="22"/>
                <w:szCs w:val="22"/>
                <w:color w:val="auto"/>
              </w:rPr>
            </w:pPr>
          </w:p>
        </w:tc>
        <w:tc>
          <w:tcPr>
            <w:tcW w:w="100" w:type="dxa"/>
            <w:vAlign w:val="bottom"/>
            <w:tcBorders>
              <w:bottom w:val="single" w:sz="8" w:color="auto"/>
            </w:tcBorders>
            <w:shd w:val="clear" w:color="auto" w:fill="D1EDF5"/>
          </w:tcPr>
          <w:p>
            <w:pPr>
              <w:spacing w:after="0"/>
              <w:rPr>
                <w:sz w:val="22"/>
                <w:szCs w:val="22"/>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2"/>
                <w:szCs w:val="22"/>
                <w:color w:val="auto"/>
              </w:rPr>
            </w:pPr>
          </w:p>
        </w:tc>
        <w:tc>
          <w:tcPr>
            <w:tcW w:w="40" w:type="dxa"/>
            <w:vAlign w:val="bottom"/>
            <w:tcBorders>
              <w:bottom w:val="single" w:sz="8" w:color="D1EDF5"/>
            </w:tcBorders>
            <w:shd w:val="clear" w:color="auto" w:fill="D1EDF5"/>
          </w:tcPr>
          <w:p>
            <w:pPr>
              <w:spacing w:after="0"/>
              <w:rPr>
                <w:sz w:val="22"/>
                <w:szCs w:val="22"/>
                <w:color w:val="auto"/>
              </w:rPr>
            </w:pPr>
          </w:p>
        </w:tc>
        <w:tc>
          <w:tcPr>
            <w:tcW w:w="120" w:type="dxa"/>
            <w:vAlign w:val="bottom"/>
            <w:tcBorders>
              <w:bottom w:val="single" w:sz="8" w:color="auto"/>
            </w:tcBorders>
            <w:shd w:val="clear" w:color="auto" w:fill="D1EDF5"/>
          </w:tcPr>
          <w:p>
            <w:pPr>
              <w:spacing w:after="0"/>
              <w:rPr>
                <w:sz w:val="22"/>
                <w:szCs w:val="22"/>
                <w:color w:val="auto"/>
              </w:rPr>
            </w:pPr>
          </w:p>
        </w:tc>
        <w:tc>
          <w:tcPr>
            <w:tcW w:w="1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22"/>
                <w:szCs w:val="22"/>
                <w:color w:val="auto"/>
              </w:rPr>
            </w:pPr>
          </w:p>
        </w:tc>
        <w:tc>
          <w:tcPr>
            <w:tcW w:w="180" w:type="dxa"/>
            <w:vAlign w:val="bottom"/>
            <w:tcBorders>
              <w:bottom w:val="single" w:sz="8" w:color="auto"/>
            </w:tcBorders>
            <w:shd w:val="clear" w:color="auto" w:fill="D1EDF5"/>
          </w:tcPr>
          <w:p>
            <w:pPr>
              <w:spacing w:after="0"/>
              <w:rPr>
                <w:sz w:val="22"/>
                <w:szCs w:val="22"/>
                <w:color w:val="auto"/>
              </w:rPr>
            </w:pPr>
          </w:p>
        </w:tc>
        <w:tc>
          <w:tcPr>
            <w:tcW w:w="1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2"/>
                <w:szCs w:val="22"/>
                <w:color w:val="auto"/>
              </w:rPr>
            </w:pPr>
          </w:p>
        </w:tc>
        <w:tc>
          <w:tcPr>
            <w:tcW w:w="40" w:type="dxa"/>
            <w:vAlign w:val="bottom"/>
            <w:tcBorders>
              <w:bottom w:val="single" w:sz="8" w:color="D1EDF5"/>
            </w:tcBorders>
            <w:shd w:val="clear" w:color="auto" w:fill="D1EDF5"/>
          </w:tcPr>
          <w:p>
            <w:pPr>
              <w:spacing w:after="0"/>
              <w:rPr>
                <w:sz w:val="22"/>
                <w:szCs w:val="22"/>
                <w:color w:val="auto"/>
              </w:rPr>
            </w:pPr>
          </w:p>
        </w:tc>
        <w:tc>
          <w:tcPr>
            <w:tcW w:w="140" w:type="dxa"/>
            <w:vAlign w:val="bottom"/>
            <w:tcBorders>
              <w:bottom w:val="single" w:sz="8" w:color="auto"/>
            </w:tcBorders>
            <w:shd w:val="clear" w:color="auto" w:fill="D1EDF5"/>
          </w:tcPr>
          <w:p>
            <w:pPr>
              <w:spacing w:after="0"/>
              <w:rPr>
                <w:sz w:val="22"/>
                <w:szCs w:val="22"/>
                <w:color w:val="auto"/>
              </w:rPr>
            </w:pPr>
          </w:p>
        </w:tc>
        <w:tc>
          <w:tcPr>
            <w:tcW w:w="1120" w:type="dxa"/>
            <w:vAlign w:val="bottom"/>
            <w:tcBorders>
              <w:bottom w:val="single" w:sz="8" w:color="auto"/>
            </w:tcBorders>
            <w:gridSpan w:val="2"/>
            <w:shd w:val="clear" w:color="auto" w:fill="D1EDF5"/>
          </w:tcPr>
          <w:p>
            <w:pPr>
              <w:jc w:val="right"/>
              <w:ind w:right="20"/>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D1EDF5"/>
            </w:tcBorders>
            <w:shd w:val="clear" w:color="auto" w:fill="D1EDF5"/>
          </w:tcPr>
          <w:p>
            <w:pPr>
              <w:spacing w:after="0"/>
              <w:rPr>
                <w:sz w:val="22"/>
                <w:szCs w:val="22"/>
                <w:color w:val="auto"/>
              </w:rPr>
            </w:pPr>
          </w:p>
        </w:tc>
        <w:tc>
          <w:tcPr>
            <w:tcW w:w="4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auto"/>
            </w:tcBorders>
            <w:shd w:val="clear" w:color="auto" w:fill="D1EDF5"/>
          </w:tcPr>
          <w:p>
            <w:pPr>
              <w:spacing w:after="0"/>
              <w:rPr>
                <w:sz w:val="22"/>
                <w:szCs w:val="22"/>
                <w:color w:val="auto"/>
              </w:rPr>
            </w:pPr>
          </w:p>
        </w:tc>
        <w:tc>
          <w:tcPr>
            <w:tcW w:w="160" w:type="dxa"/>
            <w:vAlign w:val="bottom"/>
            <w:tcBorders>
              <w:bottom w:val="single" w:sz="8" w:color="auto"/>
            </w:tcBorders>
            <w:shd w:val="clear" w:color="auto" w:fill="D1EDF5"/>
          </w:tcPr>
          <w:p>
            <w:pPr>
              <w:spacing w:after="0"/>
              <w:rPr>
                <w:sz w:val="22"/>
                <w:szCs w:val="22"/>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(732)</w:t>
            </w:r>
          </w:p>
        </w:tc>
      </w:tr>
      <w:tr>
        <w:trPr>
          <w:trHeight w:val="264"/>
        </w:trPr>
        <w:tc>
          <w:tcPr>
            <w:tcW w:w="29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9,476</w:t>
            </w:r>
          </w:p>
        </w:tc>
        <w:tc>
          <w:tcPr>
            <w:tcW w:w="4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25,500</w:t>
            </w:r>
          </w:p>
        </w:tc>
      </w:tr>
      <w:tr>
        <w:trPr>
          <w:trHeight w:val="240"/>
        </w:trPr>
        <w:tc>
          <w:tcPr>
            <w:tcW w:w="2980" w:type="dxa"/>
            <w:vAlign w:val="bottom"/>
            <w:tcBorders>
              <w:top w:val="single" w:sz="8" w:color="D1EDF5"/>
            </w:tcBorders>
            <w:shd w:val="clear" w:color="auto" w:fill="D1EDF5"/>
          </w:tcPr>
          <w:p>
            <w:pPr>
              <w:spacing w:after="0"/>
              <w:rPr>
                <w:sz w:val="20"/>
                <w:szCs w:val="20"/>
                <w:color w:val="auto"/>
              </w:rPr>
            </w:pPr>
          </w:p>
        </w:tc>
        <w:tc>
          <w:tcPr>
            <w:tcW w:w="100" w:type="dxa"/>
            <w:vAlign w:val="bottom"/>
            <w:tcBorders>
              <w:top w:val="single" w:sz="8" w:color="auto"/>
            </w:tcBorders>
            <w:shd w:val="clear" w:color="auto" w:fill="D1EDF5"/>
          </w:tcPr>
          <w:p>
            <w:pPr>
              <w:spacing w:after="0"/>
              <w:rPr>
                <w:sz w:val="20"/>
                <w:szCs w:val="20"/>
                <w:color w:val="auto"/>
              </w:rPr>
            </w:pPr>
          </w:p>
        </w:tc>
        <w:tc>
          <w:tcPr>
            <w:tcW w:w="106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100" w:type="dxa"/>
            <w:vAlign w:val="bottom"/>
            <w:tcBorders>
              <w:top w:val="single" w:sz="8" w:color="auto"/>
            </w:tcBorders>
            <w:shd w:val="clear" w:color="auto" w:fill="D1EDF5"/>
          </w:tcPr>
          <w:p>
            <w:pPr>
              <w:spacing w:after="0"/>
              <w:rPr>
                <w:sz w:val="20"/>
                <w:szCs w:val="20"/>
                <w:color w:val="auto"/>
              </w:rPr>
            </w:pPr>
          </w:p>
        </w:tc>
        <w:tc>
          <w:tcPr>
            <w:tcW w:w="1120" w:type="dxa"/>
            <w:vAlign w:val="bottom"/>
            <w:tcBorders>
              <w:top w:val="single" w:sz="8" w:color="auto"/>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c>
          <w:tcPr>
            <w:tcW w:w="120" w:type="dxa"/>
            <w:vAlign w:val="bottom"/>
            <w:tcBorders>
              <w:top w:val="single" w:sz="8" w:color="auto"/>
            </w:tcBorders>
            <w:shd w:val="clear" w:color="auto" w:fill="D1EDF5"/>
          </w:tcPr>
          <w:p>
            <w:pPr>
              <w:spacing w:after="0"/>
              <w:rPr>
                <w:sz w:val="20"/>
                <w:szCs w:val="20"/>
                <w:color w:val="auto"/>
              </w:rPr>
            </w:pPr>
          </w:p>
        </w:tc>
        <w:tc>
          <w:tcPr>
            <w:tcW w:w="118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24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tcBorders>
            <w:shd w:val="clear" w:color="auto" w:fill="D1EDF5"/>
          </w:tcPr>
          <w:p>
            <w:pPr>
              <w:spacing w:after="0"/>
              <w:rPr>
                <w:sz w:val="20"/>
                <w:szCs w:val="20"/>
                <w:color w:val="auto"/>
              </w:rPr>
            </w:pPr>
          </w:p>
        </w:tc>
        <w:tc>
          <w:tcPr>
            <w:tcW w:w="1100" w:type="dxa"/>
            <w:vAlign w:val="bottom"/>
            <w:tcBorders>
              <w:top w:val="single" w:sz="8" w:color="auto"/>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4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auto"/>
            </w:tcBorders>
            <w:shd w:val="clear" w:color="auto" w:fill="D1EDF5"/>
          </w:tcPr>
          <w:p>
            <w:pPr>
              <w:spacing w:after="0"/>
              <w:rPr>
                <w:sz w:val="20"/>
                <w:szCs w:val="20"/>
                <w:color w:val="auto"/>
              </w:rPr>
            </w:pPr>
          </w:p>
        </w:tc>
        <w:tc>
          <w:tcPr>
            <w:tcW w:w="160" w:type="dxa"/>
            <w:vAlign w:val="bottom"/>
            <w:tcBorders>
              <w:top w:val="single" w:sz="8" w:color="auto"/>
            </w:tcBorders>
            <w:shd w:val="clear" w:color="auto" w:fill="D1EDF5"/>
          </w:tcPr>
          <w:p>
            <w:pPr>
              <w:spacing w:after="0"/>
              <w:rPr>
                <w:sz w:val="20"/>
                <w:szCs w:val="20"/>
                <w:color w:val="auto"/>
              </w:rPr>
            </w:pPr>
          </w:p>
        </w:tc>
        <w:tc>
          <w:tcPr>
            <w:tcW w:w="1040" w:type="dxa"/>
            <w:vAlign w:val="bottom"/>
            <w:tcBorders>
              <w:top w:val="single" w:sz="8" w:color="auto"/>
            </w:tcBorders>
            <w:shd w:val="clear" w:color="auto" w:fill="D1EDF5"/>
          </w:tcPr>
          <w:p>
            <w:pPr>
              <w:spacing w:after="0"/>
              <w:rPr>
                <w:sz w:val="20"/>
                <w:szCs w:val="20"/>
                <w:color w:val="auto"/>
              </w:rPr>
            </w:pPr>
          </w:p>
        </w:tc>
      </w:tr>
      <w:tr>
        <w:trPr>
          <w:trHeight w:val="240"/>
        </w:trPr>
        <w:tc>
          <w:tcPr>
            <w:tcW w:w="2980" w:type="dxa"/>
            <w:vAlign w:val="bottom"/>
          </w:tcPr>
          <w:p>
            <w:pPr>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2980" w:type="dxa"/>
            <w:vAlign w:val="bottom"/>
            <w:shd w:val="clear" w:color="auto" w:fill="D1EDF5"/>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2,695</w:t>
            </w:r>
          </w:p>
        </w:tc>
        <w:tc>
          <w:tcPr>
            <w:tcW w:w="6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10,366</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3,974</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911</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3,138</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gridSpan w:val="2"/>
            <w:shd w:val="clear" w:color="auto" w:fill="D1EDF5"/>
          </w:tcPr>
          <w:p>
            <w:pPr>
              <w:jc w:val="right"/>
              <w:ind w:righ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21,084</w:t>
            </w:r>
          </w:p>
        </w:tc>
      </w:tr>
      <w:tr>
        <w:trPr>
          <w:trHeight w:val="269"/>
        </w:trPr>
        <w:tc>
          <w:tcPr>
            <w:tcW w:w="2980" w:type="dxa"/>
            <w:vAlign w:val="bottom"/>
          </w:tcPr>
          <w:p>
            <w:pPr>
              <w:spacing w:after="0" w:line="268" w:lineRule="exact"/>
              <w:rPr>
                <w:sz w:val="20"/>
                <w:szCs w:val="20"/>
                <w:color w:val="auto"/>
              </w:rPr>
            </w:pPr>
            <w:r>
              <w:rPr>
                <w:rFonts w:ascii="Arial" w:cs="Arial" w:eastAsia="Arial" w:hAnsi="Arial"/>
                <w:sz w:val="18"/>
                <w:szCs w:val="18"/>
                <w:color w:val="auto"/>
              </w:rPr>
              <w:t xml:space="preserve">Provision for credit losses </w:t>
            </w:r>
            <w:r>
              <w:rPr>
                <w:rFonts w:ascii="Arial" w:cs="Arial" w:eastAsia="Arial" w:hAnsi="Arial"/>
                <w:sz w:val="24"/>
                <w:szCs w:val="24"/>
                <w:color w:val="auto"/>
                <w:vertAlign w:val="superscript"/>
              </w:rPr>
              <w:t>(2)</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40"/>
        </w:trPr>
        <w:tc>
          <w:tcPr>
            <w:tcW w:w="2980" w:type="dxa"/>
            <w:vAlign w:val="bottom"/>
            <w:shd w:val="clear" w:color="auto" w:fill="D1EDF5"/>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45</w:t>
            </w:r>
          </w:p>
        </w:tc>
      </w:tr>
      <w:tr>
        <w:trPr>
          <w:trHeight w:val="240"/>
        </w:trPr>
        <w:tc>
          <w:tcPr>
            <w:tcW w:w="298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6"/>
        </w:trPr>
        <w:tc>
          <w:tcPr>
            <w:tcW w:w="2980" w:type="dxa"/>
            <w:vAlign w:val="bottom"/>
            <w:tcBorders>
              <w:top w:val="single" w:sz="8" w:color="D1EDF5"/>
              <w:bottom w:val="single" w:sz="8" w:color="auto"/>
            </w:tcBorders>
            <w:shd w:val="clear" w:color="auto" w:fill="D1EDF5"/>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5,121</w:t>
            </w:r>
          </w:p>
        </w:tc>
        <w:tc>
          <w:tcPr>
            <w:tcW w:w="60" w:type="dxa"/>
            <w:vAlign w:val="bottom"/>
            <w:tcBorders>
              <w:top w:val="single" w:sz="8" w:color="auto"/>
              <w:bottom w:val="single" w:sz="8" w:color="auto"/>
            </w:tcBorders>
            <w:shd w:val="clear" w:color="auto" w:fill="D1EDF5"/>
          </w:tcPr>
          <w:p>
            <w:pPr>
              <w:spacing w:after="0"/>
              <w:rPr>
                <w:sz w:val="21"/>
                <w:szCs w:val="21"/>
                <w:color w:val="auto"/>
              </w:rPr>
            </w:pPr>
          </w:p>
        </w:tc>
        <w:tc>
          <w:tcPr>
            <w:tcW w:w="80" w:type="dxa"/>
            <w:vAlign w:val="bottom"/>
            <w:tcBorders>
              <w:top w:val="single" w:sz="8" w:color="D1EDF5"/>
              <w:bottom w:val="single" w:sz="8" w:color="D1EDF5"/>
            </w:tcBorders>
            <w:shd w:val="clear" w:color="auto" w:fill="D1EDF5"/>
          </w:tcPr>
          <w:p>
            <w:pPr>
              <w:spacing w:after="0"/>
              <w:rPr>
                <w:sz w:val="21"/>
                <w:szCs w:val="21"/>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8,788</w:t>
            </w:r>
          </w:p>
        </w:tc>
        <w:tc>
          <w:tcPr>
            <w:tcW w:w="40" w:type="dxa"/>
            <w:vAlign w:val="bottom"/>
            <w:tcBorders>
              <w:top w:val="single" w:sz="8" w:color="D1EDF5"/>
              <w:bottom w:val="single" w:sz="8" w:color="D1EDF5"/>
            </w:tcBorders>
            <w:shd w:val="clear" w:color="auto" w:fill="D1EDF5"/>
          </w:tcPr>
          <w:p>
            <w:pPr>
              <w:spacing w:after="0"/>
              <w:rPr>
                <w:sz w:val="21"/>
                <w:szCs w:val="21"/>
                <w:color w:val="auto"/>
              </w:rPr>
            </w:pPr>
          </w:p>
        </w:tc>
        <w:tc>
          <w:tcPr>
            <w:tcW w:w="40" w:type="dxa"/>
            <w:vAlign w:val="bottom"/>
            <w:tcBorders>
              <w:top w:val="single" w:sz="8" w:color="D1EDF5"/>
              <w:bottom w:val="single" w:sz="8" w:color="D1EDF5"/>
            </w:tcBorders>
            <w:shd w:val="clear" w:color="auto" w:fill="D1EDF5"/>
          </w:tcPr>
          <w:p>
            <w:pPr>
              <w:spacing w:after="0"/>
              <w:rPr>
                <w:sz w:val="21"/>
                <w:szCs w:val="21"/>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4,633</w:t>
            </w:r>
          </w:p>
        </w:tc>
        <w:tc>
          <w:tcPr>
            <w:tcW w:w="80" w:type="dxa"/>
            <w:vAlign w:val="bottom"/>
            <w:tcBorders>
              <w:top w:val="single" w:sz="8" w:color="D1EDF5"/>
              <w:bottom w:val="single" w:sz="8" w:color="D1EDF5"/>
            </w:tcBorders>
            <w:shd w:val="clear" w:color="auto" w:fill="D1EDF5"/>
          </w:tcPr>
          <w:p>
            <w:pPr>
              <w:spacing w:after="0"/>
              <w:rPr>
                <w:sz w:val="21"/>
                <w:szCs w:val="21"/>
                <w:color w:val="auto"/>
              </w:rPr>
            </w:pPr>
          </w:p>
        </w:tc>
        <w:tc>
          <w:tcPr>
            <w:tcW w:w="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top w:val="single" w:sz="8" w:color="D1EDF5"/>
              <w:bottom w:val="single" w:sz="8" w:color="D1EDF5"/>
            </w:tcBorders>
            <w:shd w:val="clear" w:color="auto" w:fill="D1EDF5"/>
          </w:tcPr>
          <w:p>
            <w:pPr>
              <w:spacing w:after="0"/>
              <w:rPr>
                <w:sz w:val="21"/>
                <w:szCs w:val="21"/>
                <w:color w:val="auto"/>
              </w:rPr>
            </w:pPr>
          </w:p>
        </w:tc>
        <w:tc>
          <w:tcPr>
            <w:tcW w:w="40" w:type="dxa"/>
            <w:vAlign w:val="bottom"/>
            <w:tcBorders>
              <w:top w:val="single" w:sz="8" w:color="D1EDF5"/>
              <w:bottom w:val="single" w:sz="8" w:color="D1EDF5"/>
            </w:tcBorders>
            <w:shd w:val="clear" w:color="auto" w:fill="D1EDF5"/>
          </w:tcPr>
          <w:p>
            <w:pPr>
              <w:spacing w:after="0"/>
              <w:rPr>
                <w:sz w:val="21"/>
                <w:szCs w:val="21"/>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4,874</w:t>
            </w:r>
          </w:p>
        </w:tc>
        <w:tc>
          <w:tcPr>
            <w:tcW w:w="20" w:type="dxa"/>
            <w:vAlign w:val="bottom"/>
            <w:tcBorders>
              <w:top w:val="single" w:sz="8" w:color="D1EDF5"/>
              <w:bottom w:val="single" w:sz="8" w:color="D1EDF5"/>
            </w:tcBorders>
            <w:shd w:val="clear" w:color="auto" w:fill="D1EDF5"/>
          </w:tcPr>
          <w:p>
            <w:pPr>
              <w:spacing w:after="0"/>
              <w:rPr>
                <w:sz w:val="21"/>
                <w:szCs w:val="21"/>
                <w:color w:val="auto"/>
              </w:rPr>
            </w:pPr>
          </w:p>
        </w:tc>
        <w:tc>
          <w:tcPr>
            <w:tcW w:w="20" w:type="dxa"/>
            <w:vAlign w:val="bottom"/>
            <w:tcBorders>
              <w:top w:val="single" w:sz="8" w:color="D1EDF5"/>
              <w:bottom w:val="single" w:sz="8" w:color="D1EDF5"/>
            </w:tcBorders>
            <w:shd w:val="clear" w:color="auto" w:fill="D1EDF5"/>
          </w:tcPr>
          <w:p>
            <w:pPr>
              <w:spacing w:after="0"/>
              <w:rPr>
                <w:sz w:val="21"/>
                <w:szCs w:val="21"/>
                <w:color w:val="auto"/>
              </w:rPr>
            </w:pPr>
          </w:p>
        </w:tc>
        <w:tc>
          <w:tcPr>
            <w:tcW w:w="40" w:type="dxa"/>
            <w:vAlign w:val="bottom"/>
            <w:tcBorders>
              <w:top w:val="single" w:sz="8" w:color="D1EDF5"/>
              <w:bottom w:val="single" w:sz="8" w:color="D1EDF5"/>
            </w:tcBorders>
            <w:shd w:val="clear" w:color="auto" w:fill="D1EDF5"/>
          </w:tcPr>
          <w:p>
            <w:pPr>
              <w:spacing w:after="0"/>
              <w:rPr>
                <w:sz w:val="21"/>
                <w:szCs w:val="21"/>
                <w:color w:val="auto"/>
              </w:rPr>
            </w:pPr>
          </w:p>
        </w:tc>
        <w:tc>
          <w:tcPr>
            <w:tcW w:w="180" w:type="dxa"/>
            <w:vAlign w:val="bottom"/>
            <w:tcBorders>
              <w:top w:val="single" w:sz="8" w:color="auto"/>
              <w:bottom w:val="single" w:sz="8" w:color="auto"/>
            </w:tcBorders>
            <w:gridSpan w:val="2"/>
            <w:shd w:val="clear" w:color="auto" w:fill="D1EDF5"/>
          </w:tcPr>
          <w:p>
            <w:pPr>
              <w:jc w:val="right"/>
              <w:ind w:right="8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24,070</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right="620"/>
        <w:spacing w:after="0" w:line="266" w:lineRule="auto"/>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Provision for credit losses excludes $182 thousand provision for unfunded commitments included in accrued interest and other liabilities and $4 thousand release for investment securities held to maturity.</w:t>
      </w:r>
    </w:p>
    <w:p>
      <w:pPr>
        <w:spacing w:after="0" w:line="74" w:lineRule="exact"/>
        <w:rPr>
          <w:rFonts w:ascii="Arial" w:cs="Arial" w:eastAsia="Arial" w:hAnsi="Arial"/>
          <w:sz w:val="16"/>
          <w:szCs w:val="16"/>
          <w:color w:val="auto"/>
        </w:rPr>
      </w:pPr>
    </w:p>
    <w:p>
      <w:pPr>
        <w:ind w:right="620"/>
        <w:spacing w:after="0" w:line="281" w:lineRule="auto"/>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Provision for credit losses excludes $199 thousand provision for unfunded commitments included in accrued interest and other liabilities and $2 thousand release for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0"/>
        <w:spacing w:after="0"/>
        <w:tabs>
          <w:tab w:leader="none" w:pos="380" w:val="left"/>
          <w:tab w:leader="none" w:pos="20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980"/>
          </w:cols>
          <w:pgMar w:left="720" w:top="355" w:right="540" w:bottom="0" w:gutter="0" w:footer="0" w:header="0"/>
        </w:sectPr>
      </w:pPr>
    </w:p>
    <w:bookmarkStart w:id="96" w:name="page97"/>
    <w:bookmarkEnd w:id="96"/>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right="180" w:firstLine="360"/>
        <w:spacing w:after="0" w:line="282" w:lineRule="auto"/>
        <w:rPr>
          <w:sz w:val="20"/>
          <w:szCs w:val="20"/>
          <w:color w:val="auto"/>
        </w:rPr>
      </w:pPr>
      <w:r>
        <w:rPr>
          <w:rFonts w:ascii="Arial" w:cs="Arial" w:eastAsia="Arial" w:hAnsi="Arial"/>
          <w:sz w:val="20"/>
          <w:szCs w:val="20"/>
          <w:color w:val="auto"/>
        </w:rPr>
        <w:t>At December 31, 2025, the ACL for loans was $25.5 million compared to $24.1 million at December 31, 2024. The increase of $1.4 million or 5.9% in the ACL was primarily due to loan growth.</w:t>
      </w:r>
    </w:p>
    <w:p>
      <w:pPr>
        <w:spacing w:after="0" w:line="151" w:lineRule="exact"/>
        <w:rPr>
          <w:sz w:val="20"/>
          <w:szCs w:val="20"/>
          <w:color w:val="auto"/>
        </w:rPr>
      </w:pPr>
    </w:p>
    <w:p>
      <w:pPr>
        <w:jc w:val="both"/>
        <w:ind w:right="180" w:firstLine="360"/>
        <w:spacing w:after="0" w:line="280" w:lineRule="auto"/>
        <w:rPr>
          <w:sz w:val="20"/>
          <w:szCs w:val="20"/>
          <w:color w:val="auto"/>
        </w:rPr>
      </w:pPr>
      <w:r>
        <w:rPr>
          <w:rFonts w:ascii="Arial" w:cs="Arial" w:eastAsia="Arial" w:hAnsi="Arial"/>
          <w:sz w:val="20"/>
          <w:szCs w:val="20"/>
          <w:color w:val="auto"/>
        </w:rPr>
        <w:t>Charge offs related to loans for the year ended December 31, 2025 were $23 thousand originated in 2025 and $709 thousand originated in 2022. Charge offs for the year ended December 31, 2024 were $19 thousand originated in 2024.</w:t>
      </w:r>
    </w:p>
    <w:p>
      <w:pPr>
        <w:spacing w:after="0" w:line="152" w:lineRule="exact"/>
        <w:rPr>
          <w:sz w:val="20"/>
          <w:szCs w:val="20"/>
          <w:color w:val="auto"/>
        </w:rPr>
      </w:pPr>
    </w:p>
    <w:p>
      <w:pPr>
        <w:jc w:val="both"/>
        <w:ind w:right="180" w:firstLine="360"/>
        <w:spacing w:after="0" w:line="282" w:lineRule="auto"/>
        <w:rPr>
          <w:sz w:val="20"/>
          <w:szCs w:val="20"/>
          <w:color w:val="auto"/>
        </w:rPr>
      </w:pPr>
      <w:r>
        <w:rPr>
          <w:rFonts w:ascii="Arial" w:cs="Arial" w:eastAsia="Arial" w:hAnsi="Arial"/>
          <w:sz w:val="20"/>
          <w:szCs w:val="20"/>
          <w:color w:val="auto"/>
        </w:rPr>
        <w:t>Allowance for credit losses and the outstanding balances in loans as of December 31, 2025 and 2024 are as follows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Residential</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Commercial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Commercial</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Correspondent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Consumer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140" w:type="dxa"/>
            <w:vAlign w:val="bottom"/>
            <w:tcBorders>
              <w:bottom w:val="single" w:sz="8" w:color="D1EDF5"/>
            </w:tcBorders>
          </w:tcPr>
          <w:p>
            <w:pPr>
              <w:spacing w:after="0"/>
              <w:rPr>
                <w:sz w:val="19"/>
                <w:szCs w:val="19"/>
                <w:color w:val="auto"/>
              </w:rPr>
            </w:pPr>
          </w:p>
        </w:tc>
        <w:tc>
          <w:tcPr>
            <w:tcW w:w="30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Real Estate</w:t>
            </w:r>
          </w:p>
        </w:tc>
        <w:tc>
          <w:tcPr>
            <w:tcW w:w="2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Real Estate</w:t>
            </w:r>
          </w:p>
        </w:tc>
        <w:tc>
          <w:tcPr>
            <w:tcW w:w="6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and Industrial</w:t>
            </w:r>
          </w:p>
        </w:tc>
        <w:tc>
          <w:tcPr>
            <w:tcW w:w="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Banks</w:t>
            </w:r>
          </w:p>
        </w:tc>
        <w:tc>
          <w:tcPr>
            <w:tcW w:w="2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and Other</w:t>
            </w:r>
          </w:p>
        </w:tc>
        <w:tc>
          <w:tcPr>
            <w:tcW w:w="2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2"/>
        </w:trPr>
        <w:tc>
          <w:tcPr>
            <w:tcW w:w="3220" w:type="dxa"/>
            <w:vAlign w:val="bottom"/>
            <w:gridSpan w:val="3"/>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shd w:val="clear" w:color="auto" w:fill="D1EDF5"/>
          </w:tcPr>
          <w:p>
            <w:pPr>
              <w:spacing w:after="0"/>
              <w:rPr>
                <w:sz w:val="20"/>
                <w:szCs w:val="20"/>
                <w:color w:val="auto"/>
              </w:rPr>
            </w:pPr>
          </w:p>
        </w:tc>
        <w:tc>
          <w:tcPr>
            <w:tcW w:w="11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60" w:type="dxa"/>
            <w:vAlign w:val="bottom"/>
            <w:tcBorders>
              <w:right w:val="single" w:sz="8" w:color="D1EDF5"/>
            </w:tcBorders>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r>
      <w:tr>
        <w:trPr>
          <w:trHeight w:val="240"/>
        </w:trPr>
        <w:tc>
          <w:tcPr>
            <w:tcW w:w="32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140" w:type="dxa"/>
            <w:vAlign w:val="bottom"/>
            <w:shd w:val="clear" w:color="auto" w:fill="D1EDF5"/>
          </w:tcPr>
          <w:p>
            <w:pPr>
              <w:spacing w:after="0"/>
              <w:rPr>
                <w:sz w:val="20"/>
                <w:szCs w:val="20"/>
                <w:color w:val="auto"/>
              </w:rPr>
            </w:pPr>
          </w:p>
        </w:tc>
        <w:tc>
          <w:tcPr>
            <w:tcW w:w="30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D1EDF5"/>
            </w:tcBorders>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111</w:t>
            </w:r>
          </w:p>
        </w:tc>
      </w:tr>
      <w:tr>
        <w:trPr>
          <w:trHeight w:val="240"/>
        </w:trPr>
        <w:tc>
          <w:tcPr>
            <w:tcW w:w="140" w:type="dxa"/>
            <w:vAlign w:val="bottom"/>
            <w:tcBorders>
              <w:bottom w:val="single" w:sz="8" w:color="D1EDF5"/>
            </w:tcBorders>
          </w:tcPr>
          <w:p>
            <w:pPr>
              <w:spacing w:after="0"/>
              <w:rPr>
                <w:sz w:val="20"/>
                <w:szCs w:val="20"/>
                <w:color w:val="auto"/>
              </w:rPr>
            </w:pPr>
          </w:p>
        </w:tc>
        <w:tc>
          <w:tcPr>
            <w:tcW w:w="308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25,389</w:t>
            </w:r>
          </w:p>
        </w:tc>
      </w:tr>
      <w:tr>
        <w:trPr>
          <w:trHeight w:val="241"/>
        </w:trPr>
        <w:tc>
          <w:tcPr>
            <w:tcW w:w="140" w:type="dxa"/>
            <w:vAlign w:val="bottom"/>
            <w:tcBorders>
              <w:bottom w:val="single" w:sz="8" w:color="D1EDF5"/>
            </w:tcBorders>
            <w:shd w:val="clear" w:color="auto" w:fill="D1EDF5"/>
          </w:tcPr>
          <w:p>
            <w:pPr>
              <w:spacing w:after="0"/>
              <w:rPr>
                <w:sz w:val="20"/>
                <w:szCs w:val="20"/>
                <w:color w:val="auto"/>
              </w:rPr>
            </w:pPr>
          </w:p>
        </w:tc>
        <w:tc>
          <w:tcPr>
            <w:tcW w:w="30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5,908</w:t>
            </w:r>
          </w:p>
        </w:tc>
        <w:tc>
          <w:tcPr>
            <w:tcW w:w="2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9,476</w:t>
            </w:r>
          </w:p>
        </w:tc>
        <w:tc>
          <w:tcPr>
            <w:tcW w:w="60" w:type="dxa"/>
            <w:vAlign w:val="bottom"/>
            <w:tcBorders>
              <w:bottom w:val="single" w:sz="8" w:color="auto"/>
              <w:right w:val="single" w:sz="8" w:color="D1EDF5"/>
            </w:tcBorders>
          </w:tcPr>
          <w:p>
            <w:pPr>
              <w:spacing w:after="0"/>
              <w:rPr>
                <w:sz w:val="20"/>
                <w:szCs w:val="20"/>
                <w:color w:val="auto"/>
              </w:rPr>
            </w:pPr>
          </w:p>
        </w:tc>
        <w:tc>
          <w:tcPr>
            <w:tcW w:w="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4,814</w:t>
            </w:r>
          </w:p>
        </w:tc>
        <w:tc>
          <w:tcPr>
            <w:tcW w:w="4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4,287</w:t>
            </w:r>
          </w:p>
        </w:tc>
        <w:tc>
          <w:tcPr>
            <w:tcW w:w="2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25,500</w:t>
            </w:r>
          </w:p>
        </w:tc>
      </w:tr>
      <w:tr>
        <w:trPr>
          <w:trHeight w:val="20"/>
        </w:trPr>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4"/>
        </w:trPr>
        <w:tc>
          <w:tcPr>
            <w:tcW w:w="3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0"/>
        </w:trPr>
        <w:tc>
          <w:tcPr>
            <w:tcW w:w="32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D1EDF5"/>
          </w:tcPr>
          <w:p>
            <w:pPr>
              <w:spacing w:after="0"/>
              <w:rPr>
                <w:sz w:val="20"/>
                <w:szCs w:val="20"/>
                <w:color w:val="auto"/>
              </w:rPr>
            </w:pPr>
          </w:p>
        </w:tc>
        <w:tc>
          <w:tcPr>
            <w:tcW w:w="11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60" w:type="dxa"/>
            <w:vAlign w:val="bottom"/>
            <w:tcBorders>
              <w:right w:val="single" w:sz="8" w:color="D1EDF5"/>
            </w:tcBorders>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5,583</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6,848</w:t>
            </w: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30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shd w:val="clear" w:color="auto" w:fill="D1EDF5"/>
          </w:tcPr>
          <w:p>
            <w:pPr>
              <w:spacing w:after="0"/>
              <w:rPr>
                <w:sz w:val="21"/>
                <w:szCs w:val="21"/>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302,109</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1,244,835</w:t>
            </w:r>
          </w:p>
        </w:tc>
        <w:tc>
          <w:tcPr>
            <w:tcW w:w="60" w:type="dxa"/>
            <w:vAlign w:val="bottom"/>
            <w:tcBorders>
              <w:right w:val="single" w:sz="8" w:color="D1EDF5"/>
            </w:tcBorders>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2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294,283</w:t>
            </w:r>
          </w:p>
        </w:tc>
        <w:tc>
          <w:tcPr>
            <w:tcW w:w="4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127,968</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207,215</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auto"/>
            </w:tcBorders>
            <w:shd w:val="clear" w:color="auto" w:fill="D1EDF5"/>
          </w:tcPr>
          <w:p>
            <w:pPr>
              <w:spacing w:after="0"/>
              <w:rPr>
                <w:sz w:val="21"/>
                <w:szCs w:val="21"/>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2,176,410</w:t>
            </w:r>
          </w:p>
        </w:tc>
      </w:tr>
      <w:tr>
        <w:trPr>
          <w:trHeight w:val="258"/>
        </w:trPr>
        <w:tc>
          <w:tcPr>
            <w:tcW w:w="140" w:type="dxa"/>
            <w:vAlign w:val="bottom"/>
          </w:tcPr>
          <w:p>
            <w:pPr>
              <w:spacing w:after="0"/>
              <w:rPr>
                <w:sz w:val="22"/>
                <w:szCs w:val="22"/>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307,692</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1,244,835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295,548</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127,968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207,215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2,183,258</w:t>
            </w:r>
          </w:p>
        </w:tc>
      </w:tr>
      <w:tr>
        <w:trPr>
          <w:trHeight w:val="223"/>
        </w:trPr>
        <w:tc>
          <w:tcPr>
            <w:tcW w:w="140" w:type="dxa"/>
            <w:vAlign w:val="bottom"/>
            <w:tcBorders>
              <w:top w:val="single" w:sz="8" w:color="D1EDF5"/>
            </w:tcBorders>
            <w:shd w:val="clear" w:color="auto" w:fill="D1EDF5"/>
          </w:tcPr>
          <w:p>
            <w:pPr>
              <w:spacing w:after="0"/>
              <w:rPr>
                <w:sz w:val="19"/>
                <w:szCs w:val="19"/>
                <w:color w:val="auto"/>
              </w:rPr>
            </w:pPr>
          </w:p>
        </w:tc>
        <w:tc>
          <w:tcPr>
            <w:tcW w:w="30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10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right w:val="single" w:sz="8" w:color="D1EDF5"/>
            </w:tcBorders>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20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24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08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60" w:type="dxa"/>
            <w:vAlign w:val="bottom"/>
            <w:tcBorders>
              <w:top w:val="single" w:sz="8" w:color="auto"/>
            </w:tcBorders>
            <w:shd w:val="clear" w:color="auto" w:fill="D1EDF5"/>
          </w:tcPr>
          <w:p>
            <w:pPr>
              <w:spacing w:after="0"/>
              <w:rPr>
                <w:sz w:val="19"/>
                <w:szCs w:val="19"/>
                <w:color w:val="auto"/>
              </w:rPr>
            </w:pPr>
          </w:p>
        </w:tc>
        <w:tc>
          <w:tcPr>
            <w:tcW w:w="1040" w:type="dxa"/>
            <w:vAlign w:val="bottom"/>
            <w:tcBorders>
              <w:top w:val="single" w:sz="8" w:color="auto"/>
            </w:tcBorders>
            <w:shd w:val="clear" w:color="auto" w:fill="D1EDF5"/>
          </w:tcPr>
          <w:p>
            <w:pPr>
              <w:spacing w:after="0"/>
              <w:rPr>
                <w:sz w:val="19"/>
                <w:szCs w:val="19"/>
                <w:color w:val="auto"/>
              </w:rPr>
            </w:pPr>
          </w:p>
        </w:tc>
      </w:tr>
      <w:tr>
        <w:trPr>
          <w:trHeight w:val="240"/>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32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D1EDF5"/>
          </w:tcPr>
          <w:p>
            <w:pPr>
              <w:spacing w:after="0"/>
              <w:rPr>
                <w:sz w:val="20"/>
                <w:szCs w:val="20"/>
                <w:color w:val="auto"/>
              </w:rPr>
            </w:pPr>
          </w:p>
        </w:tc>
        <w:tc>
          <w:tcPr>
            <w:tcW w:w="11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60" w:type="dxa"/>
            <w:vAlign w:val="bottom"/>
            <w:tcBorders>
              <w:right w:val="single" w:sz="8" w:color="D1EDF5"/>
            </w:tcBorders>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20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2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40"/>
        </w:trPr>
        <w:tc>
          <w:tcPr>
            <w:tcW w:w="140" w:type="dxa"/>
            <w:vAlign w:val="bottom"/>
            <w:shd w:val="clear" w:color="auto" w:fill="D1EDF5"/>
          </w:tcPr>
          <w:p>
            <w:pPr>
              <w:spacing w:after="0"/>
              <w:rPr>
                <w:sz w:val="20"/>
                <w:szCs w:val="20"/>
                <w:color w:val="auto"/>
              </w:rPr>
            </w:pPr>
          </w:p>
        </w:tc>
        <w:tc>
          <w:tcPr>
            <w:tcW w:w="30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shd w:val="clear" w:color="auto" w:fill="D1EDF5"/>
          </w:tcPr>
          <w:p>
            <w:pPr>
              <w:spacing w:after="0"/>
              <w:rPr>
                <w:sz w:val="20"/>
                <w:szCs w:val="20"/>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5,081</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tcBorders>
              <w:bottom w:val="single" w:sz="8" w:color="auto"/>
            </w:tcBorders>
            <w:shd w:val="clear" w:color="auto" w:fill="D1EDF5"/>
          </w:tcPr>
          <w:p>
            <w:pPr>
              <w:spacing w:after="0"/>
              <w:rPr>
                <w:sz w:val="20"/>
                <w:szCs w:val="20"/>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8,788</w:t>
            </w:r>
          </w:p>
        </w:tc>
        <w:tc>
          <w:tcPr>
            <w:tcW w:w="60" w:type="dxa"/>
            <w:vAlign w:val="bottom"/>
            <w:tcBorders>
              <w:right w:val="single" w:sz="8" w:color="D1EDF5"/>
            </w:tcBorders>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12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4,606</w:t>
            </w: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654</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10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4,223</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rPr>
                <w:sz w:val="20"/>
                <w:szCs w:val="20"/>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23,352</w:t>
            </w:r>
          </w:p>
        </w:tc>
      </w:tr>
      <w:tr>
        <w:trPr>
          <w:trHeight w:val="272"/>
        </w:trPr>
        <w:tc>
          <w:tcPr>
            <w:tcW w:w="140" w:type="dxa"/>
            <w:vAlign w:val="bottom"/>
          </w:tcPr>
          <w:p>
            <w:pPr>
              <w:spacing w:after="0"/>
              <w:rPr>
                <w:sz w:val="23"/>
                <w:szCs w:val="23"/>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5,121</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4,633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4,874</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24,070</w:t>
            </w:r>
          </w:p>
        </w:tc>
      </w:tr>
      <w:tr>
        <w:trPr>
          <w:trHeight w:val="223"/>
        </w:trPr>
        <w:tc>
          <w:tcPr>
            <w:tcW w:w="140" w:type="dxa"/>
            <w:vAlign w:val="bottom"/>
            <w:tcBorders>
              <w:top w:val="single" w:sz="8" w:color="D1EDF5"/>
            </w:tcBorders>
            <w:shd w:val="clear" w:color="auto" w:fill="D1EDF5"/>
          </w:tcPr>
          <w:p>
            <w:pPr>
              <w:spacing w:after="0"/>
              <w:rPr>
                <w:sz w:val="19"/>
                <w:szCs w:val="19"/>
                <w:color w:val="auto"/>
              </w:rPr>
            </w:pPr>
          </w:p>
        </w:tc>
        <w:tc>
          <w:tcPr>
            <w:tcW w:w="30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10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00" w:type="dxa"/>
            <w:vAlign w:val="bottom"/>
            <w:tcBorders>
              <w:top w:val="single" w:sz="8" w:color="auto"/>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right w:val="single" w:sz="8" w:color="D1EDF5"/>
            </w:tcBorders>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20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24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08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60" w:type="dxa"/>
            <w:vAlign w:val="bottom"/>
            <w:tcBorders>
              <w:top w:val="single" w:sz="8" w:color="auto"/>
            </w:tcBorders>
            <w:shd w:val="clear" w:color="auto" w:fill="D1EDF5"/>
          </w:tcPr>
          <w:p>
            <w:pPr>
              <w:spacing w:after="0"/>
              <w:rPr>
                <w:sz w:val="19"/>
                <w:szCs w:val="19"/>
                <w:color w:val="auto"/>
              </w:rPr>
            </w:pPr>
          </w:p>
        </w:tc>
        <w:tc>
          <w:tcPr>
            <w:tcW w:w="1040" w:type="dxa"/>
            <w:vAlign w:val="bottom"/>
            <w:tcBorders>
              <w:top w:val="single" w:sz="8" w:color="auto"/>
            </w:tcBorders>
            <w:shd w:val="clear" w:color="auto" w:fill="D1EDF5"/>
          </w:tcPr>
          <w:p>
            <w:pPr>
              <w:spacing w:after="0"/>
              <w:rPr>
                <w:sz w:val="19"/>
                <w:szCs w:val="19"/>
                <w:color w:val="auto"/>
              </w:rPr>
            </w:pPr>
          </w:p>
        </w:tc>
      </w:tr>
      <w:tr>
        <w:trPr>
          <w:trHeight w:val="240"/>
        </w:trPr>
        <w:tc>
          <w:tcPr>
            <w:tcW w:w="3220" w:type="dxa"/>
            <w:vAlign w:val="bottom"/>
            <w:gridSpan w:val="3"/>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0"/>
        </w:trPr>
        <w:tc>
          <w:tcPr>
            <w:tcW w:w="140" w:type="dxa"/>
            <w:vAlign w:val="bottom"/>
            <w:shd w:val="clear" w:color="auto" w:fill="D1EDF5"/>
          </w:tcPr>
          <w:p>
            <w:pPr>
              <w:spacing w:after="0"/>
              <w:rPr>
                <w:sz w:val="20"/>
                <w:szCs w:val="20"/>
                <w:color w:val="auto"/>
              </w:rPr>
            </w:pPr>
          </w:p>
        </w:tc>
        <w:tc>
          <w:tcPr>
            <w:tcW w:w="30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6,788</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D1EDF5"/>
            </w:tcBorders>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690</w:t>
            </w:r>
          </w:p>
        </w:tc>
        <w:tc>
          <w:tcPr>
            <w:tcW w:w="4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1,990</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9,468</w:t>
            </w:r>
          </w:p>
        </w:tc>
      </w:tr>
      <w:tr>
        <w:trPr>
          <w:trHeight w:val="240"/>
        </w:trPr>
        <w:tc>
          <w:tcPr>
            <w:tcW w:w="140" w:type="dxa"/>
            <w:vAlign w:val="bottom"/>
            <w:tcBorders>
              <w:bottom w:val="single" w:sz="8" w:color="D1EDF5"/>
            </w:tcBorders>
          </w:tcPr>
          <w:p>
            <w:pPr>
              <w:spacing w:after="0"/>
              <w:rPr>
                <w:sz w:val="20"/>
                <w:szCs w:val="20"/>
                <w:color w:val="auto"/>
              </w:rPr>
            </w:pPr>
          </w:p>
        </w:tc>
        <w:tc>
          <w:tcPr>
            <w:tcW w:w="308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283,173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1,136,417</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196,101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1,955,750</w:t>
            </w:r>
          </w:p>
        </w:tc>
      </w:tr>
      <w:tr>
        <w:trPr>
          <w:trHeight w:val="226"/>
        </w:trPr>
        <w:tc>
          <w:tcPr>
            <w:tcW w:w="140" w:type="dxa"/>
            <w:vAlign w:val="bottom"/>
            <w:shd w:val="clear" w:color="auto" w:fill="D1EDF5"/>
          </w:tcPr>
          <w:p>
            <w:pPr>
              <w:spacing w:after="0"/>
              <w:rPr>
                <w:sz w:val="19"/>
                <w:szCs w:val="19"/>
                <w:color w:val="auto"/>
              </w:rPr>
            </w:pPr>
          </w:p>
        </w:tc>
        <w:tc>
          <w:tcPr>
            <w:tcW w:w="30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Balances, end of period</w:t>
            </w: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289,961</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1,136,417</w:t>
            </w:r>
          </w:p>
        </w:tc>
        <w:tc>
          <w:tcPr>
            <w:tcW w:w="60" w:type="dxa"/>
            <w:vAlign w:val="bottom"/>
            <w:tcBorders>
              <w:right w:val="single" w:sz="8" w:color="D1EDF5"/>
            </w:tcBorders>
          </w:tcPr>
          <w:p>
            <w:pPr>
              <w:spacing w:after="0"/>
              <w:rPr>
                <w:sz w:val="19"/>
                <w:szCs w:val="19"/>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258,311</w:t>
            </w:r>
          </w:p>
        </w:tc>
        <w:tc>
          <w:tcPr>
            <w:tcW w:w="4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82,438</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198,091</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1,965,218</w:t>
            </w:r>
          </w:p>
        </w:tc>
      </w:tr>
      <w:tr>
        <w:trPr>
          <w:trHeight w:val="20"/>
        </w:trPr>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2800985</wp:posOffset>
                </wp:positionH>
                <wp:positionV relativeFrom="paragraph">
                  <wp:posOffset>-3349625</wp:posOffset>
                </wp:positionV>
                <wp:extent cx="27305" cy="127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1EDF5"/>
                        </a:solidFill>
                      </wps:spPr>
                      <wps:bodyPr/>
                    </wps:wsp>
                  </a:graphicData>
                </a:graphic>
              </wp:anchor>
            </w:drawing>
          </mc:Choice>
          <mc:Fallback>
            <w:pict>
              <v:rect id="Shape 57" o:spid="_x0000_s1082" style="position:absolute;margin-left:220.55pt;margin-top:-263.74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3609975</wp:posOffset>
                </wp:positionH>
                <wp:positionV relativeFrom="paragraph">
                  <wp:posOffset>-3349625</wp:posOffset>
                </wp:positionV>
                <wp:extent cx="29210" cy="127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58" o:spid="_x0000_s1083" style="position:absolute;margin-left:284.25pt;margin-top:-263.7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-3349625</wp:posOffset>
                </wp:positionV>
                <wp:extent cx="29210" cy="127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59" o:spid="_x0000_s1084" style="position:absolute;margin-left:353.25pt;margin-top:-263.7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-3349625</wp:posOffset>
                </wp:positionV>
                <wp:extent cx="27305" cy="127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1EDF5"/>
                        </a:solidFill>
                      </wps:spPr>
                      <wps:bodyPr/>
                    </wps:wsp>
                  </a:graphicData>
                </a:graphic>
              </wp:anchor>
            </w:drawing>
          </mc:Choice>
          <mc:Fallback>
            <w:pict>
              <v:rect id="Shape 60" o:spid="_x0000_s1085" style="position:absolute;margin-left:424.55pt;margin-top:-263.7499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-3349625</wp:posOffset>
                </wp:positionV>
                <wp:extent cx="29210" cy="127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61" o:spid="_x0000_s1086" style="position:absolute;margin-left:486.7pt;margin-top:-263.7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-2732405</wp:posOffset>
                </wp:positionV>
                <wp:extent cx="29210" cy="127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62" o:spid="_x0000_s1087" style="position:absolute;margin-left:353.25pt;margin-top:-215.1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2800985</wp:posOffset>
                </wp:positionH>
                <wp:positionV relativeFrom="paragraph">
                  <wp:posOffset>-1773555</wp:posOffset>
                </wp:positionV>
                <wp:extent cx="27305" cy="2857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8575"/>
                        </a:xfrm>
                        <a:prstGeom prst="rect">
                          <a:avLst/>
                        </a:prstGeom>
                        <a:solidFill>
                          <a:srgbClr val="D1EDF5"/>
                        </a:solidFill>
                      </wps:spPr>
                      <wps:bodyPr/>
                    </wps:wsp>
                  </a:graphicData>
                </a:graphic>
              </wp:anchor>
            </w:drawing>
          </mc:Choice>
          <mc:Fallback>
            <w:pict>
              <v:rect id="Shape 63" o:spid="_x0000_s1088" style="position:absolute;margin-left:220.55pt;margin-top:-139.6499pt;width:2.1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-1773555</wp:posOffset>
                </wp:positionV>
                <wp:extent cx="29210" cy="2857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8575"/>
                        </a:xfrm>
                        <a:prstGeom prst="rect">
                          <a:avLst/>
                        </a:prstGeom>
                        <a:solidFill>
                          <a:srgbClr val="D1EDF5"/>
                        </a:solidFill>
                      </wps:spPr>
                      <wps:bodyPr/>
                    </wps:wsp>
                  </a:graphicData>
                </a:graphic>
              </wp:anchor>
            </w:drawing>
          </mc:Choice>
          <mc:Fallback>
            <w:pict>
              <v:rect id="Shape 64" o:spid="_x0000_s1089" style="position:absolute;margin-left:353.25pt;margin-top:-139.6499pt;width:2.3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-1773555</wp:posOffset>
                </wp:positionV>
                <wp:extent cx="27305" cy="2857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8575"/>
                        </a:xfrm>
                        <a:prstGeom prst="rect">
                          <a:avLst/>
                        </a:prstGeom>
                        <a:solidFill>
                          <a:srgbClr val="D1EDF5"/>
                        </a:solidFill>
                      </wps:spPr>
                      <wps:bodyPr/>
                    </wps:wsp>
                  </a:graphicData>
                </a:graphic>
              </wp:anchor>
            </w:drawing>
          </mc:Choice>
          <mc:Fallback>
            <w:pict>
              <v:rect id="Shape 65" o:spid="_x0000_s1090" style="position:absolute;margin-left:424.55pt;margin-top:-139.6499pt;width:2.1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-1773555</wp:posOffset>
                </wp:positionV>
                <wp:extent cx="29210" cy="2857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8575"/>
                        </a:xfrm>
                        <a:prstGeom prst="rect">
                          <a:avLst/>
                        </a:prstGeom>
                        <a:solidFill>
                          <a:srgbClr val="D1EDF5"/>
                        </a:solidFill>
                      </wps:spPr>
                      <wps:bodyPr/>
                    </wps:wsp>
                  </a:graphicData>
                </a:graphic>
              </wp:anchor>
            </w:drawing>
          </mc:Choice>
          <mc:Fallback>
            <w:pict>
              <v:rect id="Shape 66" o:spid="_x0000_s1091" style="position:absolute;margin-left:486.7pt;margin-top:-139.6499pt;width:2.3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2800985</wp:posOffset>
                </wp:positionH>
                <wp:positionV relativeFrom="paragraph">
                  <wp:posOffset>-824230</wp:posOffset>
                </wp:positionV>
                <wp:extent cx="27305" cy="2921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9210"/>
                        </a:xfrm>
                        <a:prstGeom prst="rect">
                          <a:avLst/>
                        </a:prstGeom>
                        <a:solidFill>
                          <a:srgbClr val="D1EDF5"/>
                        </a:solidFill>
                      </wps:spPr>
                      <wps:bodyPr/>
                    </wps:wsp>
                  </a:graphicData>
                </a:graphic>
              </wp:anchor>
            </w:drawing>
          </mc:Choice>
          <mc:Fallback>
            <w:pict>
              <v:rect id="Shape 67" o:spid="_x0000_s1092" style="position:absolute;margin-left:220.55pt;margin-top:-64.8999pt;width:2.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-824230</wp:posOffset>
                </wp:positionV>
                <wp:extent cx="29210" cy="2921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9210"/>
                        </a:xfrm>
                        <a:prstGeom prst="rect">
                          <a:avLst/>
                        </a:prstGeom>
                        <a:solidFill>
                          <a:srgbClr val="D1EDF5"/>
                        </a:solidFill>
                      </wps:spPr>
                      <wps:bodyPr/>
                    </wps:wsp>
                  </a:graphicData>
                </a:graphic>
              </wp:anchor>
            </w:drawing>
          </mc:Choice>
          <mc:Fallback>
            <w:pict>
              <v:rect id="Shape 68" o:spid="_x0000_s1093" style="position:absolute;margin-left:353.25pt;margin-top:-64.8999pt;width:2.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-824230</wp:posOffset>
                </wp:positionV>
                <wp:extent cx="27305" cy="2921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29210"/>
                        </a:xfrm>
                        <a:prstGeom prst="rect">
                          <a:avLst/>
                        </a:prstGeom>
                        <a:solidFill>
                          <a:srgbClr val="D1EDF5"/>
                        </a:solidFill>
                      </wps:spPr>
                      <wps:bodyPr/>
                    </wps:wsp>
                  </a:graphicData>
                </a:graphic>
              </wp:anchor>
            </w:drawing>
          </mc:Choice>
          <mc:Fallback>
            <w:pict>
              <v:rect id="Shape 69" o:spid="_x0000_s1094" style="position:absolute;margin-left:424.55pt;margin-top:-64.8999pt;width:2.15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-824230</wp:posOffset>
                </wp:positionV>
                <wp:extent cx="29210" cy="2921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29210"/>
                        </a:xfrm>
                        <a:prstGeom prst="rect">
                          <a:avLst/>
                        </a:prstGeom>
                        <a:solidFill>
                          <a:srgbClr val="D1EDF5"/>
                        </a:solidFill>
                      </wps:spPr>
                      <wps:bodyPr/>
                    </wps:wsp>
                  </a:graphicData>
                </a:graphic>
              </wp:anchor>
            </w:drawing>
          </mc:Choice>
          <mc:Fallback>
            <w:pict>
              <v:rect id="Shape 70" o:spid="_x0000_s1095" style="position:absolute;margin-left:486.7pt;margin-top:-64.8999pt;width:2.3pt;height: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2800985</wp:posOffset>
                </wp:positionH>
                <wp:positionV relativeFrom="paragraph">
                  <wp:posOffset>-190500</wp:posOffset>
                </wp:positionV>
                <wp:extent cx="27305" cy="127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1EDF5"/>
                        </a:solidFill>
                      </wps:spPr>
                      <wps:bodyPr/>
                    </wps:wsp>
                  </a:graphicData>
                </a:graphic>
              </wp:anchor>
            </w:drawing>
          </mc:Choice>
          <mc:Fallback>
            <w:pict>
              <v:rect id="Shape 71" o:spid="_x0000_s1096" style="position:absolute;margin-left:220.55pt;margin-top:-15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3609975</wp:posOffset>
                </wp:positionH>
                <wp:positionV relativeFrom="paragraph">
                  <wp:posOffset>-190500</wp:posOffset>
                </wp:positionV>
                <wp:extent cx="29210" cy="127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72" o:spid="_x0000_s1097" style="position:absolute;margin-left:284.25pt;margin-top:-15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4486275</wp:posOffset>
                </wp:positionH>
                <wp:positionV relativeFrom="paragraph">
                  <wp:posOffset>-190500</wp:posOffset>
                </wp:positionV>
                <wp:extent cx="29210" cy="127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73" o:spid="_x0000_s1098" style="position:absolute;margin-left:353.25pt;margin-top:-15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5391785</wp:posOffset>
                </wp:positionH>
                <wp:positionV relativeFrom="paragraph">
                  <wp:posOffset>-190500</wp:posOffset>
                </wp:positionV>
                <wp:extent cx="27305" cy="1270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D1EDF5"/>
                        </a:solidFill>
                      </wps:spPr>
                      <wps:bodyPr/>
                    </wps:wsp>
                  </a:graphicData>
                </a:graphic>
              </wp:anchor>
            </w:drawing>
          </mc:Choice>
          <mc:Fallback>
            <w:pict>
              <v:rect id="Shape 74" o:spid="_x0000_s1099" style="position:absolute;margin-left:424.55pt;margin-top:-15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6181090</wp:posOffset>
                </wp:positionH>
                <wp:positionV relativeFrom="paragraph">
                  <wp:posOffset>-190500</wp:posOffset>
                </wp:positionV>
                <wp:extent cx="29210" cy="127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D1EDF5"/>
                        </a:solidFill>
                      </wps:spPr>
                      <wps:bodyPr/>
                    </wps:wsp>
                  </a:graphicData>
                </a:graphic>
              </wp:anchor>
            </w:drawing>
          </mc:Choice>
          <mc:Fallback>
            <w:pict>
              <v:rect id="Shape 75" o:spid="_x0000_s1100" style="position:absolute;margin-left:486.7pt;margin-top:-15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Quality Indicators</w:t>
      </w:r>
    </w:p>
    <w:p>
      <w:pPr>
        <w:spacing w:after="0" w:line="235" w:lineRule="exact"/>
        <w:rPr>
          <w:sz w:val="20"/>
          <w:szCs w:val="20"/>
          <w:color w:val="auto"/>
        </w:rPr>
      </w:pPr>
    </w:p>
    <w:p>
      <w:pPr>
        <w:jc w:val="both"/>
        <w:ind w:right="180" w:firstLine="360"/>
        <w:spacing w:after="0" w:line="253" w:lineRule="auto"/>
        <w:rPr>
          <w:sz w:val="20"/>
          <w:szCs w:val="20"/>
          <w:color w:val="auto"/>
        </w:rPr>
      </w:pPr>
      <w:r>
        <w:rPr>
          <w:rFonts w:ascii="Arial" w:cs="Arial" w:eastAsia="Arial" w:hAnsi="Arial"/>
          <w:sz w:val="20"/>
          <w:szCs w:val="20"/>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Company's internally assigned credit risk grades are as follows: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Pass </w:t>
      </w:r>
      <w:r>
        <w:rPr>
          <w:rFonts w:ascii="Arial" w:cs="Arial" w:eastAsia="Arial" w:hAnsi="Arial"/>
          <w:sz w:val="20"/>
          <w:szCs w:val="20"/>
          <w:color w:val="auto"/>
        </w:rPr>
        <w:t>– Loans indicate different levels of satisfactory financial condition and performance.</w:t>
      </w:r>
    </w:p>
    <w:p>
      <w:pPr>
        <w:spacing w:after="0" w:line="231" w:lineRule="exact"/>
        <w:rPr>
          <w:sz w:val="20"/>
          <w:szCs w:val="20"/>
          <w:color w:val="auto"/>
        </w:rPr>
      </w:pPr>
    </w:p>
    <w:p>
      <w:pPr>
        <w:ind w:left="720" w:right="360"/>
        <w:spacing w:after="0" w:line="263" w:lineRule="auto"/>
        <w:rPr>
          <w:sz w:val="20"/>
          <w:szCs w:val="20"/>
          <w:color w:val="auto"/>
        </w:rPr>
      </w:pPr>
      <w:r>
        <w:rPr>
          <w:rFonts w:ascii="Arial" w:cs="Arial" w:eastAsia="Arial" w:hAnsi="Arial"/>
          <w:sz w:val="20"/>
          <w:szCs w:val="20"/>
          <w:b w:val="1"/>
          <w:bCs w:val="1"/>
          <w:color w:val="auto"/>
        </w:rPr>
        <w:t xml:space="preserve">Special Mention </w:t>
      </w:r>
      <w:r>
        <w:rPr>
          <w:rFonts w:ascii="Arial" w:cs="Arial" w:eastAsia="Arial" w:hAnsi="Arial"/>
          <w:sz w:val="20"/>
          <w:szCs w:val="20"/>
          <w:color w:val="auto"/>
        </w:rPr>
        <w:t>– Loans classified as special mention have a potential weakness that deserves management’s</w:t>
      </w:r>
      <w:r>
        <w:rPr>
          <w:rFonts w:ascii="Arial" w:cs="Arial" w:eastAsia="Arial" w:hAnsi="Arial"/>
          <w:sz w:val="20"/>
          <w:szCs w:val="20"/>
          <w:b w:val="1"/>
          <w:bCs w:val="1"/>
          <w:color w:val="auto"/>
        </w:rPr>
        <w:t xml:space="preserve"> </w:t>
      </w:r>
      <w:r>
        <w:rPr>
          <w:rFonts w:ascii="Arial" w:cs="Arial" w:eastAsia="Arial" w:hAnsi="Arial"/>
          <w:sz w:val="20"/>
          <w:szCs w:val="20"/>
          <w:color w:val="auto"/>
        </w:rPr>
        <w:t>close attention. If left uncorrected, these potential weaknesses may result in deterioration of the repayment prospects for the loan or of the institution’s credit position at some future date.</w:t>
      </w:r>
    </w:p>
    <w:p>
      <w:pPr>
        <w:spacing w:after="0" w:line="163" w:lineRule="exact"/>
        <w:rPr>
          <w:sz w:val="20"/>
          <w:szCs w:val="20"/>
          <w:color w:val="auto"/>
        </w:rPr>
      </w:pPr>
    </w:p>
    <w:p>
      <w:pPr>
        <w:jc w:val="both"/>
        <w:ind w:left="720" w:right="360"/>
        <w:spacing w:after="0" w:line="255" w:lineRule="auto"/>
        <w:rPr>
          <w:sz w:val="20"/>
          <w:szCs w:val="20"/>
          <w:color w:val="auto"/>
        </w:rPr>
      </w:pPr>
      <w:r>
        <w:rPr>
          <w:rFonts w:ascii="Arial" w:cs="Arial" w:eastAsia="Arial" w:hAnsi="Arial"/>
          <w:sz w:val="20"/>
          <w:szCs w:val="20"/>
          <w:b w:val="1"/>
          <w:bCs w:val="1"/>
          <w:color w:val="auto"/>
        </w:rPr>
        <w:t xml:space="preserve">Substandard </w:t>
      </w:r>
      <w:r>
        <w:rPr>
          <w:rFonts w:ascii="Arial" w:cs="Arial" w:eastAsia="Arial" w:hAnsi="Arial"/>
          <w:sz w:val="20"/>
          <w:szCs w:val="20"/>
          <w:color w:val="auto"/>
        </w:rPr>
        <w:t>– Loans classified as substandard are inadequately protected by the current net worth and paying</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3" w:lineRule="exact"/>
        <w:rPr>
          <w:sz w:val="20"/>
          <w:szCs w:val="20"/>
          <w:color w:val="auto"/>
        </w:rPr>
      </w:pPr>
    </w:p>
    <w:p>
      <w:pPr>
        <w:jc w:val="both"/>
        <w:ind w:left="720" w:right="200"/>
        <w:spacing w:after="0" w:line="263" w:lineRule="auto"/>
        <w:rPr>
          <w:sz w:val="20"/>
          <w:szCs w:val="20"/>
          <w:color w:val="auto"/>
        </w:rPr>
      </w:pPr>
      <w:r>
        <w:rPr>
          <w:rFonts w:ascii="Arial" w:cs="Arial" w:eastAsia="Arial" w:hAnsi="Arial"/>
          <w:sz w:val="20"/>
          <w:szCs w:val="20"/>
          <w:b w:val="1"/>
          <w:bCs w:val="1"/>
          <w:color w:val="auto"/>
        </w:rPr>
        <w:t xml:space="preserve">Doubtful </w:t>
      </w:r>
      <w:r>
        <w:rPr>
          <w:rFonts w:ascii="Arial" w:cs="Arial" w:eastAsia="Arial" w:hAnsi="Arial"/>
          <w:sz w:val="20"/>
          <w:szCs w:val="20"/>
          <w:color w:val="auto"/>
        </w:rPr>
        <w:t>– Loans classified as doubtful have all the weaknesses inherent in those classified at substandard,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added characteristic that the weaknesses make collection or liquidation in full on the basis of currently existing facts, conditions, and values, highly questionable and improbable.</w:t>
      </w:r>
    </w:p>
    <w:p>
      <w:pPr>
        <w:spacing w:after="0" w:line="200" w:lineRule="exact"/>
        <w:rPr>
          <w:sz w:val="20"/>
          <w:szCs w:val="20"/>
          <w:color w:val="auto"/>
        </w:rPr>
      </w:pPr>
    </w:p>
    <w:p>
      <w:pPr>
        <w:spacing w:after="0" w:line="201" w:lineRule="exact"/>
        <w:rPr>
          <w:sz w:val="20"/>
          <w:szCs w:val="20"/>
          <w:color w:val="auto"/>
        </w:rPr>
      </w:pPr>
    </w:p>
    <w:p>
      <w:pPr>
        <w:jc w:val="center"/>
        <w:ind w:right="180"/>
        <w:spacing w:after="0"/>
        <w:tabs>
          <w:tab w:leader="none" w:pos="380" w:val="left"/>
          <w:tab w:leader="none" w:pos="20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980"/>
          </w:cols>
          <w:pgMar w:left="720" w:top="355" w:right="540" w:bottom="0" w:gutter="0" w:footer="0" w:header="0"/>
        </w:sectPr>
      </w:pPr>
    </w:p>
    <w:bookmarkStart w:id="97" w:name="page98"/>
    <w:bookmarkEnd w:id="97"/>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Loss </w:t>
      </w:r>
      <w:r>
        <w:rPr>
          <w:rFonts w:ascii="Arial" w:cs="Arial" w:eastAsia="Arial" w:hAnsi="Arial"/>
          <w:sz w:val="20"/>
          <w:szCs w:val="20"/>
          <w:color w:val="auto"/>
        </w:rPr>
        <w:t>– Loans classified as loss are considered uncollectible.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Loan credit exposures by internally assigned grades are presented below for the periods indicated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As of December 31, 2025</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0"/>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Term Loans by Origination Year</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7"/>
              </w:rPr>
              <w:t>Revolving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Prior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Loans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65,582</w:t>
            </w:r>
          </w:p>
        </w:tc>
        <w:tc>
          <w:tcPr>
            <w:tcW w:w="2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83,426</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23,685</w:t>
            </w: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58,220</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304,276</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Special Mention</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140" w:type="dxa"/>
            <w:vAlign w:val="bottom"/>
            <w:shd w:val="clear" w:color="auto" w:fill="D1EDF5"/>
          </w:tcPr>
          <w:p>
            <w:pPr>
              <w:spacing w:after="0"/>
              <w:rPr>
                <w:sz w:val="19"/>
                <w:szCs w:val="19"/>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65,710</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84,343</w:t>
            </w: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33,607</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24,272</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21,056</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58,536</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20,168</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307,692</w:t>
            </w:r>
          </w:p>
        </w:tc>
        <w:tc>
          <w:tcPr>
            <w:tcW w:w="0" w:type="dxa"/>
            <w:vAlign w:val="bottom"/>
          </w:tcPr>
          <w:p>
            <w:pPr>
              <w:spacing w:after="0"/>
              <w:rPr>
                <w:sz w:val="1"/>
                <w:szCs w:val="1"/>
                <w:color w:val="auto"/>
              </w:rPr>
            </w:pPr>
          </w:p>
        </w:tc>
      </w:tr>
      <w:tr>
        <w:trPr>
          <w:trHeight w:val="240"/>
        </w:trPr>
        <w:tc>
          <w:tcPr>
            <w:tcW w:w="280" w:type="dxa"/>
            <w:vAlign w:val="bottom"/>
            <w:gridSpan w:val="2"/>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241,028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109,465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281,985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134,663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273,483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1,230,823</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Special Mention</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8,451</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3,162</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30"/>
        </w:trPr>
        <w:tc>
          <w:tcPr>
            <w:tcW w:w="1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6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241,028</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184,323</w:t>
            </w: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117,916</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281,985</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136,387</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277,320</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5,876</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1,244,835</w:t>
            </w:r>
          </w:p>
        </w:tc>
        <w:tc>
          <w:tcPr>
            <w:tcW w:w="0" w:type="dxa"/>
            <w:vAlign w:val="bottom"/>
          </w:tcPr>
          <w:p>
            <w:pPr>
              <w:spacing w:after="0"/>
              <w:rPr>
                <w:sz w:val="1"/>
                <w:szCs w:val="1"/>
                <w:color w:val="auto"/>
              </w:rPr>
            </w:pPr>
          </w:p>
        </w:tc>
      </w:tr>
      <w:tr>
        <w:trPr>
          <w:trHeight w:val="240"/>
        </w:trPr>
        <w:tc>
          <w:tcPr>
            <w:tcW w:w="19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Commercial and</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D1EDF5"/>
          </w:tcPr>
          <w:p>
            <w:pPr>
              <w:spacing w:after="0"/>
              <w:rPr>
                <w:sz w:val="22"/>
                <w:szCs w:val="22"/>
                <w:color w:val="auto"/>
              </w:rPr>
            </w:pPr>
          </w:p>
        </w:tc>
        <w:tc>
          <w:tcPr>
            <w:tcW w:w="9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60" w:type="dxa"/>
            <w:vAlign w:val="bottom"/>
            <w:shd w:val="clear" w:color="auto" w:fill="D1EDF5"/>
          </w:tcPr>
          <w:p>
            <w:pPr>
              <w:spacing w:after="0"/>
              <w:rPr>
                <w:sz w:val="22"/>
                <w:szCs w:val="22"/>
                <w:color w:val="auto"/>
              </w:rPr>
            </w:pPr>
          </w:p>
        </w:tc>
        <w:tc>
          <w:tcPr>
            <w:tcW w:w="9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80" w:type="dxa"/>
            <w:vAlign w:val="bottom"/>
            <w:shd w:val="clear" w:color="auto" w:fill="D1EDF5"/>
          </w:tcPr>
          <w:p>
            <w:pPr>
              <w:spacing w:after="0"/>
              <w:rPr>
                <w:sz w:val="22"/>
                <w:szCs w:val="22"/>
                <w:color w:val="auto"/>
              </w:rPr>
            </w:pPr>
          </w:p>
        </w:tc>
        <w:tc>
          <w:tcPr>
            <w:tcW w:w="8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9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00" w:type="dxa"/>
            <w:vAlign w:val="bottom"/>
            <w:shd w:val="clear" w:color="auto" w:fill="D1EDF5"/>
          </w:tcPr>
          <w:p>
            <w:pPr>
              <w:spacing w:after="0"/>
              <w:rPr>
                <w:sz w:val="22"/>
                <w:szCs w:val="22"/>
                <w:color w:val="auto"/>
              </w:rPr>
            </w:pPr>
          </w:p>
        </w:tc>
        <w:tc>
          <w:tcPr>
            <w:tcW w:w="98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10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63,178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32,118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23,542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293,169</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Special Mention</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835</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2"/>
        </w:trPr>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6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75,867</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63,250</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58,449</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32,118</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29,370</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12,952</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23,542</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295,548</w:t>
            </w:r>
          </w:p>
        </w:tc>
        <w:tc>
          <w:tcPr>
            <w:tcW w:w="0" w:type="dxa"/>
            <w:vAlign w:val="bottom"/>
          </w:tcPr>
          <w:p>
            <w:pPr>
              <w:spacing w:after="0"/>
              <w:rPr>
                <w:sz w:val="1"/>
                <w:szCs w:val="1"/>
                <w:color w:val="auto"/>
              </w:rPr>
            </w:pPr>
          </w:p>
        </w:tc>
      </w:tr>
      <w:tr>
        <w:trPr>
          <w:trHeight w:val="240"/>
        </w:trPr>
        <w:tc>
          <w:tcPr>
            <w:tcW w:w="19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Correspondent banks</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127,968</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127,968</w:t>
            </w:r>
          </w:p>
        </w:tc>
        <w:tc>
          <w:tcPr>
            <w:tcW w:w="0" w:type="dxa"/>
            <w:vAlign w:val="bottom"/>
          </w:tcPr>
          <w:p>
            <w:pPr>
              <w:spacing w:after="0"/>
              <w:rPr>
                <w:sz w:val="1"/>
                <w:szCs w:val="1"/>
                <w:color w:val="auto"/>
              </w:rPr>
            </w:pPr>
          </w:p>
        </w:tc>
      </w:tr>
      <w:tr>
        <w:trPr>
          <w:trHeight w:val="230"/>
        </w:trPr>
        <w:tc>
          <w:tcPr>
            <w:tcW w:w="1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6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127,968</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127,968</w:t>
            </w:r>
          </w:p>
        </w:tc>
        <w:tc>
          <w:tcPr>
            <w:tcW w:w="0" w:type="dxa"/>
            <w:vAlign w:val="bottom"/>
          </w:tcPr>
          <w:p>
            <w:pPr>
              <w:spacing w:after="0"/>
              <w:rPr>
                <w:sz w:val="1"/>
                <w:szCs w:val="1"/>
                <w:color w:val="auto"/>
              </w:rPr>
            </w:pPr>
          </w:p>
        </w:tc>
      </w:tr>
      <w:tr>
        <w:trPr>
          <w:trHeight w:val="240"/>
        </w:trPr>
        <w:tc>
          <w:tcPr>
            <w:tcW w:w="19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D1EDF5"/>
          </w:tcPr>
          <w:p>
            <w:pPr>
              <w:spacing w:after="0"/>
              <w:rPr>
                <w:sz w:val="22"/>
                <w:szCs w:val="22"/>
                <w:color w:val="auto"/>
              </w:rPr>
            </w:pPr>
          </w:p>
        </w:tc>
        <w:tc>
          <w:tcPr>
            <w:tcW w:w="9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60" w:type="dxa"/>
            <w:vAlign w:val="bottom"/>
            <w:shd w:val="clear" w:color="auto" w:fill="D1EDF5"/>
          </w:tcPr>
          <w:p>
            <w:pPr>
              <w:spacing w:after="0"/>
              <w:rPr>
                <w:sz w:val="22"/>
                <w:szCs w:val="22"/>
                <w:color w:val="auto"/>
              </w:rPr>
            </w:pPr>
          </w:p>
        </w:tc>
        <w:tc>
          <w:tcPr>
            <w:tcW w:w="9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80" w:type="dxa"/>
            <w:vAlign w:val="bottom"/>
            <w:shd w:val="clear" w:color="auto" w:fill="D1EDF5"/>
          </w:tcPr>
          <w:p>
            <w:pPr>
              <w:spacing w:after="0"/>
              <w:rPr>
                <w:sz w:val="22"/>
                <w:szCs w:val="22"/>
                <w:color w:val="auto"/>
              </w:rPr>
            </w:pPr>
          </w:p>
        </w:tc>
        <w:tc>
          <w:tcPr>
            <w:tcW w:w="8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9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00" w:type="dxa"/>
            <w:vAlign w:val="bottom"/>
            <w:shd w:val="clear" w:color="auto" w:fill="D1EDF5"/>
          </w:tcPr>
          <w:p>
            <w:pPr>
              <w:spacing w:after="0"/>
              <w:rPr>
                <w:sz w:val="22"/>
                <w:szCs w:val="22"/>
                <w:color w:val="auto"/>
              </w:rPr>
            </w:pPr>
          </w:p>
        </w:tc>
        <w:tc>
          <w:tcPr>
            <w:tcW w:w="98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10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59,276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34,309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36,808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51,091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207,215</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shd w:val="clear" w:color="auto" w:fill="D1EDF5"/>
          </w:tcPr>
          <w:p>
            <w:pPr>
              <w:spacing w:after="0"/>
              <w:rPr>
                <w:sz w:val="20"/>
                <w:szCs w:val="20"/>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spacing w:after="0"/>
              <w:rPr>
                <w:sz w:val="20"/>
                <w:szCs w:val="20"/>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spacing w:after="0"/>
              <w:rPr>
                <w:sz w:val="20"/>
                <w:szCs w:val="20"/>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rPr>
                <w:sz w:val="20"/>
                <w:szCs w:val="20"/>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tcBorders>
              <w:bottom w:val="single" w:sz="8" w:color="auto"/>
            </w:tcBorders>
            <w:shd w:val="clear" w:color="auto" w:fill="D1EDF5"/>
          </w:tcPr>
          <w:p>
            <w:pPr>
              <w:spacing w:after="0"/>
              <w:rPr>
                <w:sz w:val="20"/>
                <w:szCs w:val="20"/>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tcBorders>
              <w:bottom w:val="single" w:sz="8" w:color="auto"/>
            </w:tcBorders>
            <w:shd w:val="clear" w:color="auto" w:fill="D1EDF5"/>
          </w:tcPr>
          <w:p>
            <w:pPr>
              <w:spacing w:after="0"/>
              <w:rPr>
                <w:sz w:val="20"/>
                <w:szCs w:val="20"/>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34,309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207,215</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60" w:type="dxa"/>
            <w:vAlign w:val="bottom"/>
            <w:gridSpan w:val="4"/>
          </w:tcPr>
          <w:p>
            <w:pPr>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Pass</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569,721</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365,236</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236,472</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388,879</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207,023</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344,764</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51,356</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2,163,451</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Special Mention</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13,436</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Substandard</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1,857</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2,169</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1,428</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4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6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D1EDF5"/>
            </w:tcBorders>
            <w:shd w:val="clear" w:color="auto" w:fill="D1EDF5"/>
          </w:tcPr>
          <w:p>
            <w:pPr>
              <w:jc w:val="right"/>
              <w:ind w:right="5"/>
              <w:spacing w:after="0"/>
              <w:rPr>
                <w:sz w:val="20"/>
                <w:szCs w:val="20"/>
                <w:color w:val="auto"/>
              </w:rPr>
            </w:pPr>
            <w:r>
              <w:rPr>
                <w:rFonts w:ascii="Arial" w:cs="Arial" w:eastAsia="Arial" w:hAnsi="Arial"/>
                <w:sz w:val="15"/>
                <w:szCs w:val="15"/>
                <w:color w:val="auto"/>
                <w:w w:val="71"/>
                <w:shd w:val="clear" w:color="auto" w:fill="D1EDF5"/>
              </w:rPr>
              <w:t>$</w:t>
            </w: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569,849</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shd w:val="clear" w:color="auto" w:fill="D1EDF5"/>
              </w:rPr>
              <w:t>$</w:t>
            </w:r>
          </w:p>
        </w:tc>
        <w:tc>
          <w:tcPr>
            <w:tcW w:w="8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366,225</w:t>
            </w: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shd w:val="clear" w:color="auto" w:fill="D1EDF5"/>
              </w:rPr>
              <w:t>$</w:t>
            </w:r>
          </w:p>
        </w:tc>
        <w:tc>
          <w:tcPr>
            <w:tcW w:w="8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246,780</w:t>
            </w: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9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389,466</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80" w:type="dxa"/>
            <w:vAlign w:val="bottom"/>
            <w:tcBorders>
              <w:bottom w:val="single" w:sz="8" w:color="D1EDF5"/>
            </w:tcBorders>
            <w:shd w:val="clear" w:color="auto" w:fill="D1EDF5"/>
          </w:tcPr>
          <w:p>
            <w:pPr>
              <w:jc w:val="right"/>
              <w:ind w:right="90"/>
              <w:spacing w:after="0"/>
              <w:rPr>
                <w:sz w:val="20"/>
                <w:szCs w:val="20"/>
                <w:color w:val="auto"/>
              </w:rPr>
            </w:pPr>
            <w:r>
              <w:rPr>
                <w:rFonts w:ascii="Arial" w:cs="Arial" w:eastAsia="Arial" w:hAnsi="Arial"/>
                <w:sz w:val="18"/>
                <w:szCs w:val="18"/>
                <w:color w:val="auto"/>
                <w:w w:val="79"/>
                <w:shd w:val="clear" w:color="auto" w:fill="D1EDF5"/>
              </w:rPr>
              <w:t>$</w:t>
            </w:r>
          </w:p>
        </w:tc>
        <w:tc>
          <w:tcPr>
            <w:tcW w:w="8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210,027</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349,555</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51,356</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2,183,258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1921510</wp:posOffset>
                </wp:positionH>
                <wp:positionV relativeFrom="paragraph">
                  <wp:posOffset>-5419090</wp:posOffset>
                </wp:positionV>
                <wp:extent cx="18415" cy="1206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76" o:spid="_x0000_s1101" style="position:absolute;margin-left:151.3pt;margin-top:-426.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-5419090</wp:posOffset>
                </wp:positionV>
                <wp:extent cx="18415" cy="1206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77" o:spid="_x0000_s1102" style="position:absolute;margin-left:206.75pt;margin-top:-426.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-5419090</wp:posOffset>
                </wp:positionV>
                <wp:extent cx="18415" cy="1206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78" o:spid="_x0000_s1103" style="position:absolute;margin-left:317.25pt;margin-top:-426.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-5419090</wp:posOffset>
                </wp:positionV>
                <wp:extent cx="19685" cy="1206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79" o:spid="_x0000_s1104" style="position:absolute;margin-left:372.7pt;margin-top:-426.6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-5419090</wp:posOffset>
                </wp:positionV>
                <wp:extent cx="18415" cy="1206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80" o:spid="_x0000_s1105" style="position:absolute;margin-left:428.25pt;margin-top:-426.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-5419090</wp:posOffset>
                </wp:positionV>
                <wp:extent cx="19685" cy="1206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81" o:spid="_x0000_s1106" style="position:absolute;margin-left:483.7pt;margin-top:-426.6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-4803775</wp:posOffset>
                </wp:positionV>
                <wp:extent cx="19685" cy="1270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82" o:spid="_x0000_s1107" style="position:absolute;margin-left:372.7pt;margin-top:-378.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-4803775</wp:posOffset>
                </wp:positionV>
                <wp:extent cx="19685" cy="1270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83" o:spid="_x0000_s1108" style="position:absolute;margin-left:483.7pt;margin-top:-378.2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-3883025</wp:posOffset>
                </wp:positionV>
                <wp:extent cx="19685" cy="1270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84" o:spid="_x0000_s1109" style="position:absolute;margin-left:372.7pt;margin-top:-305.7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-3883025</wp:posOffset>
                </wp:positionV>
                <wp:extent cx="19685" cy="1270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85" o:spid="_x0000_s1110" style="position:absolute;margin-left:483.7pt;margin-top:-305.7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1921510</wp:posOffset>
                </wp:positionH>
                <wp:positionV relativeFrom="paragraph">
                  <wp:posOffset>-2809875</wp:posOffset>
                </wp:positionV>
                <wp:extent cx="18415" cy="1206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86" o:spid="_x0000_s1111" style="position:absolute;margin-left:151.3pt;margin-top:-221.24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-2809875</wp:posOffset>
                </wp:positionV>
                <wp:extent cx="18415" cy="1206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87" o:spid="_x0000_s1112" style="position:absolute;margin-left:206.75pt;margin-top:-221.24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3329940</wp:posOffset>
                </wp:positionH>
                <wp:positionV relativeFrom="paragraph">
                  <wp:posOffset>-2809875</wp:posOffset>
                </wp:positionV>
                <wp:extent cx="13335" cy="1206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D1EDF5"/>
                        </a:solidFill>
                      </wps:spPr>
                      <wps:bodyPr/>
                    </wps:wsp>
                  </a:graphicData>
                </a:graphic>
              </wp:anchor>
            </w:drawing>
          </mc:Choice>
          <mc:Fallback>
            <w:pict>
              <v:rect id="Shape 88" o:spid="_x0000_s1113" style="position:absolute;margin-left:262.2pt;margin-top:-221.2499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-2809875</wp:posOffset>
                </wp:positionV>
                <wp:extent cx="18415" cy="1206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89" o:spid="_x0000_s1114" style="position:absolute;margin-left:317.25pt;margin-top:-221.24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-2809875</wp:posOffset>
                </wp:positionV>
                <wp:extent cx="19685" cy="1206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90" o:spid="_x0000_s1115" style="position:absolute;margin-left:372.7pt;margin-top:-221.24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-2809875</wp:posOffset>
                </wp:positionV>
                <wp:extent cx="18415" cy="1206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91" o:spid="_x0000_s1116" style="position:absolute;margin-left:428.25pt;margin-top:-221.24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-2809875</wp:posOffset>
                </wp:positionV>
                <wp:extent cx="19685" cy="1206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92" o:spid="_x0000_s1117" style="position:absolute;margin-left:483.7pt;margin-top:-221.24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-2192655</wp:posOffset>
                </wp:positionV>
                <wp:extent cx="19685" cy="1206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93" o:spid="_x0000_s1118" style="position:absolute;margin-left:372.7pt;margin-top:-172.64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-2192655</wp:posOffset>
                </wp:positionV>
                <wp:extent cx="19685" cy="1206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94" o:spid="_x0000_s1119" style="position:absolute;margin-left:483.7pt;margin-top:-172.64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-199390</wp:posOffset>
                </wp:positionV>
                <wp:extent cx="19685" cy="1206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95" o:spid="_x0000_s1120" style="position:absolute;margin-left:372.7pt;margin-top:-15.6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-199390</wp:posOffset>
                </wp:positionV>
                <wp:extent cx="19685" cy="1206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96" o:spid="_x0000_s1121" style="position:absolute;margin-left:483.7pt;margin-top:-15.6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40"/>
        <w:spacing w:after="0"/>
        <w:tabs>
          <w:tab w:leader="none" w:pos="380" w:val="left"/>
          <w:tab w:leader="none" w:pos="20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940"/>
          </w:cols>
          <w:pgMar w:left="720" w:top="355" w:right="580" w:bottom="0" w:gutter="0" w:footer="0" w:header="0"/>
        </w:sectPr>
      </w:pPr>
    </w:p>
    <w:bookmarkStart w:id="98" w:name="page99"/>
    <w:bookmarkEnd w:id="98"/>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Notes to the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As of December 31, 2024</w:t>
            </w: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0"/>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8"/>
                <w:szCs w:val="18"/>
                <w:b w:val="1"/>
                <w:bCs w:val="1"/>
                <w:color w:val="auto"/>
              </w:rPr>
              <w:t>Term Loans by Origination Year</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7"/>
              </w:rPr>
              <w:t>Revolving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D1EDF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Prior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Loans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109,590</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39,666</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34,315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23,039</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5,791</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66,115</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10,885</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289,401</w:t>
            </w:r>
          </w:p>
        </w:tc>
        <w:tc>
          <w:tcPr>
            <w:tcW w:w="0" w:type="dxa"/>
            <w:vAlign w:val="bottom"/>
          </w:tcPr>
          <w:p>
            <w:pPr>
              <w:spacing w:after="0"/>
              <w:rPr>
                <w:sz w:val="1"/>
                <w:szCs w:val="1"/>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182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auto"/>
            </w:tcBorders>
            <w:shd w:val="clear" w:color="auto" w:fill="D1EDF5"/>
          </w:tcPr>
          <w:p>
            <w:pPr>
              <w:spacing w:after="0"/>
              <w:rPr>
                <w:sz w:val="21"/>
                <w:szCs w:val="21"/>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1"/>
                <w:szCs w:val="21"/>
                <w:color w:val="auto"/>
              </w:rPr>
            </w:pPr>
          </w:p>
        </w:tc>
        <w:tc>
          <w:tcPr>
            <w:tcW w:w="280" w:type="dxa"/>
            <w:vAlign w:val="bottom"/>
            <w:tcBorders>
              <w:bottom w:val="single" w:sz="8" w:color="auto"/>
            </w:tcBorders>
            <w:shd w:val="clear" w:color="auto" w:fill="D1EDF5"/>
          </w:tcPr>
          <w:p>
            <w:pPr>
              <w:spacing w:after="0"/>
              <w:rPr>
                <w:sz w:val="21"/>
                <w:szCs w:val="21"/>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560</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109,590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23,039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289,961</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6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Pass</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175,023</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130,503</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317,971</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175,535</w:t>
            </w: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98,695</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231,558</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4,680</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1,133,965</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40" w:type="dxa"/>
            <w:vAlign w:val="bottom"/>
            <w:tcBorders>
              <w:bottom w:val="single" w:sz="8" w:color="D1EDF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30"/>
        </w:trPr>
        <w:tc>
          <w:tcPr>
            <w:tcW w:w="14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6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175,023</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130,503</w:t>
            </w: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317,971</w:t>
            </w: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177,300</w:t>
            </w:r>
          </w:p>
        </w:tc>
        <w:tc>
          <w:tcPr>
            <w:tcW w:w="4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99,382</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231,558</w:t>
            </w: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4,680</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1,136,417</w:t>
            </w:r>
          </w:p>
        </w:tc>
        <w:tc>
          <w:tcPr>
            <w:tcW w:w="0" w:type="dxa"/>
            <w:vAlign w:val="bottom"/>
          </w:tcPr>
          <w:p>
            <w:pPr>
              <w:spacing w:after="0"/>
              <w:rPr>
                <w:sz w:val="1"/>
                <w:szCs w:val="1"/>
                <w:color w:val="auto"/>
              </w:rPr>
            </w:pPr>
          </w:p>
        </w:tc>
      </w:tr>
      <w:tr>
        <w:trPr>
          <w:trHeight w:val="240"/>
        </w:trPr>
        <w:tc>
          <w:tcPr>
            <w:tcW w:w="19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Commercial and</w:t>
            </w:r>
          </w:p>
        </w:tc>
        <w:tc>
          <w:tcPr>
            <w:tcW w:w="16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60" w:type="dxa"/>
            <w:vAlign w:val="bottom"/>
            <w:shd w:val="clear" w:color="auto" w:fill="D1EDF5"/>
          </w:tcPr>
          <w:p>
            <w:pPr>
              <w:spacing w:after="0"/>
              <w:rPr>
                <w:sz w:val="19"/>
                <w:szCs w:val="19"/>
                <w:color w:val="auto"/>
              </w:rPr>
            </w:pPr>
          </w:p>
        </w:tc>
        <w:tc>
          <w:tcPr>
            <w:tcW w:w="92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280" w:type="dxa"/>
            <w:vAlign w:val="bottom"/>
            <w:shd w:val="clear" w:color="auto" w:fill="D1EDF5"/>
          </w:tcPr>
          <w:p>
            <w:pPr>
              <w:spacing w:after="0"/>
              <w:rPr>
                <w:sz w:val="19"/>
                <w:szCs w:val="19"/>
                <w:color w:val="auto"/>
              </w:rPr>
            </w:pPr>
          </w:p>
        </w:tc>
        <w:tc>
          <w:tcPr>
            <w:tcW w:w="8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90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00" w:type="dxa"/>
            <w:vAlign w:val="bottom"/>
            <w:shd w:val="clear" w:color="auto" w:fill="D1EDF5"/>
          </w:tcPr>
          <w:p>
            <w:pPr>
              <w:spacing w:after="0"/>
              <w:rPr>
                <w:sz w:val="19"/>
                <w:szCs w:val="19"/>
                <w:color w:val="auto"/>
              </w:rPr>
            </w:pPr>
          </w:p>
        </w:tc>
        <w:tc>
          <w:tcPr>
            <w:tcW w:w="98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D1EDF5"/>
          </w:tcPr>
          <w:p>
            <w:pPr>
              <w:spacing w:after="0"/>
              <w:rPr>
                <w:sz w:val="22"/>
                <w:szCs w:val="22"/>
                <w:color w:val="auto"/>
              </w:rPr>
            </w:pPr>
          </w:p>
        </w:tc>
        <w:tc>
          <w:tcPr>
            <w:tcW w:w="9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20" w:type="dxa"/>
            <w:vAlign w:val="bottom"/>
            <w:shd w:val="clear" w:color="auto" w:fill="D1EDF5"/>
          </w:tcPr>
          <w:p>
            <w:pPr>
              <w:spacing w:after="0"/>
              <w:rPr>
                <w:sz w:val="22"/>
                <w:szCs w:val="22"/>
                <w:color w:val="auto"/>
              </w:rPr>
            </w:pPr>
          </w:p>
        </w:tc>
        <w:tc>
          <w:tcPr>
            <w:tcW w:w="86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60" w:type="dxa"/>
            <w:vAlign w:val="bottom"/>
            <w:shd w:val="clear" w:color="auto" w:fill="D1EDF5"/>
          </w:tcPr>
          <w:p>
            <w:pPr>
              <w:spacing w:after="0"/>
              <w:rPr>
                <w:sz w:val="22"/>
                <w:szCs w:val="22"/>
                <w:color w:val="auto"/>
              </w:rPr>
            </w:pPr>
          </w:p>
        </w:tc>
        <w:tc>
          <w:tcPr>
            <w:tcW w:w="920" w:type="dxa"/>
            <w:vAlign w:val="bottom"/>
            <w:shd w:val="clear" w:color="auto" w:fill="D1EDF5"/>
          </w:tcPr>
          <w:p>
            <w:pPr>
              <w:spacing w:after="0"/>
              <w:rPr>
                <w:sz w:val="22"/>
                <w:szCs w:val="22"/>
                <w:color w:val="auto"/>
              </w:rPr>
            </w:pPr>
          </w:p>
        </w:tc>
        <w:tc>
          <w:tcPr>
            <w:tcW w:w="40" w:type="dxa"/>
            <w:vAlign w:val="bottom"/>
            <w:shd w:val="clear" w:color="auto" w:fill="D1EDF5"/>
          </w:tcPr>
          <w:p>
            <w:pPr>
              <w:spacing w:after="0"/>
              <w:rPr>
                <w:sz w:val="22"/>
                <w:szCs w:val="22"/>
                <w:color w:val="auto"/>
              </w:rPr>
            </w:pPr>
          </w:p>
        </w:tc>
        <w:tc>
          <w:tcPr>
            <w:tcW w:w="280" w:type="dxa"/>
            <w:vAlign w:val="bottom"/>
            <w:shd w:val="clear" w:color="auto" w:fill="D1EDF5"/>
          </w:tcPr>
          <w:p>
            <w:pPr>
              <w:spacing w:after="0"/>
              <w:rPr>
                <w:sz w:val="22"/>
                <w:szCs w:val="22"/>
                <w:color w:val="auto"/>
              </w:rPr>
            </w:pPr>
          </w:p>
        </w:tc>
        <w:tc>
          <w:tcPr>
            <w:tcW w:w="8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90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00" w:type="dxa"/>
            <w:vAlign w:val="bottom"/>
            <w:shd w:val="clear" w:color="auto" w:fill="D1EDF5"/>
          </w:tcPr>
          <w:p>
            <w:pPr>
              <w:spacing w:after="0"/>
              <w:rPr>
                <w:sz w:val="22"/>
                <w:szCs w:val="22"/>
                <w:color w:val="auto"/>
              </w:rPr>
            </w:pPr>
          </w:p>
        </w:tc>
        <w:tc>
          <w:tcPr>
            <w:tcW w:w="980" w:type="dxa"/>
            <w:vAlign w:val="bottom"/>
            <w:shd w:val="clear" w:color="auto" w:fill="D1EDF5"/>
          </w:tcPr>
          <w:p>
            <w:pPr>
              <w:spacing w:after="0"/>
              <w:rPr>
                <w:sz w:val="22"/>
                <w:szCs w:val="22"/>
                <w:color w:val="auto"/>
              </w:rPr>
            </w:pPr>
          </w:p>
        </w:tc>
        <w:tc>
          <w:tcPr>
            <w:tcW w:w="20" w:type="dxa"/>
            <w:vAlign w:val="bottom"/>
            <w:shd w:val="clear" w:color="auto" w:fill="D1EDF5"/>
          </w:tcPr>
          <w:p>
            <w:pPr>
              <w:spacing w:after="0"/>
              <w:rPr>
                <w:sz w:val="22"/>
                <w:szCs w:val="22"/>
                <w:color w:val="auto"/>
              </w:rPr>
            </w:pPr>
          </w:p>
        </w:tc>
        <w:tc>
          <w:tcPr>
            <w:tcW w:w="180" w:type="dxa"/>
            <w:vAlign w:val="bottom"/>
            <w:shd w:val="clear" w:color="auto" w:fill="D1EDF5"/>
          </w:tcPr>
          <w:p>
            <w:pPr>
              <w:spacing w:after="0"/>
              <w:rPr>
                <w:sz w:val="22"/>
                <w:szCs w:val="22"/>
                <w:color w:val="auto"/>
              </w:rPr>
            </w:pPr>
          </w:p>
        </w:tc>
        <w:tc>
          <w:tcPr>
            <w:tcW w:w="1060" w:type="dxa"/>
            <w:vAlign w:val="bottom"/>
            <w:shd w:val="clear" w:color="auto" w:fill="D1EDF5"/>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68,405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33,962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30,495</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26,795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256,031</w:t>
            </w:r>
          </w:p>
        </w:tc>
        <w:tc>
          <w:tcPr>
            <w:tcW w:w="0" w:type="dxa"/>
            <w:vAlign w:val="bottom"/>
          </w:tcPr>
          <w:p>
            <w:pPr>
              <w:spacing w:after="0"/>
              <w:rPr>
                <w:sz w:val="1"/>
                <w:szCs w:val="1"/>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182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auto"/>
            </w:tcBorders>
            <w:shd w:val="clear" w:color="auto" w:fill="D1EDF5"/>
          </w:tcPr>
          <w:p>
            <w:pPr>
              <w:spacing w:after="0"/>
              <w:rPr>
                <w:sz w:val="21"/>
                <w:szCs w:val="21"/>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519</w:t>
            </w:r>
          </w:p>
        </w:tc>
        <w:tc>
          <w:tcPr>
            <w:tcW w:w="40" w:type="dxa"/>
            <w:vAlign w:val="bottom"/>
            <w:tcBorders>
              <w:bottom w:val="single" w:sz="8" w:color="D1EDF5"/>
            </w:tcBorders>
            <w:shd w:val="clear" w:color="auto" w:fill="D1EDF5"/>
          </w:tcPr>
          <w:p>
            <w:pPr>
              <w:spacing w:after="0"/>
              <w:rPr>
                <w:sz w:val="21"/>
                <w:szCs w:val="21"/>
                <w:color w:val="auto"/>
              </w:rPr>
            </w:pPr>
          </w:p>
        </w:tc>
        <w:tc>
          <w:tcPr>
            <w:tcW w:w="280" w:type="dxa"/>
            <w:vAlign w:val="bottom"/>
            <w:tcBorders>
              <w:bottom w:val="single" w:sz="8" w:color="auto"/>
            </w:tcBorders>
            <w:shd w:val="clear" w:color="auto" w:fill="D1EDF5"/>
          </w:tcPr>
          <w:p>
            <w:pPr>
              <w:spacing w:after="0"/>
              <w:rPr>
                <w:sz w:val="21"/>
                <w:szCs w:val="21"/>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668</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80,644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258,311</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60" w:type="dxa"/>
            <w:vAlign w:val="bottom"/>
            <w:gridSpan w:val="4"/>
          </w:tcPr>
          <w:p>
            <w:pPr>
              <w:spacing w:after="0"/>
              <w:rPr>
                <w:sz w:val="20"/>
                <w:szCs w:val="20"/>
                <w:color w:val="auto"/>
              </w:rPr>
            </w:pPr>
            <w:r>
              <w:rPr>
                <w:rFonts w:ascii="Arial" w:cs="Arial" w:eastAsia="Arial" w:hAnsi="Arial"/>
                <w:sz w:val="18"/>
                <w:szCs w:val="18"/>
                <w:color w:val="auto"/>
              </w:rPr>
              <w:t>Correspondent banks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182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Pass</w:t>
            </w:r>
          </w:p>
        </w:tc>
        <w:tc>
          <w:tcPr>
            <w:tcW w:w="16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82,438</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auto"/>
            </w:tcBorders>
            <w:shd w:val="clear" w:color="auto" w:fill="D1EDF5"/>
          </w:tcPr>
          <w:p>
            <w:pPr>
              <w:spacing w:after="0"/>
              <w:rPr>
                <w:sz w:val="21"/>
                <w:szCs w:val="21"/>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1"/>
                <w:szCs w:val="21"/>
                <w:color w:val="auto"/>
              </w:rPr>
            </w:pPr>
          </w:p>
        </w:tc>
        <w:tc>
          <w:tcPr>
            <w:tcW w:w="280" w:type="dxa"/>
            <w:vAlign w:val="bottom"/>
            <w:tcBorders>
              <w:bottom w:val="single" w:sz="8" w:color="auto"/>
            </w:tcBorders>
            <w:shd w:val="clear" w:color="auto" w:fill="D1EDF5"/>
          </w:tcPr>
          <w:p>
            <w:pPr>
              <w:spacing w:after="0"/>
              <w:rPr>
                <w:sz w:val="21"/>
                <w:szCs w:val="21"/>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82,438</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82,438</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60" w:type="dxa"/>
            <w:vAlign w:val="bottom"/>
            <w:gridSpan w:val="4"/>
          </w:tcPr>
          <w:p>
            <w:pPr>
              <w:spacing w:after="0"/>
              <w:rPr>
                <w:sz w:val="20"/>
                <w:szCs w:val="20"/>
                <w:color w:val="auto"/>
              </w:rPr>
            </w:pPr>
            <w:r>
              <w:rPr>
                <w:rFonts w:ascii="Arial" w:cs="Arial" w:eastAsia="Arial" w:hAnsi="Arial"/>
                <w:sz w:val="18"/>
                <w:szCs w:val="18"/>
                <w:color w:val="auto"/>
              </w:rPr>
              <w:t>Consumer and other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960" w:type="dxa"/>
            <w:vAlign w:val="bottom"/>
            <w:gridSpan w:val="4"/>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40" w:type="dxa"/>
            <w:vAlign w:val="bottom"/>
            <w:shd w:val="clear" w:color="auto" w:fill="D1EDF5"/>
          </w:tcPr>
          <w:p>
            <w:pPr>
              <w:spacing w:after="0"/>
              <w:rPr>
                <w:sz w:val="21"/>
                <w:szCs w:val="21"/>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Pass</w:t>
            </w:r>
          </w:p>
        </w:tc>
        <w:tc>
          <w:tcPr>
            <w:tcW w:w="160" w:type="dxa"/>
            <w:vAlign w:val="bottom"/>
            <w:shd w:val="clear" w:color="auto" w:fill="D1EDF5"/>
          </w:tcPr>
          <w:p>
            <w:pPr>
              <w:spacing w:after="0"/>
              <w:rPr>
                <w:sz w:val="21"/>
                <w:szCs w:val="21"/>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40,921</w:t>
            </w:r>
          </w:p>
        </w:tc>
        <w:tc>
          <w:tcPr>
            <w:tcW w:w="2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220" w:type="dxa"/>
            <w:vAlign w:val="bottom"/>
            <w:shd w:val="clear" w:color="auto" w:fill="D1EDF5"/>
          </w:tcPr>
          <w:p>
            <w:pPr>
              <w:spacing w:after="0"/>
              <w:rPr>
                <w:sz w:val="21"/>
                <w:szCs w:val="21"/>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51,392</w:t>
            </w:r>
          </w:p>
        </w:tc>
        <w:tc>
          <w:tcPr>
            <w:tcW w:w="20" w:type="dxa"/>
            <w:vAlign w:val="bottom"/>
            <w:shd w:val="clear" w:color="auto" w:fill="D1EDF5"/>
          </w:tcPr>
          <w:p>
            <w:pPr>
              <w:spacing w:after="0"/>
              <w:rPr>
                <w:sz w:val="21"/>
                <w:szCs w:val="21"/>
                <w:color w:val="auto"/>
              </w:rPr>
            </w:pPr>
          </w:p>
        </w:tc>
        <w:tc>
          <w:tcPr>
            <w:tcW w:w="220" w:type="dxa"/>
            <w:vAlign w:val="bottom"/>
            <w:shd w:val="clear" w:color="auto" w:fill="D1EDF5"/>
          </w:tcPr>
          <w:p>
            <w:pPr>
              <w:spacing w:after="0"/>
              <w:rPr>
                <w:sz w:val="21"/>
                <w:szCs w:val="21"/>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65,603</w:t>
            </w:r>
          </w:p>
        </w:tc>
        <w:tc>
          <w:tcPr>
            <w:tcW w:w="20" w:type="dxa"/>
            <w:vAlign w:val="bottom"/>
            <w:shd w:val="clear" w:color="auto" w:fill="D1EDF5"/>
          </w:tcPr>
          <w:p>
            <w:pPr>
              <w:spacing w:after="0"/>
              <w:rPr>
                <w:sz w:val="21"/>
                <w:szCs w:val="21"/>
                <w:color w:val="auto"/>
              </w:rPr>
            </w:pPr>
          </w:p>
        </w:tc>
        <w:tc>
          <w:tcPr>
            <w:tcW w:w="160" w:type="dxa"/>
            <w:vAlign w:val="bottom"/>
            <w:shd w:val="clear" w:color="auto" w:fill="D1EDF5"/>
          </w:tcPr>
          <w:p>
            <w:pPr>
              <w:spacing w:after="0"/>
              <w:rPr>
                <w:sz w:val="21"/>
                <w:szCs w:val="21"/>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35,181</w:t>
            </w:r>
          </w:p>
        </w:tc>
        <w:tc>
          <w:tcPr>
            <w:tcW w:w="40" w:type="dxa"/>
            <w:vAlign w:val="bottom"/>
            <w:shd w:val="clear" w:color="auto" w:fill="D1EDF5"/>
          </w:tcPr>
          <w:p>
            <w:pPr>
              <w:spacing w:after="0"/>
              <w:rPr>
                <w:sz w:val="21"/>
                <w:szCs w:val="21"/>
                <w:color w:val="auto"/>
              </w:rPr>
            </w:pPr>
          </w:p>
        </w:tc>
        <w:tc>
          <w:tcPr>
            <w:tcW w:w="280" w:type="dxa"/>
            <w:vAlign w:val="bottom"/>
            <w:shd w:val="clear" w:color="auto" w:fill="D1EDF5"/>
          </w:tcPr>
          <w:p>
            <w:pPr>
              <w:spacing w:after="0"/>
              <w:rPr>
                <w:sz w:val="21"/>
                <w:szCs w:val="21"/>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491</w:t>
            </w:r>
          </w:p>
        </w:tc>
        <w:tc>
          <w:tcPr>
            <w:tcW w:w="20" w:type="dxa"/>
            <w:vAlign w:val="bottom"/>
            <w:shd w:val="clear" w:color="auto" w:fill="D1EDF5"/>
          </w:tcPr>
          <w:p>
            <w:pPr>
              <w:spacing w:after="0"/>
              <w:rPr>
                <w:sz w:val="21"/>
                <w:szCs w:val="21"/>
                <w:color w:val="auto"/>
              </w:rPr>
            </w:pPr>
          </w:p>
        </w:tc>
        <w:tc>
          <w:tcPr>
            <w:tcW w:w="180" w:type="dxa"/>
            <w:vAlign w:val="bottom"/>
            <w:shd w:val="clear" w:color="auto" w:fill="D1EDF5"/>
          </w:tcPr>
          <w:p>
            <w:pPr>
              <w:spacing w:after="0"/>
              <w:rPr>
                <w:sz w:val="21"/>
                <w:szCs w:val="21"/>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815</w:t>
            </w:r>
          </w:p>
        </w:tc>
        <w:tc>
          <w:tcPr>
            <w:tcW w:w="2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00" w:type="dxa"/>
            <w:vAlign w:val="bottom"/>
            <w:shd w:val="clear" w:color="auto" w:fill="D1EDF5"/>
          </w:tcPr>
          <w:p>
            <w:pPr>
              <w:spacing w:after="0"/>
              <w:rPr>
                <w:sz w:val="21"/>
                <w:szCs w:val="21"/>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1,698</w:t>
            </w:r>
          </w:p>
        </w:tc>
        <w:tc>
          <w:tcPr>
            <w:tcW w:w="20" w:type="dxa"/>
            <w:vAlign w:val="bottom"/>
            <w:shd w:val="clear" w:color="auto" w:fill="D1EDF5"/>
          </w:tcPr>
          <w:p>
            <w:pPr>
              <w:spacing w:after="0"/>
              <w:rPr>
                <w:sz w:val="21"/>
                <w:szCs w:val="21"/>
                <w:color w:val="auto"/>
              </w:rPr>
            </w:pPr>
          </w:p>
        </w:tc>
        <w:tc>
          <w:tcPr>
            <w:tcW w:w="180" w:type="dxa"/>
            <w:vAlign w:val="bottom"/>
            <w:shd w:val="clear" w:color="auto" w:fill="D1EDF5"/>
          </w:tcPr>
          <w:p>
            <w:pPr>
              <w:spacing w:after="0"/>
              <w:rPr>
                <w:sz w:val="21"/>
                <w:szCs w:val="21"/>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196,101</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182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Substandard</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2"/>
        </w:trPr>
        <w:tc>
          <w:tcPr>
            <w:tcW w:w="1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6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40,921</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51,392</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67,593</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35,181</w:t>
            </w: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491</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815</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1,698</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198,091</w:t>
            </w:r>
          </w:p>
        </w:tc>
        <w:tc>
          <w:tcPr>
            <w:tcW w:w="0" w:type="dxa"/>
            <w:vAlign w:val="bottom"/>
          </w:tcPr>
          <w:p>
            <w:pPr>
              <w:spacing w:after="0"/>
              <w:rPr>
                <w:sz w:val="1"/>
                <w:szCs w:val="1"/>
                <w:color w:val="auto"/>
              </w:rPr>
            </w:pPr>
          </w:p>
        </w:tc>
      </w:tr>
      <w:tr>
        <w:trPr>
          <w:trHeight w:val="240"/>
        </w:trPr>
        <w:tc>
          <w:tcPr>
            <w:tcW w:w="19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60" w:type="dxa"/>
            <w:vAlign w:val="bottom"/>
            <w:gridSpan w:val="4"/>
            <w:shd w:val="clear" w:color="auto" w:fill="D1EDF5"/>
          </w:tcPr>
          <w:p>
            <w:pPr>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Pass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476,377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302,205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451,851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264,250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310,327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1,957,936</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18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Special Mention</w:t>
            </w:r>
          </w:p>
        </w:tc>
        <w:tc>
          <w:tcPr>
            <w:tcW w:w="16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8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00" w:type="dxa"/>
            <w:vAlign w:val="bottom"/>
            <w:shd w:val="clear" w:color="auto" w:fill="D1EDF5"/>
          </w:tcPr>
          <w:p>
            <w:pPr>
              <w:spacing w:after="0"/>
              <w:rPr>
                <w:sz w:val="20"/>
                <w:szCs w:val="20"/>
                <w:color w:val="auto"/>
              </w:rPr>
            </w:pP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Substandard</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182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Doubtful</w:t>
            </w:r>
          </w:p>
        </w:tc>
        <w:tc>
          <w:tcPr>
            <w:tcW w:w="16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auto"/>
            </w:tcBorders>
            <w:shd w:val="clear" w:color="auto" w:fill="D1EDF5"/>
          </w:tcPr>
          <w:p>
            <w:pPr>
              <w:spacing w:after="0"/>
              <w:rPr>
                <w:sz w:val="21"/>
                <w:szCs w:val="21"/>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60" w:type="dxa"/>
            <w:vAlign w:val="bottom"/>
            <w:tcBorders>
              <w:bottom w:val="single" w:sz="8" w:color="auto"/>
            </w:tcBorders>
            <w:shd w:val="clear" w:color="auto" w:fill="D1EDF5"/>
          </w:tcPr>
          <w:p>
            <w:pPr>
              <w:spacing w:after="0"/>
              <w:rPr>
                <w:sz w:val="21"/>
                <w:szCs w:val="21"/>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shd w:val="clear" w:color="auto" w:fill="D1EDF5"/>
          </w:tcPr>
          <w:p>
            <w:pPr>
              <w:spacing w:after="0"/>
              <w:rPr>
                <w:sz w:val="21"/>
                <w:szCs w:val="21"/>
                <w:color w:val="auto"/>
              </w:rPr>
            </w:pPr>
          </w:p>
        </w:tc>
        <w:tc>
          <w:tcPr>
            <w:tcW w:w="280" w:type="dxa"/>
            <w:vAlign w:val="bottom"/>
            <w:tcBorders>
              <w:bottom w:val="single" w:sz="8" w:color="auto"/>
            </w:tcBorders>
            <w:shd w:val="clear" w:color="auto" w:fill="D1EDF5"/>
          </w:tcPr>
          <w:p>
            <w:pPr>
              <w:spacing w:after="0"/>
              <w:rPr>
                <w:sz w:val="21"/>
                <w:szCs w:val="21"/>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9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00" w:type="dxa"/>
            <w:vAlign w:val="bottom"/>
            <w:tcBorders>
              <w:bottom w:val="single" w:sz="8" w:color="auto"/>
            </w:tcBorders>
            <w:shd w:val="clear" w:color="auto" w:fill="D1EDF5"/>
          </w:tcPr>
          <w:p>
            <w:pPr>
              <w:spacing w:after="0"/>
              <w:rPr>
                <w:sz w:val="21"/>
                <w:szCs w:val="21"/>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476,377</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302,205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453,841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266,534</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109,555</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311,980</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44,726</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1,965,218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1921510</wp:posOffset>
                </wp:positionH>
                <wp:positionV relativeFrom="paragraph">
                  <wp:posOffset>-4961890</wp:posOffset>
                </wp:positionV>
                <wp:extent cx="18415" cy="1206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97" o:spid="_x0000_s1122" style="position:absolute;margin-left:151.3pt;margin-top:-390.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-4961890</wp:posOffset>
                </wp:positionV>
                <wp:extent cx="18415" cy="1206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98" o:spid="_x0000_s1123" style="position:absolute;margin-left:206.75pt;margin-top:-390.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-4961890</wp:posOffset>
                </wp:positionV>
                <wp:extent cx="18415" cy="1206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99" o:spid="_x0000_s1124" style="position:absolute;margin-left:317.25pt;margin-top:-390.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-4961890</wp:posOffset>
                </wp:positionV>
                <wp:extent cx="19685" cy="1206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100" o:spid="_x0000_s1125" style="position:absolute;margin-left:372.7pt;margin-top:-390.6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-4961890</wp:posOffset>
                </wp:positionV>
                <wp:extent cx="18415" cy="1206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065"/>
                        </a:xfrm>
                        <a:prstGeom prst="rect">
                          <a:avLst/>
                        </a:prstGeom>
                        <a:solidFill>
                          <a:srgbClr val="D1EDF5"/>
                        </a:solidFill>
                      </wps:spPr>
                      <wps:bodyPr/>
                    </wps:wsp>
                  </a:graphicData>
                </a:graphic>
              </wp:anchor>
            </w:drawing>
          </mc:Choice>
          <mc:Fallback>
            <w:pict>
              <v:rect id="Shape 101" o:spid="_x0000_s1126" style="position:absolute;margin-left:428.25pt;margin-top:-390.6999pt;width:1.4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-4961890</wp:posOffset>
                </wp:positionV>
                <wp:extent cx="19685" cy="1206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065"/>
                        </a:xfrm>
                        <a:prstGeom prst="rect">
                          <a:avLst/>
                        </a:prstGeom>
                        <a:solidFill>
                          <a:srgbClr val="D1EDF5"/>
                        </a:solidFill>
                      </wps:spPr>
                      <wps:bodyPr/>
                    </wps:wsp>
                  </a:graphicData>
                </a:graphic>
              </wp:anchor>
            </w:drawing>
          </mc:Choice>
          <mc:Fallback>
            <w:pict>
              <v:rect id="Shape 102" o:spid="_x0000_s1127" style="position:absolute;margin-left:483.7pt;margin-top:-390.6999pt;width:1.5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-3730625</wp:posOffset>
                </wp:positionV>
                <wp:extent cx="19685" cy="127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103" o:spid="_x0000_s1128" style="position:absolute;margin-left:372.7pt;margin-top:-293.7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-3730625</wp:posOffset>
                </wp:positionV>
                <wp:extent cx="19685"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104" o:spid="_x0000_s1129" style="position:absolute;margin-left:483.7pt;margin-top:-293.74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1921510</wp:posOffset>
                </wp:positionH>
                <wp:positionV relativeFrom="paragraph">
                  <wp:posOffset>-1273810</wp:posOffset>
                </wp:positionV>
                <wp:extent cx="18415" cy="127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05" o:spid="_x0000_s1130" style="position:absolute;margin-left:151.3pt;margin-top:-100.2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-1273810</wp:posOffset>
                </wp:positionV>
                <wp:extent cx="18415" cy="1270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06" o:spid="_x0000_s1131" style="position:absolute;margin-left:206.75pt;margin-top:-100.2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3329940</wp:posOffset>
                </wp:positionH>
                <wp:positionV relativeFrom="paragraph">
                  <wp:posOffset>-1273810</wp:posOffset>
                </wp:positionV>
                <wp:extent cx="13335" cy="127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D1EDF5"/>
                        </a:solidFill>
                      </wps:spPr>
                      <wps:bodyPr/>
                    </wps:wsp>
                  </a:graphicData>
                </a:graphic>
              </wp:anchor>
            </w:drawing>
          </mc:Choice>
          <mc:Fallback>
            <w:pict>
              <v:rect id="Shape 107" o:spid="_x0000_s1132" style="position:absolute;margin-left:262.2pt;margin-top:-100.2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-1273810</wp:posOffset>
                </wp:positionV>
                <wp:extent cx="18415" cy="127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08" o:spid="_x0000_s1133" style="position:absolute;margin-left:317.25pt;margin-top:-100.2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4733290</wp:posOffset>
                </wp:positionH>
                <wp:positionV relativeFrom="paragraph">
                  <wp:posOffset>-1273810</wp:posOffset>
                </wp:positionV>
                <wp:extent cx="19685" cy="12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109" o:spid="_x0000_s1134" style="position:absolute;margin-left:372.7pt;margin-top:-100.29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5438775</wp:posOffset>
                </wp:positionH>
                <wp:positionV relativeFrom="paragraph">
                  <wp:posOffset>-1273810</wp:posOffset>
                </wp:positionV>
                <wp:extent cx="18415" cy="1270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10" o:spid="_x0000_s1135" style="position:absolute;margin-left:428.25pt;margin-top:-100.2999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-1273810</wp:posOffset>
                </wp:positionV>
                <wp:extent cx="19685" cy="1270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111" o:spid="_x0000_s1136" style="position:absolute;margin-left:483.7pt;margin-top:-100.2999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40"/>
        <w:spacing w:after="0"/>
        <w:tabs>
          <w:tab w:leader="none" w:pos="380" w:val="left"/>
          <w:tab w:leader="none" w:pos="20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20"/>
          <w:szCs w:val="20"/>
          <w:color w:val="auto"/>
        </w:rPr>
        <w:t>USCB Financial Holdings, Inc.</w:t>
      </w:r>
      <w:r>
        <w:rPr>
          <w:sz w:val="20"/>
          <w:szCs w:val="20"/>
          <w:color w:val="auto"/>
        </w:rPr>
        <w:tab/>
      </w:r>
      <w:r>
        <w:rPr>
          <w:rFonts w:ascii="Arial" w:cs="Arial" w:eastAsia="Arial" w:hAnsi="Arial"/>
          <w:sz w:val="19"/>
          <w:szCs w:val="19"/>
          <w:color w:val="auto"/>
        </w:rPr>
        <w:t>2025 10-K</w:t>
      </w:r>
    </w:p>
    <w:p>
      <w:pPr>
        <w:sectPr>
          <w:pgSz w:w="12240" w:h="15840" w:orient="portrait"/>
          <w:cols w:equalWidth="0" w:num="1">
            <w:col w:w="10940"/>
          </w:cols>
          <w:pgMar w:left="720" w:top="355" w:right="580" w:bottom="0" w:gutter="0" w:footer="0" w:header="0"/>
        </w:sectPr>
      </w:pPr>
    </w:p>
    <w:bookmarkStart w:id="99" w:name="page100"/>
    <w:bookmarkEnd w:id="99"/>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Aging</w:t>
      </w:r>
    </w:p>
    <w:p>
      <w:pPr>
        <w:spacing w:after="0" w:line="235" w:lineRule="exact"/>
        <w:rPr>
          <w:sz w:val="20"/>
          <w:szCs w:val="20"/>
          <w:color w:val="auto"/>
        </w:rPr>
      </w:pPr>
    </w:p>
    <w:p>
      <w:pPr>
        <w:jc w:val="both"/>
        <w:ind w:right="320" w:firstLine="360"/>
        <w:spacing w:after="0" w:line="253" w:lineRule="auto"/>
        <w:rPr>
          <w:sz w:val="20"/>
          <w:szCs w:val="20"/>
          <w:color w:val="auto"/>
        </w:rPr>
      </w:pPr>
      <w:r>
        <w:rPr>
          <w:rFonts w:ascii="Arial" w:cs="Arial" w:eastAsia="Arial" w:hAnsi="Arial"/>
          <w:sz w:val="20"/>
          <w:szCs w:val="20"/>
          <w:color w:val="auto"/>
        </w:rPr>
        <w:t>The Company also considers the performance of loans in grading and in evaluating the credit quality of the loan portfolio. The Company analyzes credit quality and loan grades based on payment performance and the aging status of loans. The following table include an aging analysis of accruing loans and total non-accruing loans as of December 31, 2025 and 2024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Accruing</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5"/>
          </w:tcPr>
          <w:p>
            <w:pPr>
              <w:jc w:val="center"/>
              <w:ind w:right="60"/>
              <w:spacing w:after="0" w:line="192" w:lineRule="exact"/>
              <w:rPr>
                <w:sz w:val="20"/>
                <w:szCs w:val="20"/>
                <w:color w:val="auto"/>
              </w:rPr>
            </w:pPr>
            <w:r>
              <w:rPr>
                <w:rFonts w:ascii="Arial" w:cs="Arial" w:eastAsia="Arial" w:hAnsi="Arial"/>
                <w:sz w:val="18"/>
                <w:szCs w:val="18"/>
                <w:b w:val="1"/>
                <w:bCs w:val="1"/>
                <w:color w:val="auto"/>
              </w:rPr>
              <w:t>Past Due</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8"/>
              </w:rPr>
              <w:t>90 Days or</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Past Due</w:t>
            </w:r>
          </w:p>
        </w:tc>
        <w:tc>
          <w:tcPr>
            <w:tcW w:w="10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more and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rPr>
              <w:t>Still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2025:</w:t>
            </w:r>
          </w:p>
        </w:tc>
        <w:tc>
          <w:tcPr>
            <w:tcW w:w="1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30-89 Days</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Accruing</w:t>
            </w:r>
          </w:p>
        </w:tc>
        <w:tc>
          <w:tcPr>
            <w:tcW w:w="1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Accruing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Non-Accrual</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Total Loans</w:t>
            </w:r>
          </w:p>
        </w:tc>
        <w:tc>
          <w:tcPr>
            <w:tcW w:w="0" w:type="dxa"/>
            <w:vAlign w:val="bottom"/>
          </w:tcPr>
          <w:p>
            <w:pPr>
              <w:spacing w:after="0"/>
              <w:rPr>
                <w:sz w:val="1"/>
                <w:szCs w:val="1"/>
                <w:color w:val="auto"/>
              </w:rPr>
            </w:pPr>
          </w:p>
        </w:tc>
      </w:tr>
      <w:tr>
        <w:trPr>
          <w:trHeight w:val="230"/>
        </w:trPr>
        <w:tc>
          <w:tcPr>
            <w:tcW w:w="4020" w:type="dxa"/>
            <w:vAlign w:val="bottom"/>
            <w:tcBorders>
              <w:top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top w:val="single" w:sz="8" w:color="auto"/>
            </w:tcBorders>
            <w:shd w:val="clear" w:color="auto" w:fill="D1EDF5"/>
          </w:tcPr>
          <w:p>
            <w:pPr>
              <w:spacing w:after="0"/>
              <w:rPr>
                <w:sz w:val="19"/>
                <w:szCs w:val="19"/>
                <w:color w:val="auto"/>
              </w:rPr>
            </w:pPr>
          </w:p>
        </w:tc>
        <w:tc>
          <w:tcPr>
            <w:tcW w:w="106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920" w:type="dxa"/>
            <w:vAlign w:val="bottom"/>
            <w:tcBorders>
              <w:top w:val="single" w:sz="8" w:color="auto"/>
            </w:tcBorders>
            <w:shd w:val="clear" w:color="auto" w:fill="D1EDF5"/>
          </w:tcPr>
          <w:p>
            <w:pPr>
              <w:spacing w:after="0"/>
              <w:rPr>
                <w:sz w:val="19"/>
                <w:szCs w:val="19"/>
                <w:color w:val="auto"/>
              </w:rPr>
            </w:pPr>
          </w:p>
        </w:tc>
        <w:tc>
          <w:tcPr>
            <w:tcW w:w="200" w:type="dxa"/>
            <w:vAlign w:val="bottom"/>
            <w:tcBorders>
              <w:top w:val="single" w:sz="8" w:color="auto"/>
            </w:tcBorders>
            <w:shd w:val="clear" w:color="auto" w:fill="D1EDF5"/>
          </w:tcPr>
          <w:p>
            <w:pPr>
              <w:spacing w:after="0"/>
              <w:rPr>
                <w:sz w:val="19"/>
                <w:szCs w:val="19"/>
                <w:color w:val="auto"/>
              </w:rPr>
            </w:pPr>
          </w:p>
        </w:tc>
        <w:tc>
          <w:tcPr>
            <w:tcW w:w="540" w:type="dxa"/>
            <w:vAlign w:val="bottom"/>
            <w:tcBorders>
              <w:top w:val="single" w:sz="8" w:color="auto"/>
            </w:tcBorders>
            <w:shd w:val="clear" w:color="auto" w:fill="D1EDF5"/>
          </w:tcPr>
          <w:p>
            <w:pPr>
              <w:spacing w:after="0"/>
              <w:rPr>
                <w:sz w:val="19"/>
                <w:szCs w:val="19"/>
                <w:color w:val="auto"/>
              </w:rPr>
            </w:pPr>
          </w:p>
        </w:tc>
        <w:tc>
          <w:tcPr>
            <w:tcW w:w="22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104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340" w:type="dxa"/>
            <w:vAlign w:val="bottom"/>
            <w:tcBorders>
              <w:top w:val="single" w:sz="8" w:color="auto"/>
            </w:tcBorders>
            <w:shd w:val="clear" w:color="auto" w:fill="D1EDF5"/>
          </w:tcPr>
          <w:p>
            <w:pPr>
              <w:spacing w:after="0"/>
              <w:rPr>
                <w:sz w:val="19"/>
                <w:szCs w:val="19"/>
                <w:color w:val="auto"/>
              </w:rPr>
            </w:pPr>
          </w:p>
        </w:tc>
        <w:tc>
          <w:tcPr>
            <w:tcW w:w="7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Home equity line of credit and other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1,538</w:t>
            </w: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38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238,852</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240,002</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2,385</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242,387</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388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Condo residential</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62,364</w:t>
            </w:r>
          </w:p>
        </w:tc>
        <w:tc>
          <w:tcPr>
            <w:tcW w:w="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63,652</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D1EDF5"/>
            </w:tcBorders>
          </w:tcPr>
          <w:p>
            <w:pPr>
              <w:spacing w:after="0"/>
              <w:rPr>
                <w:sz w:val="20"/>
                <w:szCs w:val="20"/>
                <w:color w:val="auto"/>
              </w:rPr>
            </w:pPr>
          </w:p>
        </w:tc>
        <w:tc>
          <w:tcPr>
            <w:tcW w:w="4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63,767</w:t>
            </w:r>
          </w:p>
        </w:tc>
        <w:tc>
          <w:tcPr>
            <w:tcW w:w="0" w:type="dxa"/>
            <w:vAlign w:val="bottom"/>
          </w:tcPr>
          <w:p>
            <w:pPr>
              <w:spacing w:after="0"/>
              <w:rPr>
                <w:sz w:val="1"/>
                <w:szCs w:val="1"/>
                <w:color w:val="auto"/>
              </w:rPr>
            </w:pPr>
          </w:p>
        </w:tc>
      </w:tr>
      <w:tr>
        <w:trPr>
          <w:trHeight w:val="230"/>
        </w:trPr>
        <w:tc>
          <w:tcPr>
            <w:tcW w:w="140" w:type="dxa"/>
            <w:vAlign w:val="bottom"/>
            <w:shd w:val="clear" w:color="auto" w:fill="D1EDF5"/>
          </w:tcPr>
          <w:p>
            <w:pPr>
              <w:spacing w:after="0"/>
              <w:rPr>
                <w:sz w:val="19"/>
                <w:szCs w:val="19"/>
                <w:color w:val="auto"/>
              </w:rPr>
            </w:pPr>
          </w:p>
        </w:tc>
        <w:tc>
          <w:tcPr>
            <w:tcW w:w="38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302,754</w:t>
            </w:r>
          </w:p>
        </w:tc>
        <w:tc>
          <w:tcPr>
            <w:tcW w:w="6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2,438</w:t>
            </w:r>
          </w:p>
        </w:tc>
        <w:tc>
          <w:tcPr>
            <w:tcW w:w="200" w:type="dxa"/>
            <w:vAlign w:val="bottom"/>
            <w:shd w:val="clear" w:color="auto" w:fill="D1EDF5"/>
          </w:tcPr>
          <w:p>
            <w:pPr>
              <w:spacing w:after="0"/>
              <w:rPr>
                <w:sz w:val="19"/>
                <w:szCs w:val="19"/>
                <w:color w:val="auto"/>
              </w:rPr>
            </w:pPr>
          </w:p>
        </w:tc>
        <w:tc>
          <w:tcPr>
            <w:tcW w:w="540" w:type="dxa"/>
            <w:vAlign w:val="bottom"/>
            <w:shd w:val="clear" w:color="auto" w:fill="D1EDF5"/>
          </w:tcPr>
          <w:p>
            <w:pPr>
              <w:spacing w:after="0"/>
              <w:rPr>
                <w:sz w:val="19"/>
                <w:szCs w:val="19"/>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305,192</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340" w:type="dxa"/>
            <w:vAlign w:val="bottom"/>
            <w:shd w:val="clear" w:color="auto" w:fill="D1EDF5"/>
          </w:tcPr>
          <w:p>
            <w:pPr>
              <w:spacing w:after="0"/>
              <w:rPr>
                <w:sz w:val="19"/>
                <w:szCs w:val="19"/>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307,692</w:t>
            </w:r>
          </w:p>
        </w:tc>
        <w:tc>
          <w:tcPr>
            <w:tcW w:w="0" w:type="dxa"/>
            <w:vAlign w:val="bottom"/>
          </w:tcPr>
          <w:p>
            <w:pPr>
              <w:spacing w:after="0"/>
              <w:rPr>
                <w:sz w:val="1"/>
                <w:szCs w:val="1"/>
                <w:color w:val="auto"/>
              </w:rPr>
            </w:pPr>
          </w:p>
        </w:tc>
      </w:tr>
      <w:tr>
        <w:trPr>
          <w:trHeight w:val="240"/>
        </w:trPr>
        <w:tc>
          <w:tcPr>
            <w:tcW w:w="402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38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Land and construction</w:t>
            </w: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83,305</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83,305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83,305</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Multi-family residential</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254,562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254,562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254,562</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38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Condo commercial</w:t>
            </w: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61,525</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61,525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61,525</w:t>
            </w: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Commercial property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845,003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845,443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845,443</w:t>
            </w:r>
          </w:p>
        </w:tc>
        <w:tc>
          <w:tcPr>
            <w:tcW w:w="0" w:type="dxa"/>
            <w:vAlign w:val="bottom"/>
          </w:tcPr>
          <w:p>
            <w:pPr>
              <w:spacing w:after="0"/>
              <w:rPr>
                <w:sz w:val="1"/>
                <w:szCs w:val="1"/>
                <w:color w:val="auto"/>
              </w:rPr>
            </w:pPr>
          </w:p>
        </w:tc>
      </w:tr>
      <w:tr>
        <w:trPr>
          <w:trHeight w:val="236"/>
        </w:trPr>
        <w:tc>
          <w:tcPr>
            <w:tcW w:w="140" w:type="dxa"/>
            <w:vAlign w:val="bottom"/>
            <w:shd w:val="clear" w:color="auto" w:fill="D1EDF5"/>
          </w:tcPr>
          <w:p>
            <w:pPr>
              <w:spacing w:after="0"/>
              <w:rPr>
                <w:sz w:val="20"/>
                <w:szCs w:val="20"/>
                <w:color w:val="auto"/>
              </w:rPr>
            </w:pPr>
          </w:p>
        </w:tc>
        <w:tc>
          <w:tcPr>
            <w:tcW w:w="38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D1EDF5"/>
          </w:tcPr>
          <w:p>
            <w:pPr>
              <w:spacing w:after="0"/>
              <w:rPr>
                <w:sz w:val="20"/>
                <w:szCs w:val="20"/>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EDF5"/>
          </w:tcPr>
          <w:p>
            <w:pPr>
              <w:spacing w:after="0"/>
              <w:rPr>
                <w:sz w:val="20"/>
                <w:szCs w:val="20"/>
                <w:color w:val="auto"/>
              </w:rPr>
            </w:pPr>
          </w:p>
        </w:tc>
        <w:tc>
          <w:tcPr>
            <w:tcW w:w="540" w:type="dxa"/>
            <w:vAlign w:val="bottom"/>
            <w:tcBorders>
              <w:bottom w:val="single" w:sz="8" w:color="auto"/>
            </w:tcBorders>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tcBorders>
              <w:bottom w:val="single" w:sz="8" w:color="auto"/>
            </w:tcBorders>
            <w:shd w:val="clear" w:color="auto" w:fill="D1EDF5"/>
          </w:tcPr>
          <w:p>
            <w:pPr>
              <w:spacing w:after="0"/>
              <w:rPr>
                <w:sz w:val="20"/>
                <w:szCs w:val="20"/>
                <w:color w:val="auto"/>
              </w:rPr>
            </w:pPr>
          </w:p>
        </w:tc>
        <w:tc>
          <w:tcPr>
            <w:tcW w:w="7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1,244,395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1,244,835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1,244,835</w:t>
            </w:r>
          </w:p>
        </w:tc>
        <w:tc>
          <w:tcPr>
            <w:tcW w:w="0" w:type="dxa"/>
            <w:vAlign w:val="bottom"/>
          </w:tcPr>
          <w:p>
            <w:pPr>
              <w:spacing w:after="0"/>
              <w:rPr>
                <w:sz w:val="1"/>
                <w:szCs w:val="1"/>
                <w:color w:val="auto"/>
              </w:rPr>
            </w:pPr>
          </w:p>
        </w:tc>
      </w:tr>
      <w:tr>
        <w:trPr>
          <w:trHeight w:val="240"/>
        </w:trPr>
        <w:tc>
          <w:tcPr>
            <w:tcW w:w="40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Secured</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272,900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272,971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273,609</w:t>
            </w:r>
          </w:p>
        </w:tc>
        <w:tc>
          <w:tcPr>
            <w:tcW w:w="0" w:type="dxa"/>
            <w:vAlign w:val="bottom"/>
          </w:tcPr>
          <w:p>
            <w:pPr>
              <w:spacing w:after="0"/>
              <w:rPr>
                <w:sz w:val="1"/>
                <w:szCs w:val="1"/>
                <w:color w:val="auto"/>
              </w:rPr>
            </w:pPr>
          </w:p>
        </w:tc>
      </w:tr>
      <w:tr>
        <w:trPr>
          <w:trHeight w:val="232"/>
        </w:trPr>
        <w:tc>
          <w:tcPr>
            <w:tcW w:w="140" w:type="dxa"/>
            <w:vAlign w:val="bottom"/>
            <w:tcBorders>
              <w:bottom w:val="single" w:sz="8" w:color="D1EDF5"/>
            </w:tcBorders>
            <w:shd w:val="clear" w:color="auto" w:fill="D1EDF5"/>
          </w:tcPr>
          <w:p>
            <w:pPr>
              <w:spacing w:after="0"/>
              <w:rPr>
                <w:sz w:val="20"/>
                <w:szCs w:val="20"/>
                <w:color w:val="auto"/>
              </w:rPr>
            </w:pPr>
          </w:p>
        </w:tc>
        <w:tc>
          <w:tcPr>
            <w:tcW w:w="38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Unsecured</w:t>
            </w:r>
          </w:p>
        </w:tc>
        <w:tc>
          <w:tcPr>
            <w:tcW w:w="180" w:type="dxa"/>
            <w:vAlign w:val="bottom"/>
            <w:tcBorders>
              <w:bottom w:val="single" w:sz="8" w:color="auto"/>
            </w:tcBorders>
            <w:shd w:val="clear" w:color="auto" w:fill="D1EDF5"/>
          </w:tcPr>
          <w:p>
            <w:pPr>
              <w:spacing w:after="0"/>
              <w:rPr>
                <w:sz w:val="20"/>
                <w:szCs w:val="20"/>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21,939</w:t>
            </w:r>
          </w:p>
        </w:tc>
        <w:tc>
          <w:tcPr>
            <w:tcW w:w="60" w:type="dxa"/>
            <w:vAlign w:val="bottom"/>
            <w:tcBorders>
              <w:bottom w:val="single" w:sz="8" w:color="D1EDF5"/>
            </w:tcBorders>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EDF5"/>
          </w:tcPr>
          <w:p>
            <w:pPr>
              <w:spacing w:after="0"/>
              <w:rPr>
                <w:sz w:val="20"/>
                <w:szCs w:val="20"/>
                <w:color w:val="auto"/>
              </w:rPr>
            </w:pPr>
          </w:p>
        </w:tc>
        <w:tc>
          <w:tcPr>
            <w:tcW w:w="540" w:type="dxa"/>
            <w:vAlign w:val="bottom"/>
            <w:tcBorders>
              <w:bottom w:val="single" w:sz="8" w:color="auto"/>
            </w:tcBorders>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21,939</w:t>
            </w:r>
          </w:p>
        </w:tc>
        <w:tc>
          <w:tcPr>
            <w:tcW w:w="60" w:type="dxa"/>
            <w:vAlign w:val="bottom"/>
            <w:tcBorders>
              <w:bottom w:val="single" w:sz="8" w:color="D1EDF5"/>
            </w:tcBorders>
            <w:shd w:val="clear" w:color="auto" w:fill="D1EDF5"/>
          </w:tcPr>
          <w:p>
            <w:pPr>
              <w:spacing w:after="0"/>
              <w:rPr>
                <w:sz w:val="20"/>
                <w:szCs w:val="20"/>
                <w:color w:val="auto"/>
              </w:rPr>
            </w:pPr>
          </w:p>
        </w:tc>
        <w:tc>
          <w:tcPr>
            <w:tcW w:w="20" w:type="dxa"/>
            <w:vAlign w:val="bottom"/>
            <w:tcBorders>
              <w:bottom w:val="single" w:sz="8" w:color="D1EDF5"/>
            </w:tcBorders>
            <w:shd w:val="clear" w:color="auto" w:fill="D1EDF5"/>
          </w:tcPr>
          <w:p>
            <w:pPr>
              <w:spacing w:after="0"/>
              <w:rPr>
                <w:sz w:val="20"/>
                <w:szCs w:val="20"/>
                <w:color w:val="auto"/>
              </w:rPr>
            </w:pPr>
          </w:p>
        </w:tc>
        <w:tc>
          <w:tcPr>
            <w:tcW w:w="340" w:type="dxa"/>
            <w:vAlign w:val="bottom"/>
            <w:tcBorders>
              <w:bottom w:val="single" w:sz="8" w:color="auto"/>
            </w:tcBorders>
            <w:shd w:val="clear" w:color="auto" w:fill="D1EDF5"/>
          </w:tcPr>
          <w:p>
            <w:pPr>
              <w:spacing w:after="0"/>
              <w:rPr>
                <w:sz w:val="20"/>
                <w:szCs w:val="20"/>
                <w:color w:val="auto"/>
              </w:rPr>
            </w:pPr>
          </w:p>
        </w:tc>
        <w:tc>
          <w:tcPr>
            <w:tcW w:w="7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0"/>
                <w:szCs w:val="20"/>
                <w:color w:val="auto"/>
              </w:rPr>
            </w:pPr>
          </w:p>
        </w:tc>
        <w:tc>
          <w:tcPr>
            <w:tcW w:w="40" w:type="dxa"/>
            <w:vAlign w:val="bottom"/>
            <w:tcBorders>
              <w:bottom w:val="single" w:sz="8" w:color="D1EDF5"/>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21,939</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294,839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294,910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295,548</w:t>
            </w: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3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7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20" w:type="dxa"/>
            <w:vAlign w:val="bottom"/>
            <w:gridSpan w:val="3"/>
          </w:tcPr>
          <w:p>
            <w:pPr>
              <w:spacing w:after="0"/>
              <w:rPr>
                <w:sz w:val="20"/>
                <w:szCs w:val="20"/>
                <w:color w:val="auto"/>
              </w:rPr>
            </w:pPr>
            <w:r>
              <w:rPr>
                <w:rFonts w:ascii="Arial" w:cs="Arial" w:eastAsia="Arial" w:hAnsi="Arial"/>
                <w:sz w:val="18"/>
                <w:szCs w:val="18"/>
                <w:color w:val="auto"/>
              </w:rPr>
              <w:t>Correspondent banks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127,968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127,968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127,968</w:t>
            </w:r>
          </w:p>
        </w:tc>
        <w:tc>
          <w:tcPr>
            <w:tcW w:w="0" w:type="dxa"/>
            <w:vAlign w:val="bottom"/>
          </w:tcPr>
          <w:p>
            <w:pPr>
              <w:spacing w:after="0"/>
              <w:rPr>
                <w:sz w:val="1"/>
                <w:szCs w:val="1"/>
                <w:color w:val="auto"/>
              </w:rPr>
            </w:pPr>
          </w:p>
        </w:tc>
      </w:tr>
      <w:tr>
        <w:trPr>
          <w:trHeight w:val="240"/>
        </w:trPr>
        <w:tc>
          <w:tcPr>
            <w:tcW w:w="402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180" w:type="dxa"/>
            <w:vAlign w:val="bottom"/>
            <w:shd w:val="clear" w:color="auto" w:fill="D1EDF5"/>
          </w:tcPr>
          <w:p>
            <w:pPr>
              <w:spacing w:after="0"/>
              <w:rPr>
                <w:sz w:val="20"/>
                <w:szCs w:val="20"/>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207,215</w:t>
            </w:r>
          </w:p>
        </w:tc>
        <w:tc>
          <w:tcPr>
            <w:tcW w:w="6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EDF5"/>
          </w:tcPr>
          <w:p>
            <w:pPr>
              <w:spacing w:after="0"/>
              <w:rPr>
                <w:sz w:val="20"/>
                <w:szCs w:val="20"/>
                <w:color w:val="auto"/>
              </w:rPr>
            </w:pPr>
          </w:p>
        </w:tc>
        <w:tc>
          <w:tcPr>
            <w:tcW w:w="54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0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207,215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7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207,215</w:t>
            </w:r>
          </w:p>
        </w:tc>
        <w:tc>
          <w:tcPr>
            <w:tcW w:w="0" w:type="dxa"/>
            <w:vAlign w:val="bottom"/>
          </w:tcPr>
          <w:p>
            <w:pPr>
              <w:spacing w:after="0"/>
              <w:rPr>
                <w:sz w:val="1"/>
                <w:szCs w:val="1"/>
                <w:color w:val="auto"/>
              </w:rPr>
            </w:pPr>
          </w:p>
        </w:tc>
      </w:tr>
      <w:tr>
        <w:trPr>
          <w:trHeight w:val="240"/>
        </w:trPr>
        <w:tc>
          <w:tcPr>
            <w:tcW w:w="140" w:type="dxa"/>
            <w:vAlign w:val="bottom"/>
            <w:tcBorders>
              <w:bottom w:val="single" w:sz="8" w:color="D1EDF5"/>
            </w:tcBorders>
          </w:tcPr>
          <w:p>
            <w:pPr>
              <w:spacing w:after="0"/>
              <w:rPr>
                <w:sz w:val="20"/>
                <w:szCs w:val="20"/>
                <w:color w:val="auto"/>
              </w:rPr>
            </w:pPr>
          </w:p>
        </w:tc>
        <w:tc>
          <w:tcPr>
            <w:tcW w:w="38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D1EDF5"/>
            </w:tcBorders>
          </w:tcPr>
          <w:p>
            <w:pPr>
              <w:spacing w:after="0"/>
              <w:rPr>
                <w:sz w:val="20"/>
                <w:szCs w:val="20"/>
                <w:color w:val="auto"/>
              </w:rPr>
            </w:pPr>
          </w:p>
        </w:tc>
        <w:tc>
          <w:tcPr>
            <w:tcW w:w="360" w:type="dxa"/>
            <w:vAlign w:val="bottom"/>
            <w:tcBorders>
              <w:bottom w:val="single" w:sz="8" w:color="D1EDF5"/>
            </w:tcBorders>
            <w:gridSpan w:val="2"/>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D1EDF5"/>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40" w:type="dxa"/>
            <w:vAlign w:val="bottom"/>
            <w:tcBorders>
              <w:bottom w:val="single" w:sz="8" w:color="D1EDF5"/>
            </w:tcBorders>
            <w:shd w:val="clear" w:color="auto" w:fill="D1EDF5"/>
          </w:tcPr>
          <w:p>
            <w:pPr>
              <w:spacing w:after="0"/>
              <w:rPr>
                <w:sz w:val="21"/>
                <w:szCs w:val="21"/>
                <w:color w:val="auto"/>
              </w:rPr>
            </w:pPr>
          </w:p>
        </w:tc>
        <w:tc>
          <w:tcPr>
            <w:tcW w:w="38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2,177,171</w:t>
            </w:r>
          </w:p>
        </w:tc>
        <w:tc>
          <w:tcPr>
            <w:tcW w:w="6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D1EDF5"/>
            </w:tcBorders>
            <w:shd w:val="clear" w:color="auto" w:fill="D1EDF5"/>
          </w:tcPr>
          <w:p>
            <w:pPr>
              <w:spacing w:after="0"/>
              <w:rPr>
                <w:sz w:val="21"/>
                <w:szCs w:val="21"/>
                <w:color w:val="auto"/>
              </w:rPr>
            </w:pPr>
          </w:p>
        </w:tc>
        <w:tc>
          <w:tcPr>
            <w:tcW w:w="2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2,180,120</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34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3,138</w:t>
            </w:r>
          </w:p>
        </w:tc>
        <w:tc>
          <w:tcPr>
            <w:tcW w:w="60" w:type="dxa"/>
            <w:vAlign w:val="bottom"/>
            <w:tcBorders>
              <w:bottom w:val="single" w:sz="8" w:color="D1EDF5"/>
            </w:tcBorders>
            <w:gridSpan w:val="2"/>
            <w:shd w:val="clear" w:color="auto" w:fill="D1EDF5"/>
          </w:tcPr>
          <w:p>
            <w:pPr>
              <w:spacing w:after="0"/>
              <w:rPr>
                <w:sz w:val="21"/>
                <w:szCs w:val="21"/>
                <w:color w:val="auto"/>
              </w:rPr>
            </w:pPr>
          </w:p>
        </w:tc>
        <w:tc>
          <w:tcPr>
            <w:tcW w:w="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2,183,258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tabs>
          <w:tab w:leader="none" w:pos="360" w:val="left"/>
          <w:tab w:leader="none" w:pos="200" w:val="left"/>
        </w:tabs>
        <w:rPr>
          <w:sz w:val="20"/>
          <w:szCs w:val="20"/>
          <w:color w:val="auto"/>
        </w:rPr>
      </w:pPr>
      <w:r>
        <w:rPr>
          <w:rFonts w:ascii="Arial" w:cs="Arial" w:eastAsia="Arial" w:hAnsi="Arial"/>
          <w:sz w:val="20"/>
          <w:szCs w:val="20"/>
          <w:color w:val="auto"/>
        </w:rPr>
        <w:t>100</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1120"/>
          </w:cols>
          <w:pgMar w:left="720" w:top="355" w:right="400" w:bottom="0" w:gutter="0" w:footer="0" w:header="0"/>
        </w:sectPr>
      </w:pPr>
    </w:p>
    <w:bookmarkStart w:id="100" w:name="page101"/>
    <w:bookmarkEnd w:id="100"/>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the Consolidated Financial Statements</w:t>
      </w:r>
    </w:p>
    <w:p>
      <w:pPr>
        <w:spacing w:after="0" w:line="34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Accruing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2505075</wp:posOffset>
                </wp:positionH>
                <wp:positionV relativeFrom="paragraph">
                  <wp:posOffset>15875</wp:posOffset>
                </wp:positionV>
                <wp:extent cx="29813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13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25pt,1.25pt" to="432pt,1.25pt" o:allowincell="f" strokecolor="#000000" strokeweight="0.4799pt"/>
            </w:pict>
          </mc:Fallback>
        </mc:AlternateContent>
      </w:r>
    </w:p>
    <w:p>
      <w:pPr>
        <w:sectPr>
          <w:pgSz w:w="12240" w:h="15840"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20320</wp:posOffset>
                </wp:positionV>
                <wp:extent cx="3285490" cy="15240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13" o:spid="_x0000_s1138" style="position:absolute;margin-left:0pt;margin-top:1.6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250507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D1EDF5"/>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197.25pt,1.35pt" o:allowincell="f" strokecolor="#D1EDF5" strokeweight="0.4799pt"/>
            </w:pict>
          </mc:Fallback>
        </mc:AlternateConten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Residential real estate: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-130175</wp:posOffset>
                </wp:positionV>
                <wp:extent cx="2453640" cy="13017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3640" cy="130175"/>
                        </a:xfrm>
                        <a:prstGeom prst="rect">
                          <a:avLst/>
                        </a:prstGeom>
                        <a:solidFill>
                          <a:srgbClr val="D1EDF5"/>
                        </a:solidFill>
                      </wps:spPr>
                      <wps:bodyPr/>
                    </wps:wsp>
                  </a:graphicData>
                </a:graphic>
              </wp:anchor>
            </w:drawing>
          </mc:Choice>
          <mc:Fallback>
            <w:pict>
              <v:rect id="Shape 115" o:spid="_x0000_s1140" style="position:absolute;margin-left:2pt;margin-top:-10.2499pt;width:193.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ind w:left="180" w:right="200"/>
        <w:spacing w:after="0" w:line="297" w:lineRule="auto"/>
        <w:rPr>
          <w:sz w:val="20"/>
          <w:szCs w:val="20"/>
          <w:color w:val="auto"/>
        </w:rPr>
      </w:pPr>
      <w:r>
        <w:rPr>
          <w:rFonts w:ascii="Arial" w:cs="Arial" w:eastAsia="Arial" w:hAnsi="Arial"/>
          <w:sz w:val="18"/>
          <w:szCs w:val="18"/>
          <w:color w:val="auto"/>
        </w:rPr>
        <w:t>Home equity line of credit and other 1-4 family residential Condo residential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-336550</wp:posOffset>
                </wp:positionV>
                <wp:extent cx="3285490" cy="15240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16" o:spid="_x0000_s1141" style="position:absolute;margin-left:0pt;margin-top:-26.4999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111125</wp:posOffset>
                </wp:positionH>
                <wp:positionV relativeFrom="paragraph">
                  <wp:posOffset>-326390</wp:posOffset>
                </wp:positionV>
                <wp:extent cx="2367915" cy="13081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810"/>
                        </a:xfrm>
                        <a:prstGeom prst="rect">
                          <a:avLst/>
                        </a:prstGeom>
                        <a:solidFill>
                          <a:srgbClr val="D1EDF5"/>
                        </a:solidFill>
                      </wps:spPr>
                      <wps:bodyPr/>
                    </wps:wsp>
                  </a:graphicData>
                </a:graphic>
              </wp:anchor>
            </w:drawing>
          </mc:Choice>
          <mc:Fallback>
            <w:pict>
              <v:rect id="Shape 117" o:spid="_x0000_s1142" style="position:absolute;margin-left:8.75pt;margin-top:-25.6999pt;width:186.4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3285490" cy="15176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1765"/>
                        </a:xfrm>
                        <a:prstGeom prst="rect">
                          <a:avLst/>
                        </a:prstGeom>
                        <a:solidFill>
                          <a:srgbClr val="D1EDF5"/>
                        </a:solidFill>
                      </wps:spPr>
                      <wps:bodyPr/>
                    </wps:wsp>
                  </a:graphicData>
                </a:graphic>
              </wp:anchor>
            </w:drawing>
          </mc:Choice>
          <mc:Fallback>
            <w:pict>
              <v:rect id="Shape 118" o:spid="_x0000_s1143" style="position:absolute;margin-left:0pt;margin-top:-2.0499pt;width:258.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2505075" cy="15811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158115"/>
                        </a:xfrm>
                        <a:prstGeom prst="rect">
                          <a:avLst/>
                        </a:prstGeom>
                        <a:solidFill>
                          <a:srgbClr val="D1EDF5"/>
                        </a:solidFill>
                      </wps:spPr>
                      <wps:bodyPr/>
                    </wps:wsp>
                  </a:graphicData>
                </a:graphic>
              </wp:anchor>
            </w:drawing>
          </mc:Choice>
          <mc:Fallback>
            <w:pict>
              <v:rect id="Shape 119" o:spid="_x0000_s1144" style="position:absolute;margin-left:0pt;margin-top:-2.5499pt;width:197.2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 real estate: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3285490" cy="15240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20" o:spid="_x0000_s1145" style="position:absolute;margin-left:0pt;margin-top:1.7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Land and construction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017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175"/>
                        </a:xfrm>
                        <a:prstGeom prst="rect">
                          <a:avLst/>
                        </a:prstGeom>
                        <a:solidFill>
                          <a:srgbClr val="D1EDF5"/>
                        </a:solidFill>
                      </wps:spPr>
                      <wps:bodyPr/>
                    </wps:wsp>
                  </a:graphicData>
                </a:graphic>
              </wp:anchor>
            </w:drawing>
          </mc:Choice>
          <mc:Fallback>
            <w:pict>
              <v:rect id="Shape 121" o:spid="_x0000_s1146" style="position:absolute;margin-left:8.75pt;margin-top:-9.5999pt;width:186.4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Multi-family residential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3285490" cy="1524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22" o:spid="_x0000_s1147" style="position:absolute;margin-left:0pt;margin-top:1.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Condo commercial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017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175"/>
                        </a:xfrm>
                        <a:prstGeom prst="rect">
                          <a:avLst/>
                        </a:prstGeom>
                        <a:solidFill>
                          <a:srgbClr val="D1EDF5"/>
                        </a:solidFill>
                      </wps:spPr>
                      <wps:bodyPr/>
                    </wps:wsp>
                  </a:graphicData>
                </a:graphic>
              </wp:anchor>
            </w:drawing>
          </mc:Choice>
          <mc:Fallback>
            <w:pict>
              <v:rect id="Shape 123" o:spid="_x0000_s1148" style="position:absolute;margin-left:8.75pt;margin-top:-9.5999pt;width:186.4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Commercial property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3285490" cy="1524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24" o:spid="_x0000_s1149" style="position:absolute;margin-left:0pt;margin-top:1.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017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175"/>
                        </a:xfrm>
                        <a:prstGeom prst="rect">
                          <a:avLst/>
                        </a:prstGeom>
                        <a:solidFill>
                          <a:srgbClr val="D1EDF5"/>
                        </a:solidFill>
                      </wps:spPr>
                      <wps:bodyPr/>
                    </wps:wsp>
                  </a:graphicData>
                </a:graphic>
              </wp:anchor>
            </w:drawing>
          </mc:Choice>
          <mc:Fallback>
            <w:pict>
              <v:rect id="Shape 125" o:spid="_x0000_s1150" style="position:absolute;margin-left:8.75pt;margin-top:-9.5999pt;width:186.4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3285490" cy="15176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1765"/>
                        </a:xfrm>
                        <a:prstGeom prst="rect">
                          <a:avLst/>
                        </a:prstGeom>
                        <a:solidFill>
                          <a:srgbClr val="D1EDF5"/>
                        </a:solidFill>
                      </wps:spPr>
                      <wps:bodyPr/>
                    </wps:wsp>
                  </a:graphicData>
                </a:graphic>
              </wp:anchor>
            </w:drawing>
          </mc:Choice>
          <mc:Fallback>
            <w:pict>
              <v:rect id="Shape 126" o:spid="_x0000_s1151" style="position:absolute;margin-left:0pt;margin-top:-10.1999pt;width:258.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25400</wp:posOffset>
                </wp:positionH>
                <wp:positionV relativeFrom="paragraph">
                  <wp:posOffset>-119380</wp:posOffset>
                </wp:positionV>
                <wp:extent cx="2453640" cy="13081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3640" cy="130810"/>
                        </a:xfrm>
                        <a:prstGeom prst="rect">
                          <a:avLst/>
                        </a:prstGeom>
                        <a:solidFill>
                          <a:srgbClr val="D1EDF5"/>
                        </a:solidFill>
                      </wps:spPr>
                      <wps:bodyPr/>
                    </wps:wsp>
                  </a:graphicData>
                </a:graphic>
              </wp:anchor>
            </w:drawing>
          </mc:Choice>
          <mc:Fallback>
            <w:pict>
              <v:rect id="Shape 127" o:spid="_x0000_s1152" style="position:absolute;margin-left:2pt;margin-top:-9.3999pt;width:193.2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3285490" cy="1524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28" o:spid="_x0000_s1153" style="position:absolute;margin-left:0pt;margin-top:1.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Unsecured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-121920</wp:posOffset>
                </wp:positionV>
                <wp:extent cx="2367915" cy="13017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175"/>
                        </a:xfrm>
                        <a:prstGeom prst="rect">
                          <a:avLst/>
                        </a:prstGeom>
                        <a:solidFill>
                          <a:srgbClr val="D1EDF5"/>
                        </a:solidFill>
                      </wps:spPr>
                      <wps:bodyPr/>
                    </wps:wsp>
                  </a:graphicData>
                </a:graphic>
              </wp:anchor>
            </w:drawing>
          </mc:Choice>
          <mc:Fallback>
            <w:pict>
              <v:rect id="Shape 129" o:spid="_x0000_s1154" style="position:absolute;margin-left:8.75pt;margin-top:-9.5999pt;width:186.4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3285490" cy="15240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30" o:spid="_x0000_s1155" style="position:absolute;margin-left:0pt;margin-top:13.9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Correspondent banks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3285490" cy="1524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52400"/>
                        </a:xfrm>
                        <a:prstGeom prst="rect">
                          <a:avLst/>
                        </a:prstGeom>
                        <a:solidFill>
                          <a:srgbClr val="D1EDF5"/>
                        </a:solidFill>
                      </wps:spPr>
                      <wps:bodyPr/>
                    </wps:wsp>
                  </a:graphicData>
                </a:graphic>
              </wp:anchor>
            </w:drawing>
          </mc:Choice>
          <mc:Fallback>
            <w:pict>
              <v:rect id="Shape 131" o:spid="_x0000_s1156" style="position:absolute;margin-left:0pt;margin-top:1.75pt;width:258.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Consumer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-121920</wp:posOffset>
                </wp:positionV>
                <wp:extent cx="2453640" cy="13017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3640" cy="130175"/>
                        </a:xfrm>
                        <a:prstGeom prst="rect">
                          <a:avLst/>
                        </a:prstGeom>
                        <a:solidFill>
                          <a:srgbClr val="D1EDF5"/>
                        </a:solidFill>
                      </wps:spPr>
                      <wps:bodyPr/>
                    </wps:wsp>
                  </a:graphicData>
                </a:graphic>
              </wp:anchor>
            </w:drawing>
          </mc:Choice>
          <mc:Fallback>
            <w:pict>
              <v:rect id="Shape 132" o:spid="_x0000_s1157" style="position:absolute;margin-left:2pt;margin-top:-9.5999pt;width:193.2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179070</wp:posOffset>
                </wp:positionV>
                <wp:extent cx="3285490" cy="16192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5490" cy="161925"/>
                        </a:xfrm>
                        <a:prstGeom prst="rect">
                          <a:avLst/>
                        </a:prstGeom>
                        <a:solidFill>
                          <a:srgbClr val="D1EDF5"/>
                        </a:solidFill>
                      </wps:spPr>
                      <wps:bodyPr/>
                    </wps:wsp>
                  </a:graphicData>
                </a:graphic>
              </wp:anchor>
            </w:drawing>
          </mc:Choice>
          <mc:Fallback>
            <w:pict>
              <v:rect id="Shape 133" o:spid="_x0000_s1158" style="position:absolute;margin-left:0pt;margin-top:14.1pt;width:258.7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174625</wp:posOffset>
                </wp:positionV>
                <wp:extent cx="25050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5075" cy="4763"/>
                        </a:xfrm>
                        <a:prstGeom prst="line">
                          <a:avLst/>
                        </a:prstGeom>
                        <a:solidFill>
                          <a:srgbClr val="FFFFFF"/>
                        </a:solidFill>
                        <a:ln w="6095">
                          <a:solidFill>
                            <a:srgbClr val="D1EDF5"/>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5pt" to="197.25pt,13.75pt" o:allowincell="f" strokecolor="#D1EDF5" strokeweight="0.4799pt"/>
            </w:pict>
          </mc:Fallback>
        </mc:AlternateConten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111125</wp:posOffset>
                </wp:positionH>
                <wp:positionV relativeFrom="paragraph">
                  <wp:posOffset>-119380</wp:posOffset>
                </wp:positionV>
                <wp:extent cx="2367915" cy="13081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7915" cy="130810"/>
                        </a:xfrm>
                        <a:prstGeom prst="rect">
                          <a:avLst/>
                        </a:prstGeom>
                        <a:solidFill>
                          <a:srgbClr val="D1EDF5"/>
                        </a:solidFill>
                      </wps:spPr>
                      <wps:bodyPr/>
                    </wps:wsp>
                  </a:graphicData>
                </a:graphic>
              </wp:anchor>
            </w:drawing>
          </mc:Choice>
          <mc:Fallback>
            <w:pict>
              <v:rect id="Shape 135" o:spid="_x0000_s1160" style="position:absolute;margin-left:8.75pt;margin-top:-9.3999pt;width:186.4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Past Due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90 Days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rPr>
              <w:t>Past Due</w:t>
            </w:r>
          </w:p>
        </w:tc>
        <w:tc>
          <w:tcPr>
            <w:tcW w:w="1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8"/>
              </w:rPr>
              <w:t>or more</w:t>
            </w:r>
          </w:p>
        </w:tc>
        <w:tc>
          <w:tcPr>
            <w:tcW w:w="180" w:type="dxa"/>
            <w:vAlign w:val="bottom"/>
          </w:tcPr>
          <w:p>
            <w:pPr>
              <w:spacing w:after="0"/>
              <w:rPr>
                <w:sz w:val="17"/>
                <w:szCs w:val="17"/>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9"/>
              </w:rPr>
              <w:t>and Still</w:t>
            </w: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30-89 Days</w:t>
            </w:r>
          </w:p>
        </w:tc>
        <w:tc>
          <w:tcPr>
            <w:tcW w:w="10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9"/>
              </w:rPr>
              <w:t>Accruing</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Accruing</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3"/>
          </w:tcPr>
          <w:p>
            <w:pPr>
              <w:ind w:left="60"/>
              <w:spacing w:after="0"/>
              <w:rPr>
                <w:sz w:val="20"/>
                <w:szCs w:val="20"/>
                <w:color w:val="auto"/>
              </w:rPr>
            </w:pPr>
            <w:r>
              <w:rPr>
                <w:rFonts w:ascii="Arial" w:cs="Arial" w:eastAsia="Arial" w:hAnsi="Arial"/>
                <w:sz w:val="18"/>
                <w:szCs w:val="18"/>
                <w:b w:val="1"/>
                <w:bCs w:val="1"/>
                <w:color w:val="auto"/>
              </w:rPr>
              <w:t>Accrual</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Total Loans</w:t>
            </w:r>
          </w:p>
        </w:tc>
        <w:tc>
          <w:tcPr>
            <w:tcW w:w="0" w:type="dxa"/>
            <w:vAlign w:val="bottom"/>
          </w:tcPr>
          <w:p>
            <w:pPr>
              <w:spacing w:after="0"/>
              <w:rPr>
                <w:sz w:val="1"/>
                <w:szCs w:val="1"/>
                <w:color w:val="auto"/>
              </w:rPr>
            </w:pPr>
          </w:p>
        </w:tc>
      </w:tr>
      <w:tr>
        <w:trPr>
          <w:trHeight w:val="206"/>
        </w:trPr>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shd w:val="clear" w:color="auto" w:fill="D1EDF5"/>
          </w:tcPr>
          <w:p>
            <w:pPr>
              <w:spacing w:after="0"/>
              <w:rPr>
                <w:sz w:val="17"/>
                <w:szCs w:val="17"/>
                <w:color w:val="auto"/>
              </w:rPr>
            </w:pPr>
          </w:p>
        </w:tc>
        <w:tc>
          <w:tcPr>
            <w:tcW w:w="920" w:type="dxa"/>
            <w:vAlign w:val="bottom"/>
            <w:tcBorders>
              <w:top w:val="single" w:sz="8" w:color="auto"/>
            </w:tcBorders>
            <w:shd w:val="clear" w:color="auto" w:fill="D1EDF5"/>
          </w:tcPr>
          <w:p>
            <w:pPr>
              <w:spacing w:after="0"/>
              <w:rPr>
                <w:sz w:val="17"/>
                <w:szCs w:val="17"/>
                <w:color w:val="auto"/>
              </w:rPr>
            </w:pPr>
          </w:p>
        </w:tc>
        <w:tc>
          <w:tcPr>
            <w:tcW w:w="180" w:type="dxa"/>
            <w:vAlign w:val="bottom"/>
            <w:tcBorders>
              <w:top w:val="single" w:sz="8" w:color="auto"/>
              <w:right w:val="single" w:sz="8" w:color="D1EDF5"/>
            </w:tcBorders>
            <w:shd w:val="clear" w:color="auto" w:fill="D1EDF5"/>
          </w:tcPr>
          <w:p>
            <w:pPr>
              <w:spacing w:after="0"/>
              <w:rPr>
                <w:sz w:val="17"/>
                <w:szCs w:val="17"/>
                <w:color w:val="auto"/>
              </w:rPr>
            </w:pPr>
          </w:p>
        </w:tc>
        <w:tc>
          <w:tcPr>
            <w:tcW w:w="140" w:type="dxa"/>
            <w:vAlign w:val="bottom"/>
            <w:tcBorders>
              <w:top w:val="single" w:sz="8" w:color="auto"/>
            </w:tcBorders>
            <w:shd w:val="clear" w:color="auto" w:fill="D1EDF5"/>
          </w:tcPr>
          <w:p>
            <w:pPr>
              <w:spacing w:after="0"/>
              <w:rPr>
                <w:sz w:val="17"/>
                <w:szCs w:val="17"/>
                <w:color w:val="auto"/>
              </w:rPr>
            </w:pPr>
          </w:p>
        </w:tc>
        <w:tc>
          <w:tcPr>
            <w:tcW w:w="840" w:type="dxa"/>
            <w:vAlign w:val="bottom"/>
            <w:tcBorders>
              <w:top w:val="single" w:sz="8" w:color="auto"/>
            </w:tcBorders>
            <w:shd w:val="clear" w:color="auto" w:fill="D1EDF5"/>
          </w:tcPr>
          <w:p>
            <w:pPr>
              <w:spacing w:after="0"/>
              <w:rPr>
                <w:sz w:val="17"/>
                <w:szCs w:val="17"/>
                <w:color w:val="auto"/>
              </w:rPr>
            </w:pPr>
          </w:p>
        </w:tc>
        <w:tc>
          <w:tcPr>
            <w:tcW w:w="100" w:type="dxa"/>
            <w:vAlign w:val="bottom"/>
            <w:tcBorders>
              <w:top w:val="single" w:sz="8" w:color="auto"/>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shd w:val="clear" w:color="auto" w:fill="D1EDF5"/>
          </w:tcPr>
          <w:p>
            <w:pPr>
              <w:spacing w:after="0"/>
              <w:rPr>
                <w:sz w:val="17"/>
                <w:szCs w:val="17"/>
                <w:color w:val="auto"/>
              </w:rPr>
            </w:pPr>
          </w:p>
        </w:tc>
        <w:tc>
          <w:tcPr>
            <w:tcW w:w="660" w:type="dxa"/>
            <w:vAlign w:val="bottom"/>
            <w:tcBorders>
              <w:top w:val="single" w:sz="8" w:color="auto"/>
            </w:tcBorders>
            <w:shd w:val="clear" w:color="auto" w:fill="D1EDF5"/>
          </w:tcPr>
          <w:p>
            <w:pPr>
              <w:spacing w:after="0"/>
              <w:rPr>
                <w:sz w:val="17"/>
                <w:szCs w:val="17"/>
                <w:color w:val="auto"/>
              </w:rPr>
            </w:pPr>
          </w:p>
        </w:tc>
        <w:tc>
          <w:tcPr>
            <w:tcW w:w="100" w:type="dxa"/>
            <w:vAlign w:val="bottom"/>
            <w:tcBorders>
              <w:top w:val="single" w:sz="8" w:color="auto"/>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auto"/>
            </w:tcBorders>
            <w:shd w:val="clear" w:color="auto" w:fill="D1EDF5"/>
          </w:tcPr>
          <w:p>
            <w:pPr>
              <w:spacing w:after="0"/>
              <w:rPr>
                <w:sz w:val="17"/>
                <w:szCs w:val="17"/>
                <w:color w:val="auto"/>
              </w:rPr>
            </w:pPr>
          </w:p>
        </w:tc>
        <w:tc>
          <w:tcPr>
            <w:tcW w:w="940" w:type="dxa"/>
            <w:vAlign w:val="bottom"/>
            <w:tcBorders>
              <w:top w:val="single" w:sz="8" w:color="auto"/>
            </w:tcBorders>
            <w:shd w:val="clear" w:color="auto" w:fill="D1EDF5"/>
          </w:tcPr>
          <w:p>
            <w:pPr>
              <w:spacing w:after="0"/>
              <w:rPr>
                <w:sz w:val="17"/>
                <w:szCs w:val="17"/>
                <w:color w:val="auto"/>
              </w:rPr>
            </w:pPr>
          </w:p>
        </w:tc>
        <w:tc>
          <w:tcPr>
            <w:tcW w:w="100" w:type="dxa"/>
            <w:vAlign w:val="bottom"/>
            <w:tcBorders>
              <w:top w:val="single" w:sz="8" w:color="auto"/>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auto"/>
            </w:tcBorders>
            <w:shd w:val="clear" w:color="auto" w:fill="D1EDF5"/>
          </w:tcPr>
          <w:p>
            <w:pPr>
              <w:spacing w:after="0"/>
              <w:rPr>
                <w:sz w:val="17"/>
                <w:szCs w:val="17"/>
                <w:color w:val="auto"/>
              </w:rPr>
            </w:pPr>
          </w:p>
        </w:tc>
        <w:tc>
          <w:tcPr>
            <w:tcW w:w="500" w:type="dxa"/>
            <w:vAlign w:val="bottom"/>
            <w:tcBorders>
              <w:top w:val="single" w:sz="8" w:color="auto"/>
            </w:tcBorders>
            <w:shd w:val="clear" w:color="auto" w:fill="D1EDF5"/>
          </w:tcPr>
          <w:p>
            <w:pPr>
              <w:spacing w:after="0"/>
              <w:rPr>
                <w:sz w:val="17"/>
                <w:szCs w:val="17"/>
                <w:color w:val="auto"/>
              </w:rPr>
            </w:pPr>
          </w:p>
        </w:tc>
        <w:tc>
          <w:tcPr>
            <w:tcW w:w="100" w:type="dxa"/>
            <w:vAlign w:val="bottom"/>
            <w:tcBorders>
              <w:top w:val="single" w:sz="8" w:color="auto"/>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auto"/>
            </w:tcBorders>
            <w:shd w:val="clear" w:color="auto" w:fill="D1EDF5"/>
          </w:tcPr>
          <w:p>
            <w:pPr>
              <w:spacing w:after="0"/>
              <w:rPr>
                <w:sz w:val="17"/>
                <w:szCs w:val="17"/>
                <w:color w:val="auto"/>
              </w:rPr>
            </w:pPr>
          </w:p>
        </w:tc>
        <w:tc>
          <w:tcPr>
            <w:tcW w:w="940" w:type="dxa"/>
            <w:vAlign w:val="bottom"/>
            <w:tcBorders>
              <w:top w:val="single" w:sz="8" w:color="auto"/>
            </w:tcBorders>
            <w:shd w:val="clear" w:color="auto" w:fill="D1EDF5"/>
          </w:tcPr>
          <w:p>
            <w:pPr>
              <w:spacing w:after="0"/>
              <w:rPr>
                <w:sz w:val="17"/>
                <w:szCs w:val="17"/>
                <w:color w:val="auto"/>
              </w:rPr>
            </w:pPr>
          </w:p>
        </w:tc>
        <w:tc>
          <w:tcPr>
            <w:tcW w:w="100" w:type="dxa"/>
            <w:vAlign w:val="bottom"/>
            <w:tcBorders>
              <w:top w:val="single" w:sz="8" w:color="auto"/>
            </w:tcBorders>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22"/>
                <w:szCs w:val="22"/>
                <w:color w:val="auto"/>
              </w:rPr>
            </w:pPr>
          </w:p>
        </w:tc>
        <w:tc>
          <w:tcPr>
            <w:tcW w:w="14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1,120</w:t>
            </w:r>
          </w:p>
        </w:tc>
        <w:tc>
          <w:tcPr>
            <w:tcW w:w="260" w:type="dxa"/>
            <w:vAlign w:val="bottom"/>
            <w:tcBorders>
              <w:bottom w:val="single" w:sz="8" w:color="D1EDF5"/>
            </w:tcBorders>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260" w:type="dxa"/>
            <w:vAlign w:val="bottom"/>
            <w:tcBorders>
              <w:bottom w:val="single" w:sz="8" w:color="D1EDF5"/>
            </w:tcBorders>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225,334</w:t>
            </w:r>
          </w:p>
        </w:tc>
        <w:tc>
          <w:tcPr>
            <w:tcW w:w="180" w:type="dxa"/>
            <w:vAlign w:val="bottom"/>
            <w:tcBorders>
              <w:right w:val="single" w:sz="8" w:color="D1EDF5"/>
            </w:tcBorders>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228,220</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228,220</w:t>
            </w:r>
          </w:p>
        </w:tc>
        <w:tc>
          <w:tcPr>
            <w:tcW w:w="10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58,956</w:t>
            </w: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1,351</w:t>
            </w: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60,307</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314</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60,621</w:t>
            </w:r>
          </w:p>
        </w:tc>
        <w:tc>
          <w:tcPr>
            <w:tcW w:w="0" w:type="dxa"/>
            <w:vAlign w:val="bottom"/>
          </w:tcPr>
          <w:p>
            <w:pPr>
              <w:spacing w:after="0"/>
              <w:rPr>
                <w:sz w:val="1"/>
                <w:szCs w:val="1"/>
                <w:color w:val="auto"/>
              </w:rPr>
            </w:pPr>
          </w:p>
        </w:tc>
      </w:tr>
      <w:tr>
        <w:trPr>
          <w:trHeight w:val="206"/>
        </w:trPr>
        <w:tc>
          <w:tcPr>
            <w:tcW w:w="4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285,410</w:t>
            </w:r>
          </w:p>
        </w:tc>
        <w:tc>
          <w:tcPr>
            <w:tcW w:w="180" w:type="dxa"/>
            <w:vAlign w:val="bottom"/>
            <w:tcBorders>
              <w:right w:val="single" w:sz="8" w:color="D1EDF5"/>
            </w:tcBorders>
          </w:tcPr>
          <w:p>
            <w:pPr>
              <w:spacing w:after="0"/>
              <w:rPr>
                <w:sz w:val="17"/>
                <w:szCs w:val="17"/>
                <w:color w:val="auto"/>
              </w:rPr>
            </w:pPr>
          </w:p>
        </w:tc>
        <w:tc>
          <w:tcPr>
            <w:tcW w:w="140" w:type="dxa"/>
            <w:vAlign w:val="bottom"/>
            <w:tcBorders>
              <w:top w:val="single" w:sz="8" w:color="D1EDF5"/>
            </w:tcBorders>
            <w:shd w:val="clear" w:color="auto" w:fill="D1EDF5"/>
          </w:tcPr>
          <w:p>
            <w:pPr>
              <w:spacing w:after="0"/>
              <w:rPr>
                <w:sz w:val="17"/>
                <w:szCs w:val="17"/>
                <w:color w:val="auto"/>
              </w:rPr>
            </w:pPr>
          </w:p>
        </w:tc>
        <w:tc>
          <w:tcPr>
            <w:tcW w:w="84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Borders>
              <w:top w:val="single" w:sz="8" w:color="D1EDF5"/>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shd w:val="clear" w:color="auto" w:fill="D1EDF5"/>
          </w:tcPr>
          <w:p>
            <w:pPr>
              <w:spacing w:after="0"/>
              <w:rPr>
                <w:sz w:val="17"/>
                <w:szCs w:val="17"/>
                <w:color w:val="auto"/>
              </w:rPr>
            </w:pPr>
          </w:p>
        </w:tc>
        <w:tc>
          <w:tcPr>
            <w:tcW w:w="6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1EDF5"/>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shd w:val="clear" w:color="auto" w:fill="D1EDF5"/>
          </w:tcPr>
          <w:p>
            <w:pPr>
              <w:spacing w:after="0"/>
              <w:rPr>
                <w:sz w:val="17"/>
                <w:szCs w:val="17"/>
                <w:color w:val="auto"/>
              </w:rPr>
            </w:pPr>
          </w:p>
        </w:tc>
        <w:tc>
          <w:tcPr>
            <w:tcW w:w="94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289,647</w:t>
            </w:r>
          </w:p>
        </w:tc>
        <w:tc>
          <w:tcPr>
            <w:tcW w:w="100" w:type="dxa"/>
            <w:vAlign w:val="bottom"/>
            <w:tcBorders>
              <w:top w:val="single" w:sz="8" w:color="D1EDF5"/>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shd w:val="clear" w:color="auto" w:fill="D1EDF5"/>
          </w:tcPr>
          <w:p>
            <w:pPr>
              <w:spacing w:after="0"/>
              <w:rPr>
                <w:sz w:val="17"/>
                <w:szCs w:val="17"/>
                <w:color w:val="auto"/>
              </w:rPr>
            </w:pPr>
          </w:p>
        </w:tc>
        <w:tc>
          <w:tcPr>
            <w:tcW w:w="50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D1EDF5"/>
            </w:tcBorders>
            <w:shd w:val="clear" w:color="auto" w:fill="D1EDF5"/>
          </w:tcPr>
          <w:p>
            <w:pPr>
              <w:spacing w:after="0"/>
              <w:rPr>
                <w:sz w:val="17"/>
                <w:szCs w:val="17"/>
                <w:color w:val="auto"/>
              </w:rPr>
            </w:pPr>
          </w:p>
        </w:tc>
        <w:tc>
          <w:tcPr>
            <w:tcW w:w="60" w:type="dxa"/>
            <w:vAlign w:val="bottom"/>
            <w:tcBorders>
              <w:top w:val="single" w:sz="8" w:color="D1EDF5"/>
            </w:tcBorders>
            <w:shd w:val="clear" w:color="auto" w:fill="D1EDF5"/>
          </w:tcPr>
          <w:p>
            <w:pPr>
              <w:spacing w:after="0"/>
              <w:rPr>
                <w:sz w:val="17"/>
                <w:szCs w:val="17"/>
                <w:color w:val="auto"/>
              </w:rPr>
            </w:pPr>
          </w:p>
        </w:tc>
        <w:tc>
          <w:tcPr>
            <w:tcW w:w="2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shd w:val="clear" w:color="auto" w:fill="D1EDF5"/>
          </w:tcPr>
          <w:p>
            <w:pPr>
              <w:spacing w:after="0"/>
              <w:rPr>
                <w:sz w:val="17"/>
                <w:szCs w:val="17"/>
                <w:color w:val="auto"/>
              </w:rPr>
            </w:pPr>
          </w:p>
        </w:tc>
        <w:tc>
          <w:tcPr>
            <w:tcW w:w="94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289,961</w:t>
            </w:r>
          </w:p>
        </w:tc>
        <w:tc>
          <w:tcPr>
            <w:tcW w:w="100" w:type="dxa"/>
            <w:vAlign w:val="bottom"/>
            <w:tcBorders>
              <w:top w:val="single" w:sz="8" w:color="D1EDF5"/>
            </w:tcBorders>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D1EDF5"/>
            </w:tcBorders>
          </w:tcPr>
          <w:p>
            <w:pPr>
              <w:spacing w:after="0"/>
              <w:rPr>
                <w:sz w:val="22"/>
                <w:szCs w:val="22"/>
                <w:color w:val="auto"/>
              </w:rPr>
            </w:pPr>
          </w:p>
        </w:tc>
        <w:tc>
          <w:tcPr>
            <w:tcW w:w="840" w:type="dxa"/>
            <w:vAlign w:val="bottom"/>
            <w:tcBorders>
              <w:bottom w:val="single" w:sz="8" w:color="D1EDF5"/>
            </w:tcBorders>
          </w:tcPr>
          <w:p>
            <w:pPr>
              <w:spacing w:after="0"/>
              <w:rPr>
                <w:sz w:val="22"/>
                <w:szCs w:val="22"/>
                <w:color w:val="auto"/>
              </w:rPr>
            </w:pP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660" w:type="dxa"/>
            <w:vAlign w:val="bottom"/>
            <w:tcBorders>
              <w:bottom w:val="single" w:sz="8" w:color="D1EDF5"/>
            </w:tcBorders>
          </w:tcPr>
          <w:p>
            <w:pPr>
              <w:spacing w:after="0"/>
              <w:rPr>
                <w:sz w:val="22"/>
                <w:szCs w:val="22"/>
                <w:color w:val="auto"/>
              </w:rPr>
            </w:pP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500" w:type="dxa"/>
            <w:vAlign w:val="bottom"/>
            <w:tcBorders>
              <w:bottom w:val="single" w:sz="8" w:color="D1EDF5"/>
            </w:tcBorders>
          </w:tcPr>
          <w:p>
            <w:pPr>
              <w:spacing w:after="0"/>
              <w:rPr>
                <w:sz w:val="22"/>
                <w:szCs w:val="22"/>
                <w:color w:val="auto"/>
              </w:rPr>
            </w:pP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40,090</w:t>
            </w:r>
          </w:p>
        </w:tc>
        <w:tc>
          <w:tcPr>
            <w:tcW w:w="180" w:type="dxa"/>
            <w:vAlign w:val="bottom"/>
            <w:tcBorders>
              <w:right w:val="single" w:sz="8" w:color="D1EDF5"/>
            </w:tcBorders>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40,090</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40,090</w:t>
            </w:r>
          </w:p>
        </w:tc>
        <w:tc>
          <w:tcPr>
            <w:tcW w:w="10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214,912</w:t>
            </w:r>
          </w:p>
        </w:tc>
        <w:tc>
          <w:tcPr>
            <w:tcW w:w="180" w:type="dxa"/>
            <w:vAlign w:val="bottom"/>
          </w:tcPr>
          <w:p>
            <w:pPr>
              <w:spacing w:after="0"/>
              <w:rPr>
                <w:sz w:val="22"/>
                <w:szCs w:val="22"/>
                <w:color w:val="auto"/>
              </w:rPr>
            </w:pPr>
          </w:p>
        </w:tc>
        <w:tc>
          <w:tcPr>
            <w:tcW w:w="140" w:type="dxa"/>
            <w:vAlign w:val="bottom"/>
            <w:tcBorders>
              <w:bottom w:val="single" w:sz="8" w:color="D1EDF5"/>
            </w:tcBorders>
          </w:tcPr>
          <w:p>
            <w:pPr>
              <w:spacing w:after="0"/>
              <w:rPr>
                <w:sz w:val="22"/>
                <w:szCs w:val="22"/>
                <w:color w:val="auto"/>
              </w:rPr>
            </w:pPr>
          </w:p>
        </w:tc>
        <w:tc>
          <w:tcPr>
            <w:tcW w:w="84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214,912</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50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214,912</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57,402</w:t>
            </w:r>
          </w:p>
        </w:tc>
        <w:tc>
          <w:tcPr>
            <w:tcW w:w="180" w:type="dxa"/>
            <w:vAlign w:val="bottom"/>
            <w:tcBorders>
              <w:right w:val="single" w:sz="8" w:color="D1EDF5"/>
            </w:tcBorders>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57,402</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57,402</w:t>
            </w:r>
          </w:p>
        </w:tc>
        <w:tc>
          <w:tcPr>
            <w:tcW w:w="10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823,326</w:t>
            </w:r>
          </w:p>
        </w:tc>
        <w:tc>
          <w:tcPr>
            <w:tcW w:w="180" w:type="dxa"/>
            <w:vAlign w:val="bottom"/>
          </w:tcPr>
          <w:p>
            <w:pPr>
              <w:spacing w:after="0"/>
              <w:rPr>
                <w:sz w:val="22"/>
                <w:szCs w:val="22"/>
                <w:color w:val="auto"/>
              </w:rPr>
            </w:pPr>
          </w:p>
        </w:tc>
        <w:tc>
          <w:tcPr>
            <w:tcW w:w="140" w:type="dxa"/>
            <w:vAlign w:val="bottom"/>
            <w:tcBorders>
              <w:bottom w:val="single" w:sz="8" w:color="D1EDF5"/>
            </w:tcBorders>
          </w:tcPr>
          <w:p>
            <w:pPr>
              <w:spacing w:after="0"/>
              <w:rPr>
                <w:sz w:val="22"/>
                <w:szCs w:val="22"/>
                <w:color w:val="auto"/>
              </w:rPr>
            </w:pPr>
          </w:p>
        </w:tc>
        <w:tc>
          <w:tcPr>
            <w:tcW w:w="9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687</w:t>
            </w: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824,013</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50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824,013</w:t>
            </w:r>
          </w:p>
        </w:tc>
        <w:tc>
          <w:tcPr>
            <w:tcW w:w="0" w:type="dxa"/>
            <w:vAlign w:val="bottom"/>
          </w:tcPr>
          <w:p>
            <w:pPr>
              <w:spacing w:after="0"/>
              <w:rPr>
                <w:sz w:val="1"/>
                <w:szCs w:val="1"/>
                <w:color w:val="auto"/>
              </w:rPr>
            </w:pPr>
          </w:p>
        </w:tc>
      </w:tr>
      <w:tr>
        <w:trPr>
          <w:trHeight w:val="206"/>
        </w:trPr>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right w:val="single" w:sz="8" w:color="D1EDF5"/>
            </w:tcBorders>
          </w:tcPr>
          <w:p>
            <w:pPr>
              <w:spacing w:after="0"/>
              <w:rPr>
                <w:sz w:val="17"/>
                <w:szCs w:val="17"/>
                <w:color w:val="auto"/>
              </w:rPr>
            </w:pPr>
          </w:p>
        </w:tc>
        <w:tc>
          <w:tcPr>
            <w:tcW w:w="140" w:type="dxa"/>
            <w:vAlign w:val="bottom"/>
            <w:tcBorders>
              <w:bottom w:val="single" w:sz="8" w:color="auto"/>
            </w:tcBorders>
            <w:shd w:val="clear" w:color="auto" w:fill="D1EDF5"/>
          </w:tcPr>
          <w:p>
            <w:pPr>
              <w:spacing w:after="0"/>
              <w:rPr>
                <w:sz w:val="17"/>
                <w:szCs w:val="17"/>
                <w:color w:val="auto"/>
              </w:rPr>
            </w:pPr>
          </w:p>
        </w:tc>
        <w:tc>
          <w:tcPr>
            <w:tcW w:w="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9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9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1,135,730</w:t>
            </w:r>
          </w:p>
        </w:tc>
        <w:tc>
          <w:tcPr>
            <w:tcW w:w="180" w:type="dxa"/>
            <w:vAlign w:val="bottom"/>
          </w:tcPr>
          <w:p>
            <w:pPr>
              <w:spacing w:after="0"/>
              <w:rPr>
                <w:sz w:val="21"/>
                <w:szCs w:val="21"/>
                <w:color w:val="auto"/>
              </w:rPr>
            </w:pPr>
          </w:p>
        </w:tc>
        <w:tc>
          <w:tcPr>
            <w:tcW w:w="140" w:type="dxa"/>
            <w:vAlign w:val="bottom"/>
            <w:tcBorders>
              <w:bottom w:val="single" w:sz="8" w:color="D1EDF5"/>
            </w:tcBorders>
          </w:tcPr>
          <w:p>
            <w:pPr>
              <w:spacing w:after="0"/>
              <w:rPr>
                <w:sz w:val="21"/>
                <w:szCs w:val="21"/>
                <w:color w:val="auto"/>
              </w:rPr>
            </w:pPr>
          </w:p>
        </w:tc>
        <w:tc>
          <w:tcPr>
            <w:tcW w:w="9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687</w:t>
            </w:r>
          </w:p>
        </w:tc>
        <w:tc>
          <w:tcPr>
            <w:tcW w:w="6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1"/>
                <w:szCs w:val="21"/>
                <w:color w:val="auto"/>
              </w:rPr>
            </w:pPr>
          </w:p>
        </w:tc>
        <w:tc>
          <w:tcPr>
            <w:tcW w:w="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1,136,417</w:t>
            </w:r>
          </w:p>
        </w:tc>
        <w:tc>
          <w:tcPr>
            <w:tcW w:w="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50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1"/>
                <w:szCs w:val="21"/>
                <w:color w:val="auto"/>
              </w:rPr>
            </w:pPr>
          </w:p>
        </w:tc>
        <w:tc>
          <w:tcPr>
            <w:tcW w:w="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1,136,417</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shd w:val="clear" w:color="auto" w:fill="D1EDF5"/>
          </w:tcPr>
          <w:p>
            <w:pPr>
              <w:spacing w:after="0"/>
              <w:rPr>
                <w:sz w:val="17"/>
                <w:szCs w:val="17"/>
                <w:color w:val="auto"/>
              </w:rPr>
            </w:pPr>
          </w:p>
        </w:tc>
        <w:tc>
          <w:tcPr>
            <w:tcW w:w="180" w:type="dxa"/>
            <w:vAlign w:val="bottom"/>
            <w:tcBorders>
              <w:right w:val="single" w:sz="8" w:color="D1EDF5"/>
            </w:tcBorders>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940" w:type="dxa"/>
            <w:vAlign w:val="bottom"/>
            <w:gridSpan w:val="2"/>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40" w:type="dxa"/>
            <w:vAlign w:val="bottom"/>
            <w:gridSpan w:val="2"/>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00" w:type="dxa"/>
            <w:vAlign w:val="bottom"/>
            <w:gridSpan w:val="2"/>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40" w:type="dxa"/>
            <w:vAlign w:val="bottom"/>
            <w:gridSpan w:val="2"/>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232,779</w:t>
            </w:r>
          </w:p>
        </w:tc>
        <w:tc>
          <w:tcPr>
            <w:tcW w:w="180" w:type="dxa"/>
            <w:vAlign w:val="bottom"/>
          </w:tcPr>
          <w:p>
            <w:pPr>
              <w:spacing w:after="0"/>
              <w:rPr>
                <w:sz w:val="22"/>
                <w:szCs w:val="22"/>
                <w:color w:val="auto"/>
              </w:rPr>
            </w:pPr>
          </w:p>
        </w:tc>
        <w:tc>
          <w:tcPr>
            <w:tcW w:w="140" w:type="dxa"/>
            <w:vAlign w:val="bottom"/>
            <w:tcBorders>
              <w:bottom w:val="single" w:sz="8" w:color="D1EDF5"/>
            </w:tcBorders>
          </w:tcPr>
          <w:p>
            <w:pPr>
              <w:spacing w:after="0"/>
              <w:rPr>
                <w:sz w:val="22"/>
                <w:szCs w:val="22"/>
                <w:color w:val="auto"/>
              </w:rPr>
            </w:pPr>
          </w:p>
        </w:tc>
        <w:tc>
          <w:tcPr>
            <w:tcW w:w="9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521</w:t>
            </w: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233,300</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60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403</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233,703</w:t>
            </w:r>
          </w:p>
        </w:tc>
        <w:tc>
          <w:tcPr>
            <w:tcW w:w="0" w:type="dxa"/>
            <w:vAlign w:val="bottom"/>
          </w:tcPr>
          <w:p>
            <w:pPr>
              <w:spacing w:after="0"/>
              <w:rPr>
                <w:sz w:val="1"/>
                <w:szCs w:val="1"/>
                <w:color w:val="auto"/>
              </w:rPr>
            </w:pPr>
          </w:p>
        </w:tc>
      </w:tr>
      <w:tr>
        <w:trPr>
          <w:trHeight w:val="206"/>
        </w:trPr>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24,608</w:t>
            </w:r>
          </w:p>
        </w:tc>
        <w:tc>
          <w:tcPr>
            <w:tcW w:w="180" w:type="dxa"/>
            <w:vAlign w:val="bottom"/>
            <w:tcBorders>
              <w:bottom w:val="single" w:sz="8" w:color="auto"/>
              <w:right w:val="single" w:sz="8" w:color="D1EDF5"/>
            </w:tcBorders>
          </w:tcPr>
          <w:p>
            <w:pPr>
              <w:spacing w:after="0"/>
              <w:rPr>
                <w:sz w:val="17"/>
                <w:szCs w:val="17"/>
                <w:color w:val="auto"/>
              </w:rPr>
            </w:pPr>
          </w:p>
        </w:tc>
        <w:tc>
          <w:tcPr>
            <w:tcW w:w="140" w:type="dxa"/>
            <w:vAlign w:val="bottom"/>
            <w:tcBorders>
              <w:bottom w:val="single" w:sz="8" w:color="auto"/>
            </w:tcBorders>
            <w:shd w:val="clear" w:color="auto" w:fill="D1EDF5"/>
          </w:tcPr>
          <w:p>
            <w:pPr>
              <w:spacing w:after="0"/>
              <w:rPr>
                <w:sz w:val="17"/>
                <w:szCs w:val="17"/>
                <w:color w:val="auto"/>
              </w:rPr>
            </w:pPr>
          </w:p>
        </w:tc>
        <w:tc>
          <w:tcPr>
            <w:tcW w:w="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9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tcBorders>
              <w:bottom w:val="single" w:sz="8" w:color="auto"/>
            </w:tcBorders>
            <w:shd w:val="clear" w:color="auto" w:fill="D1EDF5"/>
          </w:tcPr>
          <w:p>
            <w:pPr>
              <w:spacing w:after="0"/>
              <w:rPr>
                <w:sz w:val="17"/>
                <w:szCs w:val="17"/>
                <w:color w:val="auto"/>
              </w:rPr>
            </w:pPr>
          </w:p>
        </w:tc>
        <w:tc>
          <w:tcPr>
            <w:tcW w:w="9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Borders>
              <w:bottom w:val="single" w:sz="8" w:color="auto"/>
            </w:tcBorders>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257,387</w:t>
            </w:r>
          </w:p>
        </w:tc>
        <w:tc>
          <w:tcPr>
            <w:tcW w:w="180" w:type="dxa"/>
            <w:vAlign w:val="bottom"/>
          </w:tcPr>
          <w:p>
            <w:pPr>
              <w:spacing w:after="0"/>
              <w:rPr>
                <w:sz w:val="21"/>
                <w:szCs w:val="21"/>
                <w:color w:val="auto"/>
              </w:rPr>
            </w:pPr>
          </w:p>
        </w:tc>
        <w:tc>
          <w:tcPr>
            <w:tcW w:w="140" w:type="dxa"/>
            <w:vAlign w:val="bottom"/>
            <w:tcBorders>
              <w:bottom w:val="single" w:sz="8" w:color="D1EDF5"/>
            </w:tcBorders>
          </w:tcPr>
          <w:p>
            <w:pPr>
              <w:spacing w:after="0"/>
              <w:rPr>
                <w:sz w:val="21"/>
                <w:szCs w:val="21"/>
                <w:color w:val="auto"/>
              </w:rPr>
            </w:pPr>
          </w:p>
        </w:tc>
        <w:tc>
          <w:tcPr>
            <w:tcW w:w="9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521</w:t>
            </w:r>
          </w:p>
        </w:tc>
        <w:tc>
          <w:tcPr>
            <w:tcW w:w="6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1"/>
                <w:szCs w:val="21"/>
                <w:color w:val="auto"/>
              </w:rPr>
            </w:pPr>
          </w:p>
        </w:tc>
        <w:tc>
          <w:tcPr>
            <w:tcW w:w="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257,908</w:t>
            </w:r>
          </w:p>
        </w:tc>
        <w:tc>
          <w:tcPr>
            <w:tcW w:w="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60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403</w:t>
            </w:r>
          </w:p>
        </w:tc>
        <w:tc>
          <w:tcPr>
            <w:tcW w:w="60" w:type="dxa"/>
            <w:vAlign w:val="bottom"/>
            <w:tcBorders>
              <w:bottom w:val="single" w:sz="8" w:color="D1EDF5"/>
            </w:tcBorders>
          </w:tcPr>
          <w:p>
            <w:pPr>
              <w:spacing w:after="0"/>
              <w:rPr>
                <w:sz w:val="21"/>
                <w:szCs w:val="21"/>
                <w:color w:val="auto"/>
              </w:rPr>
            </w:pPr>
          </w:p>
        </w:tc>
        <w:tc>
          <w:tcPr>
            <w:tcW w:w="2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258,311</w:t>
            </w:r>
          </w:p>
        </w:tc>
        <w:tc>
          <w:tcPr>
            <w:tcW w:w="0" w:type="dxa"/>
            <w:vAlign w:val="bottom"/>
          </w:tcPr>
          <w:p>
            <w:pPr>
              <w:spacing w:after="0"/>
              <w:rPr>
                <w:sz w:val="1"/>
                <w:szCs w:val="1"/>
                <w:color w:val="auto"/>
              </w:rPr>
            </w:pPr>
          </w:p>
        </w:tc>
      </w:tr>
      <w:tr>
        <w:trPr>
          <w:trHeight w:val="206"/>
        </w:trPr>
        <w:tc>
          <w:tcPr>
            <w:tcW w:w="4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960" w:type="dxa"/>
            <w:vAlign w:val="bottom"/>
            <w:gridSpan w:val="2"/>
            <w:shd w:val="clear" w:color="auto" w:fill="D1EDF5"/>
          </w:tcPr>
          <w:p>
            <w:pPr>
              <w:spacing w:after="0"/>
              <w:rPr>
                <w:sz w:val="17"/>
                <w:szCs w:val="17"/>
                <w:color w:val="auto"/>
              </w:rPr>
            </w:pPr>
          </w:p>
        </w:tc>
        <w:tc>
          <w:tcPr>
            <w:tcW w:w="180" w:type="dxa"/>
            <w:vAlign w:val="bottom"/>
            <w:tcBorders>
              <w:right w:val="single" w:sz="8" w:color="D1EDF5"/>
            </w:tcBorders>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84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40" w:type="dxa"/>
            <w:vAlign w:val="bottom"/>
            <w:gridSpan w:val="2"/>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50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40" w:type="dxa"/>
            <w:vAlign w:val="bottom"/>
            <w:gridSpan w:val="2"/>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82,438</w:t>
            </w:r>
          </w:p>
        </w:tc>
        <w:tc>
          <w:tcPr>
            <w:tcW w:w="180" w:type="dxa"/>
            <w:vAlign w:val="bottom"/>
          </w:tcPr>
          <w:p>
            <w:pPr>
              <w:spacing w:after="0"/>
              <w:rPr>
                <w:sz w:val="22"/>
                <w:szCs w:val="22"/>
                <w:color w:val="auto"/>
              </w:rPr>
            </w:pPr>
          </w:p>
        </w:tc>
        <w:tc>
          <w:tcPr>
            <w:tcW w:w="140" w:type="dxa"/>
            <w:vAlign w:val="bottom"/>
            <w:tcBorders>
              <w:bottom w:val="single" w:sz="8" w:color="D1EDF5"/>
            </w:tcBorders>
          </w:tcPr>
          <w:p>
            <w:pPr>
              <w:spacing w:after="0"/>
              <w:rPr>
                <w:sz w:val="22"/>
                <w:szCs w:val="22"/>
                <w:color w:val="auto"/>
              </w:rPr>
            </w:pPr>
          </w:p>
        </w:tc>
        <w:tc>
          <w:tcPr>
            <w:tcW w:w="84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66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82,438</w:t>
            </w: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50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1EDF5"/>
            </w:tcBorders>
          </w:tcPr>
          <w:p>
            <w:pPr>
              <w:spacing w:after="0"/>
              <w:rPr>
                <w:sz w:val="22"/>
                <w:szCs w:val="22"/>
                <w:color w:val="auto"/>
              </w:rPr>
            </w:pPr>
          </w:p>
        </w:tc>
        <w:tc>
          <w:tcPr>
            <w:tcW w:w="60" w:type="dxa"/>
            <w:vAlign w:val="bottom"/>
            <w:tcBorders>
              <w:bottom w:val="single" w:sz="8" w:color="D1EDF5"/>
            </w:tcBorders>
          </w:tcPr>
          <w:p>
            <w:pPr>
              <w:spacing w:after="0"/>
              <w:rPr>
                <w:sz w:val="22"/>
                <w:szCs w:val="22"/>
                <w:color w:val="auto"/>
              </w:rPr>
            </w:pPr>
          </w:p>
        </w:tc>
        <w:tc>
          <w:tcPr>
            <w:tcW w:w="2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04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82,438</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196,101</w:t>
            </w:r>
          </w:p>
        </w:tc>
        <w:tc>
          <w:tcPr>
            <w:tcW w:w="180" w:type="dxa"/>
            <w:vAlign w:val="bottom"/>
            <w:tcBorders>
              <w:right w:val="single" w:sz="8" w:color="D1EDF5"/>
            </w:tcBorders>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196,101</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50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1,990</w:t>
            </w:r>
          </w:p>
        </w:tc>
        <w:tc>
          <w:tcPr>
            <w:tcW w:w="10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198,091</w:t>
            </w:r>
          </w:p>
        </w:tc>
        <w:tc>
          <w:tcPr>
            <w:tcW w:w="10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D1EDF5"/>
            </w:tcBorders>
          </w:tcPr>
          <w:p>
            <w:pPr>
              <w:spacing w:after="0"/>
              <w:rPr>
                <w:sz w:val="24"/>
                <w:szCs w:val="24"/>
                <w:color w:val="auto"/>
              </w:rPr>
            </w:pPr>
          </w:p>
        </w:tc>
        <w:tc>
          <w:tcPr>
            <w:tcW w:w="2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1,957,066</w:t>
            </w:r>
          </w:p>
        </w:tc>
        <w:tc>
          <w:tcPr>
            <w:tcW w:w="180" w:type="dxa"/>
            <w:vAlign w:val="bottom"/>
            <w:tcBorders>
              <w:bottom w:val="single" w:sz="8" w:color="auto"/>
              <w:right w:val="single" w:sz="8" w:color="D1EDF5"/>
            </w:tcBorders>
          </w:tcPr>
          <w:p>
            <w:pPr>
              <w:spacing w:after="0"/>
              <w:rPr>
                <w:sz w:val="18"/>
                <w:szCs w:val="18"/>
                <w:color w:val="auto"/>
              </w:rPr>
            </w:pPr>
          </w:p>
        </w:tc>
        <w:tc>
          <w:tcPr>
            <w:tcW w:w="14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84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Borders>
              <w:top w:val="single" w:sz="8" w:color="D1EDF5"/>
              <w:bottom w:val="single" w:sz="8" w:color="auto"/>
            </w:tcBorders>
            <w:shd w:val="clear" w:color="auto" w:fill="D1EDF5"/>
          </w:tcPr>
          <w:p>
            <w:pPr>
              <w:spacing w:after="0"/>
              <w:rPr>
                <w:sz w:val="18"/>
                <w:szCs w:val="18"/>
                <w:color w:val="auto"/>
              </w:rPr>
            </w:pPr>
          </w:p>
        </w:tc>
        <w:tc>
          <w:tcPr>
            <w:tcW w:w="60" w:type="dxa"/>
            <w:vAlign w:val="bottom"/>
            <w:tcBorders>
              <w:top w:val="single" w:sz="8" w:color="D1EDF5"/>
            </w:tcBorders>
            <w:shd w:val="clear" w:color="auto" w:fill="D1EDF5"/>
          </w:tcPr>
          <w:p>
            <w:pPr>
              <w:spacing w:after="0"/>
              <w:rPr>
                <w:sz w:val="18"/>
                <w:szCs w:val="18"/>
                <w:color w:val="auto"/>
              </w:rPr>
            </w:pPr>
          </w:p>
        </w:tc>
        <w:tc>
          <w:tcPr>
            <w:tcW w:w="18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66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1EDF5"/>
              <w:bottom w:val="single" w:sz="8" w:color="auto"/>
            </w:tcBorders>
            <w:shd w:val="clear" w:color="auto" w:fill="D1EDF5"/>
          </w:tcPr>
          <w:p>
            <w:pPr>
              <w:spacing w:after="0"/>
              <w:rPr>
                <w:sz w:val="18"/>
                <w:szCs w:val="18"/>
                <w:color w:val="auto"/>
              </w:rPr>
            </w:pPr>
          </w:p>
        </w:tc>
        <w:tc>
          <w:tcPr>
            <w:tcW w:w="60" w:type="dxa"/>
            <w:vAlign w:val="bottom"/>
            <w:tcBorders>
              <w:top w:val="single" w:sz="8" w:color="D1EDF5"/>
            </w:tcBorders>
            <w:shd w:val="clear" w:color="auto" w:fill="D1EDF5"/>
          </w:tcPr>
          <w:p>
            <w:pPr>
              <w:spacing w:after="0"/>
              <w:rPr>
                <w:sz w:val="18"/>
                <w:szCs w:val="18"/>
                <w:color w:val="auto"/>
              </w:rPr>
            </w:pPr>
          </w:p>
        </w:tc>
        <w:tc>
          <w:tcPr>
            <w:tcW w:w="20" w:type="dxa"/>
            <w:vAlign w:val="bottom"/>
            <w:tcBorders>
              <w:top w:val="single" w:sz="8" w:color="D1EDF5"/>
              <w:bottom w:val="single" w:sz="8" w:color="auto"/>
            </w:tcBorders>
            <w:shd w:val="clear" w:color="auto" w:fill="D1EDF5"/>
          </w:tcPr>
          <w:p>
            <w:pPr>
              <w:spacing w:after="0"/>
              <w:rPr>
                <w:sz w:val="18"/>
                <w:szCs w:val="18"/>
                <w:color w:val="auto"/>
              </w:rPr>
            </w:pPr>
          </w:p>
        </w:tc>
        <w:tc>
          <w:tcPr>
            <w:tcW w:w="18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94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1,962,511</w:t>
            </w:r>
          </w:p>
        </w:tc>
        <w:tc>
          <w:tcPr>
            <w:tcW w:w="100" w:type="dxa"/>
            <w:vAlign w:val="bottom"/>
            <w:tcBorders>
              <w:top w:val="single" w:sz="8" w:color="D1EDF5"/>
              <w:bottom w:val="single" w:sz="8" w:color="auto"/>
            </w:tcBorders>
            <w:shd w:val="clear" w:color="auto" w:fill="D1EDF5"/>
          </w:tcPr>
          <w:p>
            <w:pPr>
              <w:spacing w:after="0"/>
              <w:rPr>
                <w:sz w:val="18"/>
                <w:szCs w:val="18"/>
                <w:color w:val="auto"/>
              </w:rPr>
            </w:pPr>
          </w:p>
        </w:tc>
        <w:tc>
          <w:tcPr>
            <w:tcW w:w="60" w:type="dxa"/>
            <w:vAlign w:val="bottom"/>
            <w:tcBorders>
              <w:top w:val="single" w:sz="8" w:color="D1EDF5"/>
            </w:tcBorders>
            <w:shd w:val="clear" w:color="auto" w:fill="D1EDF5"/>
          </w:tcPr>
          <w:p>
            <w:pPr>
              <w:spacing w:after="0"/>
              <w:rPr>
                <w:sz w:val="18"/>
                <w:szCs w:val="18"/>
                <w:color w:val="auto"/>
              </w:rPr>
            </w:pPr>
          </w:p>
        </w:tc>
        <w:tc>
          <w:tcPr>
            <w:tcW w:w="20" w:type="dxa"/>
            <w:vAlign w:val="bottom"/>
            <w:tcBorders>
              <w:top w:val="single" w:sz="8" w:color="D1EDF5"/>
              <w:bottom w:val="single" w:sz="8" w:color="auto"/>
            </w:tcBorders>
            <w:shd w:val="clear" w:color="auto" w:fill="D1EDF5"/>
          </w:tcPr>
          <w:p>
            <w:pPr>
              <w:spacing w:after="0"/>
              <w:rPr>
                <w:sz w:val="18"/>
                <w:szCs w:val="18"/>
                <w:color w:val="auto"/>
              </w:rPr>
            </w:pPr>
          </w:p>
        </w:tc>
        <w:tc>
          <w:tcPr>
            <w:tcW w:w="180" w:type="dxa"/>
            <w:vAlign w:val="bottom"/>
            <w:tcBorders>
              <w:top w:val="single" w:sz="8" w:color="D1EDF5"/>
              <w:bottom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shd w:val="clear" w:color="auto" w:fill="D1EDF5"/>
              </w:rPr>
              <w:t>$</w:t>
            </w:r>
          </w:p>
        </w:tc>
        <w:tc>
          <w:tcPr>
            <w:tcW w:w="50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2,707</w:t>
            </w:r>
          </w:p>
        </w:tc>
        <w:tc>
          <w:tcPr>
            <w:tcW w:w="100" w:type="dxa"/>
            <w:vAlign w:val="bottom"/>
            <w:tcBorders>
              <w:top w:val="single" w:sz="8" w:color="D1EDF5"/>
              <w:bottom w:val="single" w:sz="8" w:color="auto"/>
            </w:tcBorders>
            <w:shd w:val="clear" w:color="auto" w:fill="D1EDF5"/>
          </w:tcPr>
          <w:p>
            <w:pPr>
              <w:spacing w:after="0"/>
              <w:rPr>
                <w:sz w:val="18"/>
                <w:szCs w:val="18"/>
                <w:color w:val="auto"/>
              </w:rPr>
            </w:pPr>
          </w:p>
        </w:tc>
        <w:tc>
          <w:tcPr>
            <w:tcW w:w="60" w:type="dxa"/>
            <w:vAlign w:val="bottom"/>
            <w:tcBorders>
              <w:top w:val="single" w:sz="8" w:color="D1EDF5"/>
            </w:tcBorders>
            <w:shd w:val="clear" w:color="auto" w:fill="D1EDF5"/>
          </w:tcPr>
          <w:p>
            <w:pPr>
              <w:spacing w:after="0"/>
              <w:rPr>
                <w:sz w:val="18"/>
                <w:szCs w:val="18"/>
                <w:color w:val="auto"/>
              </w:rPr>
            </w:pPr>
          </w:p>
        </w:tc>
        <w:tc>
          <w:tcPr>
            <w:tcW w:w="20" w:type="dxa"/>
            <w:vAlign w:val="bottom"/>
            <w:tcBorders>
              <w:top w:val="single" w:sz="8" w:color="D1EDF5"/>
              <w:bottom w:val="single" w:sz="8" w:color="auto"/>
            </w:tcBorders>
            <w:shd w:val="clear" w:color="auto" w:fill="D1EDF5"/>
          </w:tcPr>
          <w:p>
            <w:pPr>
              <w:spacing w:after="0"/>
              <w:rPr>
                <w:sz w:val="18"/>
                <w:szCs w:val="18"/>
                <w:color w:val="auto"/>
              </w:rPr>
            </w:pPr>
          </w:p>
        </w:tc>
        <w:tc>
          <w:tcPr>
            <w:tcW w:w="18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99"/>
                <w:shd w:val="clear" w:color="auto" w:fill="D1EDF5"/>
              </w:rPr>
              <w:t>$</w:t>
            </w:r>
          </w:p>
        </w:tc>
        <w:tc>
          <w:tcPr>
            <w:tcW w:w="940" w:type="dxa"/>
            <w:vAlign w:val="bottom"/>
            <w:tcBorders>
              <w:top w:val="single" w:sz="8" w:color="D1EDF5"/>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1,965,218</w:t>
            </w:r>
          </w:p>
        </w:tc>
        <w:tc>
          <w:tcPr>
            <w:tcW w:w="100" w:type="dxa"/>
            <w:vAlign w:val="bottom"/>
            <w:tcBorders>
              <w:top w:val="single" w:sz="8" w:color="D1EDF5"/>
              <w:bottom w:val="single" w:sz="8" w:color="auto"/>
            </w:tcBorders>
            <w:shd w:val="clear" w:color="auto" w:fill="D1ED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3220" w:space="720"/>
            <w:col w:w="6860"/>
          </w:cols>
          <w:pgMar w:left="720" w:top="355" w:right="72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Non-accrual Status</w:t>
      </w:r>
    </w:p>
    <w:p>
      <w:pPr>
        <w:spacing w:after="0" w:line="235"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includes the amortized cost basis of loans on non-accrual status and loans past due 90 days or more and still accruing as of December 31, 2025 and 2024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December 31, 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319"/>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Nonaccrual Loans</w:t>
            </w:r>
          </w:p>
        </w:tc>
        <w:tc>
          <w:tcPr>
            <w:tcW w:w="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rPr>
              <w:t>Nonaccrual Loans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Loans Past Due 90</w:t>
            </w:r>
          </w:p>
        </w:tc>
      </w:tr>
      <w:tr>
        <w:trPr>
          <w:trHeight w:val="206"/>
        </w:trPr>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With No Related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rPr>
              <w:t>With Related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Days or more and</w:t>
            </w:r>
          </w:p>
        </w:tc>
      </w:tr>
      <w:tr>
        <w:trPr>
          <w:trHeight w:val="227"/>
        </w:trPr>
        <w:tc>
          <w:tcPr>
            <w:tcW w:w="140" w:type="dxa"/>
            <w:vAlign w:val="bottom"/>
            <w:tcBorders>
              <w:bottom w:val="single" w:sz="8" w:color="D1EDF5"/>
            </w:tcBorders>
          </w:tcPr>
          <w:p>
            <w:pPr>
              <w:spacing w:after="0"/>
              <w:rPr>
                <w:sz w:val="19"/>
                <w:szCs w:val="19"/>
                <w:color w:val="auto"/>
              </w:rPr>
            </w:pPr>
          </w:p>
        </w:tc>
        <w:tc>
          <w:tcPr>
            <w:tcW w:w="37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Allowance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Allowance</w:t>
            </w: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Non-accruals</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9"/>
              </w:rPr>
              <w:t>Still Accruing</w:t>
            </w:r>
          </w:p>
        </w:tc>
      </w:tr>
      <w:tr>
        <w:trPr>
          <w:trHeight w:val="270"/>
        </w:trPr>
        <w:tc>
          <w:tcPr>
            <w:tcW w:w="140" w:type="dxa"/>
            <w:vAlign w:val="bottom"/>
            <w:tcBorders>
              <w:bottom w:val="single" w:sz="8" w:color="D1EDF5"/>
            </w:tcBorders>
            <w:shd w:val="clear" w:color="auto" w:fill="D1EDF5"/>
          </w:tcPr>
          <w:p>
            <w:pPr>
              <w:spacing w:after="0"/>
              <w:rPr>
                <w:sz w:val="23"/>
                <w:szCs w:val="23"/>
                <w:color w:val="auto"/>
              </w:rPr>
            </w:pPr>
          </w:p>
        </w:tc>
        <w:tc>
          <w:tcPr>
            <w:tcW w:w="37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right w:val="single" w:sz="8" w:color="D1EDF5"/>
            </w:tcBorders>
          </w:tcPr>
          <w:p>
            <w:pPr>
              <w:spacing w:after="0"/>
              <w:rPr>
                <w:sz w:val="23"/>
                <w:szCs w:val="23"/>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1EDF5"/>
            </w:tcBorders>
            <w:shd w:val="clear" w:color="auto" w:fill="D1EDF5"/>
          </w:tcPr>
          <w:p>
            <w:pPr>
              <w:spacing w:after="0"/>
              <w:rPr>
                <w:sz w:val="23"/>
                <w:szCs w:val="23"/>
                <w:color w:val="auto"/>
              </w:rPr>
            </w:pPr>
          </w:p>
        </w:tc>
        <w:tc>
          <w:tcPr>
            <w:tcW w:w="40" w:type="dxa"/>
            <w:vAlign w:val="bottom"/>
            <w:tcBorders>
              <w:bottom w:val="single" w:sz="8" w:color="D1EDF5"/>
            </w:tcBorders>
            <w:shd w:val="clear" w:color="auto" w:fill="D1EDF5"/>
          </w:tcPr>
          <w:p>
            <w:pPr>
              <w:spacing w:after="0"/>
              <w:rPr>
                <w:sz w:val="23"/>
                <w:szCs w:val="23"/>
                <w:color w:val="auto"/>
              </w:rPr>
            </w:pPr>
          </w:p>
        </w:tc>
        <w:tc>
          <w:tcPr>
            <w:tcW w:w="20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Borders>
              <w:bottom w:val="single" w:sz="8" w:color="D1EDF5"/>
            </w:tcBorders>
            <w:shd w:val="clear" w:color="auto" w:fill="D1EDF5"/>
          </w:tcPr>
          <w:p>
            <w:pPr>
              <w:spacing w:after="0"/>
              <w:rPr>
                <w:sz w:val="23"/>
                <w:szCs w:val="23"/>
                <w:color w:val="auto"/>
              </w:rPr>
            </w:pPr>
          </w:p>
        </w:tc>
        <w:tc>
          <w:tcPr>
            <w:tcW w:w="1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D1EDF5"/>
            </w:tcBorders>
            <w:shd w:val="clear" w:color="auto" w:fill="D1EDF5"/>
          </w:tcPr>
          <w:p>
            <w:pPr>
              <w:spacing w:after="0"/>
              <w:rPr>
                <w:sz w:val="23"/>
                <w:szCs w:val="23"/>
                <w:color w:val="auto"/>
              </w:rPr>
            </w:pPr>
          </w:p>
        </w:tc>
      </w:tr>
      <w:tr>
        <w:trPr>
          <w:trHeight w:val="300"/>
        </w:trPr>
        <w:tc>
          <w:tcPr>
            <w:tcW w:w="140" w:type="dxa"/>
            <w:vAlign w:val="bottom"/>
            <w:tcBorders>
              <w:bottom w:val="single" w:sz="8" w:color="D1EDF5"/>
            </w:tcBorders>
          </w:tcPr>
          <w:p>
            <w:pPr>
              <w:spacing w:after="0"/>
              <w:rPr>
                <w:sz w:val="24"/>
                <w:szCs w:val="24"/>
                <w:color w:val="auto"/>
              </w:rPr>
            </w:pPr>
          </w:p>
        </w:tc>
        <w:tc>
          <w:tcPr>
            <w:tcW w:w="372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4"/>
                <w:szCs w:val="24"/>
                <w:color w:val="auto"/>
              </w:rPr>
            </w:pPr>
          </w:p>
        </w:tc>
        <w:tc>
          <w:tcPr>
            <w:tcW w:w="180" w:type="dxa"/>
            <w:vAlign w:val="bottom"/>
            <w:tcBorders>
              <w:bottom w:val="single" w:sz="8" w:color="D1EDF5"/>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D1EDF5"/>
            </w:tcBorders>
          </w:tcPr>
          <w:p>
            <w:pPr>
              <w:spacing w:after="0"/>
              <w:rPr>
                <w:sz w:val="24"/>
                <w:szCs w:val="24"/>
                <w:color w:val="auto"/>
              </w:rPr>
            </w:pPr>
          </w:p>
        </w:tc>
        <w:tc>
          <w:tcPr>
            <w:tcW w:w="40" w:type="dxa"/>
            <w:vAlign w:val="bottom"/>
            <w:tcBorders>
              <w:bottom w:val="single" w:sz="8" w:color="D1EDF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bottom w:val="single" w:sz="8" w:color="D1EDF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r>
      <w:tr>
        <w:trPr>
          <w:trHeight w:val="310"/>
        </w:trPr>
        <w:tc>
          <w:tcPr>
            <w:tcW w:w="140" w:type="dxa"/>
            <w:vAlign w:val="bottom"/>
            <w:tcBorders>
              <w:bottom w:val="single" w:sz="8" w:color="D1EDF5"/>
            </w:tcBorders>
            <w:shd w:val="clear" w:color="auto" w:fill="D1EDF5"/>
          </w:tcPr>
          <w:p>
            <w:pPr>
              <w:spacing w:after="0"/>
              <w:rPr>
                <w:sz w:val="24"/>
                <w:szCs w:val="24"/>
                <w:color w:val="auto"/>
              </w:rPr>
            </w:pPr>
          </w:p>
        </w:tc>
        <w:tc>
          <w:tcPr>
            <w:tcW w:w="37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Borders>
              <w:right w:val="single" w:sz="8" w:color="D1EDF5"/>
            </w:tcBorders>
          </w:tcPr>
          <w:p>
            <w:pPr>
              <w:spacing w:after="0"/>
              <w:rPr>
                <w:sz w:val="24"/>
                <w:szCs w:val="24"/>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D1EDF5"/>
            </w:tcBorders>
            <w:shd w:val="clear" w:color="auto" w:fill="D1EDF5"/>
          </w:tcPr>
          <w:p>
            <w:pPr>
              <w:spacing w:after="0"/>
              <w:rPr>
                <w:sz w:val="24"/>
                <w:szCs w:val="24"/>
                <w:color w:val="auto"/>
              </w:rPr>
            </w:pPr>
          </w:p>
        </w:tc>
        <w:tc>
          <w:tcPr>
            <w:tcW w:w="40" w:type="dxa"/>
            <w:vAlign w:val="bottom"/>
            <w:tcBorders>
              <w:bottom w:val="single" w:sz="8" w:color="D1EDF5"/>
            </w:tcBorders>
            <w:shd w:val="clear" w:color="auto" w:fill="D1EDF5"/>
          </w:tcPr>
          <w:p>
            <w:pPr>
              <w:spacing w:after="0"/>
              <w:rPr>
                <w:sz w:val="24"/>
                <w:szCs w:val="24"/>
                <w:color w:val="auto"/>
              </w:rPr>
            </w:pPr>
          </w:p>
        </w:tc>
        <w:tc>
          <w:tcPr>
            <w:tcW w:w="20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3,138</w:t>
            </w:r>
          </w:p>
        </w:tc>
        <w:tc>
          <w:tcPr>
            <w:tcW w:w="80" w:type="dxa"/>
            <w:vAlign w:val="bottom"/>
            <w:tcBorders>
              <w:bottom w:val="single" w:sz="8" w:color="D1EDF5"/>
            </w:tcBorders>
            <w:shd w:val="clear" w:color="auto" w:fill="D1EDF5"/>
          </w:tcPr>
          <w:p>
            <w:pPr>
              <w:spacing w:after="0"/>
              <w:rPr>
                <w:sz w:val="24"/>
                <w:szCs w:val="24"/>
                <w:color w:val="auto"/>
              </w:rPr>
            </w:pPr>
          </w:p>
        </w:tc>
        <w:tc>
          <w:tcPr>
            <w:tcW w:w="1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shd w:val="clear" w:color="auto" w:fill="D1EDF5"/>
          </w:tcPr>
          <w:p>
            <w:pPr>
              <w:spacing w:after="0"/>
              <w:rPr>
                <w:sz w:val="24"/>
                <w:szCs w:val="24"/>
                <w:color w:val="auto"/>
              </w:rPr>
            </w:pPr>
          </w:p>
        </w:tc>
      </w:tr>
      <w:tr>
        <w:trPr>
          <w:trHeight w:val="20"/>
        </w:trPr>
        <w:tc>
          <w:tcPr>
            <w:tcW w:w="140" w:type="dxa"/>
            <w:vAlign w:val="bottom"/>
            <w:tcBorders>
              <w:top w:val="single" w:sz="8" w:color="D1EDF5"/>
            </w:tcBorders>
          </w:tcPr>
          <w:p>
            <w:pPr>
              <w:spacing w:after="0" w:line="20" w:lineRule="exact"/>
              <w:rPr>
                <w:sz w:val="1"/>
                <w:szCs w:val="1"/>
                <w:color w:val="auto"/>
              </w:rPr>
            </w:pPr>
          </w:p>
        </w:tc>
        <w:tc>
          <w:tcPr>
            <w:tcW w:w="372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566"/>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17"/>
        </w:trPr>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Nonaccrual Loans</w:t>
            </w:r>
          </w:p>
        </w:tc>
        <w:tc>
          <w:tcPr>
            <w:tcW w:w="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rPr>
              <w:t>Nonaccrual Loans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Loans Past Due 90</w:t>
            </w:r>
          </w:p>
        </w:tc>
      </w:tr>
      <w:tr>
        <w:trPr>
          <w:trHeight w:val="209"/>
        </w:trPr>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With No Related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rPr>
              <w:t>With Related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Days or more and</w:t>
            </w:r>
          </w:p>
        </w:tc>
      </w:tr>
      <w:tr>
        <w:trPr>
          <w:trHeight w:val="227"/>
        </w:trPr>
        <w:tc>
          <w:tcPr>
            <w:tcW w:w="140" w:type="dxa"/>
            <w:vAlign w:val="bottom"/>
            <w:tcBorders>
              <w:bottom w:val="single" w:sz="8" w:color="D1EDF5"/>
            </w:tcBorders>
          </w:tcPr>
          <w:p>
            <w:pPr>
              <w:spacing w:after="0"/>
              <w:rPr>
                <w:sz w:val="19"/>
                <w:szCs w:val="19"/>
                <w:color w:val="auto"/>
              </w:rPr>
            </w:pPr>
          </w:p>
        </w:tc>
        <w:tc>
          <w:tcPr>
            <w:tcW w:w="37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Allowance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Allowance</w:t>
            </w: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Non-accruals</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9"/>
              </w:rPr>
              <w:t>Still Accruing</w:t>
            </w:r>
          </w:p>
        </w:tc>
      </w:tr>
      <w:tr>
        <w:trPr>
          <w:trHeight w:val="230"/>
        </w:trPr>
        <w:tc>
          <w:tcPr>
            <w:tcW w:w="140" w:type="dxa"/>
            <w:vAlign w:val="bottom"/>
            <w:shd w:val="clear" w:color="auto" w:fill="D1EDF5"/>
          </w:tcPr>
          <w:p>
            <w:pPr>
              <w:spacing w:after="0"/>
              <w:rPr>
                <w:sz w:val="19"/>
                <w:szCs w:val="19"/>
                <w:color w:val="auto"/>
              </w:rPr>
            </w:pPr>
          </w:p>
        </w:tc>
        <w:tc>
          <w:tcPr>
            <w:tcW w:w="3720" w:type="dxa"/>
            <w:vAlign w:val="bottom"/>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right w:val="single" w:sz="8" w:color="D1EDF5"/>
            </w:tcBorders>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D1EDF5"/>
          </w:tcPr>
          <w:p>
            <w:pPr>
              <w:spacing w:after="0"/>
              <w:rPr>
                <w:sz w:val="19"/>
                <w:szCs w:val="19"/>
                <w:color w:val="auto"/>
              </w:rPr>
            </w:pPr>
          </w:p>
        </w:tc>
        <w:tc>
          <w:tcPr>
            <w:tcW w:w="20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D1EDF5"/>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D1EDF5"/>
          </w:tcPr>
          <w:p>
            <w:pPr>
              <w:spacing w:after="0"/>
              <w:rPr>
                <w:sz w:val="19"/>
                <w:szCs w:val="19"/>
                <w:color w:val="auto"/>
              </w:rPr>
            </w:pPr>
          </w:p>
        </w:tc>
      </w:tr>
      <w:tr>
        <w:trPr>
          <w:trHeight w:val="240"/>
        </w:trPr>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37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auto"/>
            </w:tcBorders>
            <w:shd w:val="clear" w:color="auto" w:fill="D1EDF5"/>
          </w:tcPr>
          <w:p>
            <w:pPr>
              <w:spacing w:after="0"/>
              <w:rPr>
                <w:sz w:val="21"/>
                <w:szCs w:val="21"/>
                <w:color w:val="auto"/>
              </w:rPr>
            </w:pPr>
          </w:p>
        </w:tc>
        <w:tc>
          <w:tcPr>
            <w:tcW w:w="15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D1EDF5"/>
            </w:tcBorders>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5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auto"/>
            </w:tcBorders>
            <w:shd w:val="clear" w:color="auto" w:fill="D1EDF5"/>
          </w:tcPr>
          <w:p>
            <w:pPr>
              <w:spacing w:after="0"/>
              <w:rPr>
                <w:sz w:val="21"/>
                <w:szCs w:val="21"/>
                <w:color w:val="auto"/>
              </w:rPr>
            </w:pPr>
          </w:p>
        </w:tc>
        <w:tc>
          <w:tcPr>
            <w:tcW w:w="14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Borders>
              <w:bottom w:val="single" w:sz="8" w:color="D1EDF5"/>
            </w:tcBorders>
            <w:shd w:val="clear" w:color="auto" w:fill="D1EDF5"/>
          </w:tcPr>
          <w:p>
            <w:pPr>
              <w:spacing w:after="0"/>
              <w:rPr>
                <w:sz w:val="21"/>
                <w:szCs w:val="21"/>
                <w:color w:val="auto"/>
              </w:rPr>
            </w:pPr>
          </w:p>
        </w:tc>
        <w:tc>
          <w:tcPr>
            <w:tcW w:w="180" w:type="dxa"/>
            <w:vAlign w:val="bottom"/>
            <w:tcBorders>
              <w:bottom w:val="single" w:sz="8" w:color="auto"/>
            </w:tcBorders>
            <w:shd w:val="clear" w:color="auto" w:fill="D1EDF5"/>
          </w:tcPr>
          <w:p>
            <w:pPr>
              <w:spacing w:after="0"/>
              <w:rPr>
                <w:sz w:val="21"/>
                <w:szCs w:val="21"/>
                <w:color w:val="auto"/>
              </w:rPr>
            </w:pPr>
          </w:p>
        </w:tc>
        <w:tc>
          <w:tcPr>
            <w:tcW w:w="14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D1EDF5"/>
          </w:tcPr>
          <w:p>
            <w:pPr>
              <w:spacing w:after="0"/>
              <w:rPr>
                <w:sz w:val="21"/>
                <w:szCs w:val="21"/>
                <w:color w:val="auto"/>
              </w:rPr>
            </w:pPr>
          </w:p>
        </w:tc>
      </w:tr>
      <w:tr>
        <w:trPr>
          <w:trHeight w:val="232"/>
        </w:trPr>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2,393</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Accrued interest receivable is excluded from the estimate of credit losses. There was no interest income recognized attributable to non-accrual loans outstanding during the years ended December 31, 2025 and 2024. Interest income on</w:t>
      </w:r>
    </w:p>
    <w:p>
      <w:pPr>
        <w:spacing w:after="0" w:line="200" w:lineRule="exact"/>
        <w:rPr>
          <w:sz w:val="20"/>
          <w:szCs w:val="20"/>
          <w:color w:val="auto"/>
        </w:rPr>
      </w:pPr>
    </w:p>
    <w:p>
      <w:pPr>
        <w:spacing w:after="0" w:line="299"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loans for the years ended December 31, 2025 and 2024, would have been approximately $114 thousand and $84 thousand, respectively, had these loans performed in accordance with their original terms.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Collateral-Dependent Loans</w:t>
      </w:r>
    </w:p>
    <w:p>
      <w:pPr>
        <w:spacing w:after="0" w:line="233"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 loan is collateral dependent when the borrower is experiencing financial difficulty and repayment of the loan is expected to be provided substantially through the sale or operation of the collateral. There were four collateral dependent loans as of December 31, 2025 and two collateral dependent loans as of December 31, 2024.</w:t>
      </w:r>
    </w:p>
    <w:p>
      <w:pPr>
        <w:spacing w:after="0" w:line="172"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The following table includes the amortized cost basis of collateral dependent loans related to borrowers experiencing financial difficulty by type of collateral as of December 31, 2025 and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tcBorders>
              <w:bottom w:val="single" w:sz="8" w:color="auto"/>
            </w:tcBorders>
            <w:gridSpan w:val="4"/>
          </w:tcPr>
          <w:p>
            <w:pPr>
              <w:jc w:val="center"/>
              <w:ind w:left="2190"/>
              <w:spacing w:after="0"/>
              <w:rPr>
                <w:sz w:val="20"/>
                <w:szCs w:val="20"/>
                <w:color w:val="auto"/>
              </w:rPr>
            </w:pPr>
            <w:r>
              <w:rPr>
                <w:rFonts w:ascii="Arial" w:cs="Arial" w:eastAsia="Arial" w:hAnsi="Arial"/>
                <w:sz w:val="18"/>
                <w:szCs w:val="18"/>
                <w:b w:val="1"/>
                <w:bCs w:val="1"/>
                <w:color w:val="auto"/>
              </w:rPr>
              <w:t>December 31, 2025</w:t>
            </w:r>
          </w:p>
        </w:tc>
        <w:tc>
          <w:tcPr>
            <w:tcW w:w="2280" w:type="dxa"/>
            <w:vAlign w:val="bottom"/>
            <w:tcBorders>
              <w:bottom w:val="single" w:sz="8" w:color="auto"/>
            </w:tcBorders>
          </w:tcPr>
          <w:p>
            <w:pPr>
              <w:spacing w:after="0"/>
              <w:rPr>
                <w:sz w:val="19"/>
                <w:szCs w:val="19"/>
                <w:color w:val="auto"/>
              </w:rPr>
            </w:pPr>
          </w:p>
        </w:tc>
      </w:tr>
      <w:tr>
        <w:trPr>
          <w:trHeight w:val="230"/>
        </w:trPr>
        <w:tc>
          <w:tcPr>
            <w:tcW w:w="4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rPr>
              <w:t>Collateral Type</w:t>
            </w: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r>
      <w:tr>
        <w:trPr>
          <w:trHeight w:val="306"/>
        </w:trPr>
        <w:tc>
          <w:tcPr>
            <w:tcW w:w="4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9"/>
              </w:rPr>
              <w:t>Residential Real Estate</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Specific Reserves</w:t>
            </w:r>
          </w:p>
        </w:tc>
      </w:tr>
      <w:tr>
        <w:trPr>
          <w:trHeight w:val="250"/>
        </w:trPr>
        <w:tc>
          <w:tcPr>
            <w:tcW w:w="43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Borders>
              <w:right w:val="single" w:sz="8" w:color="D1EDF5"/>
            </w:tcBorders>
          </w:tcPr>
          <w:p>
            <w:pPr>
              <w:spacing w:after="0"/>
              <w:rPr>
                <w:sz w:val="21"/>
                <w:szCs w:val="21"/>
                <w:color w:val="auto"/>
              </w:rPr>
            </w:pPr>
          </w:p>
        </w:tc>
        <w:tc>
          <w:tcPr>
            <w:tcW w:w="180" w:type="dxa"/>
            <w:vAlign w:val="bottom"/>
            <w:tcBorders>
              <w:bottom w:val="single" w:sz="8" w:color="auto"/>
            </w:tcBorders>
            <w:shd w:val="clear" w:color="auto" w:fill="D1EDF5"/>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EDF5"/>
          </w:tcPr>
          <w:p>
            <w:pPr>
              <w:spacing w:after="0"/>
              <w:rPr>
                <w:sz w:val="21"/>
                <w:szCs w:val="21"/>
                <w:color w:val="auto"/>
              </w:rPr>
            </w:pPr>
          </w:p>
        </w:tc>
        <w:tc>
          <w:tcPr>
            <w:tcW w:w="22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38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60" w:type="dxa"/>
            <w:vAlign w:val="bottom"/>
            <w:tcBorders>
              <w:bottom w:val="single" w:sz="8" w:color="auto"/>
            </w:tcBorders>
            <w:gridSpan w:val="4"/>
          </w:tcPr>
          <w:p>
            <w:pPr>
              <w:jc w:val="center"/>
              <w:ind w:left="2190"/>
              <w:spacing w:after="0"/>
              <w:rPr>
                <w:sz w:val="20"/>
                <w:szCs w:val="20"/>
                <w:color w:val="auto"/>
              </w:rPr>
            </w:pPr>
            <w:r>
              <w:rPr>
                <w:rFonts w:ascii="Arial" w:cs="Arial" w:eastAsia="Arial" w:hAnsi="Arial"/>
                <w:sz w:val="18"/>
                <w:szCs w:val="18"/>
                <w:b w:val="1"/>
                <w:bCs w:val="1"/>
                <w:color w:val="auto"/>
              </w:rPr>
              <w:t>December 31, 2024</w:t>
            </w:r>
          </w:p>
        </w:tc>
        <w:tc>
          <w:tcPr>
            <w:tcW w:w="2280" w:type="dxa"/>
            <w:vAlign w:val="bottom"/>
            <w:tcBorders>
              <w:bottom w:val="single" w:sz="8" w:color="auto"/>
            </w:tcBorders>
          </w:tcPr>
          <w:p>
            <w:pPr>
              <w:spacing w:after="0"/>
              <w:rPr>
                <w:sz w:val="24"/>
                <w:szCs w:val="24"/>
                <w:color w:val="auto"/>
              </w:rPr>
            </w:pPr>
          </w:p>
        </w:tc>
      </w:tr>
      <w:tr>
        <w:trPr>
          <w:trHeight w:val="232"/>
        </w:trPr>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rPr>
              <w:t>Collateral Type</w:t>
            </w:r>
          </w:p>
        </w:tc>
        <w:tc>
          <w:tcPr>
            <w:tcW w:w="1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r>
      <w:tr>
        <w:trPr>
          <w:trHeight w:val="230"/>
        </w:trPr>
        <w:tc>
          <w:tcPr>
            <w:tcW w:w="4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Boat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Specific Reserves</w:t>
            </w:r>
          </w:p>
        </w:tc>
      </w:tr>
      <w:tr>
        <w:trPr>
          <w:trHeight w:val="230"/>
        </w:trPr>
        <w:tc>
          <w:tcPr>
            <w:tcW w:w="4380" w:type="dxa"/>
            <w:vAlign w:val="bottom"/>
            <w:shd w:val="clear" w:color="auto" w:fill="D1EDF5"/>
          </w:tcPr>
          <w:p>
            <w:pPr>
              <w:spacing w:after="0"/>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1,990</w:t>
            </w:r>
          </w:p>
        </w:tc>
        <w:tc>
          <w:tcPr>
            <w:tcW w:w="60" w:type="dxa"/>
            <w:vAlign w:val="bottom"/>
            <w:tcBorders>
              <w:right w:val="single" w:sz="8" w:color="D1EDF5"/>
            </w:tcBorders>
          </w:tcPr>
          <w:p>
            <w:pPr>
              <w:spacing w:after="0"/>
              <w:rPr>
                <w:sz w:val="19"/>
                <w:szCs w:val="19"/>
                <w:color w:val="auto"/>
              </w:rPr>
            </w:pPr>
          </w:p>
        </w:tc>
        <w:tc>
          <w:tcPr>
            <w:tcW w:w="180" w:type="dxa"/>
            <w:vAlign w:val="bottom"/>
            <w:tcBorders>
              <w:bottom w:val="single" w:sz="8" w:color="auto"/>
            </w:tcBorders>
            <w:shd w:val="clear" w:color="auto" w:fill="D1EDF5"/>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EDF5"/>
          </w:tcPr>
          <w:p>
            <w:pPr>
              <w:spacing w:after="0"/>
              <w:rPr>
                <w:sz w:val="19"/>
                <w:szCs w:val="19"/>
                <w:color w:val="auto"/>
              </w:rPr>
            </w:pPr>
          </w:p>
        </w:tc>
        <w:tc>
          <w:tcPr>
            <w:tcW w:w="22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651</w:t>
            </w:r>
          </w:p>
        </w:tc>
      </w:tr>
      <w:tr>
        <w:trPr>
          <w:trHeight w:val="244"/>
        </w:trPr>
        <w:tc>
          <w:tcPr>
            <w:tcW w:w="438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1,990</w:t>
            </w:r>
          </w:p>
        </w:tc>
        <w:tc>
          <w:tcPr>
            <w:tcW w:w="6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Loan Modifications to Borrowers Experiencing Financial Difficulties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 newly restructured loans, by type of modification, which occurred during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December 31, 2024 (dollars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 2025</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90"/>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8"/>
          </w:tcPr>
          <w:p>
            <w:pPr>
              <w:jc w:val="right"/>
              <w:ind w:right="600"/>
              <w:spacing w:after="0"/>
              <w:rPr>
                <w:sz w:val="20"/>
                <w:szCs w:val="20"/>
                <w:color w:val="auto"/>
              </w:rPr>
            </w:pPr>
            <w:r>
              <w:rPr>
                <w:rFonts w:ascii="Arial" w:cs="Arial" w:eastAsia="Arial" w:hAnsi="Arial"/>
                <w:sz w:val="16"/>
                <w:szCs w:val="16"/>
                <w:b w:val="1"/>
                <w:bCs w:val="1"/>
                <w:color w:val="auto"/>
              </w:rPr>
              <w:t>Amortized Cost Prior to Modification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9"/>
          </w:tcPr>
          <w:p>
            <w:pPr>
              <w:jc w:val="right"/>
              <w:ind w:right="720"/>
              <w:spacing w:after="0"/>
              <w:rPr>
                <w:sz w:val="20"/>
                <w:szCs w:val="20"/>
                <w:color w:val="auto"/>
              </w:rPr>
            </w:pPr>
            <w:r>
              <w:rPr>
                <w:rFonts w:ascii="Arial" w:cs="Arial" w:eastAsia="Arial" w:hAnsi="Arial"/>
                <w:sz w:val="16"/>
                <w:szCs w:val="16"/>
                <w:b w:val="1"/>
                <w:bCs w:val="1"/>
                <w:color w:val="auto"/>
              </w:rPr>
              <w:t>Amortized Cost After Modification</w:t>
            </w:r>
          </w:p>
        </w:tc>
      </w:tr>
      <w:tr>
        <w:trPr>
          <w:trHeight w:val="62"/>
        </w:trPr>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40"/>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20"/>
                <w:szCs w:val="20"/>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w w:val="98"/>
              </w:rPr>
              <w:t>Combination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w w:val="98"/>
              </w:rPr>
              <w:t>Combination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Total</w:t>
            </w:r>
          </w:p>
        </w:tc>
      </w:tr>
      <w:tr>
        <w:trPr>
          <w:trHeight w:val="230"/>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Loans</w:t>
            </w:r>
          </w:p>
        </w:tc>
        <w:tc>
          <w:tcPr>
            <w:tcW w:w="160" w:type="dxa"/>
            <w:vAlign w:val="bottom"/>
          </w:tcPr>
          <w:p>
            <w:pPr>
              <w:spacing w:after="0"/>
              <w:rPr>
                <w:sz w:val="19"/>
                <w:szCs w:val="19"/>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40"/>
              <w:spacing w:after="0"/>
              <w:rPr>
                <w:sz w:val="20"/>
                <w:szCs w:val="20"/>
                <w:color w:val="auto"/>
              </w:rPr>
            </w:pPr>
            <w:r>
              <w:rPr>
                <w:rFonts w:ascii="Arial" w:cs="Arial" w:eastAsia="Arial" w:hAnsi="Arial"/>
                <w:sz w:val="16"/>
                <w:szCs w:val="16"/>
                <w:b w:val="1"/>
                <w:bCs w:val="1"/>
                <w:color w:val="auto"/>
              </w:rPr>
              <w:t>Modifications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Loans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Modifications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r>
      <w:tr>
        <w:trPr>
          <w:trHeight w:val="60"/>
        </w:trPr>
        <w:tc>
          <w:tcPr>
            <w:tcW w:w="2380" w:type="dxa"/>
            <w:vAlign w:val="bottom"/>
            <w:tcBorders>
              <w:bottom w:val="single" w:sz="8" w:color="D1EDF5"/>
            </w:tcBorders>
          </w:tcPr>
          <w:p>
            <w:pPr>
              <w:spacing w:after="0"/>
              <w:rPr>
                <w:sz w:val="5"/>
                <w:szCs w:val="5"/>
                <w:color w:val="auto"/>
              </w:rPr>
            </w:pPr>
          </w:p>
        </w:tc>
        <w:tc>
          <w:tcPr>
            <w:tcW w:w="20" w:type="dxa"/>
            <w:vAlign w:val="bottom"/>
            <w:tcBorders>
              <w:bottom w:val="single" w:sz="8" w:color="D1EDF5"/>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D1EDF5"/>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0" w:type="dxa"/>
            <w:vAlign w:val="bottom"/>
            <w:tcBorders>
              <w:bottom w:val="single" w:sz="8" w:color="D1EDF5"/>
            </w:tcBorders>
          </w:tcPr>
          <w:p>
            <w:pPr>
              <w:spacing w:after="0"/>
              <w:rPr>
                <w:sz w:val="5"/>
                <w:szCs w:val="5"/>
                <w:color w:val="auto"/>
              </w:rPr>
            </w:pPr>
          </w:p>
        </w:tc>
        <w:tc>
          <w:tcPr>
            <w:tcW w:w="20" w:type="dxa"/>
            <w:vAlign w:val="bottom"/>
            <w:tcBorders>
              <w:bottom w:val="single" w:sz="8" w:color="D1EDF5"/>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Borders>
              <w:bottom w:val="single" w:sz="8" w:color="D1EDF5"/>
            </w:tcBorders>
          </w:tcPr>
          <w:p>
            <w:pPr>
              <w:spacing w:after="0"/>
              <w:rPr>
                <w:sz w:val="5"/>
                <w:szCs w:val="5"/>
                <w:color w:val="auto"/>
              </w:rPr>
            </w:pPr>
          </w:p>
        </w:tc>
        <w:tc>
          <w:tcPr>
            <w:tcW w:w="20" w:type="dxa"/>
            <w:vAlign w:val="bottom"/>
            <w:tcBorders>
              <w:bottom w:val="single" w:sz="8" w:color="D1EDF5"/>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D1EDF5"/>
            </w:tcBorders>
          </w:tcPr>
          <w:p>
            <w:pPr>
              <w:spacing w:after="0"/>
              <w:rPr>
                <w:sz w:val="5"/>
                <w:szCs w:val="5"/>
                <w:color w:val="auto"/>
              </w:rPr>
            </w:pPr>
          </w:p>
        </w:tc>
        <w:tc>
          <w:tcPr>
            <w:tcW w:w="20" w:type="dxa"/>
            <w:vAlign w:val="bottom"/>
            <w:tcBorders>
              <w:bottom w:val="single" w:sz="8" w:color="D1EDF5"/>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 w:type="dxa"/>
            <w:vAlign w:val="bottom"/>
            <w:tcBorders>
              <w:bottom w:val="single" w:sz="8" w:color="D1EDF5"/>
            </w:tcBorders>
          </w:tcPr>
          <w:p>
            <w:pPr>
              <w:spacing w:after="0"/>
              <w:rPr>
                <w:sz w:val="5"/>
                <w:szCs w:val="5"/>
                <w:color w:val="auto"/>
              </w:rPr>
            </w:pPr>
          </w:p>
        </w:tc>
        <w:tc>
          <w:tcPr>
            <w:tcW w:w="40" w:type="dxa"/>
            <w:vAlign w:val="bottom"/>
            <w:tcBorders>
              <w:bottom w:val="single" w:sz="8" w:color="D1EDF5"/>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15"/>
        </w:trPr>
        <w:tc>
          <w:tcPr>
            <w:tcW w:w="240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6"/>
                <w:szCs w:val="16"/>
                <w:color w:val="auto"/>
              </w:rPr>
              <w:t>Commercial and industrial</w:t>
            </w:r>
          </w:p>
        </w:tc>
        <w:tc>
          <w:tcPr>
            <w:tcW w:w="1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D1EDF5"/>
            </w:tcBorders>
            <w:shd w:val="clear" w:color="auto" w:fill="D1EDF5"/>
          </w:tcPr>
          <w:p>
            <w:pPr>
              <w:spacing w:after="0"/>
              <w:rPr>
                <w:sz w:val="18"/>
                <w:szCs w:val="18"/>
                <w:color w:val="auto"/>
              </w:rPr>
            </w:pPr>
          </w:p>
        </w:tc>
        <w:tc>
          <w:tcPr>
            <w:tcW w:w="1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969</w:t>
            </w:r>
          </w:p>
        </w:tc>
        <w:tc>
          <w:tcPr>
            <w:tcW w:w="60" w:type="dxa"/>
            <w:vAlign w:val="bottom"/>
            <w:tcBorders>
              <w:bottom w:val="single" w:sz="8" w:color="D1EDF5"/>
            </w:tcBorders>
            <w:shd w:val="clear" w:color="auto" w:fill="D1EDF5"/>
          </w:tcPr>
          <w:p>
            <w:pPr>
              <w:spacing w:after="0"/>
              <w:rPr>
                <w:sz w:val="18"/>
                <w:szCs w:val="18"/>
                <w:color w:val="auto"/>
              </w:rPr>
            </w:pPr>
          </w:p>
        </w:tc>
        <w:tc>
          <w:tcPr>
            <w:tcW w:w="20" w:type="dxa"/>
            <w:vAlign w:val="bottom"/>
            <w:tcBorders>
              <w:bottom w:val="single" w:sz="8" w:color="D1EDF5"/>
            </w:tcBorders>
            <w:shd w:val="clear" w:color="auto" w:fill="D1EDF5"/>
          </w:tcPr>
          <w:p>
            <w:pPr>
              <w:spacing w:after="0"/>
              <w:rPr>
                <w:sz w:val="18"/>
                <w:szCs w:val="18"/>
                <w:color w:val="auto"/>
              </w:rPr>
            </w:pPr>
          </w:p>
        </w:tc>
        <w:tc>
          <w:tcPr>
            <w:tcW w:w="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969</w:t>
            </w:r>
          </w:p>
        </w:tc>
        <w:tc>
          <w:tcPr>
            <w:tcW w:w="60" w:type="dxa"/>
            <w:vAlign w:val="bottom"/>
            <w:tcBorders>
              <w:bottom w:val="single" w:sz="8" w:color="D1EDF5"/>
            </w:tcBorders>
            <w:shd w:val="clear" w:color="auto" w:fill="D1EDF5"/>
          </w:tcPr>
          <w:p>
            <w:pPr>
              <w:spacing w:after="0"/>
              <w:rPr>
                <w:sz w:val="18"/>
                <w:szCs w:val="18"/>
                <w:color w:val="auto"/>
              </w:rPr>
            </w:pPr>
          </w:p>
        </w:tc>
        <w:tc>
          <w:tcPr>
            <w:tcW w:w="20" w:type="dxa"/>
            <w:vAlign w:val="bottom"/>
            <w:tcBorders>
              <w:bottom w:val="single" w:sz="8" w:color="D1EDF5"/>
            </w:tcBorders>
            <w:shd w:val="clear" w:color="auto" w:fill="D1EDF5"/>
          </w:tcPr>
          <w:p>
            <w:pPr>
              <w:spacing w:after="0"/>
              <w:rPr>
                <w:sz w:val="18"/>
                <w:szCs w:val="18"/>
                <w:color w:val="auto"/>
              </w:rPr>
            </w:pPr>
          </w:p>
        </w:tc>
        <w:tc>
          <w:tcPr>
            <w:tcW w:w="11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D1EDF5"/>
            </w:tcBorders>
            <w:shd w:val="clear" w:color="auto" w:fill="D1EDF5"/>
          </w:tcPr>
          <w:p>
            <w:pPr>
              <w:spacing w:after="0"/>
              <w:rPr>
                <w:sz w:val="18"/>
                <w:szCs w:val="18"/>
                <w:color w:val="auto"/>
              </w:rPr>
            </w:pPr>
          </w:p>
        </w:tc>
        <w:tc>
          <w:tcPr>
            <w:tcW w:w="20" w:type="dxa"/>
            <w:vAlign w:val="bottom"/>
            <w:tcBorders>
              <w:bottom w:val="single" w:sz="8" w:color="D1EDF5"/>
            </w:tcBorders>
            <w:shd w:val="clear" w:color="auto" w:fill="D1EDF5"/>
          </w:tcPr>
          <w:p>
            <w:pPr>
              <w:spacing w:after="0"/>
              <w:rPr>
                <w:sz w:val="18"/>
                <w:szCs w:val="18"/>
                <w:color w:val="auto"/>
              </w:rPr>
            </w:pPr>
          </w:p>
        </w:tc>
        <w:tc>
          <w:tcPr>
            <w:tcW w:w="180" w:type="dxa"/>
            <w:vAlign w:val="bottom"/>
            <w:tcBorders>
              <w:bottom w:val="single" w:sz="8" w:color="auto"/>
            </w:tcBorders>
            <w:shd w:val="clear" w:color="auto" w:fill="D1EDF5"/>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883</w:t>
            </w:r>
          </w:p>
        </w:tc>
        <w:tc>
          <w:tcPr>
            <w:tcW w:w="20" w:type="dxa"/>
            <w:vAlign w:val="bottom"/>
            <w:tcBorders>
              <w:bottom w:val="single" w:sz="8" w:color="D1EDF5"/>
            </w:tcBorders>
            <w:shd w:val="clear" w:color="auto" w:fill="D1EDF5"/>
          </w:tcPr>
          <w:p>
            <w:pPr>
              <w:spacing w:after="0"/>
              <w:rPr>
                <w:sz w:val="18"/>
                <w:szCs w:val="18"/>
                <w:color w:val="auto"/>
              </w:rPr>
            </w:pPr>
          </w:p>
        </w:tc>
        <w:tc>
          <w:tcPr>
            <w:tcW w:w="40" w:type="dxa"/>
            <w:vAlign w:val="bottom"/>
            <w:tcBorders>
              <w:bottom w:val="single" w:sz="8" w:color="D1EDF5"/>
            </w:tcBorders>
            <w:shd w:val="clear" w:color="auto" w:fill="D1EDF5"/>
          </w:tcPr>
          <w:p>
            <w:pPr>
              <w:spacing w:after="0"/>
              <w:rPr>
                <w:sz w:val="18"/>
                <w:szCs w:val="18"/>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w w:val="89"/>
                <w:shd w:val="clear" w:color="auto" w:fill="D1EDF5"/>
              </w:rPr>
              <w:t>$</w:t>
            </w:r>
          </w:p>
        </w:tc>
        <w:tc>
          <w:tcPr>
            <w:tcW w:w="12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883</w:t>
            </w:r>
          </w:p>
        </w:tc>
      </w:tr>
      <w:tr>
        <w:trPr>
          <w:trHeight w:val="230"/>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969</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969</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26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883</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883</w:t>
            </w: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90"/>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8"/>
          </w:tcPr>
          <w:p>
            <w:pPr>
              <w:jc w:val="right"/>
              <w:ind w:right="600"/>
              <w:spacing w:after="0"/>
              <w:rPr>
                <w:sz w:val="20"/>
                <w:szCs w:val="20"/>
                <w:color w:val="auto"/>
              </w:rPr>
            </w:pPr>
            <w:r>
              <w:rPr>
                <w:rFonts w:ascii="Arial" w:cs="Arial" w:eastAsia="Arial" w:hAnsi="Arial"/>
                <w:sz w:val="16"/>
                <w:szCs w:val="16"/>
                <w:b w:val="1"/>
                <w:bCs w:val="1"/>
                <w:color w:val="auto"/>
              </w:rPr>
              <w:t>Amortized Cost Prior to Modification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9"/>
          </w:tcPr>
          <w:p>
            <w:pPr>
              <w:jc w:val="right"/>
              <w:ind w:right="720"/>
              <w:spacing w:after="0"/>
              <w:rPr>
                <w:sz w:val="20"/>
                <w:szCs w:val="20"/>
                <w:color w:val="auto"/>
              </w:rPr>
            </w:pPr>
            <w:r>
              <w:rPr>
                <w:rFonts w:ascii="Arial" w:cs="Arial" w:eastAsia="Arial" w:hAnsi="Arial"/>
                <w:sz w:val="16"/>
                <w:szCs w:val="16"/>
                <w:b w:val="1"/>
                <w:bCs w:val="1"/>
                <w:color w:val="auto"/>
              </w:rPr>
              <w:t>Amortized Cost After Modification</w:t>
            </w:r>
          </w:p>
        </w:tc>
      </w:tr>
      <w:tr>
        <w:trPr>
          <w:trHeight w:val="60"/>
        </w:trPr>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42"/>
        </w:trPr>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21"/>
                <w:szCs w:val="21"/>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w w:val="98"/>
              </w:rPr>
              <w:t>Combination</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ind w:right="60"/>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w w:val="98"/>
              </w:rPr>
              <w:t>Combination</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Total</w:t>
            </w:r>
          </w:p>
        </w:tc>
      </w:tr>
      <w:tr>
        <w:trPr>
          <w:trHeight w:val="230"/>
        </w:trPr>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Loans</w:t>
            </w:r>
          </w:p>
        </w:tc>
        <w:tc>
          <w:tcPr>
            <w:tcW w:w="160" w:type="dxa"/>
            <w:vAlign w:val="bottom"/>
          </w:tcPr>
          <w:p>
            <w:pPr>
              <w:spacing w:after="0"/>
              <w:rPr>
                <w:sz w:val="19"/>
                <w:szCs w:val="19"/>
                <w:color w:val="auto"/>
              </w:rPr>
            </w:pPr>
          </w:p>
        </w:tc>
        <w:tc>
          <w:tcPr>
            <w:tcW w:w="132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40"/>
              <w:spacing w:after="0"/>
              <w:rPr>
                <w:sz w:val="20"/>
                <w:szCs w:val="20"/>
                <w:color w:val="auto"/>
              </w:rPr>
            </w:pPr>
            <w:r>
              <w:rPr>
                <w:rFonts w:ascii="Arial" w:cs="Arial" w:eastAsia="Arial" w:hAnsi="Arial"/>
                <w:sz w:val="16"/>
                <w:szCs w:val="16"/>
                <w:b w:val="1"/>
                <w:bCs w:val="1"/>
                <w:color w:val="auto"/>
              </w:rPr>
              <w:t>Modifications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Loans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Modifications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80"/>
              <w:spacing w:after="0"/>
              <w:rPr>
                <w:sz w:val="20"/>
                <w:szCs w:val="20"/>
                <w:color w:val="auto"/>
              </w:rPr>
            </w:pPr>
            <w:r>
              <w:rPr>
                <w:rFonts w:ascii="Arial" w:cs="Arial" w:eastAsia="Arial" w:hAnsi="Arial"/>
                <w:sz w:val="16"/>
                <w:szCs w:val="16"/>
                <w:b w:val="1"/>
                <w:bCs w:val="1"/>
                <w:color w:val="auto"/>
              </w:rPr>
              <w:t>Modifications</w:t>
            </w:r>
          </w:p>
        </w:tc>
      </w:tr>
      <w:tr>
        <w:trPr>
          <w:trHeight w:val="58"/>
        </w:trPr>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1320" w:type="dxa"/>
            <w:vAlign w:val="bottom"/>
          </w:tcPr>
          <w:p>
            <w:pPr>
              <w:spacing w:after="0"/>
              <w:rPr>
                <w:sz w:val="5"/>
                <w:szCs w:val="5"/>
                <w:color w:val="auto"/>
              </w:rPr>
            </w:pPr>
          </w:p>
        </w:tc>
        <w:tc>
          <w:tcPr>
            <w:tcW w:w="6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15"/>
        </w:trPr>
        <w:tc>
          <w:tcPr>
            <w:tcW w:w="2400" w:type="dxa"/>
            <w:vAlign w:val="bottom"/>
            <w:tcBorders>
              <w:top w:val="single" w:sz="8" w:color="D1EDF5"/>
              <w:bottom w:val="single" w:sz="8" w:color="D1EDF5"/>
            </w:tcBorders>
            <w:gridSpan w:val="2"/>
            <w:shd w:val="clear" w:color="auto" w:fill="D1EDF5"/>
          </w:tcPr>
          <w:p>
            <w:pPr>
              <w:spacing w:after="0"/>
              <w:rPr>
                <w:sz w:val="20"/>
                <w:szCs w:val="20"/>
                <w:color w:val="auto"/>
              </w:rPr>
            </w:pPr>
            <w:r>
              <w:rPr>
                <w:rFonts w:ascii="Arial" w:cs="Arial" w:eastAsia="Arial" w:hAnsi="Arial"/>
                <w:sz w:val="16"/>
                <w:szCs w:val="16"/>
                <w:color w:val="auto"/>
              </w:rPr>
              <w:t>Commercial and industrial</w:t>
            </w:r>
          </w:p>
        </w:tc>
        <w:tc>
          <w:tcPr>
            <w:tcW w:w="1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D1EDF5"/>
              <w:bottom w:val="single" w:sz="8" w:color="D1EDF5"/>
            </w:tcBorders>
            <w:shd w:val="clear" w:color="auto" w:fill="D1EDF5"/>
          </w:tcPr>
          <w:p>
            <w:pPr>
              <w:spacing w:after="0"/>
              <w:rPr>
                <w:sz w:val="18"/>
                <w:szCs w:val="18"/>
                <w:color w:val="auto"/>
              </w:rPr>
            </w:pPr>
          </w:p>
        </w:tc>
        <w:tc>
          <w:tcPr>
            <w:tcW w:w="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468</w:t>
            </w:r>
          </w:p>
        </w:tc>
        <w:tc>
          <w:tcPr>
            <w:tcW w:w="60" w:type="dxa"/>
            <w:vAlign w:val="bottom"/>
            <w:tcBorders>
              <w:top w:val="single" w:sz="8" w:color="D1EDF5"/>
              <w:bottom w:val="single" w:sz="8" w:color="D1EDF5"/>
            </w:tcBorders>
            <w:shd w:val="clear" w:color="auto" w:fill="D1EDF5"/>
          </w:tcPr>
          <w:p>
            <w:pPr>
              <w:spacing w:after="0"/>
              <w:rPr>
                <w:sz w:val="18"/>
                <w:szCs w:val="18"/>
                <w:color w:val="auto"/>
              </w:rPr>
            </w:pPr>
          </w:p>
        </w:tc>
        <w:tc>
          <w:tcPr>
            <w:tcW w:w="20" w:type="dxa"/>
            <w:vAlign w:val="bottom"/>
            <w:tcBorders>
              <w:top w:val="single" w:sz="8" w:color="D1EDF5"/>
              <w:bottom w:val="single" w:sz="8" w:color="D1EDF5"/>
            </w:tcBorders>
            <w:shd w:val="clear" w:color="auto" w:fill="D1EDF5"/>
          </w:tcPr>
          <w:p>
            <w:pPr>
              <w:spacing w:after="0"/>
              <w:rPr>
                <w:sz w:val="18"/>
                <w:szCs w:val="18"/>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468</w:t>
            </w:r>
          </w:p>
        </w:tc>
        <w:tc>
          <w:tcPr>
            <w:tcW w:w="60" w:type="dxa"/>
            <w:vAlign w:val="bottom"/>
            <w:tcBorders>
              <w:top w:val="single" w:sz="8" w:color="D1EDF5"/>
              <w:bottom w:val="single" w:sz="8" w:color="D1EDF5"/>
            </w:tcBorders>
            <w:shd w:val="clear" w:color="auto" w:fill="D1EDF5"/>
          </w:tcPr>
          <w:p>
            <w:pPr>
              <w:spacing w:after="0"/>
              <w:rPr>
                <w:sz w:val="18"/>
                <w:szCs w:val="18"/>
                <w:color w:val="auto"/>
              </w:rPr>
            </w:pPr>
          </w:p>
        </w:tc>
        <w:tc>
          <w:tcPr>
            <w:tcW w:w="20" w:type="dxa"/>
            <w:vAlign w:val="bottom"/>
            <w:tcBorders>
              <w:top w:val="single" w:sz="8" w:color="D1EDF5"/>
              <w:bottom w:val="single" w:sz="8" w:color="D1EDF5"/>
            </w:tcBorders>
            <w:shd w:val="clear" w:color="auto" w:fill="D1EDF5"/>
          </w:tcPr>
          <w:p>
            <w:pPr>
              <w:spacing w:after="0"/>
              <w:rPr>
                <w:sz w:val="18"/>
                <w:szCs w:val="18"/>
                <w:color w:val="auto"/>
              </w:rPr>
            </w:pPr>
          </w:p>
        </w:tc>
        <w:tc>
          <w:tcPr>
            <w:tcW w:w="1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D1EDF5"/>
              <w:bottom w:val="single" w:sz="8" w:color="D1EDF5"/>
            </w:tcBorders>
            <w:shd w:val="clear" w:color="auto" w:fill="D1EDF5"/>
          </w:tcPr>
          <w:p>
            <w:pPr>
              <w:spacing w:after="0"/>
              <w:rPr>
                <w:sz w:val="18"/>
                <w:szCs w:val="18"/>
                <w:color w:val="auto"/>
              </w:rPr>
            </w:pPr>
          </w:p>
        </w:tc>
        <w:tc>
          <w:tcPr>
            <w:tcW w:w="20" w:type="dxa"/>
            <w:vAlign w:val="bottom"/>
            <w:tcBorders>
              <w:top w:val="single" w:sz="8" w:color="D1EDF5"/>
              <w:bottom w:val="single" w:sz="8" w:color="D1EDF5"/>
            </w:tcBorders>
            <w:shd w:val="clear" w:color="auto" w:fill="D1EDF5"/>
          </w:tcPr>
          <w:p>
            <w:pPr>
              <w:spacing w:after="0"/>
              <w:rPr>
                <w:sz w:val="18"/>
                <w:szCs w:val="18"/>
                <w:color w:val="auto"/>
              </w:rPr>
            </w:pPr>
          </w:p>
        </w:tc>
        <w:tc>
          <w:tcPr>
            <w:tcW w:w="180" w:type="dxa"/>
            <w:vAlign w:val="bottom"/>
            <w:tcBorders>
              <w:top w:val="single" w:sz="8" w:color="auto"/>
              <w:bottom w:val="single" w:sz="8" w:color="auto"/>
            </w:tcBorders>
            <w:shd w:val="clear" w:color="auto" w:fill="D1EDF5"/>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468</w:t>
            </w:r>
          </w:p>
        </w:tc>
        <w:tc>
          <w:tcPr>
            <w:tcW w:w="60" w:type="dxa"/>
            <w:vAlign w:val="bottom"/>
            <w:tcBorders>
              <w:top w:val="single" w:sz="8" w:color="D1EDF5"/>
              <w:bottom w:val="single" w:sz="8" w:color="D1EDF5"/>
            </w:tcBorders>
            <w:gridSpan w:val="2"/>
            <w:shd w:val="clear" w:color="auto" w:fill="D1EDF5"/>
          </w:tcPr>
          <w:p>
            <w:pPr>
              <w:spacing w:after="0"/>
              <w:rPr>
                <w:sz w:val="18"/>
                <w:szCs w:val="18"/>
                <w:color w:val="auto"/>
              </w:rPr>
            </w:pPr>
          </w:p>
        </w:tc>
        <w:tc>
          <w:tcPr>
            <w:tcW w:w="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w w:val="89"/>
                <w:shd w:val="clear" w:color="auto" w:fill="D1EDF5"/>
              </w:rPr>
              <w:t>$</w:t>
            </w:r>
          </w:p>
        </w:tc>
        <w:tc>
          <w:tcPr>
            <w:tcW w:w="12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6"/>
                <w:szCs w:val="16"/>
                <w:color w:val="auto"/>
              </w:rPr>
              <w:t>468</w:t>
            </w:r>
          </w:p>
        </w:tc>
      </w:tr>
      <w:tr>
        <w:trPr>
          <w:trHeight w:val="232"/>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468</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3"/>
          </w:tcPr>
          <w:p>
            <w:pPr>
              <w:jc w:val="right"/>
              <w:ind w:right="25"/>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468</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0"/>
        </w:trPr>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20"/>
          <w:szCs w:val="20"/>
          <w:color w:val="auto"/>
        </w:rPr>
        <w:t>The two loan modifications for the borrowers experiencing financial difficulty at December 31, 2025 included a combination of rate, term and principal modifications. On one loan, the rate was modified from a variable rate to a 7.75% fixed rate and the term was modified from October 2025 to January 2028. On the second loan, the rate was modified from a variable rate to a 7.20% fixed rate and there was a principal reduction of $86 thousand.</w:t>
      </w:r>
    </w:p>
    <w:p>
      <w:pPr>
        <w:spacing w:after="0" w:line="21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02" w:name="page103"/>
    <w:bookmarkEnd w:id="102"/>
    <w:p>
      <w:pPr>
        <w:ind w:left="2"/>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both"/>
        <w:ind w:left="2" w:firstLine="362"/>
        <w:spacing w:after="0" w:line="261" w:lineRule="auto"/>
        <w:rPr>
          <w:sz w:val="20"/>
          <w:szCs w:val="20"/>
          <w:color w:val="auto"/>
        </w:rPr>
      </w:pPr>
      <w:r>
        <w:rPr>
          <w:rFonts w:ascii="Arial" w:cs="Arial" w:eastAsia="Arial" w:hAnsi="Arial"/>
          <w:sz w:val="20"/>
          <w:szCs w:val="20"/>
          <w:color w:val="auto"/>
        </w:rPr>
        <w:t>The loan modification for the borrower experiencing financial difficulty at December 31, 2024, included a combination of rate and maturity modifications. The rate was modified from a variable rate to a fixed rate of 8.0%. The original maturity of September 2029 was extended to January 2034.</w:t>
      </w:r>
    </w:p>
    <w:p>
      <w:pPr>
        <w:spacing w:after="0" w:line="169" w:lineRule="exact"/>
        <w:rPr>
          <w:sz w:val="20"/>
          <w:szCs w:val="20"/>
          <w:color w:val="auto"/>
        </w:rPr>
      </w:pPr>
    </w:p>
    <w:p>
      <w:pPr>
        <w:jc w:val="both"/>
        <w:ind w:left="2" w:firstLine="360"/>
        <w:spacing w:after="0" w:line="282" w:lineRule="auto"/>
        <w:rPr>
          <w:sz w:val="20"/>
          <w:szCs w:val="20"/>
          <w:color w:val="auto"/>
        </w:rPr>
      </w:pPr>
      <w:r>
        <w:rPr>
          <w:rFonts w:ascii="Arial" w:cs="Arial" w:eastAsia="Arial" w:hAnsi="Arial"/>
          <w:sz w:val="20"/>
          <w:szCs w:val="20"/>
          <w:color w:val="auto"/>
        </w:rPr>
        <w:t>There were no existing loan modifications that subsequently defaulted during either year ended December 31, 2025 and 2024.</w:t>
      </w:r>
    </w:p>
    <w:p>
      <w:pPr>
        <w:spacing w:after="0" w:line="147" w:lineRule="exact"/>
        <w:rPr>
          <w:sz w:val="20"/>
          <w:szCs w:val="20"/>
          <w:color w:val="auto"/>
        </w:rPr>
      </w:pPr>
    </w:p>
    <w:p>
      <w:pPr>
        <w:ind w:left="722" w:hanging="722"/>
        <w:spacing w:after="0"/>
        <w:tabs>
          <w:tab w:leader="none" w:pos="722"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35560</wp:posOffset>
                </wp:positionV>
                <wp:extent cx="689419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2.8pt" to="541.5pt,2.8pt" o:allowincell="f" strokecolor="#000000" strokeweight="1.44pt"/>
            </w:pict>
          </mc:Fallback>
        </mc:AlternateContent>
      </w:r>
    </w:p>
    <w:p>
      <w:pPr>
        <w:spacing w:after="0" w:line="262" w:lineRule="exact"/>
        <w:rPr>
          <w:sz w:val="20"/>
          <w:szCs w:val="20"/>
          <w:color w:val="auto"/>
        </w:rPr>
      </w:pPr>
    </w:p>
    <w:p>
      <w:pPr>
        <w:jc w:val="both"/>
        <w:ind w:left="2" w:firstLine="360"/>
        <w:spacing w:after="0" w:line="251" w:lineRule="auto"/>
        <w:rPr>
          <w:sz w:val="20"/>
          <w:szCs w:val="20"/>
          <w:color w:val="auto"/>
        </w:rPr>
      </w:pPr>
      <w:r>
        <w:rPr>
          <w:rFonts w:ascii="Arial" w:cs="Arial" w:eastAsia="Arial" w:hAnsi="Arial"/>
          <w:sz w:val="20"/>
          <w:szCs w:val="20"/>
          <w:color w:val="auto"/>
        </w:rPr>
        <w:t>The Company enters into leases in the normal course of business primarily for banking centers and back-office operations. As of December 31, 2025,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expiration dates.</w:t>
      </w:r>
    </w:p>
    <w:p>
      <w:pPr>
        <w:spacing w:after="0" w:line="178" w:lineRule="exact"/>
        <w:rPr>
          <w:sz w:val="20"/>
          <w:szCs w:val="20"/>
          <w:color w:val="auto"/>
        </w:rPr>
      </w:pPr>
    </w:p>
    <w:p>
      <w:pPr>
        <w:jc w:val="both"/>
        <w:ind w:left="2" w:firstLine="360"/>
        <w:spacing w:after="0" w:line="250" w:lineRule="auto"/>
        <w:rPr>
          <w:sz w:val="20"/>
          <w:szCs w:val="20"/>
          <w:color w:val="auto"/>
        </w:rPr>
      </w:pPr>
      <w:r>
        <w:rPr>
          <w:rFonts w:ascii="Arial" w:cs="Arial" w:eastAsia="Arial" w:hAnsi="Arial"/>
          <w:sz w:val="20"/>
          <w:szCs w:val="20"/>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83" w:lineRule="exact"/>
        <w:rPr>
          <w:sz w:val="20"/>
          <w:szCs w:val="20"/>
          <w:color w:val="auto"/>
        </w:rPr>
      </w:pPr>
    </w:p>
    <w:p>
      <w:pPr>
        <w:jc w:val="both"/>
        <w:ind w:left="2" w:firstLine="360"/>
        <w:spacing w:after="0" w:line="282" w:lineRule="auto"/>
        <w:rPr>
          <w:sz w:val="20"/>
          <w:szCs w:val="20"/>
          <w:color w:val="auto"/>
        </w:rPr>
      </w:pPr>
      <w:r>
        <w:rPr>
          <w:rFonts w:ascii="Arial" w:cs="Arial" w:eastAsia="Arial" w:hAnsi="Arial"/>
          <w:sz w:val="20"/>
          <w:szCs w:val="20"/>
          <w:color w:val="auto"/>
        </w:rPr>
        <w:t>ROU assets and lease liabilities are recognized at the lease commencement date based on the estimated present value of lease payments over the lease term.</w:t>
      </w:r>
    </w:p>
    <w:p>
      <w:pPr>
        <w:spacing w:after="0" w:line="151" w:lineRule="exact"/>
        <w:rPr>
          <w:sz w:val="20"/>
          <w:szCs w:val="20"/>
          <w:color w:val="auto"/>
        </w:rPr>
      </w:pPr>
    </w:p>
    <w:p>
      <w:pPr>
        <w:jc w:val="both"/>
        <w:ind w:left="2" w:firstLine="360"/>
        <w:spacing w:after="0" w:line="260" w:lineRule="auto"/>
        <w:rPr>
          <w:sz w:val="20"/>
          <w:szCs w:val="20"/>
          <w:color w:val="auto"/>
        </w:rPr>
      </w:pPr>
      <w:r>
        <w:rPr>
          <w:rFonts w:ascii="Arial" w:cs="Arial" w:eastAsia="Arial" w:hAnsi="Arial"/>
          <w:sz w:val="20"/>
          <w:szCs w:val="20"/>
          <w:color w:val="auto"/>
        </w:rPr>
        <w:t>As most of the Company’s leases do not provide an implicit rate, the incremental borrowing rate based on the information available at commencement date is used. The Company’s incremental borrowing rate is based on the FHLB advances rate matching or nearing the lease term.</w:t>
      </w:r>
    </w:p>
    <w:p>
      <w:pPr>
        <w:spacing w:after="0" w:line="172" w:lineRule="exact"/>
        <w:rPr>
          <w:sz w:val="20"/>
          <w:szCs w:val="20"/>
          <w:color w:val="auto"/>
        </w:rPr>
      </w:pPr>
    </w:p>
    <w:p>
      <w:pPr>
        <w:ind w:left="362"/>
        <w:spacing w:after="0"/>
        <w:rPr>
          <w:sz w:val="20"/>
          <w:szCs w:val="20"/>
          <w:color w:val="auto"/>
        </w:rPr>
      </w:pPr>
      <w:r>
        <w:rPr>
          <w:rFonts w:ascii="Arial" w:cs="Arial" w:eastAsia="Arial" w:hAnsi="Arial"/>
          <w:sz w:val="20"/>
          <w:szCs w:val="20"/>
          <w:color w:val="auto"/>
        </w:rPr>
        <w:t>The following table presents the ROU assets and lease liabilities as of December 31, 2025 and 2024 (in thousands):</w:t>
      </w:r>
    </w:p>
    <w:p>
      <w:pPr>
        <w:spacing w:after="0" w:line="259"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4800" w:type="dxa"/>
            <w:vAlign w:val="bottom"/>
            <w:tcBorders>
              <w:bottom w:val="single" w:sz="8" w:color="D1EDF5"/>
            </w:tcBorders>
          </w:tcPr>
          <w:p>
            <w:pPr>
              <w:spacing w:after="0"/>
              <w:rPr>
                <w:sz w:val="19"/>
                <w:szCs w:val="19"/>
                <w:color w:val="auto"/>
              </w:rPr>
            </w:pPr>
          </w:p>
        </w:tc>
        <w:tc>
          <w:tcPr>
            <w:tcW w:w="33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30"/>
        </w:trPr>
        <w:tc>
          <w:tcPr>
            <w:tcW w:w="480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ROU assets:</w:t>
            </w:r>
          </w:p>
        </w:tc>
        <w:tc>
          <w:tcPr>
            <w:tcW w:w="332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1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120" w:type="dxa"/>
            <w:vAlign w:val="bottom"/>
            <w:shd w:val="clear" w:color="auto" w:fill="D1EDF5"/>
          </w:tcPr>
          <w:p>
            <w:pPr>
              <w:spacing w:after="0"/>
              <w:rPr>
                <w:sz w:val="19"/>
                <w:szCs w:val="19"/>
                <w:color w:val="auto"/>
              </w:rPr>
            </w:pPr>
          </w:p>
        </w:tc>
      </w:tr>
      <w:tr>
        <w:trPr>
          <w:trHeight w:val="240"/>
        </w:trPr>
        <w:tc>
          <w:tcPr>
            <w:tcW w:w="48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8,451</w:t>
            </w:r>
          </w:p>
        </w:tc>
      </w:tr>
      <w:tr>
        <w:trPr>
          <w:trHeight w:val="240"/>
        </w:trPr>
        <w:tc>
          <w:tcPr>
            <w:tcW w:w="4800" w:type="dxa"/>
            <w:vAlign w:val="bottom"/>
            <w:shd w:val="clear" w:color="auto" w:fill="D1EDF5"/>
          </w:tcPr>
          <w:p>
            <w:pPr>
              <w:spacing w:after="0"/>
              <w:rPr>
                <w:sz w:val="20"/>
                <w:szCs w:val="20"/>
                <w:color w:val="auto"/>
              </w:rPr>
            </w:pPr>
          </w:p>
        </w:tc>
        <w:tc>
          <w:tcPr>
            <w:tcW w:w="33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r>
      <w:tr>
        <w:trPr>
          <w:trHeight w:val="240"/>
        </w:trPr>
        <w:tc>
          <w:tcPr>
            <w:tcW w:w="480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4800" w:type="dxa"/>
            <w:vAlign w:val="bottom"/>
            <w:shd w:val="clear" w:color="auto" w:fill="D1EDF5"/>
          </w:tcPr>
          <w:p>
            <w:pPr>
              <w:ind w:left="140"/>
              <w:spacing w:after="0"/>
              <w:rPr>
                <w:sz w:val="20"/>
                <w:szCs w:val="20"/>
                <w:color w:val="auto"/>
              </w:rPr>
            </w:pPr>
            <w:r>
              <w:rPr>
                <w:rFonts w:ascii="Arial" w:cs="Arial" w:eastAsia="Arial" w:hAnsi="Arial"/>
                <w:sz w:val="18"/>
                <w:szCs w:val="18"/>
                <w:color w:val="auto"/>
              </w:rPr>
              <w:t>Operating leases</w:t>
            </w:r>
          </w:p>
        </w:tc>
        <w:tc>
          <w:tcPr>
            <w:tcW w:w="33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5,519</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8,451</w:t>
            </w:r>
          </w:p>
        </w:tc>
      </w:tr>
    </w:tbl>
    <w:p>
      <w:pPr>
        <w:spacing w:after="0" w:line="211" w:lineRule="exact"/>
        <w:rPr>
          <w:sz w:val="20"/>
          <w:szCs w:val="20"/>
          <w:color w:val="auto"/>
        </w:rPr>
      </w:pPr>
    </w:p>
    <w:p>
      <w:pPr>
        <w:ind w:left="362"/>
        <w:spacing w:after="0"/>
        <w:rPr>
          <w:sz w:val="20"/>
          <w:szCs w:val="20"/>
          <w:color w:val="auto"/>
        </w:rPr>
      </w:pPr>
      <w:r>
        <w:rPr>
          <w:rFonts w:ascii="Arial" w:cs="Arial" w:eastAsia="Arial" w:hAnsi="Arial"/>
          <w:sz w:val="20"/>
          <w:szCs w:val="20"/>
          <w:color w:val="auto"/>
        </w:rPr>
        <w:t>The weighted average remaining lease term and weighted average discount rate as of December 31, 2025 and 2024:</w:t>
      </w:r>
    </w:p>
    <w:p>
      <w:pPr>
        <w:spacing w:after="0" w:line="260"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8060" w:type="dxa"/>
            <w:vAlign w:val="bottom"/>
          </w:tcPr>
          <w:p>
            <w:pPr>
              <w:spacing w:after="0"/>
              <w:rPr>
                <w:sz w:val="19"/>
                <w:szCs w:val="19"/>
                <w:color w:val="auto"/>
              </w:rPr>
            </w:pPr>
          </w:p>
        </w:tc>
        <w:tc>
          <w:tcPr>
            <w:tcW w:w="27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060" w:type="dxa"/>
            <w:vAlign w:val="bottom"/>
            <w:tcBorders>
              <w:bottom w:val="single" w:sz="8" w:color="D1EDF5"/>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D1EDF5"/>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30"/>
        </w:trPr>
        <w:tc>
          <w:tcPr>
            <w:tcW w:w="806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34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1340" w:type="dxa"/>
            <w:vAlign w:val="bottom"/>
            <w:shd w:val="clear" w:color="auto" w:fill="D1EDF5"/>
          </w:tcPr>
          <w:p>
            <w:pPr>
              <w:spacing w:after="0"/>
              <w:rPr>
                <w:sz w:val="19"/>
                <w:szCs w:val="19"/>
                <w:color w:val="auto"/>
              </w:rPr>
            </w:pPr>
          </w:p>
        </w:tc>
      </w:tr>
      <w:tr>
        <w:trPr>
          <w:trHeight w:val="240"/>
        </w:trPr>
        <w:tc>
          <w:tcPr>
            <w:tcW w:w="80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340" w:type="dxa"/>
            <w:vAlign w:val="bottom"/>
          </w:tcPr>
          <w:p>
            <w:pPr>
              <w:ind w:left="760"/>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20"/>
                <w:szCs w:val="20"/>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rPr>
              <w:t>5.95</w:t>
            </w:r>
          </w:p>
        </w:tc>
      </w:tr>
      <w:tr>
        <w:trPr>
          <w:trHeight w:val="240"/>
        </w:trPr>
        <w:tc>
          <w:tcPr>
            <w:tcW w:w="8060" w:type="dxa"/>
            <w:vAlign w:val="bottom"/>
            <w:shd w:val="clear" w:color="auto" w:fill="D1EDF5"/>
          </w:tcPr>
          <w:p>
            <w:pPr>
              <w:spacing w:after="0"/>
              <w:rPr>
                <w:sz w:val="20"/>
                <w:szCs w:val="20"/>
                <w:color w:val="auto"/>
              </w:rPr>
            </w:pPr>
          </w:p>
        </w:tc>
        <w:tc>
          <w:tcPr>
            <w:tcW w:w="13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340" w:type="dxa"/>
            <w:vAlign w:val="bottom"/>
            <w:shd w:val="clear" w:color="auto" w:fill="D1EDF5"/>
          </w:tcPr>
          <w:p>
            <w:pPr>
              <w:spacing w:after="0"/>
              <w:rPr>
                <w:sz w:val="20"/>
                <w:szCs w:val="20"/>
                <w:color w:val="auto"/>
              </w:rPr>
            </w:pPr>
          </w:p>
        </w:tc>
      </w:tr>
      <w:tr>
        <w:trPr>
          <w:trHeight w:val="240"/>
        </w:trPr>
        <w:tc>
          <w:tcPr>
            <w:tcW w:w="806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0"/>
        </w:trPr>
        <w:tc>
          <w:tcPr>
            <w:tcW w:w="8060" w:type="dxa"/>
            <w:vAlign w:val="bottom"/>
            <w:shd w:val="clear" w:color="auto" w:fill="D1EDF5"/>
          </w:tcPr>
          <w:p>
            <w:pPr>
              <w:ind w:left="140"/>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D1EDF5"/>
          </w:tcPr>
          <w:p>
            <w:pPr>
              <w:ind w:left="76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D1EDF5"/>
          </w:tcPr>
          <w:p>
            <w:pPr>
              <w:spacing w:after="0"/>
              <w:rPr>
                <w:sz w:val="20"/>
                <w:szCs w:val="20"/>
                <w:color w:val="auto"/>
              </w:rPr>
            </w:pPr>
          </w:p>
        </w:tc>
        <w:tc>
          <w:tcPr>
            <w:tcW w:w="1340" w:type="dxa"/>
            <w:vAlign w:val="bottom"/>
            <w:shd w:val="clear" w:color="auto" w:fill="D1EDF5"/>
          </w:tcPr>
          <w:p>
            <w:pPr>
              <w:ind w:left="780"/>
              <w:spacing w:after="0"/>
              <w:rPr>
                <w:sz w:val="20"/>
                <w:szCs w:val="20"/>
                <w:color w:val="auto"/>
              </w:rPr>
            </w:pPr>
            <w:r>
              <w:rPr>
                <w:rFonts w:ascii="Arial" w:cs="Arial" w:eastAsia="Arial" w:hAnsi="Arial"/>
                <w:sz w:val="18"/>
                <w:szCs w:val="18"/>
                <w:color w:val="auto"/>
              </w:rPr>
              <w:t>2.94%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5829935</wp:posOffset>
                </wp:positionH>
                <wp:positionV relativeFrom="paragraph">
                  <wp:posOffset>-130810</wp:posOffset>
                </wp:positionV>
                <wp:extent cx="181610" cy="13081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610" cy="130810"/>
                        </a:xfrm>
                        <a:prstGeom prst="rect">
                          <a:avLst/>
                        </a:prstGeom>
                        <a:solidFill>
                          <a:srgbClr val="D1EDF5"/>
                        </a:solidFill>
                      </wps:spPr>
                      <wps:bodyPr/>
                    </wps:wsp>
                  </a:graphicData>
                </a:graphic>
              </wp:anchor>
            </w:drawing>
          </mc:Choice>
          <mc:Fallback>
            <w:pict>
              <v:rect id="Shape 137" o:spid="_x0000_s1162" style="position:absolute;margin-left:459.05pt;margin-top:-10.2999pt;width:14.3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
        <w:spacing w:after="0"/>
        <w:tabs>
          <w:tab w:leader="none" w:pos="360" w:val="left"/>
          <w:tab w:leader="none" w:pos="2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2"/>
          </w:cols>
          <w:pgMar w:left="718" w:top="355" w:right="720" w:bottom="0" w:gutter="0" w:footer="0" w:header="0"/>
        </w:sectPr>
      </w:pPr>
    </w:p>
    <w:bookmarkStart w:id="103" w:name="page104"/>
    <w:bookmarkEnd w:id="103"/>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Future lease payment obligations and a reconciliation to lease liability as of December 31, 2025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D1EDF5"/>
            </w:tcBorders>
          </w:tcPr>
          <w:p>
            <w:pPr>
              <w:spacing w:after="0"/>
              <w:rPr>
                <w:sz w:val="19"/>
                <w:szCs w:val="19"/>
                <w:color w:val="auto"/>
              </w:rPr>
            </w:pPr>
          </w:p>
        </w:tc>
        <w:tc>
          <w:tcPr>
            <w:tcW w:w="22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30"/>
        </w:trPr>
        <w:tc>
          <w:tcPr>
            <w:tcW w:w="8360" w:type="dxa"/>
            <w:vAlign w:val="bottom"/>
            <w:shd w:val="clear" w:color="auto" w:fill="D1EDF5"/>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D1EDF5"/>
          </w:tcPr>
          <w:p>
            <w:pPr>
              <w:spacing w:after="0"/>
              <w:rPr>
                <w:sz w:val="19"/>
                <w:szCs w:val="19"/>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2,383</w:t>
            </w:r>
          </w:p>
        </w:tc>
      </w:tr>
      <w:tr>
        <w:trPr>
          <w:trHeight w:val="240"/>
        </w:trPr>
        <w:tc>
          <w:tcPr>
            <w:tcW w:w="8360" w:type="dxa"/>
            <w:vAlign w:val="bottom"/>
          </w:tcPr>
          <w:p>
            <w:pPr>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40"/>
        </w:trPr>
        <w:tc>
          <w:tcPr>
            <w:tcW w:w="8360" w:type="dxa"/>
            <w:vAlign w:val="bottom"/>
            <w:shd w:val="clear" w:color="auto" w:fill="D1EDF5"/>
          </w:tcPr>
          <w:p>
            <w:pPr>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2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492</w:t>
            </w:r>
          </w:p>
        </w:tc>
      </w:tr>
      <w:tr>
        <w:trPr>
          <w:trHeight w:val="240"/>
        </w:trPr>
        <w:tc>
          <w:tcPr>
            <w:tcW w:w="8360" w:type="dxa"/>
            <w:vAlign w:val="bottom"/>
          </w:tcPr>
          <w:p>
            <w:pPr>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60"/>
        </w:trPr>
        <w:tc>
          <w:tcPr>
            <w:tcW w:w="83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D1EDF5"/>
            </w:tcBorders>
            <w:shd w:val="clear" w:color="auto" w:fill="D1EDF5"/>
          </w:tcPr>
          <w:p>
            <w:pPr>
              <w:spacing w:after="0"/>
              <w:rPr>
                <w:sz w:val="22"/>
                <w:szCs w:val="22"/>
                <w:color w:val="auto"/>
              </w:rPr>
            </w:pPr>
          </w:p>
        </w:tc>
        <w:tc>
          <w:tcPr>
            <w:tcW w:w="180" w:type="dxa"/>
            <w:vAlign w:val="bottom"/>
            <w:tcBorders>
              <w:bottom w:val="single" w:sz="8" w:color="auto"/>
            </w:tcBorders>
            <w:shd w:val="clear" w:color="auto" w:fill="D1EDF5"/>
          </w:tcPr>
          <w:p>
            <w:pPr>
              <w:spacing w:after="0"/>
              <w:rPr>
                <w:sz w:val="22"/>
                <w:szCs w:val="22"/>
                <w:color w:val="auto"/>
              </w:rPr>
            </w:pPr>
          </w:p>
        </w:tc>
        <w:tc>
          <w:tcPr>
            <w:tcW w:w="2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2,509</w:t>
            </w:r>
          </w:p>
        </w:tc>
      </w:tr>
      <w:tr>
        <w:trPr>
          <w:trHeight w:val="210"/>
        </w:trPr>
        <w:tc>
          <w:tcPr>
            <w:tcW w:w="836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6,813</w:t>
            </w:r>
          </w:p>
        </w:tc>
      </w:tr>
      <w:tr>
        <w:trPr>
          <w:trHeight w:val="240"/>
        </w:trPr>
        <w:tc>
          <w:tcPr>
            <w:tcW w:w="8360" w:type="dxa"/>
            <w:vAlign w:val="bottom"/>
            <w:shd w:val="clear" w:color="auto" w:fill="D1EDF5"/>
          </w:tcPr>
          <w:p>
            <w:pPr>
              <w:spacing w:after="0"/>
              <w:rPr>
                <w:sz w:val="20"/>
                <w:szCs w:val="20"/>
                <w:color w:val="auto"/>
              </w:rPr>
            </w:pPr>
            <w:r>
              <w:rPr>
                <w:rFonts w:ascii="Arial" w:cs="Arial" w:eastAsia="Arial" w:hAnsi="Arial"/>
                <w:sz w:val="18"/>
                <w:szCs w:val="18"/>
                <w:color w:val="auto"/>
              </w:rPr>
              <w:t>Less: interest component</w:t>
            </w: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2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(1,294)</w:t>
            </w:r>
          </w:p>
        </w:tc>
      </w:tr>
      <w:tr>
        <w:trPr>
          <w:trHeight w:val="246"/>
        </w:trPr>
        <w:tc>
          <w:tcPr>
            <w:tcW w:w="8360" w:type="dxa"/>
            <w:vAlign w:val="bottom"/>
          </w:tcPr>
          <w:p>
            <w:pPr>
              <w:ind w:left="140"/>
              <w:spacing w:after="0"/>
              <w:rPr>
                <w:sz w:val="20"/>
                <w:szCs w:val="20"/>
                <w:color w:val="auto"/>
              </w:rPr>
            </w:pPr>
            <w:r>
              <w:rPr>
                <w:rFonts w:ascii="Arial" w:cs="Arial" w:eastAsia="Arial" w:hAnsi="Arial"/>
                <w:sz w:val="18"/>
                <w:szCs w:val="18"/>
                <w:color w:val="auto"/>
              </w:rPr>
              <w:t>Total lease liability</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r>
      <w:tr>
        <w:trPr>
          <w:trHeight w:val="20"/>
        </w:trPr>
        <w:tc>
          <w:tcPr>
            <w:tcW w:w="8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lease cost for the years ended December 31, 2025 and 2024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0"/>
        </w:trPr>
        <w:tc>
          <w:tcPr>
            <w:tcW w:w="8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 w:type="dxa"/>
            <w:vAlign w:val="bottom"/>
            <w:shd w:val="clear" w:color="auto" w:fill="D1EDF5"/>
          </w:tcPr>
          <w:p>
            <w:pPr>
              <w:spacing w:after="0"/>
              <w:rPr>
                <w:sz w:val="20"/>
                <w:szCs w:val="20"/>
                <w:color w:val="auto"/>
              </w:rPr>
            </w:pPr>
          </w:p>
        </w:tc>
        <w:tc>
          <w:tcPr>
            <w:tcW w:w="7980" w:type="dxa"/>
            <w:vAlign w:val="bottom"/>
            <w:shd w:val="clear" w:color="auto" w:fill="D1EDF5"/>
          </w:tcPr>
          <w:p>
            <w:pPr>
              <w:spacing w:after="0"/>
              <w:rPr>
                <w:sz w:val="20"/>
                <w:szCs w:val="20"/>
                <w:color w:val="auto"/>
              </w:rPr>
            </w:pPr>
            <w:r>
              <w:rPr>
                <w:rFonts w:ascii="Arial" w:cs="Arial" w:eastAsia="Arial" w:hAnsi="Arial"/>
                <w:sz w:val="18"/>
                <w:szCs w:val="18"/>
                <w:color w:val="auto"/>
              </w:rPr>
              <w:t>ROU assets amortization</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2,932</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40"/>
        </w:trPr>
        <w:tc>
          <w:tcPr>
            <w:tcW w:w="812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0"/>
        </w:trPr>
        <w:tc>
          <w:tcPr>
            <w:tcW w:w="812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Less: Sublease income</w:t>
            </w:r>
          </w:p>
        </w:tc>
        <w:tc>
          <w:tcPr>
            <w:tcW w:w="180" w:type="dxa"/>
            <w:vAlign w:val="bottom"/>
            <w:shd w:val="clear" w:color="auto" w:fill="D1EDF5"/>
          </w:tcPr>
          <w:p>
            <w:pPr>
              <w:spacing w:after="0"/>
              <w:rPr>
                <w:sz w:val="20"/>
                <w:szCs w:val="20"/>
                <w:color w:val="auto"/>
              </w:rPr>
            </w:pPr>
          </w:p>
        </w:tc>
        <w:tc>
          <w:tcPr>
            <w:tcW w:w="116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(85)</w:t>
            </w:r>
          </w:p>
        </w:tc>
        <w:tc>
          <w:tcPr>
            <w:tcW w:w="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40" w:type="dxa"/>
            <w:vAlign w:val="bottom"/>
            <w:tcBorders>
              <w:top w:val="single" w:sz="8" w:color="D1EDF5"/>
            </w:tcBorders>
          </w:tcPr>
          <w:p>
            <w:pPr>
              <w:spacing w:after="0" w:line="20" w:lineRule="exact"/>
              <w:rPr>
                <w:sz w:val="1"/>
                <w:szCs w:val="1"/>
                <w:color w:val="auto"/>
              </w:rPr>
            </w:pPr>
          </w:p>
        </w:tc>
        <w:tc>
          <w:tcPr>
            <w:tcW w:w="7980" w:type="dxa"/>
            <w:vAlign w:val="bottom"/>
            <w:tcBorders>
              <w:top w:val="single" w:sz="8" w:color="D1EDF5"/>
            </w:tcBorders>
            <w:vMerge w:val="restart"/>
          </w:tcPr>
          <w:p>
            <w:pPr>
              <w:spacing w:after="0"/>
              <w:rPr>
                <w:sz w:val="20"/>
                <w:szCs w:val="20"/>
                <w:color w:val="auto"/>
              </w:rPr>
            </w:pPr>
            <w:r>
              <w:rPr>
                <w:rFonts w:ascii="Arial" w:cs="Arial" w:eastAsia="Arial" w:hAnsi="Arial"/>
                <w:sz w:val="18"/>
                <w:szCs w:val="18"/>
                <w:color w:val="auto"/>
              </w:rPr>
              <w:t>Total lease cost, net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4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4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3,670</w:t>
            </w: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20" w:hanging="720"/>
        <w:spacing w:after="0"/>
        <w:tabs>
          <w:tab w:leader="none" w:pos="7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PREMISES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399pt"/>
            </w:pict>
          </mc:Fallback>
        </mc:AlternateConten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premises and equipment are presented below as of December 31, 2025 and 2024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2"/>
        </w:trPr>
        <w:tc>
          <w:tcPr>
            <w:tcW w:w="8100" w:type="dxa"/>
            <w:vAlign w:val="bottom"/>
            <w:shd w:val="clear" w:color="auto" w:fill="D1EDF5"/>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972</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0"/>
        </w:trPr>
        <w:tc>
          <w:tcPr>
            <w:tcW w:w="8100" w:type="dxa"/>
            <w:vAlign w:val="bottom"/>
          </w:tcPr>
          <w:p>
            <w:pPr>
              <w:spacing w:after="0"/>
              <w:rPr>
                <w:sz w:val="20"/>
                <w:szCs w:val="20"/>
                <w:color w:val="auto"/>
              </w:rPr>
            </w:pPr>
            <w:r>
              <w:rPr>
                <w:rFonts w:ascii="Arial" w:cs="Arial" w:eastAsia="Arial" w:hAnsi="Arial"/>
                <w:sz w:val="18"/>
                <w:szCs w:val="18"/>
                <w:color w:val="auto"/>
              </w:rPr>
              <w:t>Building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0"/>
        </w:trPr>
        <w:tc>
          <w:tcPr>
            <w:tcW w:w="8100" w:type="dxa"/>
            <w:vAlign w:val="bottom"/>
            <w:shd w:val="clear" w:color="auto" w:fill="D1EDF5"/>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9,313</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40"/>
        </w:trPr>
        <w:tc>
          <w:tcPr>
            <w:tcW w:w="81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60"/>
        </w:trPr>
        <w:tc>
          <w:tcPr>
            <w:tcW w:w="810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D1EDF5"/>
            </w:tcBorders>
            <w:shd w:val="clear" w:color="auto" w:fill="D1EDF5"/>
          </w:tcPr>
          <w:p>
            <w:pPr>
              <w:spacing w:after="0"/>
              <w:rPr>
                <w:sz w:val="22"/>
                <w:szCs w:val="22"/>
                <w:color w:val="auto"/>
              </w:rPr>
            </w:pPr>
          </w:p>
        </w:tc>
        <w:tc>
          <w:tcPr>
            <w:tcW w:w="180" w:type="dxa"/>
            <w:vAlign w:val="bottom"/>
            <w:tcBorders>
              <w:bottom w:val="single" w:sz="8" w:color="auto"/>
            </w:tcBorders>
            <w:shd w:val="clear" w:color="auto" w:fill="D1EDF5"/>
          </w:tcPr>
          <w:p>
            <w:pPr>
              <w:spacing w:after="0"/>
              <w:rPr>
                <w:sz w:val="22"/>
                <w:szCs w:val="22"/>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10,587</w:t>
            </w:r>
          </w:p>
        </w:tc>
        <w:tc>
          <w:tcPr>
            <w:tcW w:w="6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180" w:type="dxa"/>
            <w:vAlign w:val="bottom"/>
            <w:tcBorders>
              <w:bottom w:val="single" w:sz="8" w:color="auto"/>
            </w:tcBorders>
            <w:shd w:val="clear" w:color="auto" w:fill="D1EDF5"/>
          </w:tcPr>
          <w:p>
            <w:pPr>
              <w:spacing w:after="0"/>
              <w:rPr>
                <w:sz w:val="22"/>
                <w:szCs w:val="22"/>
                <w:color w:val="auto"/>
              </w:rPr>
            </w:pPr>
          </w:p>
        </w:tc>
        <w:tc>
          <w:tcPr>
            <w:tcW w:w="11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10"/>
        </w:trPr>
        <w:tc>
          <w:tcPr>
            <w:tcW w:w="8100" w:type="dxa"/>
            <w:vAlign w:val="bottom"/>
          </w:tcPr>
          <w:p>
            <w:pPr>
              <w:ind w:left="140"/>
              <w:spacing w:after="0"/>
              <w:rPr>
                <w:sz w:val="20"/>
                <w:szCs w:val="20"/>
                <w:color w:val="auto"/>
              </w:rPr>
            </w:pPr>
            <w:r>
              <w:rPr>
                <w:rFonts w:ascii="Arial" w:cs="Arial" w:eastAsia="Arial" w:hAnsi="Arial"/>
                <w:sz w:val="18"/>
                <w:szCs w:val="18"/>
                <w:color w:val="auto"/>
              </w:rPr>
              <w:t>Premises and equipment, gross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40"/>
        </w:trPr>
        <w:tc>
          <w:tcPr>
            <w:tcW w:w="8100" w:type="dxa"/>
            <w:vAlign w:val="bottom"/>
            <w:shd w:val="clear" w:color="auto" w:fill="D1EDF5"/>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80" w:type="dxa"/>
            <w:vAlign w:val="bottom"/>
            <w:gridSpan w:val="2"/>
            <w:shd w:val="clear" w:color="auto" w:fill="D1EDF5"/>
          </w:tcPr>
          <w:p>
            <w:pPr>
              <w:jc w:val="right"/>
              <w:ind w:right="60"/>
              <w:spacing w:after="0"/>
              <w:rPr>
                <w:sz w:val="20"/>
                <w:szCs w:val="20"/>
                <w:color w:val="auto"/>
              </w:rPr>
            </w:pPr>
            <w:r>
              <w:rPr>
                <w:rFonts w:ascii="Arial" w:cs="Arial" w:eastAsia="Arial" w:hAnsi="Arial"/>
                <w:sz w:val="18"/>
                <w:szCs w:val="18"/>
                <w:color w:val="auto"/>
              </w:rPr>
              <w:t>(23,324)</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0"/>
        </w:trPr>
        <w:tc>
          <w:tcPr>
            <w:tcW w:w="8100" w:type="dxa"/>
            <w:vAlign w:val="bottom"/>
            <w:tcBorders>
              <w:top w:val="single" w:sz="8" w:color="D1EDF5"/>
            </w:tcBorders>
            <w:vMerge w:val="restart"/>
          </w:tcPr>
          <w:p>
            <w:pPr>
              <w:ind w:left="140"/>
              <w:spacing w:after="0"/>
              <w:rPr>
                <w:sz w:val="20"/>
                <w:szCs w:val="20"/>
                <w:color w:val="auto"/>
              </w:rPr>
            </w:pPr>
            <w:r>
              <w:rPr>
                <w:rFonts w:ascii="Arial" w:cs="Arial" w:eastAsia="Arial" w:hAnsi="Arial"/>
                <w:sz w:val="18"/>
                <w:szCs w:val="18"/>
                <w:color w:val="auto"/>
              </w:rPr>
              <w:t>Premises and equipment, net</w:t>
            </w:r>
          </w:p>
        </w:tc>
        <w:tc>
          <w:tcPr>
            <w:tcW w:w="2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1EDF5"/>
            </w:tcBorders>
          </w:tcPr>
          <w:p>
            <w:pPr>
              <w:spacing w:after="0" w:line="20" w:lineRule="exact"/>
              <w:rPr>
                <w:sz w:val="1"/>
                <w:szCs w:val="1"/>
                <w:color w:val="auto"/>
              </w:rPr>
            </w:pPr>
          </w:p>
        </w:tc>
        <w:tc>
          <w:tcPr>
            <w:tcW w:w="2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100" w:type="dxa"/>
            <w:vAlign w:val="bottom"/>
            <w:vMerge w:val="continue"/>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360"/>
        <w:spacing w:after="0" w:line="280" w:lineRule="auto"/>
        <w:rPr>
          <w:sz w:val="20"/>
          <w:szCs w:val="20"/>
          <w:color w:val="auto"/>
        </w:rPr>
      </w:pPr>
      <w:r>
        <w:rPr>
          <w:rFonts w:ascii="Arial" w:cs="Arial" w:eastAsia="Arial" w:hAnsi="Arial"/>
          <w:sz w:val="20"/>
          <w:szCs w:val="20"/>
          <w:color w:val="auto"/>
        </w:rPr>
        <w:t>Depreciation and amortization expense was $619 thousand and $587 thousand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04" w:name="page105"/>
    <w:bookmarkEnd w:id="104"/>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540" w:hanging="540"/>
        <w:spacing w:after="0"/>
        <w:tabs>
          <w:tab w:leader="none" w:pos="5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4pt"/>
            </w:pict>
          </mc:Fallback>
        </mc:AlternateConten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Company’s pre-tax income and provision for income taxes is presented in the following table for the years ended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19"/>
                <w:szCs w:val="19"/>
                <w:color w:val="auto"/>
              </w:rPr>
            </w:pPr>
          </w:p>
        </w:tc>
      </w:tr>
      <w:tr>
        <w:trPr>
          <w:trHeight w:val="230"/>
        </w:trPr>
        <w:tc>
          <w:tcPr>
            <w:tcW w:w="140" w:type="dxa"/>
            <w:vAlign w:val="bottom"/>
            <w:tcBorders>
              <w:bottom w:val="single" w:sz="8" w:color="D1EDF5"/>
            </w:tcBorders>
          </w:tcPr>
          <w:p>
            <w:pPr>
              <w:spacing w:after="0"/>
              <w:rPr>
                <w:sz w:val="19"/>
                <w:szCs w:val="19"/>
                <w:color w:val="auto"/>
              </w:rPr>
            </w:pPr>
          </w:p>
        </w:tc>
        <w:tc>
          <w:tcPr>
            <w:tcW w:w="140" w:type="dxa"/>
            <w:vAlign w:val="bottom"/>
            <w:tcBorders>
              <w:bottom w:val="single" w:sz="8" w:color="D1EDF5"/>
            </w:tcBorders>
          </w:tcPr>
          <w:p>
            <w:pPr>
              <w:spacing w:after="0"/>
              <w:rPr>
                <w:sz w:val="19"/>
                <w:szCs w:val="19"/>
                <w:color w:val="auto"/>
              </w:rPr>
            </w:pPr>
          </w:p>
        </w:tc>
        <w:tc>
          <w:tcPr>
            <w:tcW w:w="680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32"/>
        </w:trPr>
        <w:tc>
          <w:tcPr>
            <w:tcW w:w="7100" w:type="dxa"/>
            <w:vAlign w:val="bottom"/>
            <w:gridSpan w:val="4"/>
            <w:shd w:val="clear" w:color="auto" w:fill="D1EDF5"/>
          </w:tcPr>
          <w:p>
            <w:pPr>
              <w:spacing w:after="0"/>
              <w:rPr>
                <w:sz w:val="20"/>
                <w:szCs w:val="20"/>
                <w:color w:val="auto"/>
              </w:rPr>
            </w:pPr>
            <w:r>
              <w:rPr>
                <w:rFonts w:ascii="Arial" w:cs="Arial" w:eastAsia="Arial" w:hAnsi="Arial"/>
                <w:sz w:val="18"/>
                <w:szCs w:val="18"/>
                <w:b w:val="1"/>
                <w:bCs w:val="1"/>
                <w:color w:val="auto"/>
              </w:rPr>
              <w:t>Pre-tax income:</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Domestic</w:t>
            </w:r>
          </w:p>
        </w:tc>
        <w:tc>
          <w:tcPr>
            <w:tcW w:w="11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35,916</w:t>
            </w:r>
          </w:p>
        </w:tc>
        <w:tc>
          <w:tcPr>
            <w:tcW w:w="70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32,477</w:t>
            </w:r>
          </w:p>
        </w:tc>
      </w:tr>
      <w:tr>
        <w:trPr>
          <w:trHeight w:val="244"/>
        </w:trPr>
        <w:tc>
          <w:tcPr>
            <w:tcW w:w="140" w:type="dxa"/>
            <w:vAlign w:val="bottom"/>
            <w:tcBorders>
              <w:top w:val="single" w:sz="8" w:color="D1EDF5"/>
              <w:bottom w:val="single" w:sz="8" w:color="D1EDF5"/>
            </w:tcBorders>
            <w:shd w:val="clear" w:color="auto" w:fill="D1EDF5"/>
          </w:tcPr>
          <w:p>
            <w:pPr>
              <w:spacing w:after="0"/>
              <w:rPr>
                <w:sz w:val="21"/>
                <w:szCs w:val="21"/>
                <w:color w:val="auto"/>
              </w:rPr>
            </w:pPr>
          </w:p>
        </w:tc>
        <w:tc>
          <w:tcPr>
            <w:tcW w:w="140" w:type="dxa"/>
            <w:vAlign w:val="bottom"/>
            <w:tcBorders>
              <w:top w:val="single" w:sz="8" w:color="D1EDF5"/>
              <w:bottom w:val="single" w:sz="8" w:color="D1EDF5"/>
            </w:tcBorders>
            <w:shd w:val="clear" w:color="auto" w:fill="D1EDF5"/>
          </w:tcPr>
          <w:p>
            <w:pPr>
              <w:spacing w:after="0"/>
              <w:rPr>
                <w:sz w:val="21"/>
                <w:szCs w:val="21"/>
                <w:color w:val="auto"/>
              </w:rPr>
            </w:pPr>
          </w:p>
        </w:tc>
        <w:tc>
          <w:tcPr>
            <w:tcW w:w="6820" w:type="dxa"/>
            <w:vAlign w:val="bottom"/>
            <w:tcBorders>
              <w:top w:val="single" w:sz="8" w:color="D1EDF5"/>
              <w:bottom w:val="single" w:sz="8" w:color="D1EDF5"/>
            </w:tcBorders>
            <w:gridSpan w:val="2"/>
            <w:shd w:val="clear" w:color="auto" w:fill="D1EDF5"/>
          </w:tcPr>
          <w:p>
            <w:pPr>
              <w:spacing w:after="0"/>
              <w:rPr>
                <w:sz w:val="20"/>
                <w:szCs w:val="20"/>
                <w:color w:val="auto"/>
              </w:rPr>
            </w:pPr>
            <w:r>
              <w:rPr>
                <w:rFonts w:ascii="Arial" w:cs="Arial" w:eastAsia="Arial" w:hAnsi="Arial"/>
                <w:sz w:val="18"/>
                <w:szCs w:val="18"/>
                <w:b w:val="1"/>
                <w:bCs w:val="1"/>
                <w:color w:val="auto"/>
              </w:rPr>
              <w:t>Total pre-tax income</w:t>
            </w:r>
          </w:p>
        </w:tc>
        <w:tc>
          <w:tcPr>
            <w:tcW w:w="1160" w:type="dxa"/>
            <w:vAlign w:val="bottom"/>
            <w:tcBorders>
              <w:top w:val="single" w:sz="8" w:color="auto"/>
              <w:bottom w:val="single" w:sz="8" w:color="D1EDF5"/>
            </w:tcBorders>
            <w:shd w:val="clear" w:color="auto" w:fill="D1EDF5"/>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35,916</w:t>
            </w:r>
          </w:p>
        </w:tc>
        <w:tc>
          <w:tcPr>
            <w:tcW w:w="60" w:type="dxa"/>
            <w:vAlign w:val="bottom"/>
            <w:tcBorders>
              <w:top w:val="single" w:sz="8" w:color="D1EDF5"/>
              <w:bottom w:val="single" w:sz="8" w:color="D1EDF5"/>
            </w:tcBorders>
            <w:gridSpan w:val="2"/>
            <w:shd w:val="clear" w:color="auto" w:fill="D1EDF5"/>
          </w:tcPr>
          <w:p>
            <w:pPr>
              <w:spacing w:after="0"/>
              <w:rPr>
                <w:sz w:val="21"/>
                <w:szCs w:val="21"/>
                <w:color w:val="auto"/>
              </w:rPr>
            </w:pPr>
          </w:p>
        </w:tc>
        <w:tc>
          <w:tcPr>
            <w:tcW w:w="640" w:type="dxa"/>
            <w:vAlign w:val="bottom"/>
            <w:tcBorders>
              <w:top w:val="single" w:sz="8" w:color="auto"/>
              <w:bottom w:val="single" w:sz="8" w:color="D1EDF5"/>
            </w:tcBorders>
            <w:shd w:val="clear" w:color="auto" w:fill="D1EDF5"/>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32,477</w:t>
            </w:r>
          </w:p>
        </w:tc>
      </w:tr>
      <w:tr>
        <w:trPr>
          <w:trHeight w:val="20"/>
        </w:trPr>
        <w:tc>
          <w:tcPr>
            <w:tcW w:w="1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140" w:type="dxa"/>
            <w:vAlign w:val="bottom"/>
          </w:tcPr>
          <w:p>
            <w:pPr>
              <w:spacing w:after="0"/>
              <w:rPr>
                <w:sz w:val="20"/>
                <w:szCs w:val="20"/>
                <w:color w:val="auto"/>
              </w:rPr>
            </w:pPr>
          </w:p>
        </w:tc>
        <w:tc>
          <w:tcPr>
            <w:tcW w:w="69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7100" w:type="dxa"/>
            <w:vAlign w:val="bottom"/>
            <w:gridSpan w:val="4"/>
            <w:shd w:val="clear" w:color="auto" w:fill="D1EDF5"/>
          </w:tcPr>
          <w:p>
            <w:pPr>
              <w:spacing w:after="0"/>
              <w:rPr>
                <w:sz w:val="20"/>
                <w:szCs w:val="20"/>
                <w:color w:val="auto"/>
              </w:rPr>
            </w:pPr>
            <w:r>
              <w:rPr>
                <w:rFonts w:ascii="Arial" w:cs="Arial" w:eastAsia="Arial" w:hAnsi="Arial"/>
                <w:sz w:val="18"/>
                <w:szCs w:val="18"/>
                <w:b w:val="1"/>
                <w:bCs w:val="1"/>
                <w:color w:val="auto"/>
              </w:rPr>
              <w:t>Current tax expense:</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1,213</w:t>
            </w:r>
          </w:p>
        </w:tc>
        <w:tc>
          <w:tcPr>
            <w:tcW w:w="70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96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State</w:t>
            </w:r>
          </w:p>
        </w:tc>
        <w:tc>
          <w:tcPr>
            <w:tcW w:w="1160" w:type="dxa"/>
            <w:vAlign w:val="bottom"/>
            <w:tcBorders>
              <w:bottom w:val="single" w:sz="8" w:color="auto"/>
            </w:tcBorders>
            <w:shd w:val="clear" w:color="auto" w:fill="D1EDF5"/>
          </w:tcPr>
          <w:p>
            <w:pPr>
              <w:spacing w:after="0"/>
              <w:rPr>
                <w:sz w:val="21"/>
                <w:szCs w:val="21"/>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640" w:type="dxa"/>
            <w:vAlign w:val="bottom"/>
            <w:tcBorders>
              <w:bottom w:val="single" w:sz="8" w:color="auto"/>
            </w:tcBorders>
            <w:shd w:val="clear" w:color="auto" w:fill="D1EDF5"/>
          </w:tcPr>
          <w:p>
            <w:pPr>
              <w:spacing w:after="0"/>
              <w:rPr>
                <w:sz w:val="21"/>
                <w:szCs w:val="21"/>
                <w:color w:val="auto"/>
              </w:rPr>
            </w:pPr>
          </w:p>
        </w:tc>
        <w:tc>
          <w:tcPr>
            <w:tcW w:w="1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100" w:type="dxa"/>
            <w:vAlign w:val="bottom"/>
            <w:gridSpan w:val="4"/>
          </w:tcPr>
          <w:p>
            <w:pPr>
              <w:spacing w:after="0"/>
              <w:rPr>
                <w:sz w:val="20"/>
                <w:szCs w:val="20"/>
                <w:color w:val="auto"/>
              </w:rPr>
            </w:pPr>
            <w:r>
              <w:rPr>
                <w:rFonts w:ascii="Arial" w:cs="Arial" w:eastAsia="Arial" w:hAnsi="Arial"/>
                <w:sz w:val="18"/>
                <w:szCs w:val="18"/>
                <w:color w:val="auto"/>
              </w:rPr>
              <w:t>Total current</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7100" w:type="dxa"/>
            <w:vAlign w:val="bottom"/>
            <w:gridSpan w:val="4"/>
            <w:shd w:val="clear" w:color="auto" w:fill="D1EDF5"/>
          </w:tcPr>
          <w:p>
            <w:pPr>
              <w:spacing w:after="0"/>
              <w:rPr>
                <w:sz w:val="20"/>
                <w:szCs w:val="20"/>
                <w:color w:val="auto"/>
              </w:rPr>
            </w:pPr>
            <w:r>
              <w:rPr>
                <w:rFonts w:ascii="Arial" w:cs="Arial" w:eastAsia="Arial" w:hAnsi="Arial"/>
                <w:sz w:val="18"/>
                <w:szCs w:val="18"/>
                <w:b w:val="1"/>
                <w:bCs w:val="1"/>
                <w:color w:val="auto"/>
              </w:rPr>
              <w:t>Deferred tax expense:</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c>
          <w:tcPr>
            <w:tcW w:w="118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6,122</w:t>
            </w: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96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State</w:t>
            </w:r>
          </w:p>
        </w:tc>
        <w:tc>
          <w:tcPr>
            <w:tcW w:w="1160" w:type="dxa"/>
            <w:vAlign w:val="bottom"/>
            <w:tcBorders>
              <w:bottom w:val="single" w:sz="8" w:color="auto"/>
            </w:tcBorders>
            <w:shd w:val="clear" w:color="auto" w:fill="D1EDF5"/>
          </w:tcPr>
          <w:p>
            <w:pPr>
              <w:spacing w:after="0"/>
              <w:rPr>
                <w:sz w:val="21"/>
                <w:szCs w:val="21"/>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640" w:type="dxa"/>
            <w:vAlign w:val="bottom"/>
            <w:tcBorders>
              <w:bottom w:val="single" w:sz="8" w:color="auto"/>
            </w:tcBorders>
            <w:shd w:val="clear" w:color="auto" w:fill="D1EDF5"/>
          </w:tcPr>
          <w:p>
            <w:pPr>
              <w:spacing w:after="0"/>
              <w:rPr>
                <w:sz w:val="21"/>
                <w:szCs w:val="21"/>
                <w:color w:val="auto"/>
              </w:rPr>
            </w:pPr>
          </w:p>
        </w:tc>
        <w:tc>
          <w:tcPr>
            <w:tcW w:w="1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1,681</w:t>
            </w:r>
          </w:p>
        </w:tc>
      </w:tr>
      <w:tr>
        <w:trPr>
          <w:trHeight w:val="218"/>
        </w:trPr>
        <w:tc>
          <w:tcPr>
            <w:tcW w:w="7100" w:type="dxa"/>
            <w:vAlign w:val="bottom"/>
            <w:tcBorders>
              <w:bottom w:val="single" w:sz="8" w:color="D1EDF5"/>
            </w:tcBorders>
            <w:gridSpan w:val="4"/>
          </w:tcPr>
          <w:p>
            <w:pPr>
              <w:spacing w:after="0"/>
              <w:rPr>
                <w:sz w:val="20"/>
                <w:szCs w:val="20"/>
                <w:color w:val="auto"/>
              </w:rPr>
            </w:pPr>
            <w:r>
              <w:rPr>
                <w:rFonts w:ascii="Arial" w:cs="Arial" w:eastAsia="Arial" w:hAnsi="Arial"/>
                <w:sz w:val="18"/>
                <w:szCs w:val="18"/>
                <w:color w:val="auto"/>
              </w:rPr>
              <w:t>Total deferred</w:t>
            </w: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w:t>
            </w:r>
          </w:p>
        </w:tc>
        <w:tc>
          <w:tcPr>
            <w:tcW w:w="20" w:type="dxa"/>
            <w:vAlign w:val="bottom"/>
            <w:tcBorders>
              <w:bottom w:val="single" w:sz="8" w:color="D1EDF5"/>
            </w:tcBorders>
          </w:tcPr>
          <w:p>
            <w:pPr>
              <w:spacing w:after="0"/>
              <w:rPr>
                <w:sz w:val="18"/>
                <w:szCs w:val="18"/>
                <w:color w:val="auto"/>
              </w:rPr>
            </w:pPr>
          </w:p>
        </w:tc>
        <w:tc>
          <w:tcPr>
            <w:tcW w:w="40" w:type="dxa"/>
            <w:vAlign w:val="bottom"/>
            <w:tcBorders>
              <w:bottom w:val="single" w:sz="8" w:color="D1EDF5"/>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w:t>
            </w:r>
          </w:p>
        </w:tc>
      </w:tr>
      <w:tr>
        <w:trPr>
          <w:trHeight w:val="248"/>
        </w:trPr>
        <w:tc>
          <w:tcPr>
            <w:tcW w:w="140" w:type="dxa"/>
            <w:vAlign w:val="bottom"/>
            <w:tcBorders>
              <w:bottom w:val="single" w:sz="8" w:color="D1EDF5"/>
            </w:tcBorders>
            <w:shd w:val="clear" w:color="auto" w:fill="D1EDF5"/>
          </w:tcPr>
          <w:p>
            <w:pPr>
              <w:spacing w:after="0"/>
              <w:rPr>
                <w:sz w:val="21"/>
                <w:szCs w:val="21"/>
                <w:color w:val="auto"/>
              </w:rPr>
            </w:pPr>
          </w:p>
        </w:tc>
        <w:tc>
          <w:tcPr>
            <w:tcW w:w="6960" w:type="dxa"/>
            <w:vAlign w:val="bottom"/>
            <w:tcBorders>
              <w:bottom w:val="single" w:sz="8" w:color="D1EDF5"/>
            </w:tcBorders>
            <w:gridSpan w:val="3"/>
            <w:shd w:val="clear" w:color="auto" w:fill="D1EDF5"/>
          </w:tcPr>
          <w:p>
            <w:pPr>
              <w:spacing w:after="0"/>
              <w:rPr>
                <w:sz w:val="20"/>
                <w:szCs w:val="20"/>
                <w:color w:val="auto"/>
              </w:rPr>
            </w:pPr>
            <w:r>
              <w:rPr>
                <w:rFonts w:ascii="Arial" w:cs="Arial" w:eastAsia="Arial" w:hAnsi="Arial"/>
                <w:sz w:val="18"/>
                <w:szCs w:val="18"/>
                <w:color w:val="auto"/>
              </w:rPr>
              <w:t>Total income tax expense</w:t>
            </w:r>
          </w:p>
        </w:tc>
        <w:tc>
          <w:tcPr>
            <w:tcW w:w="1160" w:type="dxa"/>
            <w:vAlign w:val="bottom"/>
            <w:tcBorders>
              <w:bottom w:val="single" w:sz="8" w:color="D1EDF5"/>
            </w:tcBorders>
            <w:shd w:val="clear" w:color="auto" w:fill="D1EDF5"/>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9,816</w:t>
            </w:r>
          </w:p>
        </w:tc>
        <w:tc>
          <w:tcPr>
            <w:tcW w:w="60" w:type="dxa"/>
            <w:vAlign w:val="bottom"/>
            <w:tcBorders>
              <w:bottom w:val="single" w:sz="8" w:color="D1EDF5"/>
            </w:tcBorders>
            <w:gridSpan w:val="2"/>
            <w:shd w:val="clear" w:color="auto" w:fill="D1EDF5"/>
          </w:tcPr>
          <w:p>
            <w:pPr>
              <w:spacing w:after="0"/>
              <w:rPr>
                <w:sz w:val="21"/>
                <w:szCs w:val="21"/>
                <w:color w:val="auto"/>
              </w:rPr>
            </w:pPr>
          </w:p>
        </w:tc>
        <w:tc>
          <w:tcPr>
            <w:tcW w:w="640" w:type="dxa"/>
            <w:vAlign w:val="bottom"/>
            <w:tcBorders>
              <w:bottom w:val="single" w:sz="8" w:color="D1EDF5"/>
            </w:tcBorders>
            <w:shd w:val="clear" w:color="auto" w:fill="D1EDF5"/>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7,803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actual income tax expense for the years ended December 31, 2025 and 2024 differs from the statutory tax expense for the year (computed by applying the U.S. federal corporate tax rate of 21% for 2025 and 21% for 2024 to income before provision for income taxes)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42"/>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 Pre-tax</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 Pre-tax</w:t>
            </w:r>
          </w:p>
        </w:tc>
      </w:tr>
      <w:tr>
        <w:trPr>
          <w:trHeight w:val="227"/>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ind w:left="46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Income</w:t>
            </w:r>
          </w:p>
        </w:tc>
      </w:tr>
      <w:tr>
        <w:trPr>
          <w:trHeight w:val="230"/>
        </w:trPr>
        <w:tc>
          <w:tcPr>
            <w:tcW w:w="40" w:type="dxa"/>
            <w:vAlign w:val="bottom"/>
            <w:tcBorders>
              <w:top w:val="single" w:sz="8" w:color="D1EDF5"/>
            </w:tcBorders>
            <w:shd w:val="clear" w:color="auto" w:fill="D1EDF5"/>
          </w:tcPr>
          <w:p>
            <w:pPr>
              <w:spacing w:after="0"/>
              <w:rPr>
                <w:sz w:val="19"/>
                <w:szCs w:val="19"/>
                <w:color w:val="auto"/>
              </w:rPr>
            </w:pPr>
          </w:p>
        </w:tc>
        <w:tc>
          <w:tcPr>
            <w:tcW w:w="488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Computed tax at the statutory federal income tax rate</w:t>
            </w:r>
          </w:p>
        </w:tc>
        <w:tc>
          <w:tcPr>
            <w:tcW w:w="4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54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7,542</w:t>
            </w:r>
          </w:p>
        </w:tc>
        <w:tc>
          <w:tcPr>
            <w:tcW w:w="8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108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top w:val="single" w:sz="8" w:color="D1EDF5"/>
            </w:tcBorders>
            <w:shd w:val="clear" w:color="auto" w:fill="D1EDF5"/>
          </w:tcPr>
          <w:p>
            <w:pPr>
              <w:spacing w:after="0"/>
              <w:rPr>
                <w:sz w:val="19"/>
                <w:szCs w:val="19"/>
                <w:color w:val="auto"/>
              </w:rPr>
            </w:pPr>
          </w:p>
        </w:tc>
        <w:tc>
          <w:tcPr>
            <w:tcW w:w="2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480" w:type="dxa"/>
            <w:vAlign w:val="bottom"/>
            <w:tcBorders>
              <w:top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6,820</w:t>
            </w:r>
          </w:p>
        </w:tc>
        <w:tc>
          <w:tcPr>
            <w:tcW w:w="80" w:type="dxa"/>
            <w:vAlign w:val="bottom"/>
            <w:tcBorders>
              <w:top w:val="single" w:sz="8" w:color="D1EDF5"/>
            </w:tcBorders>
            <w:shd w:val="clear" w:color="auto" w:fill="D1EDF5"/>
          </w:tcPr>
          <w:p>
            <w:pPr>
              <w:spacing w:after="0"/>
              <w:rPr>
                <w:sz w:val="19"/>
                <w:szCs w:val="19"/>
                <w:color w:val="auto"/>
              </w:rPr>
            </w:pPr>
          </w:p>
        </w:tc>
        <w:tc>
          <w:tcPr>
            <w:tcW w:w="11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21.00%</w:t>
            </w:r>
          </w:p>
        </w:tc>
      </w:tr>
      <w:tr>
        <w:trPr>
          <w:trHeight w:val="240"/>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40" w:type="dxa"/>
            <w:vAlign w:val="bottom"/>
            <w:tcBorders>
              <w:bottom w:val="single" w:sz="8" w:color="D1EDF5"/>
            </w:tcBorders>
            <w:shd w:val="clear" w:color="auto" w:fill="D1EDF5"/>
          </w:tcPr>
          <w:p>
            <w:pPr>
              <w:spacing w:after="0"/>
              <w:rPr>
                <w:sz w:val="21"/>
                <w:szCs w:val="21"/>
                <w:color w:val="auto"/>
              </w:rPr>
            </w:pPr>
          </w:p>
        </w:tc>
        <w:tc>
          <w:tcPr>
            <w:tcW w:w="4880" w:type="dxa"/>
            <w:vAlign w:val="bottom"/>
            <w:tcBorders>
              <w:bottom w:val="single" w:sz="8" w:color="D1EDF5"/>
            </w:tcBorders>
            <w:gridSpan w:val="2"/>
            <w:shd w:val="clear" w:color="auto" w:fill="D1EDF5"/>
          </w:tcPr>
          <w:p>
            <w:pPr>
              <w:spacing w:after="0" w:line="237" w:lineRule="exact"/>
              <w:rPr>
                <w:sz w:val="20"/>
                <w:szCs w:val="20"/>
                <w:color w:val="auto"/>
              </w:rPr>
            </w:pPr>
            <w:r>
              <w:rPr>
                <w:rFonts w:ascii="Arial" w:cs="Arial" w:eastAsia="Arial" w:hAnsi="Arial"/>
                <w:sz w:val="18"/>
                <w:szCs w:val="18"/>
                <w:color w:val="auto"/>
              </w:rPr>
              <w:t xml:space="preserve">State income taxes, net of federal tax benefit </w:t>
            </w:r>
            <w:r>
              <w:rPr>
                <w:rFonts w:ascii="Arial" w:cs="Arial" w:eastAsia="Arial" w:hAnsi="Arial"/>
                <w:sz w:val="24"/>
                <w:szCs w:val="24"/>
                <w:color w:val="auto"/>
                <w:vertAlign w:val="superscript"/>
              </w:rPr>
              <w:t>(1)</w:t>
            </w:r>
          </w:p>
        </w:tc>
        <w:tc>
          <w:tcPr>
            <w:tcW w:w="4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D1EDF5"/>
            </w:tcBorders>
            <w:shd w:val="clear" w:color="auto" w:fill="D1EDF5"/>
          </w:tcPr>
          <w:p>
            <w:pPr>
              <w:spacing w:after="0"/>
              <w:rPr>
                <w:sz w:val="21"/>
                <w:szCs w:val="21"/>
                <w:color w:val="auto"/>
              </w:rPr>
            </w:pPr>
          </w:p>
        </w:tc>
        <w:tc>
          <w:tcPr>
            <w:tcW w:w="154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2,767</w:t>
            </w:r>
          </w:p>
        </w:tc>
        <w:tc>
          <w:tcPr>
            <w:tcW w:w="80" w:type="dxa"/>
            <w:vAlign w:val="bottom"/>
            <w:tcBorders>
              <w:bottom w:val="single" w:sz="8" w:color="D1EDF5"/>
            </w:tcBorders>
            <w:shd w:val="clear" w:color="auto" w:fill="D1EDF5"/>
          </w:tcPr>
          <w:p>
            <w:pPr>
              <w:spacing w:after="0"/>
              <w:rPr>
                <w:sz w:val="21"/>
                <w:szCs w:val="21"/>
                <w:color w:val="auto"/>
              </w:rPr>
            </w:pPr>
          </w:p>
        </w:tc>
        <w:tc>
          <w:tcPr>
            <w:tcW w:w="40" w:type="dxa"/>
            <w:vAlign w:val="bottom"/>
            <w:tcBorders>
              <w:bottom w:val="single" w:sz="8" w:color="D1EDF5"/>
            </w:tcBorders>
            <w:shd w:val="clear" w:color="auto" w:fill="D1EDF5"/>
          </w:tcPr>
          <w:p>
            <w:pPr>
              <w:spacing w:after="0"/>
              <w:rPr>
                <w:sz w:val="21"/>
                <w:szCs w:val="21"/>
                <w:color w:val="auto"/>
              </w:rPr>
            </w:pP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D1EDF5"/>
            </w:tcBorders>
            <w:shd w:val="clear" w:color="auto" w:fill="D1EDF5"/>
          </w:tcPr>
          <w:p>
            <w:pPr>
              <w:spacing w:after="0"/>
              <w:rPr>
                <w:sz w:val="21"/>
                <w:szCs w:val="21"/>
                <w:color w:val="auto"/>
              </w:rPr>
            </w:pPr>
          </w:p>
        </w:tc>
        <w:tc>
          <w:tcPr>
            <w:tcW w:w="200" w:type="dxa"/>
            <w:vAlign w:val="bottom"/>
            <w:tcBorders>
              <w:bottom w:val="single" w:sz="8" w:color="D1EDF5"/>
            </w:tcBorders>
            <w:shd w:val="clear" w:color="auto" w:fill="D1EDF5"/>
          </w:tcPr>
          <w:p>
            <w:pPr>
              <w:spacing w:after="0"/>
              <w:rPr>
                <w:sz w:val="21"/>
                <w:szCs w:val="21"/>
                <w:color w:val="auto"/>
              </w:rPr>
            </w:pPr>
          </w:p>
        </w:tc>
        <w:tc>
          <w:tcPr>
            <w:tcW w:w="1480" w:type="dxa"/>
            <w:vAlign w:val="bottom"/>
            <w:tcBorders>
              <w:bottom w:val="single" w:sz="8" w:color="D1EDF5"/>
            </w:tcBorders>
            <w:shd w:val="clear" w:color="auto" w:fill="D1EDF5"/>
          </w:tcPr>
          <w:p>
            <w:pPr>
              <w:jc w:val="right"/>
              <w:ind w:right="10"/>
              <w:spacing w:after="0"/>
              <w:rPr>
                <w:sz w:val="20"/>
                <w:szCs w:val="20"/>
                <w:color w:val="auto"/>
              </w:rPr>
            </w:pPr>
            <w:r>
              <w:rPr>
                <w:rFonts w:ascii="Arial" w:cs="Arial" w:eastAsia="Arial" w:hAnsi="Arial"/>
                <w:sz w:val="18"/>
                <w:szCs w:val="18"/>
                <w:color w:val="auto"/>
              </w:rPr>
              <w:t>1,411</w:t>
            </w:r>
          </w:p>
        </w:tc>
        <w:tc>
          <w:tcPr>
            <w:tcW w:w="80" w:type="dxa"/>
            <w:vAlign w:val="bottom"/>
            <w:tcBorders>
              <w:bottom w:val="single" w:sz="8" w:color="D1EDF5"/>
            </w:tcBorders>
            <w:shd w:val="clear" w:color="auto" w:fill="D1EDF5"/>
          </w:tcPr>
          <w:p>
            <w:pPr>
              <w:spacing w:after="0"/>
              <w:rPr>
                <w:sz w:val="21"/>
                <w:szCs w:val="21"/>
                <w:color w:val="auto"/>
              </w:rPr>
            </w:pP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4.33%</w:t>
            </w:r>
          </w:p>
        </w:tc>
      </w:tr>
      <w:tr>
        <w:trPr>
          <w:trHeight w:val="240"/>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40" w:type="dxa"/>
            <w:vAlign w:val="bottom"/>
            <w:shd w:val="clear" w:color="auto" w:fill="D1EDF5"/>
          </w:tcPr>
          <w:p>
            <w:pPr>
              <w:spacing w:after="0"/>
              <w:rPr>
                <w:sz w:val="20"/>
                <w:szCs w:val="20"/>
                <w:color w:val="auto"/>
              </w:rPr>
            </w:pPr>
          </w:p>
        </w:tc>
        <w:tc>
          <w:tcPr>
            <w:tcW w:w="48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Nontaxable or Nondeductible Items</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5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14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r>
      <w:tr>
        <w:trPr>
          <w:trHeight w:val="240"/>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Bank owned life insurance income</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40"/>
        </w:trPr>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4740" w:type="dxa"/>
            <w:vAlign w:val="bottom"/>
            <w:shd w:val="clear" w:color="auto" w:fill="D1EDF5"/>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54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0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148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120" w:type="dxa"/>
            <w:vAlign w:val="bottom"/>
            <w:shd w:val="clear" w:color="auto" w:fill="D1EDF5"/>
          </w:tcPr>
          <w:p>
            <w:pPr>
              <w:jc w:val="right"/>
              <w:ind w:right="10"/>
              <w:spacing w:after="0"/>
              <w:rPr>
                <w:sz w:val="20"/>
                <w:szCs w:val="20"/>
                <w:color w:val="auto"/>
              </w:rPr>
            </w:pPr>
            <w:r>
              <w:rPr>
                <w:rFonts w:ascii="Arial" w:cs="Arial" w:eastAsia="Arial" w:hAnsi="Arial"/>
                <w:sz w:val="18"/>
                <w:szCs w:val="18"/>
                <w:color w:val="auto"/>
              </w:rPr>
              <w:t>-</w:t>
            </w:r>
          </w:p>
        </w:tc>
      </w:tr>
      <w:tr>
        <w:trPr>
          <w:trHeight w:val="240"/>
        </w:trPr>
        <w:tc>
          <w:tcPr>
            <w:tcW w:w="40" w:type="dxa"/>
            <w:vAlign w:val="bottom"/>
          </w:tcPr>
          <w:p>
            <w:pPr>
              <w:spacing w:after="0"/>
              <w:rPr>
                <w:sz w:val="20"/>
                <w:szCs w:val="20"/>
                <w:color w:val="auto"/>
              </w:rPr>
            </w:pPr>
          </w:p>
        </w:tc>
        <w:tc>
          <w:tcPr>
            <w:tcW w:w="492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40" w:type="dxa"/>
            <w:vAlign w:val="bottom"/>
            <w:shd w:val="clear" w:color="auto" w:fill="D1EDF5"/>
          </w:tcPr>
          <w:p>
            <w:pPr>
              <w:spacing w:after="0"/>
              <w:rPr>
                <w:sz w:val="20"/>
                <w:szCs w:val="20"/>
                <w:color w:val="auto"/>
              </w:rPr>
            </w:pPr>
          </w:p>
        </w:tc>
        <w:tc>
          <w:tcPr>
            <w:tcW w:w="488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Other adjustments, net</w:t>
            </w:r>
          </w:p>
        </w:tc>
        <w:tc>
          <w:tcPr>
            <w:tcW w:w="4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54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40" w:type="dxa"/>
            <w:vAlign w:val="bottom"/>
            <w:tcBorders>
              <w:bottom w:val="single" w:sz="8" w:color="auto"/>
            </w:tcBorders>
            <w:shd w:val="clear" w:color="auto" w:fill="D1EDF5"/>
          </w:tcPr>
          <w:p>
            <w:pPr>
              <w:spacing w:after="0"/>
              <w:rPr>
                <w:sz w:val="20"/>
                <w:szCs w:val="20"/>
                <w:color w:val="auto"/>
              </w:rPr>
            </w:pPr>
          </w:p>
        </w:tc>
        <w:tc>
          <w:tcPr>
            <w:tcW w:w="108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200" w:type="dxa"/>
            <w:vAlign w:val="bottom"/>
            <w:tcBorders>
              <w:bottom w:val="single" w:sz="8" w:color="auto"/>
            </w:tcBorders>
            <w:shd w:val="clear" w:color="auto" w:fill="D1EDF5"/>
          </w:tcPr>
          <w:p>
            <w:pPr>
              <w:spacing w:after="0"/>
              <w:rPr>
                <w:sz w:val="20"/>
                <w:szCs w:val="20"/>
                <w:color w:val="auto"/>
              </w:rPr>
            </w:pPr>
          </w:p>
        </w:tc>
        <w:tc>
          <w:tcPr>
            <w:tcW w:w="148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1120" w:type="dxa"/>
            <w:vAlign w:val="bottom"/>
            <w:tcBorders>
              <w:bottom w:val="single" w:sz="8" w:color="auto"/>
            </w:tcBorders>
            <w:shd w:val="clear" w:color="auto" w:fill="D1EDF5"/>
          </w:tcPr>
          <w:p>
            <w:pPr>
              <w:jc w:val="right"/>
              <w:ind w:right="10"/>
              <w:spacing w:after="0"/>
              <w:rPr>
                <w:sz w:val="20"/>
                <w:szCs w:val="20"/>
                <w:color w:val="auto"/>
              </w:rPr>
            </w:pPr>
            <w:r>
              <w:rPr>
                <w:rFonts w:ascii="Arial" w:cs="Arial" w:eastAsia="Arial" w:hAnsi="Arial"/>
                <w:sz w:val="18"/>
                <w:szCs w:val="18"/>
                <w:color w:val="auto"/>
              </w:rPr>
              <w:t>-</w:t>
            </w:r>
          </w:p>
        </w:tc>
      </w:tr>
      <w:tr>
        <w:trPr>
          <w:trHeight w:val="246"/>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tax expense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9,816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7,803</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24.01%</w:t>
            </w:r>
          </w:p>
        </w:tc>
      </w:tr>
      <w:tr>
        <w:trPr>
          <w:trHeight w:val="20"/>
        </w:trPr>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Taxes in Florida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05" w:name="page106"/>
    <w:bookmarkEnd w:id="105"/>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deferred tax assets and deferred tax liabilities as of December 31, 2025 and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40" w:type="dxa"/>
            <w:vAlign w:val="bottom"/>
            <w:tcBorders>
              <w:bottom w:val="single" w:sz="8" w:color="D1EDF5"/>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30"/>
        </w:trPr>
        <w:tc>
          <w:tcPr>
            <w:tcW w:w="710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Deferred tax assets:</w:t>
            </w:r>
          </w:p>
        </w:tc>
        <w:tc>
          <w:tcPr>
            <w:tcW w:w="1160" w:type="dxa"/>
            <w:vAlign w:val="bottom"/>
            <w:shd w:val="clear" w:color="auto" w:fill="D1EDF5"/>
          </w:tcPr>
          <w:p>
            <w:pPr>
              <w:spacing w:after="0"/>
              <w:rPr>
                <w:sz w:val="19"/>
                <w:szCs w:val="19"/>
                <w:color w:val="auto"/>
              </w:rPr>
            </w:pPr>
          </w:p>
        </w:tc>
        <w:tc>
          <w:tcPr>
            <w:tcW w:w="6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40" w:type="dxa"/>
            <w:vAlign w:val="bottom"/>
            <w:shd w:val="clear" w:color="auto" w:fill="D1EDF5"/>
          </w:tcPr>
          <w:p>
            <w:pPr>
              <w:spacing w:after="0"/>
              <w:rPr>
                <w:sz w:val="19"/>
                <w:szCs w:val="19"/>
                <w:color w:val="auto"/>
              </w:rPr>
            </w:pPr>
          </w:p>
        </w:tc>
        <w:tc>
          <w:tcPr>
            <w:tcW w:w="400" w:type="dxa"/>
            <w:vAlign w:val="bottom"/>
            <w:shd w:val="clear" w:color="auto" w:fill="D1EDF5"/>
          </w:tcPr>
          <w:p>
            <w:pPr>
              <w:spacing w:after="0"/>
              <w:rPr>
                <w:sz w:val="19"/>
                <w:szCs w:val="19"/>
                <w:color w:val="auto"/>
              </w:rPr>
            </w:pPr>
          </w:p>
        </w:tc>
        <w:tc>
          <w:tcPr>
            <w:tcW w:w="1420" w:type="dxa"/>
            <w:vAlign w:val="bottom"/>
            <w:shd w:val="clear" w:color="auto" w:fill="D1EDF5"/>
          </w:tcPr>
          <w:p>
            <w:pPr>
              <w:spacing w:after="0"/>
              <w:rPr>
                <w:sz w:val="19"/>
                <w:szCs w:val="19"/>
                <w:color w:val="auto"/>
              </w:rPr>
            </w:pPr>
          </w:p>
        </w:tc>
      </w:tr>
      <w:tr>
        <w:trPr>
          <w:trHeight w:val="24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Net operating loss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1,039</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9,276</w:t>
            </w: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Allowance for credit losses</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6,463</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6,100</w:t>
            </w:r>
          </w:p>
        </w:tc>
      </w:tr>
      <w:tr>
        <w:trPr>
          <w:trHeight w:val="24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Lease liability</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Unrealized loss on available for sale securities</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10,270</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15,200</w:t>
            </w:r>
          </w:p>
        </w:tc>
      </w:tr>
      <w:tr>
        <w:trPr>
          <w:trHeight w:val="24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Depreciable property</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Equity compensation</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973</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686</w:t>
            </w:r>
          </w:p>
        </w:tc>
      </w:tr>
      <w:tr>
        <w:trPr>
          <w:trHeight w:val="24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Accruals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Other, net</w:t>
            </w:r>
          </w:p>
        </w:tc>
        <w:tc>
          <w:tcPr>
            <w:tcW w:w="1160" w:type="dxa"/>
            <w:vAlign w:val="bottom"/>
            <w:tcBorders>
              <w:bottom w:val="single" w:sz="8" w:color="auto"/>
            </w:tcBorders>
            <w:shd w:val="clear" w:color="auto" w:fill="D1EDF5"/>
          </w:tcPr>
          <w:p>
            <w:pPr>
              <w:spacing w:after="0"/>
              <w:rPr>
                <w:sz w:val="20"/>
                <w:szCs w:val="20"/>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tcBorders>
              <w:bottom w:val="single" w:sz="8" w:color="auto"/>
            </w:tcBorders>
            <w:shd w:val="clear" w:color="auto" w:fill="D1EDF5"/>
          </w:tcPr>
          <w:p>
            <w:pPr>
              <w:spacing w:after="0"/>
              <w:rPr>
                <w:sz w:val="20"/>
                <w:szCs w:val="20"/>
                <w:color w:val="auto"/>
              </w:rPr>
            </w:pPr>
          </w:p>
        </w:tc>
        <w:tc>
          <w:tcPr>
            <w:tcW w:w="14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21,133</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34,027</w:t>
            </w:r>
          </w:p>
        </w:tc>
      </w:tr>
      <w:tr>
        <w:trPr>
          <w:trHeight w:val="240"/>
        </w:trPr>
        <w:tc>
          <w:tcPr>
            <w:tcW w:w="70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420" w:type="dxa"/>
            <w:vAlign w:val="bottom"/>
            <w:shd w:val="clear" w:color="auto" w:fill="D1EDF5"/>
          </w:tcPr>
          <w:p>
            <w:pPr>
              <w:spacing w:after="0"/>
              <w:rPr>
                <w:sz w:val="20"/>
                <w:szCs w:val="20"/>
                <w:color w:val="auto"/>
              </w:rPr>
            </w:pPr>
          </w:p>
        </w:tc>
      </w:tr>
      <w:tr>
        <w:trPr>
          <w:trHeight w:val="240"/>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liability:</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Deferred loan cost</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(1,520)</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(1,934)</w:t>
            </w:r>
          </w:p>
        </w:tc>
      </w:tr>
      <w:tr>
        <w:trPr>
          <w:trHeight w:val="24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Lease right of use asset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Deferred expenses</w:t>
            </w:r>
          </w:p>
        </w:tc>
        <w:tc>
          <w:tcPr>
            <w:tcW w:w="1160" w:type="dxa"/>
            <w:vAlign w:val="bottom"/>
            <w:shd w:val="clear" w:color="auto" w:fill="D1EDF5"/>
          </w:tcPr>
          <w:p>
            <w:pPr>
              <w:spacing w:after="0"/>
              <w:rPr>
                <w:sz w:val="20"/>
                <w:szCs w:val="20"/>
                <w:color w:val="auto"/>
              </w:rPr>
            </w:pPr>
          </w:p>
        </w:tc>
        <w:tc>
          <w:tcPr>
            <w:tcW w:w="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(224)</w:t>
            </w:r>
          </w:p>
        </w:tc>
      </w:tr>
      <w:tr>
        <w:trPr>
          <w:trHeight w:val="240"/>
        </w:trPr>
        <w:tc>
          <w:tcPr>
            <w:tcW w:w="7100" w:type="dxa"/>
            <w:vAlign w:val="bottom"/>
            <w:gridSpan w:val="2"/>
          </w:tcPr>
          <w:p>
            <w:pPr>
              <w:ind w:left="140"/>
              <w:spacing w:after="0"/>
              <w:rPr>
                <w:sz w:val="20"/>
                <w:szCs w:val="20"/>
                <w:color w:val="auto"/>
              </w:rPr>
            </w:pPr>
            <w:r>
              <w:rPr>
                <w:rFonts w:ascii="Arial" w:cs="Arial" w:eastAsia="Arial" w:hAnsi="Arial"/>
                <w:sz w:val="18"/>
                <w:szCs w:val="18"/>
                <w:color w:val="auto"/>
              </w:rPr>
              <w:t>Cash flow hedge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0"/>
        </w:trPr>
        <w:tc>
          <w:tcPr>
            <w:tcW w:w="7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Depreciable property</w:t>
            </w:r>
          </w:p>
        </w:tc>
        <w:tc>
          <w:tcPr>
            <w:tcW w:w="1160" w:type="dxa"/>
            <w:vAlign w:val="bottom"/>
            <w:tcBorders>
              <w:bottom w:val="single" w:sz="8" w:color="auto"/>
            </w:tcBorders>
            <w:shd w:val="clear" w:color="auto" w:fill="D1EDF5"/>
          </w:tcPr>
          <w:p>
            <w:pPr>
              <w:spacing w:after="0"/>
              <w:rPr>
                <w:sz w:val="20"/>
                <w:szCs w:val="20"/>
                <w:color w:val="auto"/>
              </w:rPr>
            </w:pPr>
          </w:p>
        </w:tc>
        <w:tc>
          <w:tcPr>
            <w:tcW w:w="6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tcBorders>
              <w:bottom w:val="single" w:sz="8" w:color="auto"/>
            </w:tcBorders>
            <w:shd w:val="clear" w:color="auto" w:fill="D1EDF5"/>
          </w:tcPr>
          <w:p>
            <w:pPr>
              <w:spacing w:after="0"/>
              <w:rPr>
                <w:sz w:val="20"/>
                <w:szCs w:val="20"/>
                <w:color w:val="auto"/>
              </w:rPr>
            </w:pPr>
          </w:p>
        </w:tc>
        <w:tc>
          <w:tcPr>
            <w:tcW w:w="14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(3,087)</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(4,381)</w:t>
            </w:r>
          </w:p>
        </w:tc>
      </w:tr>
      <w:tr>
        <w:trPr>
          <w:trHeight w:val="240"/>
        </w:trPr>
        <w:tc>
          <w:tcPr>
            <w:tcW w:w="708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160" w:type="dxa"/>
            <w:vAlign w:val="bottom"/>
            <w:tcBorders>
              <w:bottom w:val="single" w:sz="8" w:color="auto"/>
            </w:tcBorders>
            <w:shd w:val="clear" w:color="auto" w:fill="D1EDF5"/>
          </w:tcPr>
          <w:p>
            <w:pPr>
              <w:spacing w:after="0"/>
              <w:rPr>
                <w:sz w:val="20"/>
                <w:szCs w:val="20"/>
                <w:color w:val="auto"/>
              </w:rPr>
            </w:pPr>
          </w:p>
        </w:tc>
        <w:tc>
          <w:tcPr>
            <w:tcW w:w="660" w:type="dxa"/>
            <w:vAlign w:val="bottom"/>
            <w:tcBorders>
              <w:bottom w:val="single" w:sz="8" w:color="auto"/>
            </w:tcBorders>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400" w:type="dxa"/>
            <w:vAlign w:val="bottom"/>
            <w:tcBorders>
              <w:bottom w:val="single" w:sz="8" w:color="auto"/>
            </w:tcBorders>
            <w:shd w:val="clear" w:color="auto" w:fill="D1EDF5"/>
          </w:tcPr>
          <w:p>
            <w:pPr>
              <w:spacing w:after="0"/>
              <w:rPr>
                <w:sz w:val="20"/>
                <w:szCs w:val="20"/>
                <w:color w:val="auto"/>
              </w:rPr>
            </w:pPr>
          </w:p>
        </w:tc>
        <w:tc>
          <w:tcPr>
            <w:tcW w:w="1420" w:type="dxa"/>
            <w:vAlign w:val="bottom"/>
            <w:tcBorders>
              <w:bottom w:val="single" w:sz="8" w:color="auto"/>
            </w:tcBorders>
            <w:shd w:val="clear" w:color="auto" w:fill="D1EDF5"/>
          </w:tcPr>
          <w:p>
            <w:pPr>
              <w:spacing w:after="0"/>
              <w:rPr>
                <w:sz w:val="20"/>
                <w:szCs w:val="20"/>
                <w:color w:val="auto"/>
              </w:rPr>
            </w:pPr>
          </w:p>
        </w:tc>
      </w:tr>
      <w:tr>
        <w:trPr>
          <w:trHeight w:val="246"/>
        </w:trPr>
        <w:tc>
          <w:tcPr>
            <w:tcW w:w="710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18,046</w:t>
            </w:r>
          </w:p>
        </w:tc>
        <w:tc>
          <w:tcPr>
            <w:tcW w:w="4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29,646</w:t>
            </w: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At December 31, 2025, the Company had approximately $23.9 million of State net operating loss carryforwards expiring in various amounts from 2032 to 2036. If unused after 2036, their utilization is limited to future taxable earnings of the Company.</w:t>
      </w:r>
    </w:p>
    <w:p>
      <w:pPr>
        <w:spacing w:after="0" w:line="16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U.S. Federal jurisdiction and Florida are the major tax jurisdictions where the Company files income tax returns.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The Company is generally no longer subject to U.S. Federal or State examinations by tax authorities for years before 2022.</w:t>
      </w:r>
    </w:p>
    <w:p>
      <w:pPr>
        <w:spacing w:after="0" w:line="216"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For the years ended December 31, 2025 and 2024, the Company did not have any unrecognized tax benefits as a result of tax positions taken during a prior period or during the current period. Additionally, no interest or penalties were recorded as a result of tax uncertainties.</w:t>
      </w:r>
    </w:p>
    <w:p>
      <w:pPr>
        <w:spacing w:after="0" w:line="17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Cash payments for federal taxes was $3.9 million in the year ended December 31, 2025 and $0 in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06" w:name="page107"/>
    <w:bookmarkEnd w:id="106"/>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hanging="720"/>
        <w:spacing w:after="0"/>
        <w:tabs>
          <w:tab w:leader="none" w:pos="72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4pt"/>
            </w:pict>
          </mc:Fallback>
        </mc:AlternateConten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deposits by type at December 31, 2025 and 2024 (in thousands):</w:t>
      </w:r>
    </w:p>
    <w:p>
      <w:pPr>
        <w:sectPr>
          <w:pgSz w:w="12240" w:h="15840" w:orient="portrait"/>
          <w:cols w:equalWidth="0" w:num="1">
            <w:col w:w="10800"/>
          </w:cols>
          <w:pgMar w:left="720" w:top="3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Non-interest bearing demand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6142990" cy="15176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990" cy="151765"/>
                        </a:xfrm>
                        <a:prstGeom prst="rect">
                          <a:avLst/>
                        </a:prstGeom>
                        <a:solidFill>
                          <a:srgbClr val="D1EDF5"/>
                        </a:solidFill>
                      </wps:spPr>
                      <wps:bodyPr/>
                    </wps:wsp>
                  </a:graphicData>
                </a:graphic>
              </wp:anchor>
            </w:drawing>
          </mc:Choice>
          <mc:Fallback>
            <w:pict>
              <v:rect id="Shape 141" o:spid="_x0000_s1166" style="position:absolute;margin-left:0pt;margin-top:-10.1999pt;width:483.7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-135890</wp:posOffset>
                </wp:positionV>
                <wp:extent cx="5105400" cy="15811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05400" cy="158115"/>
                        </a:xfrm>
                        <a:prstGeom prst="rect">
                          <a:avLst/>
                        </a:prstGeom>
                        <a:solidFill>
                          <a:srgbClr val="D1EDF5"/>
                        </a:solidFill>
                      </wps:spPr>
                      <wps:bodyPr/>
                    </wps:wsp>
                  </a:graphicData>
                </a:graphic>
              </wp:anchor>
            </w:drawing>
          </mc:Choice>
          <mc:Fallback>
            <w:pict>
              <v:rect id="Shape 142" o:spid="_x0000_s1167" style="position:absolute;margin-left:0pt;margin-top:-10.6999pt;width:402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demand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wp:posOffset>
                </wp:positionV>
                <wp:extent cx="6142990" cy="15240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990" cy="152400"/>
                        </a:xfrm>
                        <a:prstGeom prst="rect">
                          <a:avLst/>
                        </a:prstGeom>
                        <a:solidFill>
                          <a:srgbClr val="D1EDF5"/>
                        </a:solidFill>
                      </wps:spPr>
                      <wps:bodyPr/>
                    </wps:wsp>
                  </a:graphicData>
                </a:graphic>
              </wp:anchor>
            </w:drawing>
          </mc:Choice>
          <mc:Fallback>
            <w:pict>
              <v:rect id="Shape 143" o:spid="_x0000_s1168" style="position:absolute;margin-left:0pt;margin-top:1.5pt;width:483.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Savings and money market deposits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Time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6142990" cy="18097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2990" cy="180975"/>
                        </a:xfrm>
                        <a:prstGeom prst="rect">
                          <a:avLst/>
                        </a:prstGeom>
                        <a:solidFill>
                          <a:srgbClr val="D1EDF5"/>
                        </a:solidFill>
                      </wps:spPr>
                      <wps:bodyPr/>
                    </wps:wsp>
                  </a:graphicData>
                </a:graphic>
              </wp:anchor>
            </w:drawing>
          </mc:Choice>
          <mc:Fallback>
            <w:pict>
              <v:rect id="Shape 144" o:spid="_x0000_s1169" style="position:absolute;margin-left:0pt;margin-top:2pt;width:483.7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51054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05400" cy="4763"/>
                        </a:xfrm>
                        <a:prstGeom prst="line">
                          <a:avLst/>
                        </a:prstGeom>
                        <a:solidFill>
                          <a:srgbClr val="FFFFFF"/>
                        </a:solidFill>
                        <a:ln w="6095">
                          <a:solidFill>
                            <a:srgbClr val="D1EDF5"/>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402pt,1.75pt" o:allowincell="f" strokecolor="#D1EDF5" strokeweight="0.4799pt"/>
            </w:pict>
          </mc:Fallback>
        </mc:AlternateConten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deposits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85090</wp:posOffset>
                </wp:positionH>
                <wp:positionV relativeFrom="paragraph">
                  <wp:posOffset>-119380</wp:posOffset>
                </wp:positionV>
                <wp:extent cx="5020310" cy="13081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0310" cy="130810"/>
                        </a:xfrm>
                        <a:prstGeom prst="rect">
                          <a:avLst/>
                        </a:prstGeom>
                        <a:solidFill>
                          <a:srgbClr val="D1EDF5"/>
                        </a:solidFill>
                      </wps:spPr>
                      <wps:bodyPr/>
                    </wps:wsp>
                  </a:graphicData>
                </a:graphic>
              </wp:anchor>
            </w:drawing>
          </mc:Choice>
          <mc:Fallback>
            <w:pict>
              <v:rect id="Shape 146" o:spid="_x0000_s1171" style="position:absolute;margin-left:6.7pt;margin-top:-9.3999pt;width:395.3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15875</wp:posOffset>
                </wp:positionV>
                <wp:extent cx="17526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25pt" to="139pt,1.25pt" o:allowincell="f" strokecolor="#000000" strokeweight="0.4809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575,159</w:t>
            </w: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583,860</w:t>
            </w:r>
          </w:p>
        </w:tc>
        <w:tc>
          <w:tcPr>
            <w:tcW w:w="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vMerge w:val="continue"/>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46,989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1,180,809</w:t>
            </w: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0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1,186,422</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120" w:type="dxa"/>
            <w:vAlign w:val="bottom"/>
            <w:vMerge w:val="continue"/>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527,809</w:t>
            </w:r>
          </w:p>
        </w:tc>
        <w:tc>
          <w:tcPr>
            <w:tcW w:w="14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367,388</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restart"/>
            <w:shd w:val="clear" w:color="auto" w:fill="D1EDF5"/>
          </w:tcPr>
          <w:p>
            <w:pPr>
              <w:jc w:val="right"/>
              <w:spacing w:after="0"/>
              <w:rPr>
                <w:sz w:val="20"/>
                <w:szCs w:val="20"/>
                <w:color w:val="auto"/>
              </w:rPr>
            </w:pPr>
            <w:r>
              <w:rPr>
                <w:rFonts w:ascii="Arial" w:cs="Arial" w:eastAsia="Arial" w:hAnsi="Arial"/>
                <w:sz w:val="18"/>
                <w:szCs w:val="18"/>
                <w:color w:val="auto"/>
              </w:rPr>
              <w:t>2,174,004</w:t>
            </w: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gridSpan w:val="2"/>
            <w:vMerge w:val="continue"/>
          </w:tcPr>
          <w:p>
            <w:pPr>
              <w:spacing w:after="0"/>
              <w:rPr>
                <w:sz w:val="18"/>
                <w:szCs w:val="18"/>
                <w:color w:val="auto"/>
              </w:rPr>
            </w:pPr>
          </w:p>
        </w:tc>
        <w:tc>
          <w:tcPr>
            <w:tcW w:w="106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2,345,080</w:t>
            </w:r>
          </w:p>
        </w:tc>
        <w:tc>
          <w:tcPr>
            <w:tcW w:w="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auto"/>
            </w:tcBorders>
            <w:vMerge w:val="continue"/>
            <w:shd w:val="clear" w:color="auto" w:fill="D1ED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300" w:space="720"/>
            <w:col w:w="2780"/>
          </w:cols>
          <w:pgMar w:left="720" w:top="355" w:right="720" w:bottom="0" w:gutter="0" w:footer="0" w:header="0"/>
          <w:type w:val="continuous"/>
        </w:sectPr>
      </w:pPr>
    </w:p>
    <w:p>
      <w:pPr>
        <w:spacing w:after="0" w:line="11"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Time deposits exceeding the FDIC deposit insurance limit of $250 thousand per account at December 31, 2025 and 2024 were $111.5 million and $94.0 million, respectively.</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the Company had $256.8 million in brokered CDs at a weighted average rate of 3.93%.</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Brokered CDs were 11.0% of total deposits at such date.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2024, the Company had $133.0 million in brokered CDs at a weighted average rate of 4.38%.</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Brokered CDs were 6.1% of total deposits at such date.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At December 31, 2025, the scheduled maturities of time deposits were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2025</w:t>
            </w:r>
          </w:p>
        </w:tc>
      </w:tr>
      <w:tr>
        <w:trPr>
          <w:trHeight w:val="230"/>
        </w:trPr>
        <w:tc>
          <w:tcPr>
            <w:tcW w:w="83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80" w:type="dxa"/>
            <w:vAlign w:val="bottom"/>
            <w:tcBorders>
              <w:bottom w:val="single" w:sz="8" w:color="D1EDF5"/>
            </w:tcBorders>
          </w:tcPr>
          <w:p>
            <w:pPr>
              <w:spacing w:after="0"/>
              <w:rPr>
                <w:sz w:val="19"/>
                <w:szCs w:val="19"/>
                <w:color w:val="auto"/>
              </w:rPr>
            </w:pPr>
          </w:p>
        </w:tc>
        <w:tc>
          <w:tcPr>
            <w:tcW w:w="22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32"/>
        </w:trPr>
        <w:tc>
          <w:tcPr>
            <w:tcW w:w="8360" w:type="dxa"/>
            <w:vAlign w:val="bottom"/>
            <w:shd w:val="clear" w:color="auto" w:fill="D1EDF5"/>
          </w:tcPr>
          <w:p>
            <w:pPr>
              <w:jc w:val="right"/>
              <w:ind w:right="7870"/>
              <w:spacing w:after="0"/>
              <w:rPr>
                <w:sz w:val="20"/>
                <w:szCs w:val="20"/>
                <w:color w:val="auto"/>
              </w:rPr>
            </w:pPr>
            <w:r>
              <w:rPr>
                <w:rFonts w:ascii="Arial" w:cs="Arial" w:eastAsia="Arial" w:hAnsi="Arial"/>
                <w:sz w:val="18"/>
                <w:szCs w:val="18"/>
                <w:color w:val="auto"/>
                <w:w w:val="94"/>
              </w:rPr>
              <w:t>2026</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472,111</w:t>
            </w:r>
          </w:p>
        </w:tc>
      </w:tr>
      <w:tr>
        <w:trPr>
          <w:trHeight w:val="240"/>
        </w:trPr>
        <w:tc>
          <w:tcPr>
            <w:tcW w:w="8360" w:type="dxa"/>
            <w:vAlign w:val="bottom"/>
          </w:tcPr>
          <w:p>
            <w:pPr>
              <w:jc w:val="right"/>
              <w:ind w:right="7870"/>
              <w:spacing w:after="0"/>
              <w:rPr>
                <w:sz w:val="20"/>
                <w:szCs w:val="20"/>
                <w:color w:val="auto"/>
              </w:rPr>
            </w:pPr>
            <w:r>
              <w:rPr>
                <w:rFonts w:ascii="Arial" w:cs="Arial" w:eastAsia="Arial" w:hAnsi="Arial"/>
                <w:sz w:val="18"/>
                <w:szCs w:val="18"/>
                <w:color w:val="auto"/>
                <w:w w:val="94"/>
              </w:rPr>
              <w:t>2027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54,174</w:t>
            </w:r>
          </w:p>
        </w:tc>
      </w:tr>
      <w:tr>
        <w:trPr>
          <w:trHeight w:val="240"/>
        </w:trPr>
        <w:tc>
          <w:tcPr>
            <w:tcW w:w="8360" w:type="dxa"/>
            <w:vAlign w:val="bottom"/>
            <w:shd w:val="clear" w:color="auto" w:fill="D1EDF5"/>
          </w:tcPr>
          <w:p>
            <w:pPr>
              <w:jc w:val="right"/>
              <w:ind w:right="7870"/>
              <w:spacing w:after="0"/>
              <w:rPr>
                <w:sz w:val="20"/>
                <w:szCs w:val="20"/>
                <w:color w:val="auto"/>
              </w:rPr>
            </w:pPr>
            <w:r>
              <w:rPr>
                <w:rFonts w:ascii="Arial" w:cs="Arial" w:eastAsia="Arial" w:hAnsi="Arial"/>
                <w:sz w:val="18"/>
                <w:szCs w:val="18"/>
                <w:color w:val="auto"/>
                <w:w w:val="94"/>
              </w:rPr>
              <w:t>2028</w:t>
            </w: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2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613</w:t>
            </w:r>
          </w:p>
        </w:tc>
      </w:tr>
      <w:tr>
        <w:trPr>
          <w:trHeight w:val="240"/>
        </w:trPr>
        <w:tc>
          <w:tcPr>
            <w:tcW w:w="8360" w:type="dxa"/>
            <w:vAlign w:val="bottom"/>
          </w:tcPr>
          <w:p>
            <w:pPr>
              <w:jc w:val="right"/>
              <w:ind w:right="7870"/>
              <w:spacing w:after="0"/>
              <w:rPr>
                <w:sz w:val="20"/>
                <w:szCs w:val="20"/>
                <w:color w:val="auto"/>
              </w:rPr>
            </w:pPr>
            <w:r>
              <w:rPr>
                <w:rFonts w:ascii="Arial" w:cs="Arial" w:eastAsia="Arial" w:hAnsi="Arial"/>
                <w:sz w:val="18"/>
                <w:szCs w:val="18"/>
                <w:color w:val="auto"/>
                <w:w w:val="94"/>
              </w:rPr>
              <w:t>2029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40"/>
        </w:trPr>
        <w:tc>
          <w:tcPr>
            <w:tcW w:w="8360" w:type="dxa"/>
            <w:vAlign w:val="bottom"/>
            <w:shd w:val="clear" w:color="auto" w:fill="D1EDF5"/>
          </w:tcPr>
          <w:p>
            <w:pPr>
              <w:jc w:val="right"/>
              <w:ind w:right="7870"/>
              <w:spacing w:after="0"/>
              <w:rPr>
                <w:sz w:val="20"/>
                <w:szCs w:val="20"/>
                <w:color w:val="auto"/>
              </w:rPr>
            </w:pPr>
            <w:r>
              <w:rPr>
                <w:rFonts w:ascii="Arial" w:cs="Arial" w:eastAsia="Arial" w:hAnsi="Arial"/>
                <w:sz w:val="18"/>
                <w:szCs w:val="18"/>
                <w:color w:val="auto"/>
                <w:w w:val="94"/>
              </w:rPr>
              <w:t>2030</w:t>
            </w: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22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493</w:t>
            </w:r>
          </w:p>
        </w:tc>
      </w:tr>
      <w:tr>
        <w:trPr>
          <w:trHeight w:val="246"/>
        </w:trPr>
        <w:tc>
          <w:tcPr>
            <w:tcW w:w="8360" w:type="dxa"/>
            <w:vAlign w:val="bottom"/>
          </w:tcPr>
          <w:p>
            <w:pPr>
              <w:spacing w:after="0"/>
              <w:rPr>
                <w:sz w:val="21"/>
                <w:szCs w:val="21"/>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527,809</w:t>
            </w:r>
          </w:p>
        </w:tc>
      </w:tr>
      <w:tr>
        <w:trPr>
          <w:trHeight w:val="20"/>
        </w:trPr>
        <w:tc>
          <w:tcPr>
            <w:tcW w:w="8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At December 31, 2025 and 2024, the aggregate amount of demand deposits reclassified to loans as overdrafts was $372 thousand and $403 thousand, respectively.</w:t>
      </w:r>
    </w:p>
    <w:p>
      <w:pPr>
        <w:spacing w:after="0" w:line="147" w:lineRule="exact"/>
        <w:rPr>
          <w:sz w:val="20"/>
          <w:szCs w:val="20"/>
          <w:color w:val="auto"/>
        </w:rPr>
      </w:pPr>
    </w:p>
    <w:p>
      <w:pPr>
        <w:ind w:left="720" w:hanging="720"/>
        <w:spacing w:after="0"/>
        <w:tabs>
          <w:tab w:leader="none" w:pos="7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FHLB ADVANCES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4pt"/>
            </w:pict>
          </mc:Fallback>
        </mc:AlternateConten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At December 31, 2025, FHLB advances were $158.3 million and at December 31, 2024 were $163.0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outstanding FHLB advances at December 31, 2025 and 2024 (in thousands):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40pt,1.25pt" o:allowincell="f" strokecolor="#000000" strokeweight="0.4799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80" w:type="dxa"/>
            <w:vAlign w:val="bottom"/>
            <w:tcBorders>
              <w:bottom w:val="single" w:sz="8" w:color="D1EDF5"/>
            </w:tcBorders>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80" w:type="dxa"/>
            <w:vAlign w:val="bottom"/>
            <w:tcBorders>
              <w:bottom w:val="single" w:sz="8" w:color="D1EDF5"/>
            </w:tcBorders>
          </w:tcPr>
          <w:p>
            <w:pPr>
              <w:spacing w:after="0"/>
              <w:rPr>
                <w:sz w:val="19"/>
                <w:szCs w:val="19"/>
                <w:color w:val="auto"/>
              </w:rPr>
            </w:pPr>
          </w:p>
        </w:tc>
        <w:tc>
          <w:tcPr>
            <w:tcW w:w="2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Maturity Date</w:t>
            </w:r>
          </w:p>
        </w:tc>
        <w:tc>
          <w:tcPr>
            <w:tcW w:w="80" w:type="dxa"/>
            <w:vAlign w:val="bottom"/>
            <w:tcBorders>
              <w:bottom w:val="single" w:sz="8" w:color="D1ED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Amount</w:t>
            </w:r>
          </w:p>
        </w:tc>
      </w:tr>
      <w:tr>
        <w:trPr>
          <w:trHeight w:val="230"/>
        </w:trPr>
        <w:tc>
          <w:tcPr>
            <w:tcW w:w="260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3.77%</w:t>
            </w:r>
          </w:p>
        </w:tc>
        <w:tc>
          <w:tcPr>
            <w:tcW w:w="80" w:type="dxa"/>
            <w:vAlign w:val="bottom"/>
            <w:shd w:val="clear" w:color="auto" w:fill="D1EDF5"/>
          </w:tcPr>
          <w:p>
            <w:pPr>
              <w:spacing w:after="0"/>
              <w:rPr>
                <w:sz w:val="19"/>
                <w:szCs w:val="19"/>
                <w:color w:val="auto"/>
              </w:rPr>
            </w:pPr>
          </w:p>
        </w:tc>
        <w:tc>
          <w:tcPr>
            <w:tcW w:w="258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1EDF5"/>
          </w:tcPr>
          <w:p>
            <w:pPr>
              <w:spacing w:after="0"/>
              <w:rPr>
                <w:sz w:val="19"/>
                <w:szCs w:val="19"/>
                <w:color w:val="auto"/>
              </w:rPr>
            </w:pPr>
          </w:p>
        </w:tc>
        <w:tc>
          <w:tcPr>
            <w:tcW w:w="26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March 16, 2026</w:t>
            </w:r>
          </w:p>
        </w:tc>
        <w:tc>
          <w:tcPr>
            <w:tcW w:w="80" w:type="dxa"/>
            <w:vAlign w:val="bottom"/>
            <w:shd w:val="clear" w:color="auto" w:fill="D1EDF5"/>
          </w:tcPr>
          <w:p>
            <w:pPr>
              <w:spacing w:after="0"/>
              <w:rPr>
                <w:sz w:val="19"/>
                <w:szCs w:val="19"/>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D1EDF5"/>
          </w:tcPr>
          <w:p>
            <w:pPr>
              <w:jc w:val="right"/>
              <w:ind w:right="50"/>
              <w:spacing w:after="0"/>
              <w:rPr>
                <w:sz w:val="20"/>
                <w:szCs w:val="20"/>
                <w:color w:val="auto"/>
              </w:rPr>
            </w:pPr>
            <w:r>
              <w:rPr>
                <w:rFonts w:ascii="Arial" w:cs="Arial" w:eastAsia="Arial" w:hAnsi="Arial"/>
                <w:sz w:val="18"/>
                <w:szCs w:val="18"/>
                <w:color w:val="auto"/>
              </w:rPr>
              <w:t>104,750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Variable</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May 22, 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42,500</w:t>
            </w:r>
          </w:p>
        </w:tc>
      </w:tr>
      <w:tr>
        <w:trPr>
          <w:trHeight w:val="232"/>
        </w:trPr>
        <w:tc>
          <w:tcPr>
            <w:tcW w:w="260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3.76%</w:t>
            </w:r>
          </w:p>
        </w:tc>
        <w:tc>
          <w:tcPr>
            <w:tcW w:w="80" w:type="dxa"/>
            <w:vAlign w:val="bottom"/>
            <w:shd w:val="clear" w:color="auto" w:fill="D1EDF5"/>
          </w:tcPr>
          <w:p>
            <w:pPr>
              <w:spacing w:after="0"/>
              <w:rPr>
                <w:sz w:val="20"/>
                <w:szCs w:val="20"/>
                <w:color w:val="auto"/>
              </w:rPr>
            </w:pPr>
          </w:p>
        </w:tc>
        <w:tc>
          <w:tcPr>
            <w:tcW w:w="258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1EDF5"/>
          </w:tcPr>
          <w:p>
            <w:pPr>
              <w:spacing w:after="0"/>
              <w:rPr>
                <w:sz w:val="20"/>
                <w:szCs w:val="20"/>
                <w:color w:val="auto"/>
              </w:rPr>
            </w:pPr>
          </w:p>
        </w:tc>
        <w:tc>
          <w:tcPr>
            <w:tcW w:w="26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January 24, 2028</w:t>
            </w:r>
          </w:p>
        </w:tc>
        <w:tc>
          <w:tcPr>
            <w:tcW w:w="80" w:type="dxa"/>
            <w:vAlign w:val="bottom"/>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spacing w:after="0"/>
              <w:rPr>
                <w:sz w:val="20"/>
                <w:szCs w:val="20"/>
                <w:color w:val="auto"/>
              </w:rPr>
            </w:pPr>
          </w:p>
        </w:tc>
        <w:tc>
          <w:tcPr>
            <w:tcW w:w="2560" w:type="dxa"/>
            <w:vAlign w:val="bottom"/>
            <w:tcBorders>
              <w:bottom w:val="single" w:sz="8" w:color="auto"/>
            </w:tcBorders>
            <w:shd w:val="clear" w:color="auto" w:fill="D1EDF5"/>
          </w:tcPr>
          <w:p>
            <w:pPr>
              <w:jc w:val="right"/>
              <w:ind w:right="50"/>
              <w:spacing w:after="0"/>
              <w:rPr>
                <w:sz w:val="20"/>
                <w:szCs w:val="20"/>
                <w:color w:val="auto"/>
              </w:rPr>
            </w:pPr>
            <w:r>
              <w:rPr>
                <w:rFonts w:ascii="Arial" w:cs="Arial" w:eastAsia="Arial" w:hAnsi="Arial"/>
                <w:sz w:val="18"/>
                <w:szCs w:val="18"/>
                <w:color w:val="auto"/>
              </w:rPr>
              <w:t>11,000</w:t>
            </w:r>
          </w:p>
        </w:tc>
      </w:tr>
      <w:tr>
        <w:trPr>
          <w:trHeight w:val="255"/>
        </w:trPr>
        <w:tc>
          <w:tcPr>
            <w:tcW w:w="2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158,250</w:t>
            </w: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wp:posOffset>
                </wp:positionV>
                <wp:extent cx="685800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pt" to="540pt,1.35pt" o:allowincell="f" strokecolor="#000000" strokeweight="0.48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80" w:type="dxa"/>
            <w:vAlign w:val="bottom"/>
            <w:tcBorders>
              <w:bottom w:val="single" w:sz="8" w:color="D1EDF5"/>
            </w:tcBorders>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Rate</w:t>
            </w:r>
          </w:p>
        </w:tc>
        <w:tc>
          <w:tcPr>
            <w:tcW w:w="80" w:type="dxa"/>
            <w:vAlign w:val="bottom"/>
            <w:tcBorders>
              <w:bottom w:val="single" w:sz="8" w:color="D1EDF5"/>
            </w:tcBorders>
          </w:tcPr>
          <w:p>
            <w:pPr>
              <w:spacing w:after="0"/>
              <w:rPr>
                <w:sz w:val="19"/>
                <w:szCs w:val="19"/>
                <w:color w:val="auto"/>
              </w:rPr>
            </w:pPr>
          </w:p>
        </w:tc>
        <w:tc>
          <w:tcPr>
            <w:tcW w:w="2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Maturity Date</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Amount</w:t>
            </w:r>
          </w:p>
        </w:tc>
      </w:tr>
      <w:tr>
        <w:trPr>
          <w:trHeight w:val="230"/>
        </w:trPr>
        <w:tc>
          <w:tcPr>
            <w:tcW w:w="260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2.05%</w:t>
            </w:r>
          </w:p>
        </w:tc>
        <w:tc>
          <w:tcPr>
            <w:tcW w:w="80" w:type="dxa"/>
            <w:vAlign w:val="bottom"/>
            <w:shd w:val="clear" w:color="auto" w:fill="D1EDF5"/>
          </w:tcPr>
          <w:p>
            <w:pPr>
              <w:spacing w:after="0"/>
              <w:rPr>
                <w:sz w:val="19"/>
                <w:szCs w:val="19"/>
                <w:color w:val="auto"/>
              </w:rPr>
            </w:pPr>
          </w:p>
        </w:tc>
        <w:tc>
          <w:tcPr>
            <w:tcW w:w="258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1EDF5"/>
          </w:tcPr>
          <w:p>
            <w:pPr>
              <w:spacing w:after="0"/>
              <w:rPr>
                <w:sz w:val="19"/>
                <w:szCs w:val="19"/>
                <w:color w:val="auto"/>
              </w:rPr>
            </w:pPr>
          </w:p>
        </w:tc>
        <w:tc>
          <w:tcPr>
            <w:tcW w:w="26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March 27, 2025</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D1EDF5"/>
          </w:tcPr>
          <w:p>
            <w:pPr>
              <w:jc w:val="right"/>
              <w:ind w:right="50"/>
              <w:spacing w:after="0"/>
              <w:rPr>
                <w:sz w:val="20"/>
                <w:szCs w:val="20"/>
                <w:color w:val="auto"/>
              </w:rPr>
            </w:pPr>
            <w:r>
              <w:rPr>
                <w:rFonts w:ascii="Arial" w:cs="Arial" w:eastAsia="Arial" w:hAnsi="Arial"/>
                <w:sz w:val="18"/>
                <w:szCs w:val="18"/>
                <w:color w:val="auto"/>
              </w:rPr>
              <w:t>10,000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July 18,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6,000</w:t>
            </w:r>
          </w:p>
        </w:tc>
      </w:tr>
      <w:tr>
        <w:trPr>
          <w:trHeight w:val="240"/>
        </w:trPr>
        <w:tc>
          <w:tcPr>
            <w:tcW w:w="260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3.76%</w:t>
            </w:r>
          </w:p>
        </w:tc>
        <w:tc>
          <w:tcPr>
            <w:tcW w:w="80" w:type="dxa"/>
            <w:vAlign w:val="bottom"/>
            <w:shd w:val="clear" w:color="auto" w:fill="D1EDF5"/>
          </w:tcPr>
          <w:p>
            <w:pPr>
              <w:spacing w:after="0"/>
              <w:rPr>
                <w:sz w:val="20"/>
                <w:szCs w:val="20"/>
                <w:color w:val="auto"/>
              </w:rPr>
            </w:pPr>
          </w:p>
        </w:tc>
        <w:tc>
          <w:tcPr>
            <w:tcW w:w="258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1EDF5"/>
          </w:tcPr>
          <w:p>
            <w:pPr>
              <w:spacing w:after="0"/>
              <w:rPr>
                <w:sz w:val="20"/>
                <w:szCs w:val="20"/>
                <w:color w:val="auto"/>
              </w:rPr>
            </w:pPr>
          </w:p>
        </w:tc>
        <w:tc>
          <w:tcPr>
            <w:tcW w:w="26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January 24, 2028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2560" w:type="dxa"/>
            <w:vAlign w:val="bottom"/>
            <w:shd w:val="clear" w:color="auto" w:fill="D1EDF5"/>
          </w:tcPr>
          <w:p>
            <w:pPr>
              <w:jc w:val="right"/>
              <w:ind w:right="50"/>
              <w:spacing w:after="0"/>
              <w:rPr>
                <w:sz w:val="20"/>
                <w:szCs w:val="20"/>
                <w:color w:val="auto"/>
              </w:rPr>
            </w:pPr>
            <w:r>
              <w:rPr>
                <w:rFonts w:ascii="Arial" w:cs="Arial" w:eastAsia="Arial" w:hAnsi="Arial"/>
                <w:sz w:val="18"/>
                <w:szCs w:val="18"/>
                <w:color w:val="auto"/>
              </w:rPr>
              <w:t>11,000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April 25, 2028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50,000</w:t>
            </w:r>
          </w:p>
        </w:tc>
      </w:tr>
      <w:tr>
        <w:trPr>
          <w:trHeight w:val="240"/>
        </w:trPr>
        <w:tc>
          <w:tcPr>
            <w:tcW w:w="260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3.68%</w:t>
            </w:r>
          </w:p>
        </w:tc>
        <w:tc>
          <w:tcPr>
            <w:tcW w:w="80" w:type="dxa"/>
            <w:vAlign w:val="bottom"/>
            <w:shd w:val="clear" w:color="auto" w:fill="D1EDF5"/>
          </w:tcPr>
          <w:p>
            <w:pPr>
              <w:spacing w:after="0"/>
              <w:rPr>
                <w:sz w:val="20"/>
                <w:szCs w:val="20"/>
                <w:color w:val="auto"/>
              </w:rPr>
            </w:pPr>
          </w:p>
        </w:tc>
        <w:tc>
          <w:tcPr>
            <w:tcW w:w="258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1EDF5"/>
          </w:tcPr>
          <w:p>
            <w:pPr>
              <w:spacing w:after="0"/>
              <w:rPr>
                <w:sz w:val="20"/>
                <w:szCs w:val="20"/>
                <w:color w:val="auto"/>
              </w:rPr>
            </w:pPr>
          </w:p>
        </w:tc>
        <w:tc>
          <w:tcPr>
            <w:tcW w:w="26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September 13, 2027</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2560" w:type="dxa"/>
            <w:vAlign w:val="bottom"/>
            <w:shd w:val="clear" w:color="auto" w:fill="D1EDF5"/>
          </w:tcPr>
          <w:p>
            <w:pPr>
              <w:jc w:val="right"/>
              <w:ind w:right="50"/>
              <w:spacing w:after="0"/>
              <w:rPr>
                <w:sz w:val="20"/>
                <w:szCs w:val="20"/>
                <w:color w:val="auto"/>
              </w:rPr>
            </w:pPr>
            <w:r>
              <w:rPr>
                <w:rFonts w:ascii="Arial" w:cs="Arial" w:eastAsia="Arial" w:hAnsi="Arial"/>
                <w:sz w:val="18"/>
                <w:szCs w:val="18"/>
                <w:color w:val="auto"/>
              </w:rPr>
              <w:t>21,000</w:t>
            </w:r>
          </w:p>
        </w:tc>
      </w:tr>
      <w:tr>
        <w:trPr>
          <w:trHeight w:val="240"/>
        </w:trPr>
        <w:tc>
          <w:tcPr>
            <w:tcW w:w="2600" w:type="dxa"/>
            <w:vAlign w:val="bottom"/>
          </w:tcPr>
          <w:p>
            <w:pPr>
              <w:jc w:val="center"/>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Fixed</w:t>
            </w:r>
          </w:p>
        </w:tc>
        <w:tc>
          <w:tcPr>
            <w:tcW w:w="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March 23, 2026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20,000</w:t>
            </w:r>
          </w:p>
        </w:tc>
      </w:tr>
      <w:tr>
        <w:trPr>
          <w:trHeight w:val="232"/>
        </w:trPr>
        <w:tc>
          <w:tcPr>
            <w:tcW w:w="260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4.65%</w:t>
            </w:r>
          </w:p>
        </w:tc>
        <w:tc>
          <w:tcPr>
            <w:tcW w:w="80" w:type="dxa"/>
            <w:vAlign w:val="bottom"/>
            <w:shd w:val="clear" w:color="auto" w:fill="D1EDF5"/>
          </w:tcPr>
          <w:p>
            <w:pPr>
              <w:spacing w:after="0"/>
              <w:rPr>
                <w:sz w:val="20"/>
                <w:szCs w:val="20"/>
                <w:color w:val="auto"/>
              </w:rPr>
            </w:pPr>
          </w:p>
        </w:tc>
        <w:tc>
          <w:tcPr>
            <w:tcW w:w="2580" w:type="dxa"/>
            <w:vAlign w:val="bottom"/>
            <w:shd w:val="clear" w:color="auto" w:fill="D1EDF5"/>
          </w:tcPr>
          <w:p>
            <w:pPr>
              <w:jc w:val="center"/>
              <w:spacing w:after="0"/>
              <w:rPr>
                <w:sz w:val="20"/>
                <w:szCs w:val="20"/>
                <w:color w:val="auto"/>
              </w:rPr>
            </w:pPr>
            <w:r>
              <w:rPr>
                <w:rFonts w:ascii="Arial" w:cs="Arial" w:eastAsia="Arial" w:hAnsi="Arial"/>
                <w:sz w:val="18"/>
                <w:szCs w:val="18"/>
                <w:color w:val="auto"/>
              </w:rPr>
              <w:t>Fixed</w:t>
            </w:r>
          </w:p>
        </w:tc>
        <w:tc>
          <w:tcPr>
            <w:tcW w:w="80" w:type="dxa"/>
            <w:vAlign w:val="bottom"/>
            <w:shd w:val="clear" w:color="auto" w:fill="D1EDF5"/>
          </w:tcPr>
          <w:p>
            <w:pPr>
              <w:spacing w:after="0"/>
              <w:rPr>
                <w:sz w:val="20"/>
                <w:szCs w:val="20"/>
                <w:color w:val="auto"/>
              </w:rPr>
            </w:pPr>
          </w:p>
        </w:tc>
        <w:tc>
          <w:tcPr>
            <w:tcW w:w="26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February 13, 2025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20" w:type="dxa"/>
            <w:vAlign w:val="bottom"/>
            <w:tcBorders>
              <w:bottom w:val="single" w:sz="8" w:color="auto"/>
            </w:tcBorders>
            <w:shd w:val="clear" w:color="auto" w:fill="D1EDF5"/>
          </w:tcPr>
          <w:p>
            <w:pPr>
              <w:spacing w:after="0"/>
              <w:rPr>
                <w:sz w:val="20"/>
                <w:szCs w:val="20"/>
                <w:color w:val="auto"/>
              </w:rPr>
            </w:pPr>
          </w:p>
        </w:tc>
        <w:tc>
          <w:tcPr>
            <w:tcW w:w="2560" w:type="dxa"/>
            <w:vAlign w:val="bottom"/>
            <w:tcBorders>
              <w:bottom w:val="single" w:sz="8" w:color="auto"/>
            </w:tcBorders>
            <w:shd w:val="clear" w:color="auto" w:fill="D1EDF5"/>
          </w:tcPr>
          <w:p>
            <w:pPr>
              <w:jc w:val="right"/>
              <w:ind w:right="50"/>
              <w:spacing w:after="0"/>
              <w:rPr>
                <w:sz w:val="20"/>
                <w:szCs w:val="20"/>
                <w:color w:val="auto"/>
              </w:rPr>
            </w:pPr>
            <w:r>
              <w:rPr>
                <w:rFonts w:ascii="Arial" w:cs="Arial" w:eastAsia="Arial" w:hAnsi="Arial"/>
                <w:sz w:val="18"/>
                <w:szCs w:val="18"/>
                <w:color w:val="auto"/>
              </w:rPr>
              <w:t>45,000</w:t>
            </w:r>
          </w:p>
        </w:tc>
      </w:tr>
      <w:tr>
        <w:trPr>
          <w:trHeight w:val="255"/>
        </w:trPr>
        <w:tc>
          <w:tcPr>
            <w:tcW w:w="2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163,000</w:t>
            </w: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72"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7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On January 12, 2024, the Company borrowed $80.0 million at a rate of 4.81% with a maturity date of January 10, 2025, under the BTFP program. The Company paid off the $80.0 million under the BTFP program during the third quarter 2024. The original maturity of this borrowing under the BTFP program was January 2025, and there are no remaining borrowings by the Company under this program.</w:t>
      </w:r>
    </w:p>
    <w:p>
      <w:pPr>
        <w:spacing w:after="0" w:line="175" w:lineRule="exact"/>
        <w:rPr>
          <w:sz w:val="20"/>
          <w:szCs w:val="20"/>
          <w:color w:val="auto"/>
        </w:rPr>
      </w:pPr>
    </w:p>
    <w:p>
      <w:pPr>
        <w:ind w:left="720" w:hanging="720"/>
        <w:spacing w:after="0"/>
        <w:tabs>
          <w:tab w:leader="none" w:pos="72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SUBORDINATED 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33655</wp:posOffset>
                </wp:positionV>
                <wp:extent cx="689419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65pt" to="541.45pt,2.65pt" o:allowincell="f" strokecolor="#000000" strokeweight="1.44pt"/>
            </w:pict>
          </mc:Fallback>
        </mc:AlternateContent>
      </w:r>
    </w:p>
    <w:p>
      <w:pPr>
        <w:spacing w:after="0" w:line="262" w:lineRule="exact"/>
        <w:rPr>
          <w:sz w:val="20"/>
          <w:szCs w:val="20"/>
          <w:color w:val="auto"/>
        </w:rPr>
      </w:pPr>
    </w:p>
    <w:p>
      <w:pPr>
        <w:jc w:val="both"/>
        <w:ind w:firstLine="361"/>
        <w:spacing w:after="0" w:line="246" w:lineRule="auto"/>
        <w:rPr>
          <w:sz w:val="20"/>
          <w:szCs w:val="20"/>
          <w:color w:val="auto"/>
        </w:rPr>
      </w:pPr>
      <w:r>
        <w:rPr>
          <w:rFonts w:ascii="Arial" w:cs="Arial" w:eastAsia="Arial" w:hAnsi="Arial"/>
          <w:sz w:val="20"/>
          <w:szCs w:val="20"/>
          <w:color w:val="auto"/>
        </w:rPr>
        <w:t>On August 14, 2025, the Company entered into a Subordinated Note Purchase Agreement (the “Purchase Agreement”) with certain qualified institutional buyers (the “Purchasers”) pursuant to which the Company sold and issued $40.0 million in aggregate principal amount of its 7.625% Fixed-to- Floating Rate Subordinated Notes due 2035 (the “Notes”) . The Notes were issued by the Company to the Purchasers at a price equal to 100% of their face amount. Net proceeds were $39.2 million after an estimated direct issuance cost of approximately $760 thousand. Unamortized issuance costs are deferred and amortized over the 10- year Subordinated note term. As of December 31, 2025, the outstanding balance of subordinated notes, net of costs, totaled $39.3 million and the average interest rate paid on the outstanding average balance net of costs was 7.32%.</w:t>
      </w:r>
    </w:p>
    <w:p>
      <w:pPr>
        <w:spacing w:after="0" w:line="184"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Notes have a stated maturity of August 15, 2035, and are redeemable, in whole or in part, on any interest payment date on or after August 15, 2030, and at any time upon the occurrences of certain events. The Notes bear interest at a fixed rate of 7.625% per year, from and including August 14, 2025, to but excluding August 15, 2030 or earlier redemption date. From and including August 15, 2030, to but excluding the maturity date or early redemption date, the interest rate will reset quarterly at a variable rate equal to the then current three-month term secured overnight financing rate (“SOFR”), plus 422 basis points. If three-month SOFR cannot be determined on a given date, a different index shall be determined and used in accordance with the terms of the Notes.</w:t>
      </w:r>
    </w:p>
    <w:p>
      <w:pPr>
        <w:spacing w:after="0" w:line="18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The Notes were offered and sold by the Company in a private placement transaction in reliance on exemptions from the registration requirements of the Securities Act, pursuant to Section 4(a)(2) of the Securities Act and Rule 506(b) of Regulation D thereunder. On August 14, 2025, in connection with the sale and issuance of the Notes, the Company entered into a Registration Rights Agreement (the “Registration Rights Agreement”) with the Purchasers. Under the terms of the</w:t>
      </w:r>
    </w:p>
    <w:p>
      <w:pPr>
        <w:spacing w:after="0" w:line="315"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08" w:name="page109"/>
    <w:bookmarkEnd w:id="108"/>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Registration Rights Agreement, the Company agreed to take certain actions to provide for the exchange of the Notes for subordinated notes that are registered under the Securities Act and have substantially the same terms as the Notes (the “Exchange Offer”). Under certain circumstances, if the Company fails to meet its obligations under the Registration Rights Agreement, it would be required to pay additional interest to the holders of the Notes.</w:t>
      </w:r>
    </w:p>
    <w:p>
      <w:pPr>
        <w:spacing w:after="0" w:line="172" w:lineRule="exact"/>
        <w:rPr>
          <w:sz w:val="20"/>
          <w:szCs w:val="20"/>
          <w:color w:val="auto"/>
        </w:rPr>
      </w:pPr>
    </w:p>
    <w:p>
      <w:pPr>
        <w:ind w:left="720" w:hanging="720"/>
        <w:spacing w:after="0"/>
        <w:tabs>
          <w:tab w:leader="none" w:pos="72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EQUITY BASED AND OTHER COMPENSATION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6">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398pt"/>
            </w:pict>
          </mc:Fallback>
        </mc:AlternateConten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401(k) Plan</w:t>
      </w:r>
    </w:p>
    <w:p>
      <w:pPr>
        <w:spacing w:after="0" w:line="233"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Company has an 401(k) plan (the “Plan”) covering substantially all eligible employees. The Plan includes a provision that the employer may contribute to the accounts of eligible employees for whom a salary deferral is made. The Company contributed $423 thousand and $ 354 thousand to the Plan during the years ended December 31, 2025 and 2024, respectively; the contributions are included under salaries and employee benefits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35" w:lineRule="exact"/>
        <w:rPr>
          <w:sz w:val="20"/>
          <w:szCs w:val="20"/>
          <w:color w:val="auto"/>
        </w:rPr>
      </w:pPr>
    </w:p>
    <w:p>
      <w:pPr>
        <w:jc w:val="both"/>
        <w:ind w:firstLine="361"/>
        <w:spacing w:after="0" w:line="244" w:lineRule="auto"/>
        <w:rPr>
          <w:sz w:val="20"/>
          <w:szCs w:val="20"/>
          <w:color w:val="auto"/>
        </w:rPr>
      </w:pPr>
      <w:r>
        <w:rPr>
          <w:rFonts w:ascii="Arial" w:cs="Arial" w:eastAsia="Arial" w:hAnsi="Arial"/>
          <w:sz w:val="20"/>
          <w:szCs w:val="20"/>
          <w:color w:val="auto"/>
        </w:rPr>
        <w:t>In 2015, the Company's stockholders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and, in no event shall an option be exercisable after the expiration of 10 years from the grant date. The 2015 Option Plan had a 10-year life and initially would have terminated in 2025. In July 2020, the stockholders of the Company approved the amendment of the 2015 Option plan to authorize the issuance of an additional 3,000,000 shares of common stock and extending the life of the plan 5 additional years, terminating in 2030. The authorized shares, after being adjusted to reflect the 1 for 5 reverse stock split, totaled 1,000,000 shares. In December 2021, the shareholders of the Company approved the amendment of the 2015 Option Plan to authorize the issuance of an additional 1,400,000 shares of common stock as well as the ability to issue restricted stock grants (up to 600,000 shares) for a total of 2,400,000 shares as well as extending the term until December 2031.</w:t>
      </w:r>
    </w:p>
    <w:p>
      <w:pPr>
        <w:spacing w:after="0" w:line="18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At December 31, 2025, there were 872,012 shares available for grant under the 2015 Option Plan. At December 31, 2024, there were 996,436 shares available for grant under the 2015 Option Plan.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35" w:lineRule="exact"/>
        <w:rPr>
          <w:sz w:val="20"/>
          <w:szCs w:val="20"/>
          <w:color w:val="auto"/>
        </w:rPr>
      </w:pPr>
    </w:p>
    <w:p>
      <w:pPr>
        <w:jc w:val="both"/>
        <w:ind w:firstLine="361"/>
        <w:spacing w:after="0" w:line="250" w:lineRule="auto"/>
        <w:rPr>
          <w:sz w:val="20"/>
          <w:szCs w:val="20"/>
          <w:color w:val="auto"/>
        </w:rPr>
      </w:pPr>
      <w:r>
        <w:rPr>
          <w:rFonts w:ascii="Arial" w:cs="Arial" w:eastAsia="Arial" w:hAnsi="Arial"/>
          <w:sz w:val="20"/>
          <w:szCs w:val="20"/>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Stock-based compensation expense is based on awards that the Company expects will ultimately vest, reduced by estimated forfeitures. Estimated forfeitures consider the voluntary termination trends as well as actual option forfeitures.</w:t>
      </w:r>
    </w:p>
    <w:p>
      <w:pPr>
        <w:spacing w:after="0" w:line="1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compensation expense is reported under salaries and employee benefits in the accompanying Consolidated Statements of Operations. Compensation expense totaling $10 thousand was recognized for the year ended December 31, 2025 and $278 thousand for the year ended December 31, 2024. There was no related tax benefit for the years ended December 31, 2025 and 2024.</w:t>
      </w:r>
    </w:p>
    <w:p>
      <w:pPr>
        <w:spacing w:after="0" w:line="180"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Unrecognized compensation cost remaining on stock-based compensation totaled $0 and $10 thousand for the years ended December 31, 2025 and 2024, respectively.</w:t>
      </w:r>
    </w:p>
    <w:p>
      <w:pPr>
        <w:spacing w:after="0" w:line="15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were no options granted in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09" w:name="page110"/>
    <w:bookmarkEnd w:id="109"/>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 summary of stock options for the years ended December 31, 2025 and 2024:</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Aggregate Intrinsic</w:t>
            </w:r>
          </w:p>
        </w:tc>
      </w:tr>
      <w:tr>
        <w:trPr>
          <w:trHeight w:val="209"/>
        </w:trPr>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Weighted Average</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Remaining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 (in</w:t>
            </w:r>
          </w:p>
        </w:tc>
      </w:tr>
      <w:tr>
        <w:trPr>
          <w:trHeight w:val="251"/>
        </w:trPr>
        <w:tc>
          <w:tcPr>
            <w:tcW w:w="1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Stock Options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Exercise Price</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Contractual Years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thousands)</w:t>
            </w:r>
          </w:p>
        </w:tc>
      </w:tr>
      <w:tr>
        <w:trPr>
          <w:trHeight w:val="206"/>
        </w:trPr>
        <w:tc>
          <w:tcPr>
            <w:tcW w:w="346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Balance at January 1, 2025</w:t>
            </w:r>
          </w:p>
        </w:tc>
        <w:tc>
          <w:tcPr>
            <w:tcW w:w="16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725,167</w:t>
            </w:r>
          </w:p>
        </w:tc>
        <w:tc>
          <w:tcPr>
            <w:tcW w:w="40" w:type="dxa"/>
            <w:vAlign w:val="bottom"/>
            <w:tcBorders>
              <w:top w:val="single" w:sz="8" w:color="D1EDF5"/>
            </w:tcBorders>
            <w:shd w:val="clear" w:color="auto" w:fill="D1EDF5"/>
          </w:tcPr>
          <w:p>
            <w:pPr>
              <w:spacing w:after="0"/>
              <w:rPr>
                <w:sz w:val="17"/>
                <w:szCs w:val="17"/>
                <w:color w:val="auto"/>
              </w:rPr>
            </w:pPr>
          </w:p>
        </w:tc>
        <w:tc>
          <w:tcPr>
            <w:tcW w:w="40" w:type="dxa"/>
            <w:vAlign w:val="bottom"/>
            <w:tcBorders>
              <w:top w:val="single" w:sz="8" w:color="D1EDF5"/>
            </w:tcBorders>
            <w:shd w:val="clear" w:color="auto" w:fill="D1EDF5"/>
          </w:tcPr>
          <w:p>
            <w:pPr>
              <w:spacing w:after="0"/>
              <w:rPr>
                <w:sz w:val="17"/>
                <w:szCs w:val="17"/>
                <w:color w:val="auto"/>
              </w:rPr>
            </w:pPr>
          </w:p>
        </w:tc>
        <w:tc>
          <w:tcPr>
            <w:tcW w:w="1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top w:val="single" w:sz="8" w:color="D1EDF5"/>
            </w:tcBorders>
            <w:shd w:val="clear" w:color="auto" w:fill="D1EDF5"/>
          </w:tcPr>
          <w:p>
            <w:pPr>
              <w:spacing w:after="0"/>
              <w:rPr>
                <w:sz w:val="17"/>
                <w:szCs w:val="17"/>
                <w:color w:val="auto"/>
              </w:rPr>
            </w:pPr>
          </w:p>
        </w:tc>
        <w:tc>
          <w:tcPr>
            <w:tcW w:w="166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auto"/>
            </w:tcBorders>
            <w:shd w:val="clear" w:color="auto" w:fill="D1EDF5"/>
          </w:tcPr>
          <w:p>
            <w:pPr>
              <w:spacing w:after="0"/>
              <w:rPr>
                <w:sz w:val="17"/>
                <w:szCs w:val="17"/>
                <w:color w:val="auto"/>
              </w:rPr>
            </w:pPr>
          </w:p>
        </w:tc>
        <w:tc>
          <w:tcPr>
            <w:tcW w:w="1500" w:type="dxa"/>
            <w:vAlign w:val="bottom"/>
            <w:tcBorders>
              <w:top w:val="single" w:sz="8" w:color="auto"/>
            </w:tcBorders>
            <w:shd w:val="clear" w:color="auto" w:fill="D1EDF5"/>
          </w:tcPr>
          <w:p>
            <w:pPr>
              <w:spacing w:after="0"/>
              <w:rPr>
                <w:sz w:val="17"/>
                <w:szCs w:val="17"/>
                <w:color w:val="auto"/>
              </w:rPr>
            </w:pPr>
          </w:p>
        </w:tc>
      </w:tr>
      <w:tr>
        <w:trPr>
          <w:trHeight w:val="254"/>
        </w:trPr>
        <w:tc>
          <w:tcPr>
            <w:tcW w:w="140" w:type="dxa"/>
            <w:vAlign w:val="bottom"/>
            <w:tcBorders>
              <w:bottom w:val="single" w:sz="8" w:color="D1EDF5"/>
            </w:tcBorders>
          </w:tcPr>
          <w:p>
            <w:pPr>
              <w:spacing w:after="0"/>
              <w:rPr>
                <w:sz w:val="22"/>
                <w:szCs w:val="22"/>
                <w:color w:val="auto"/>
              </w:rPr>
            </w:pPr>
          </w:p>
        </w:tc>
        <w:tc>
          <w:tcPr>
            <w:tcW w:w="332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Granted</w:t>
            </w:r>
          </w:p>
        </w:tc>
        <w:tc>
          <w:tcPr>
            <w:tcW w:w="170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1EDF5"/>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tcPr>
          <w:p>
            <w:pPr>
              <w:spacing w:after="0"/>
              <w:rPr>
                <w:sz w:val="22"/>
                <w:szCs w:val="22"/>
                <w:color w:val="auto"/>
              </w:rPr>
            </w:pPr>
          </w:p>
        </w:tc>
        <w:tc>
          <w:tcPr>
            <w:tcW w:w="1660" w:type="dxa"/>
            <w:vAlign w:val="bottom"/>
            <w:tcBorders>
              <w:bottom w:val="single" w:sz="8" w:color="D1EDF5"/>
            </w:tcBorders>
          </w:tcPr>
          <w:p>
            <w:pPr>
              <w:spacing w:after="0"/>
              <w:rPr>
                <w:sz w:val="22"/>
                <w:szCs w:val="22"/>
                <w:color w:val="auto"/>
              </w:rPr>
            </w:pPr>
          </w:p>
        </w:tc>
        <w:tc>
          <w:tcPr>
            <w:tcW w:w="80" w:type="dxa"/>
            <w:vAlign w:val="bottom"/>
            <w:tcBorders>
              <w:bottom w:val="single" w:sz="8" w:color="D1EDF5"/>
            </w:tcBorders>
          </w:tcPr>
          <w:p>
            <w:pPr>
              <w:spacing w:after="0"/>
              <w:rPr>
                <w:sz w:val="22"/>
                <w:szCs w:val="22"/>
                <w:color w:val="auto"/>
              </w:rPr>
            </w:pPr>
          </w:p>
        </w:tc>
        <w:tc>
          <w:tcPr>
            <w:tcW w:w="180" w:type="dxa"/>
            <w:vAlign w:val="bottom"/>
            <w:tcBorders>
              <w:bottom w:val="single" w:sz="8" w:color="D1EDF5"/>
            </w:tcBorders>
          </w:tcPr>
          <w:p>
            <w:pPr>
              <w:spacing w:after="0"/>
              <w:rPr>
                <w:sz w:val="22"/>
                <w:szCs w:val="22"/>
                <w:color w:val="auto"/>
              </w:rPr>
            </w:pPr>
          </w:p>
        </w:tc>
        <w:tc>
          <w:tcPr>
            <w:tcW w:w="1500" w:type="dxa"/>
            <w:vAlign w:val="bottom"/>
            <w:tcBorders>
              <w:bottom w:val="single" w:sz="8" w:color="D1EDF5"/>
            </w:tcBorders>
          </w:tcPr>
          <w:p>
            <w:pPr>
              <w:spacing w:after="0"/>
              <w:rPr>
                <w:sz w:val="22"/>
                <w:szCs w:val="22"/>
                <w:color w:val="auto"/>
              </w:rPr>
            </w:pPr>
          </w:p>
        </w:tc>
      </w:tr>
      <w:tr>
        <w:trPr>
          <w:trHeight w:val="206"/>
        </w:trPr>
        <w:tc>
          <w:tcPr>
            <w:tcW w:w="140" w:type="dxa"/>
            <w:vAlign w:val="bottom"/>
            <w:shd w:val="clear" w:color="auto" w:fill="D1EDF5"/>
          </w:tcPr>
          <w:p>
            <w:pPr>
              <w:spacing w:after="0"/>
              <w:rPr>
                <w:sz w:val="17"/>
                <w:szCs w:val="17"/>
                <w:color w:val="auto"/>
              </w:rPr>
            </w:pPr>
          </w:p>
        </w:tc>
        <w:tc>
          <w:tcPr>
            <w:tcW w:w="3320" w:type="dxa"/>
            <w:vAlign w:val="bottom"/>
            <w:shd w:val="clear" w:color="auto" w:fill="D1EDF5"/>
          </w:tcPr>
          <w:p>
            <w:pPr>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(98,500)</w:t>
            </w:r>
          </w:p>
        </w:tc>
        <w:tc>
          <w:tcPr>
            <w:tcW w:w="4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8.15</w:t>
            </w:r>
          </w:p>
        </w:tc>
        <w:tc>
          <w:tcPr>
            <w:tcW w:w="60" w:type="dxa"/>
            <w:vAlign w:val="bottom"/>
            <w:shd w:val="clear" w:color="auto" w:fill="D1EDF5"/>
          </w:tcPr>
          <w:p>
            <w:pPr>
              <w:spacing w:after="0"/>
              <w:rPr>
                <w:sz w:val="17"/>
                <w:szCs w:val="17"/>
                <w:color w:val="auto"/>
              </w:rPr>
            </w:pPr>
          </w:p>
        </w:tc>
        <w:tc>
          <w:tcPr>
            <w:tcW w:w="166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1500" w:type="dxa"/>
            <w:vAlign w:val="bottom"/>
            <w:shd w:val="clear" w:color="auto" w:fill="D1EDF5"/>
          </w:tcPr>
          <w:p>
            <w:pPr>
              <w:spacing w:after="0"/>
              <w:rPr>
                <w:sz w:val="17"/>
                <w:szCs w:val="17"/>
                <w:color w:val="auto"/>
              </w:rPr>
            </w:pPr>
          </w:p>
        </w:tc>
      </w:tr>
      <w:tr>
        <w:trPr>
          <w:trHeight w:val="278"/>
        </w:trPr>
        <w:tc>
          <w:tcPr>
            <w:tcW w:w="14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Forfeitures</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9"/>
        </w:trPr>
        <w:tc>
          <w:tcPr>
            <w:tcW w:w="346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Balance at December 31, 2025</w:t>
            </w:r>
          </w:p>
        </w:tc>
        <w:tc>
          <w:tcPr>
            <w:tcW w:w="16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626,667</w:t>
            </w:r>
          </w:p>
        </w:tc>
        <w:tc>
          <w:tcPr>
            <w:tcW w:w="40" w:type="dxa"/>
            <w:vAlign w:val="bottom"/>
            <w:tcBorders>
              <w:top w:val="single" w:sz="8" w:color="D1EDF5"/>
            </w:tcBorders>
            <w:shd w:val="clear" w:color="auto" w:fill="D1EDF5"/>
          </w:tcPr>
          <w:p>
            <w:pPr>
              <w:spacing w:after="0"/>
              <w:rPr>
                <w:sz w:val="18"/>
                <w:szCs w:val="18"/>
                <w:color w:val="auto"/>
              </w:rPr>
            </w:pPr>
          </w:p>
        </w:tc>
        <w:tc>
          <w:tcPr>
            <w:tcW w:w="40" w:type="dxa"/>
            <w:vAlign w:val="bottom"/>
            <w:tcBorders>
              <w:top w:val="single" w:sz="8" w:color="D1EDF5"/>
            </w:tcBorders>
            <w:shd w:val="clear" w:color="auto" w:fill="D1EDF5"/>
          </w:tcPr>
          <w:p>
            <w:pPr>
              <w:spacing w:after="0"/>
              <w:rPr>
                <w:sz w:val="18"/>
                <w:szCs w:val="18"/>
                <w:color w:val="auto"/>
              </w:rPr>
            </w:pPr>
          </w:p>
        </w:tc>
        <w:tc>
          <w:tcPr>
            <w:tcW w:w="1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Borders>
              <w:top w:val="single" w:sz="8" w:color="D1EDF5"/>
            </w:tcBorders>
            <w:shd w:val="clear" w:color="auto" w:fill="D1EDF5"/>
          </w:tcPr>
          <w:p>
            <w:pPr>
              <w:spacing w:after="0"/>
              <w:rPr>
                <w:sz w:val="18"/>
                <w:szCs w:val="18"/>
                <w:color w:val="auto"/>
              </w:rPr>
            </w:pPr>
          </w:p>
        </w:tc>
        <w:tc>
          <w:tcPr>
            <w:tcW w:w="16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D1EDF5"/>
            </w:tcBorders>
            <w:shd w:val="clear" w:color="auto" w:fill="D1EDF5"/>
          </w:tcPr>
          <w:p>
            <w:pPr>
              <w:spacing w:after="0"/>
              <w:rPr>
                <w:sz w:val="18"/>
                <w:szCs w:val="18"/>
                <w:color w:val="auto"/>
              </w:rPr>
            </w:pPr>
          </w:p>
        </w:tc>
        <w:tc>
          <w:tcPr>
            <w:tcW w:w="180" w:type="dxa"/>
            <w:vAlign w:val="bottom"/>
            <w:tcBorders>
              <w:top w:val="single" w:sz="8" w:color="D1EDF5"/>
            </w:tcBorders>
            <w:shd w:val="clear" w:color="auto" w:fill="D1EDF5"/>
          </w:tcPr>
          <w:p>
            <w:pPr>
              <w:spacing w:after="0"/>
              <w:rPr>
                <w:sz w:val="18"/>
                <w:szCs w:val="18"/>
                <w:color w:val="auto"/>
              </w:rPr>
            </w:pPr>
          </w:p>
        </w:tc>
        <w:tc>
          <w:tcPr>
            <w:tcW w:w="1500" w:type="dxa"/>
            <w:vAlign w:val="bottom"/>
            <w:tcBorders>
              <w:top w:val="single" w:sz="8" w:color="D1EDF5"/>
            </w:tcBorders>
            <w:shd w:val="clear" w:color="auto" w:fill="D1EDF5"/>
          </w:tcPr>
          <w:p>
            <w:pPr>
              <w:spacing w:after="0"/>
              <w:rPr>
                <w:sz w:val="18"/>
                <w:szCs w:val="18"/>
                <w:color w:val="auto"/>
              </w:rPr>
            </w:pPr>
          </w:p>
        </w:tc>
      </w:tr>
      <w:tr>
        <w:trPr>
          <w:trHeight w:val="20"/>
        </w:trPr>
        <w:tc>
          <w:tcPr>
            <w:tcW w:w="3460" w:type="dxa"/>
            <w:vAlign w:val="bottom"/>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40"/>
        </w:trPr>
        <w:tc>
          <w:tcPr>
            <w:tcW w:w="3460" w:type="dxa"/>
            <w:vAlign w:val="bottom"/>
            <w:gridSpan w:val="2"/>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r>
      <w:tr>
        <w:trPr>
          <w:trHeight w:val="240"/>
        </w:trPr>
        <w:tc>
          <w:tcPr>
            <w:tcW w:w="346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Exercisable at December 31, 2025</w:t>
            </w: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624,500</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11.28</w:t>
            </w:r>
          </w:p>
        </w:tc>
        <w:tc>
          <w:tcPr>
            <w:tcW w:w="60" w:type="dxa"/>
            <w:vAlign w:val="bottom"/>
            <w:shd w:val="clear" w:color="auto" w:fill="D1EDF5"/>
          </w:tcPr>
          <w:p>
            <w:pPr>
              <w:spacing w:after="0"/>
              <w:rPr>
                <w:sz w:val="20"/>
                <w:szCs w:val="20"/>
                <w:color w:val="auto"/>
              </w:rPr>
            </w:pP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4,458</w:t>
            </w:r>
          </w:p>
        </w:tc>
      </w:tr>
      <w:tr>
        <w:trPr>
          <w:trHeight w:val="251"/>
        </w:trPr>
        <w:tc>
          <w:tcPr>
            <w:tcW w:w="3460" w:type="dxa"/>
            <w:vAlign w:val="bottom"/>
            <w:tcBorders>
              <w:bottom w:val="single" w:sz="8" w:color="D1EDF5"/>
            </w:tcBorders>
            <w:gridSpan w:val="2"/>
          </w:tcPr>
          <w:p>
            <w:pPr>
              <w:spacing w:after="0"/>
              <w:rPr>
                <w:sz w:val="21"/>
                <w:szCs w:val="21"/>
                <w:color w:val="auto"/>
              </w:rPr>
            </w:pPr>
          </w:p>
        </w:tc>
        <w:tc>
          <w:tcPr>
            <w:tcW w:w="1660" w:type="dxa"/>
            <w:vAlign w:val="bottom"/>
            <w:tcBorders>
              <w:bottom w:val="single" w:sz="8" w:color="D1EDF5"/>
            </w:tcBorders>
          </w:tcPr>
          <w:p>
            <w:pPr>
              <w:spacing w:after="0"/>
              <w:rPr>
                <w:sz w:val="21"/>
                <w:szCs w:val="21"/>
                <w:color w:val="auto"/>
              </w:rPr>
            </w:pPr>
          </w:p>
        </w:tc>
        <w:tc>
          <w:tcPr>
            <w:tcW w:w="40" w:type="dxa"/>
            <w:vAlign w:val="bottom"/>
            <w:tcBorders>
              <w:bottom w:val="single" w:sz="8" w:color="D1EDF5"/>
            </w:tcBorders>
          </w:tcPr>
          <w:p>
            <w:pPr>
              <w:spacing w:after="0"/>
              <w:rPr>
                <w:sz w:val="21"/>
                <w:szCs w:val="21"/>
                <w:color w:val="auto"/>
              </w:rPr>
            </w:pPr>
          </w:p>
        </w:tc>
        <w:tc>
          <w:tcPr>
            <w:tcW w:w="200" w:type="dxa"/>
            <w:vAlign w:val="bottom"/>
            <w:tcBorders>
              <w:bottom w:val="single" w:sz="8" w:color="D1EDF5"/>
            </w:tcBorders>
            <w:gridSpan w:val="2"/>
          </w:tcPr>
          <w:p>
            <w:pPr>
              <w:spacing w:after="0"/>
              <w:rPr>
                <w:sz w:val="21"/>
                <w:szCs w:val="21"/>
                <w:color w:val="auto"/>
              </w:rPr>
            </w:pPr>
          </w:p>
        </w:tc>
        <w:tc>
          <w:tcPr>
            <w:tcW w:w="1520" w:type="dxa"/>
            <w:vAlign w:val="bottom"/>
            <w:tcBorders>
              <w:bottom w:val="single" w:sz="8" w:color="D1EDF5"/>
            </w:tcBorders>
          </w:tcPr>
          <w:p>
            <w:pPr>
              <w:spacing w:after="0"/>
              <w:rPr>
                <w:sz w:val="21"/>
                <w:szCs w:val="21"/>
                <w:color w:val="auto"/>
              </w:rPr>
            </w:pPr>
          </w:p>
        </w:tc>
        <w:tc>
          <w:tcPr>
            <w:tcW w:w="60" w:type="dxa"/>
            <w:vAlign w:val="bottom"/>
            <w:tcBorders>
              <w:bottom w:val="single" w:sz="8" w:color="D1EDF5"/>
            </w:tcBorders>
          </w:tcPr>
          <w:p>
            <w:pPr>
              <w:spacing w:after="0"/>
              <w:rPr>
                <w:sz w:val="21"/>
                <w:szCs w:val="21"/>
                <w:color w:val="auto"/>
              </w:rPr>
            </w:pPr>
          </w:p>
        </w:tc>
        <w:tc>
          <w:tcPr>
            <w:tcW w:w="1660" w:type="dxa"/>
            <w:vAlign w:val="bottom"/>
            <w:tcBorders>
              <w:bottom w:val="single" w:sz="8" w:color="D1EDF5"/>
            </w:tcBorders>
          </w:tcPr>
          <w:p>
            <w:pPr>
              <w:spacing w:after="0"/>
              <w:rPr>
                <w:sz w:val="21"/>
                <w:szCs w:val="21"/>
                <w:color w:val="auto"/>
              </w:rPr>
            </w:pPr>
          </w:p>
        </w:tc>
        <w:tc>
          <w:tcPr>
            <w:tcW w:w="8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1500" w:type="dxa"/>
            <w:vAlign w:val="bottom"/>
            <w:tcBorders>
              <w:bottom w:val="single" w:sz="8" w:color="D1EDF5"/>
            </w:tcBorders>
          </w:tcPr>
          <w:p>
            <w:pPr>
              <w:spacing w:after="0"/>
              <w:rPr>
                <w:sz w:val="21"/>
                <w:szCs w:val="21"/>
                <w:color w:val="auto"/>
              </w:rPr>
            </w:pPr>
          </w:p>
        </w:tc>
      </w:tr>
      <w:tr>
        <w:trPr>
          <w:trHeight w:val="209"/>
        </w:trPr>
        <w:tc>
          <w:tcPr>
            <w:tcW w:w="346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Balance at January 1, 2024</w:t>
            </w: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947,167</w:t>
            </w:r>
          </w:p>
        </w:tc>
        <w:tc>
          <w:tcPr>
            <w:tcW w:w="40" w:type="dxa"/>
            <w:vAlign w:val="bottom"/>
            <w:shd w:val="clear" w:color="auto" w:fill="D1EDF5"/>
          </w:tcPr>
          <w:p>
            <w:pPr>
              <w:spacing w:after="0"/>
              <w:rPr>
                <w:sz w:val="18"/>
                <w:szCs w:val="18"/>
                <w:color w:val="auto"/>
              </w:rPr>
            </w:pPr>
          </w:p>
        </w:tc>
        <w:tc>
          <w:tcPr>
            <w:tcW w:w="40" w:type="dxa"/>
            <w:vAlign w:val="bottom"/>
            <w:shd w:val="clear" w:color="auto" w:fill="D1EDF5"/>
          </w:tcPr>
          <w:p>
            <w:pPr>
              <w:spacing w:after="0"/>
              <w:rPr>
                <w:sz w:val="18"/>
                <w:szCs w:val="18"/>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10.97</w:t>
            </w:r>
          </w:p>
        </w:tc>
        <w:tc>
          <w:tcPr>
            <w:tcW w:w="60" w:type="dxa"/>
            <w:vAlign w:val="bottom"/>
            <w:shd w:val="clear" w:color="auto" w:fill="D1EDF5"/>
          </w:tcPr>
          <w:p>
            <w:pPr>
              <w:spacing w:after="0"/>
              <w:rPr>
                <w:sz w:val="18"/>
                <w:szCs w:val="18"/>
                <w:color w:val="auto"/>
              </w:rPr>
            </w:pP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spacing w:after="0"/>
              <w:rPr>
                <w:sz w:val="18"/>
                <w:szCs w:val="18"/>
                <w:color w:val="auto"/>
              </w:rPr>
            </w:pPr>
          </w:p>
        </w:tc>
      </w:tr>
      <w:tr>
        <w:trPr>
          <w:trHeight w:val="251"/>
        </w:trPr>
        <w:tc>
          <w:tcPr>
            <w:tcW w:w="140" w:type="dxa"/>
            <w:vAlign w:val="bottom"/>
            <w:tcBorders>
              <w:bottom w:val="single" w:sz="8" w:color="D1EDF5"/>
            </w:tcBorders>
          </w:tcPr>
          <w:p>
            <w:pPr>
              <w:spacing w:after="0"/>
              <w:rPr>
                <w:sz w:val="21"/>
                <w:szCs w:val="21"/>
                <w:color w:val="auto"/>
              </w:rPr>
            </w:pPr>
          </w:p>
        </w:tc>
        <w:tc>
          <w:tcPr>
            <w:tcW w:w="332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Granted</w:t>
            </w:r>
          </w:p>
        </w:tc>
        <w:tc>
          <w:tcPr>
            <w:tcW w:w="1700" w:type="dxa"/>
            <w:vAlign w:val="bottom"/>
            <w:tcBorders>
              <w:bottom w:val="single" w:sz="8" w:color="D1EDF5"/>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1EDF5"/>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D1EDF5"/>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tcPr>
          <w:p>
            <w:pPr>
              <w:spacing w:after="0"/>
              <w:rPr>
                <w:sz w:val="21"/>
                <w:szCs w:val="21"/>
                <w:color w:val="auto"/>
              </w:rPr>
            </w:pPr>
          </w:p>
        </w:tc>
        <w:tc>
          <w:tcPr>
            <w:tcW w:w="1660" w:type="dxa"/>
            <w:vAlign w:val="bottom"/>
            <w:tcBorders>
              <w:bottom w:val="single" w:sz="8" w:color="D1EDF5"/>
            </w:tcBorders>
          </w:tcPr>
          <w:p>
            <w:pPr>
              <w:spacing w:after="0"/>
              <w:rPr>
                <w:sz w:val="21"/>
                <w:szCs w:val="21"/>
                <w:color w:val="auto"/>
              </w:rPr>
            </w:pPr>
          </w:p>
        </w:tc>
        <w:tc>
          <w:tcPr>
            <w:tcW w:w="80" w:type="dxa"/>
            <w:vAlign w:val="bottom"/>
            <w:tcBorders>
              <w:bottom w:val="single" w:sz="8" w:color="D1EDF5"/>
            </w:tcBorders>
          </w:tcPr>
          <w:p>
            <w:pPr>
              <w:spacing w:after="0"/>
              <w:rPr>
                <w:sz w:val="21"/>
                <w:szCs w:val="21"/>
                <w:color w:val="auto"/>
              </w:rPr>
            </w:pPr>
          </w:p>
        </w:tc>
        <w:tc>
          <w:tcPr>
            <w:tcW w:w="180" w:type="dxa"/>
            <w:vAlign w:val="bottom"/>
            <w:tcBorders>
              <w:bottom w:val="single" w:sz="8" w:color="D1EDF5"/>
            </w:tcBorders>
          </w:tcPr>
          <w:p>
            <w:pPr>
              <w:spacing w:after="0"/>
              <w:rPr>
                <w:sz w:val="21"/>
                <w:szCs w:val="21"/>
                <w:color w:val="auto"/>
              </w:rPr>
            </w:pPr>
          </w:p>
        </w:tc>
        <w:tc>
          <w:tcPr>
            <w:tcW w:w="1500" w:type="dxa"/>
            <w:vAlign w:val="bottom"/>
            <w:tcBorders>
              <w:bottom w:val="single" w:sz="8" w:color="D1EDF5"/>
            </w:tcBorders>
          </w:tcPr>
          <w:p>
            <w:pPr>
              <w:spacing w:after="0"/>
              <w:rPr>
                <w:sz w:val="21"/>
                <w:szCs w:val="21"/>
                <w:color w:val="auto"/>
              </w:rPr>
            </w:pPr>
          </w:p>
        </w:tc>
      </w:tr>
      <w:tr>
        <w:trPr>
          <w:trHeight w:val="209"/>
        </w:trPr>
        <w:tc>
          <w:tcPr>
            <w:tcW w:w="140" w:type="dxa"/>
            <w:vAlign w:val="bottom"/>
            <w:shd w:val="clear" w:color="auto" w:fill="D1EDF5"/>
          </w:tcPr>
          <w:p>
            <w:pPr>
              <w:spacing w:after="0"/>
              <w:rPr>
                <w:sz w:val="18"/>
                <w:szCs w:val="18"/>
                <w:color w:val="auto"/>
              </w:rPr>
            </w:pPr>
          </w:p>
        </w:tc>
        <w:tc>
          <w:tcPr>
            <w:tcW w:w="3320" w:type="dxa"/>
            <w:vAlign w:val="bottom"/>
            <w:shd w:val="clear" w:color="auto" w:fill="D1EDF5"/>
          </w:tcPr>
          <w:p>
            <w:pPr>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(122,000)</w:t>
            </w:r>
          </w:p>
        </w:tc>
        <w:tc>
          <w:tcPr>
            <w:tcW w:w="40" w:type="dxa"/>
            <w:vAlign w:val="bottom"/>
            <w:shd w:val="clear" w:color="auto" w:fill="D1EDF5"/>
          </w:tcPr>
          <w:p>
            <w:pPr>
              <w:spacing w:after="0"/>
              <w:rPr>
                <w:sz w:val="18"/>
                <w:szCs w:val="18"/>
                <w:color w:val="auto"/>
              </w:rPr>
            </w:pPr>
          </w:p>
        </w:tc>
        <w:tc>
          <w:tcPr>
            <w:tcW w:w="40" w:type="dxa"/>
            <w:vAlign w:val="bottom"/>
            <w:shd w:val="clear" w:color="auto" w:fill="D1EDF5"/>
          </w:tcPr>
          <w:p>
            <w:pPr>
              <w:spacing w:after="0"/>
              <w:rPr>
                <w:sz w:val="18"/>
                <w:szCs w:val="18"/>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D1EDF5"/>
          </w:tcPr>
          <w:p>
            <w:pPr>
              <w:spacing w:after="0"/>
              <w:rPr>
                <w:sz w:val="18"/>
                <w:szCs w:val="18"/>
                <w:color w:val="auto"/>
              </w:rPr>
            </w:pPr>
          </w:p>
        </w:tc>
        <w:tc>
          <w:tcPr>
            <w:tcW w:w="1660" w:type="dxa"/>
            <w:vAlign w:val="bottom"/>
            <w:shd w:val="clear" w:color="auto" w:fill="D1EDF5"/>
          </w:tcPr>
          <w:p>
            <w:pPr>
              <w:spacing w:after="0"/>
              <w:rPr>
                <w:sz w:val="18"/>
                <w:szCs w:val="18"/>
                <w:color w:val="auto"/>
              </w:rPr>
            </w:pPr>
          </w:p>
        </w:tc>
        <w:tc>
          <w:tcPr>
            <w:tcW w:w="80" w:type="dxa"/>
            <w:vAlign w:val="bottom"/>
            <w:shd w:val="clear" w:color="auto" w:fill="D1EDF5"/>
          </w:tcPr>
          <w:p>
            <w:pPr>
              <w:spacing w:after="0"/>
              <w:rPr>
                <w:sz w:val="18"/>
                <w:szCs w:val="18"/>
                <w:color w:val="auto"/>
              </w:rPr>
            </w:pPr>
          </w:p>
        </w:tc>
        <w:tc>
          <w:tcPr>
            <w:tcW w:w="180" w:type="dxa"/>
            <w:vAlign w:val="bottom"/>
            <w:shd w:val="clear" w:color="auto" w:fill="D1EDF5"/>
          </w:tcPr>
          <w:p>
            <w:pPr>
              <w:spacing w:after="0"/>
              <w:rPr>
                <w:sz w:val="18"/>
                <w:szCs w:val="18"/>
                <w:color w:val="auto"/>
              </w:rPr>
            </w:pPr>
          </w:p>
        </w:tc>
        <w:tc>
          <w:tcPr>
            <w:tcW w:w="1500" w:type="dxa"/>
            <w:vAlign w:val="bottom"/>
            <w:shd w:val="clear" w:color="auto" w:fill="D1EDF5"/>
          </w:tcPr>
          <w:p>
            <w:pPr>
              <w:spacing w:after="0"/>
              <w:rPr>
                <w:sz w:val="18"/>
                <w:szCs w:val="18"/>
                <w:color w:val="auto"/>
              </w:rPr>
            </w:pPr>
          </w:p>
        </w:tc>
      </w:tr>
      <w:tr>
        <w:trPr>
          <w:trHeight w:val="278"/>
        </w:trPr>
        <w:tc>
          <w:tcPr>
            <w:tcW w:w="14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Forfeitures</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11.99</w:t>
            </w: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346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Balance at December 31, 2024</w:t>
            </w:r>
          </w:p>
        </w:tc>
        <w:tc>
          <w:tcPr>
            <w:tcW w:w="16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725,167</w:t>
            </w:r>
          </w:p>
        </w:tc>
        <w:tc>
          <w:tcPr>
            <w:tcW w:w="40" w:type="dxa"/>
            <w:vAlign w:val="bottom"/>
            <w:tcBorders>
              <w:top w:val="single" w:sz="8" w:color="D1EDF5"/>
            </w:tcBorders>
            <w:shd w:val="clear" w:color="auto" w:fill="D1EDF5"/>
          </w:tcPr>
          <w:p>
            <w:pPr>
              <w:spacing w:after="0"/>
              <w:rPr>
                <w:sz w:val="17"/>
                <w:szCs w:val="17"/>
                <w:color w:val="auto"/>
              </w:rPr>
            </w:pPr>
          </w:p>
        </w:tc>
        <w:tc>
          <w:tcPr>
            <w:tcW w:w="40" w:type="dxa"/>
            <w:vAlign w:val="bottom"/>
            <w:tcBorders>
              <w:top w:val="single" w:sz="8" w:color="D1EDF5"/>
            </w:tcBorders>
            <w:shd w:val="clear" w:color="auto" w:fill="D1EDF5"/>
          </w:tcPr>
          <w:p>
            <w:pPr>
              <w:spacing w:after="0"/>
              <w:rPr>
                <w:sz w:val="17"/>
                <w:szCs w:val="17"/>
                <w:color w:val="auto"/>
              </w:rPr>
            </w:pPr>
          </w:p>
        </w:tc>
        <w:tc>
          <w:tcPr>
            <w:tcW w:w="1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10.86</w:t>
            </w:r>
          </w:p>
        </w:tc>
        <w:tc>
          <w:tcPr>
            <w:tcW w:w="60" w:type="dxa"/>
            <w:vAlign w:val="bottom"/>
            <w:tcBorders>
              <w:top w:val="single" w:sz="8" w:color="D1EDF5"/>
            </w:tcBorders>
            <w:shd w:val="clear" w:color="auto" w:fill="D1EDF5"/>
          </w:tcPr>
          <w:p>
            <w:pPr>
              <w:spacing w:after="0"/>
              <w:rPr>
                <w:sz w:val="17"/>
                <w:szCs w:val="17"/>
                <w:color w:val="auto"/>
              </w:rPr>
            </w:pPr>
          </w:p>
        </w:tc>
        <w:tc>
          <w:tcPr>
            <w:tcW w:w="166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D1EDF5"/>
            </w:tcBorders>
            <w:shd w:val="clear" w:color="auto" w:fill="D1EDF5"/>
          </w:tcPr>
          <w:p>
            <w:pPr>
              <w:spacing w:after="0"/>
              <w:rPr>
                <w:sz w:val="17"/>
                <w:szCs w:val="17"/>
                <w:color w:val="auto"/>
              </w:rPr>
            </w:pPr>
          </w:p>
        </w:tc>
        <w:tc>
          <w:tcPr>
            <w:tcW w:w="180" w:type="dxa"/>
            <w:vAlign w:val="bottom"/>
            <w:tcBorders>
              <w:top w:val="single" w:sz="8" w:color="D1EDF5"/>
            </w:tcBorders>
            <w:shd w:val="clear" w:color="auto" w:fill="D1EDF5"/>
          </w:tcPr>
          <w:p>
            <w:pPr>
              <w:spacing w:after="0"/>
              <w:rPr>
                <w:sz w:val="17"/>
                <w:szCs w:val="17"/>
                <w:color w:val="auto"/>
              </w:rPr>
            </w:pPr>
          </w:p>
        </w:tc>
        <w:tc>
          <w:tcPr>
            <w:tcW w:w="1500" w:type="dxa"/>
            <w:vAlign w:val="bottom"/>
            <w:tcBorders>
              <w:top w:val="single" w:sz="8" w:color="D1EDF5"/>
            </w:tcBorders>
            <w:shd w:val="clear" w:color="auto" w:fill="D1EDF5"/>
          </w:tcPr>
          <w:p>
            <w:pPr>
              <w:spacing w:after="0"/>
              <w:rPr>
                <w:sz w:val="17"/>
                <w:szCs w:val="17"/>
                <w:color w:val="auto"/>
              </w:rPr>
            </w:pPr>
          </w:p>
        </w:tc>
      </w:tr>
      <w:tr>
        <w:trPr>
          <w:trHeight w:val="20"/>
        </w:trPr>
        <w:tc>
          <w:tcPr>
            <w:tcW w:w="3460" w:type="dxa"/>
            <w:vAlign w:val="bottom"/>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40"/>
        </w:trPr>
        <w:tc>
          <w:tcPr>
            <w:tcW w:w="3460" w:type="dxa"/>
            <w:vAlign w:val="bottom"/>
            <w:gridSpan w:val="2"/>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r>
      <w:tr>
        <w:trPr>
          <w:trHeight w:val="240"/>
        </w:trPr>
        <w:tc>
          <w:tcPr>
            <w:tcW w:w="346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Exercisable at December 31, 2024</w:t>
            </w: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720,499</w:t>
            </w:r>
          </w:p>
        </w:tc>
        <w:tc>
          <w:tcPr>
            <w:tcW w:w="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6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10.85</w:t>
            </w:r>
          </w:p>
        </w:tc>
        <w:tc>
          <w:tcPr>
            <w:tcW w:w="60" w:type="dxa"/>
            <w:vAlign w:val="bottom"/>
            <w:shd w:val="clear" w:color="auto" w:fill="D1EDF5"/>
          </w:tcPr>
          <w:p>
            <w:pPr>
              <w:spacing w:after="0"/>
              <w:rPr>
                <w:sz w:val="20"/>
                <w:szCs w:val="20"/>
                <w:color w:val="auto"/>
              </w:rPr>
            </w:pPr>
          </w:p>
        </w:tc>
        <w:tc>
          <w:tcPr>
            <w:tcW w:w="16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4,972</w:t>
            </w:r>
          </w:p>
        </w:tc>
      </w:tr>
    </w:tbl>
    <w:p>
      <w:pPr>
        <w:spacing w:after="0" w:line="200" w:lineRule="exact"/>
        <w:rPr>
          <w:sz w:val="20"/>
          <w:szCs w:val="20"/>
          <w:color w:val="auto"/>
        </w:rPr>
      </w:pPr>
    </w:p>
    <w:p>
      <w:pPr>
        <w:spacing w:after="0" w:line="25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The aggregate intrinsic value in the table above represents the total pre-tax intrinsic value of exercisable options at the dates presented (the difference between the valuation of the Company’s stock and the exercise price, multiplied by the number of options considered in-the-money) that would have been received by the option holders had all option holders exercised their options.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spacing w:after="0" w:line="23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2025 , the Company issued 124,424 shares of Class A common stock to employees and directors as restricted stock awards pursuant to the Company's 2015 Option Plan. Awards under the 2015 Option Plan may not be sold or otherwise transferred until certain restrictions have lapsed. The Company primarily issues restricted stock awards with a 3-year vesting period.</w:t>
      </w:r>
    </w:p>
    <w:p>
      <w:pPr>
        <w:spacing w:after="0" w:line="180" w:lineRule="exact"/>
        <w:rPr>
          <w:sz w:val="20"/>
          <w:szCs w:val="20"/>
          <w:color w:val="auto"/>
        </w:rPr>
      </w:pPr>
    </w:p>
    <w:p>
      <w:pPr>
        <w:jc w:val="both"/>
        <w:ind w:firstLine="361"/>
        <w:spacing w:after="0" w:line="248" w:lineRule="auto"/>
        <w:rPr>
          <w:sz w:val="20"/>
          <w:szCs w:val="20"/>
          <w:color w:val="auto"/>
        </w:rPr>
      </w:pPr>
      <w:r>
        <w:rPr>
          <w:rFonts w:ascii="Arial" w:cs="Arial" w:eastAsia="Arial" w:hAnsi="Arial"/>
          <w:sz w:val="20"/>
          <w:szCs w:val="20"/>
          <w:color w:val="auto"/>
        </w:rPr>
        <w:t>In 2024 , the Company issued 277,922 shares of Class A common stock to employees and directors as restricted stock awards pursuant to the Company's 2015 Option Plan. Awards under the 2015 Option Plan may not be sold or otherwise transferred until certain restrictions have lapsed. The Company primarily issues restricted stock awards with a 3-year vesting period. However, out of the 277,922 shares of Class A common stock issued pursuant to restricted stock awards in 2024, 150,000 shares issued in October 2024 had a modified vesting period. The 150,000 shares vested 33% of the award in a period of two months in 2024, and the 67% remaining vests one-third in 2025 and in 2026.</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total share- based compensation expense for these awards is determined based on the market price of the Company's common stock as of the date of grant applied to the total number of shares granted and is amortized straight line over the vesting period which is generally three years unless the Board of Directors approves a different vesting schedule for the grants. As of December 31, 2025, unearned share-based compensation expense associated with these awards totaled $3.6 million. As of December 31, 2024, unearned share-based compensation expense associated with these awards totaled $4.3 million.</w:t>
      </w:r>
    </w:p>
    <w:p>
      <w:pPr>
        <w:spacing w:after="0" w:line="18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Compensation expense totaling $3.0 million was recognized for the year ended December 31, 2025 and reported under salaries and benefits in the accompanying Consolidated Statement of Operations. Compensation expense totaling $1.9 thousand was recognized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0" w:name="page111"/>
    <w:bookmarkEnd w:id="110"/>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 summary of restricted stock awards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Weighted Average Grant Date</w:t>
            </w:r>
          </w:p>
        </w:tc>
      </w:tr>
      <w:tr>
        <w:trPr>
          <w:trHeight w:val="230"/>
        </w:trPr>
        <w:tc>
          <w:tcPr>
            <w:tcW w:w="4840" w:type="dxa"/>
            <w:vAlign w:val="bottom"/>
          </w:tcPr>
          <w:p>
            <w:pPr>
              <w:spacing w:after="0"/>
              <w:rPr>
                <w:sz w:val="19"/>
                <w:szCs w:val="19"/>
                <w:color w:val="auto"/>
              </w:rPr>
            </w:pPr>
          </w:p>
        </w:tc>
        <w:tc>
          <w:tcPr>
            <w:tcW w:w="2660" w:type="dxa"/>
            <w:vAlign w:val="bottom"/>
            <w:gridSpan w:val="2"/>
          </w:tcPr>
          <w:p>
            <w:pPr>
              <w:ind w:left="600"/>
              <w:spacing w:after="0"/>
              <w:rPr>
                <w:sz w:val="20"/>
                <w:szCs w:val="20"/>
                <w:color w:val="auto"/>
              </w:rPr>
            </w:pPr>
            <w:r>
              <w:rPr>
                <w:rFonts w:ascii="Arial" w:cs="Arial" w:eastAsia="Arial" w:hAnsi="Arial"/>
                <w:sz w:val="18"/>
                <w:szCs w:val="18"/>
                <w:b w:val="1"/>
                <w:bCs w:val="1"/>
                <w:color w:val="auto"/>
              </w:rPr>
              <w:t>Restricted Stock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right"/>
              <w:ind w:right="89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8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Balance at January 1, 2025</w:t>
            </w:r>
          </w:p>
        </w:tc>
        <w:tc>
          <w:tcPr>
            <w:tcW w:w="26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402,076</w:t>
            </w:r>
          </w:p>
        </w:tc>
        <w:tc>
          <w:tcPr>
            <w:tcW w:w="2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13.31</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640" w:type="dxa"/>
            <w:vAlign w:val="bottom"/>
          </w:tcPr>
          <w:p>
            <w:pPr>
              <w:jc w:val="right"/>
              <w:spacing w:after="0"/>
              <w:rPr>
                <w:sz w:val="20"/>
                <w:szCs w:val="20"/>
                <w:color w:val="auto"/>
              </w:rPr>
            </w:pPr>
            <w:r>
              <w:rPr>
                <w:rFonts w:ascii="Arial" w:cs="Arial" w:eastAsia="Arial" w:hAnsi="Arial"/>
                <w:sz w:val="18"/>
                <w:szCs w:val="18"/>
                <w:color w:val="auto"/>
              </w:rPr>
              <w:t>124,424</w:t>
            </w:r>
          </w:p>
        </w:tc>
        <w:tc>
          <w:tcPr>
            <w:tcW w:w="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40"/>
        </w:trPr>
        <w:tc>
          <w:tcPr>
            <w:tcW w:w="4840" w:type="dxa"/>
            <w:vAlign w:val="bottom"/>
            <w:shd w:val="clear" w:color="auto" w:fill="D1EDF5"/>
          </w:tcPr>
          <w:p>
            <w:pPr>
              <w:ind w:left="140"/>
              <w:spacing w:after="0"/>
              <w:rPr>
                <w:sz w:val="20"/>
                <w:szCs w:val="20"/>
                <w:color w:val="auto"/>
              </w:rPr>
            </w:pPr>
            <w:r>
              <w:rPr>
                <w:rFonts w:ascii="Arial" w:cs="Arial" w:eastAsia="Arial" w:hAnsi="Arial"/>
                <w:sz w:val="18"/>
                <w:szCs w:val="18"/>
                <w:color w:val="auto"/>
              </w:rPr>
              <w:t>Forfeited</w:t>
            </w:r>
          </w:p>
        </w:tc>
        <w:tc>
          <w:tcPr>
            <w:tcW w:w="2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Vested</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(120,237)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44"/>
        </w:trPr>
        <w:tc>
          <w:tcPr>
            <w:tcW w:w="48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Balance at December 31, 2025</w:t>
            </w:r>
          </w:p>
        </w:tc>
        <w:tc>
          <w:tcPr>
            <w:tcW w:w="26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406,263</w:t>
            </w:r>
          </w:p>
        </w:tc>
        <w:tc>
          <w:tcPr>
            <w:tcW w:w="20" w:type="dxa"/>
            <w:vAlign w:val="bottom"/>
            <w:tcBorders>
              <w:top w:val="single" w:sz="8" w:color="D1EDF5"/>
            </w:tcBorders>
            <w:shd w:val="clear" w:color="auto" w:fill="D1EDF5"/>
          </w:tcPr>
          <w:p>
            <w:pPr>
              <w:spacing w:after="0"/>
              <w:rPr>
                <w:sz w:val="21"/>
                <w:szCs w:val="21"/>
                <w:color w:val="auto"/>
              </w:rPr>
            </w:pPr>
          </w:p>
        </w:tc>
        <w:tc>
          <w:tcPr>
            <w:tcW w:w="40" w:type="dxa"/>
            <w:vAlign w:val="bottom"/>
            <w:tcBorders>
              <w:top w:val="single" w:sz="8" w:color="D1EDF5"/>
            </w:tcBorders>
            <w:shd w:val="clear" w:color="auto" w:fill="D1EDF5"/>
          </w:tcPr>
          <w:p>
            <w:pPr>
              <w:spacing w:after="0"/>
              <w:rPr>
                <w:sz w:val="21"/>
                <w:szCs w:val="21"/>
                <w:color w:val="auto"/>
              </w:rPr>
            </w:pPr>
          </w:p>
        </w:tc>
        <w:tc>
          <w:tcPr>
            <w:tcW w:w="1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14.80</w:t>
            </w:r>
          </w:p>
        </w:tc>
      </w:tr>
      <w:tr>
        <w:trPr>
          <w:trHeight w:val="20"/>
        </w:trPr>
        <w:tc>
          <w:tcPr>
            <w:tcW w:w="48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Weighted Average Grant Date</w:t>
            </w:r>
          </w:p>
        </w:tc>
      </w:tr>
      <w:tr>
        <w:trPr>
          <w:trHeight w:val="227"/>
        </w:trPr>
        <w:tc>
          <w:tcPr>
            <w:tcW w:w="4840" w:type="dxa"/>
            <w:vAlign w:val="bottom"/>
          </w:tcPr>
          <w:p>
            <w:pPr>
              <w:spacing w:after="0"/>
              <w:rPr>
                <w:sz w:val="19"/>
                <w:szCs w:val="19"/>
                <w:color w:val="auto"/>
              </w:rPr>
            </w:pPr>
          </w:p>
        </w:tc>
        <w:tc>
          <w:tcPr>
            <w:tcW w:w="2660" w:type="dxa"/>
            <w:vAlign w:val="bottom"/>
            <w:gridSpan w:val="2"/>
          </w:tcPr>
          <w:p>
            <w:pPr>
              <w:ind w:left="600"/>
              <w:spacing w:after="0"/>
              <w:rPr>
                <w:sz w:val="20"/>
                <w:szCs w:val="20"/>
                <w:color w:val="auto"/>
              </w:rPr>
            </w:pPr>
            <w:r>
              <w:rPr>
                <w:rFonts w:ascii="Arial" w:cs="Arial" w:eastAsia="Arial" w:hAnsi="Arial"/>
                <w:sz w:val="18"/>
                <w:szCs w:val="18"/>
                <w:b w:val="1"/>
                <w:bCs w:val="1"/>
                <w:color w:val="auto"/>
              </w:rPr>
              <w:t>Restricted Stock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right"/>
              <w:ind w:right="890"/>
              <w:spacing w:after="0"/>
              <w:rPr>
                <w:sz w:val="20"/>
                <w:szCs w:val="20"/>
                <w:color w:val="auto"/>
              </w:rPr>
            </w:pPr>
            <w:r>
              <w:rPr>
                <w:rFonts w:ascii="Arial" w:cs="Arial" w:eastAsia="Arial" w:hAnsi="Arial"/>
                <w:sz w:val="18"/>
                <w:szCs w:val="18"/>
                <w:b w:val="1"/>
                <w:bCs w:val="1"/>
                <w:color w:val="auto"/>
              </w:rPr>
              <w:t>Fair Value</w:t>
            </w:r>
          </w:p>
        </w:tc>
      </w:tr>
      <w:tr>
        <w:trPr>
          <w:trHeight w:val="230"/>
        </w:trPr>
        <w:tc>
          <w:tcPr>
            <w:tcW w:w="48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Balance at January 1, 2024</w:t>
            </w:r>
          </w:p>
        </w:tc>
        <w:tc>
          <w:tcPr>
            <w:tcW w:w="264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218,422</w:t>
            </w:r>
          </w:p>
        </w:tc>
        <w:tc>
          <w:tcPr>
            <w:tcW w:w="20" w:type="dxa"/>
            <w:vAlign w:val="bottom"/>
            <w:tcBorders>
              <w:top w:val="single" w:sz="8" w:color="D1EDF5"/>
            </w:tcBorders>
            <w:shd w:val="clear" w:color="auto" w:fill="D1EDF5"/>
          </w:tcPr>
          <w:p>
            <w:pPr>
              <w:spacing w:after="0"/>
              <w:rPr>
                <w:sz w:val="19"/>
                <w:szCs w:val="19"/>
                <w:color w:val="auto"/>
              </w:rPr>
            </w:pPr>
          </w:p>
        </w:tc>
        <w:tc>
          <w:tcPr>
            <w:tcW w:w="4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12.19</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640" w:type="dxa"/>
            <w:vAlign w:val="bottom"/>
          </w:tcPr>
          <w:p>
            <w:pPr>
              <w:jc w:val="right"/>
              <w:spacing w:after="0"/>
              <w:rPr>
                <w:sz w:val="20"/>
                <w:szCs w:val="20"/>
                <w:color w:val="auto"/>
              </w:rPr>
            </w:pPr>
            <w:r>
              <w:rPr>
                <w:rFonts w:ascii="Arial" w:cs="Arial" w:eastAsia="Arial" w:hAnsi="Arial"/>
                <w:sz w:val="18"/>
                <w:szCs w:val="18"/>
                <w:color w:val="auto"/>
              </w:rPr>
              <w:t>277,922</w:t>
            </w:r>
          </w:p>
        </w:tc>
        <w:tc>
          <w:tcPr>
            <w:tcW w:w="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14.33</w:t>
            </w:r>
          </w:p>
        </w:tc>
      </w:tr>
      <w:tr>
        <w:trPr>
          <w:trHeight w:val="240"/>
        </w:trPr>
        <w:tc>
          <w:tcPr>
            <w:tcW w:w="4840" w:type="dxa"/>
            <w:vAlign w:val="bottom"/>
            <w:shd w:val="clear" w:color="auto" w:fill="D1EDF5"/>
          </w:tcPr>
          <w:p>
            <w:pPr>
              <w:ind w:left="140"/>
              <w:spacing w:after="0"/>
              <w:rPr>
                <w:sz w:val="20"/>
                <w:szCs w:val="20"/>
                <w:color w:val="auto"/>
              </w:rPr>
            </w:pPr>
            <w:r>
              <w:rPr>
                <w:rFonts w:ascii="Arial" w:cs="Arial" w:eastAsia="Arial" w:hAnsi="Arial"/>
                <w:sz w:val="18"/>
                <w:szCs w:val="18"/>
                <w:color w:val="auto"/>
              </w:rPr>
              <w:t>Forfeited</w:t>
            </w:r>
          </w:p>
        </w:tc>
        <w:tc>
          <w:tcPr>
            <w:tcW w:w="2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(8,625)</w:t>
            </w:r>
          </w:p>
        </w:tc>
        <w:tc>
          <w:tcPr>
            <w:tcW w:w="20" w:type="dxa"/>
            <w:vAlign w:val="bottom"/>
            <w:shd w:val="clear" w:color="auto" w:fill="D1EDF5"/>
          </w:tcPr>
          <w:p>
            <w:pPr>
              <w:spacing w:after="0"/>
              <w:rPr>
                <w:sz w:val="20"/>
                <w:szCs w:val="20"/>
                <w:color w:val="auto"/>
              </w:rPr>
            </w:pPr>
          </w:p>
        </w:tc>
        <w:tc>
          <w:tcPr>
            <w:tcW w:w="160" w:type="dxa"/>
            <w:vAlign w:val="bottom"/>
            <w:gridSpan w:val="2"/>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27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12.63</w:t>
            </w:r>
          </w:p>
        </w:tc>
      </w:tr>
      <w:tr>
        <w:trPr>
          <w:trHeight w:val="240"/>
        </w:trPr>
        <w:tc>
          <w:tcPr>
            <w:tcW w:w="4840" w:type="dxa"/>
            <w:vAlign w:val="bottom"/>
          </w:tcPr>
          <w:p>
            <w:pPr>
              <w:ind w:left="140"/>
              <w:spacing w:after="0"/>
              <w:rPr>
                <w:sz w:val="20"/>
                <w:szCs w:val="20"/>
                <w:color w:val="auto"/>
              </w:rPr>
            </w:pPr>
            <w:r>
              <w:rPr>
                <w:rFonts w:ascii="Arial" w:cs="Arial" w:eastAsia="Arial" w:hAnsi="Arial"/>
                <w:sz w:val="18"/>
                <w:szCs w:val="18"/>
                <w:color w:val="auto"/>
              </w:rPr>
              <w:t>Vested</w:t>
            </w:r>
          </w:p>
        </w:tc>
        <w:tc>
          <w:tcPr>
            <w:tcW w:w="2660" w:type="dxa"/>
            <w:vAlign w:val="bottom"/>
            <w:gridSpan w:val="2"/>
          </w:tcPr>
          <w:p>
            <w:pPr>
              <w:jc w:val="right"/>
              <w:ind w:right="20"/>
              <w:spacing w:after="0"/>
              <w:rPr>
                <w:sz w:val="20"/>
                <w:szCs w:val="20"/>
                <w:color w:val="auto"/>
              </w:rPr>
            </w:pPr>
            <w:r>
              <w:rPr>
                <w:rFonts w:ascii="Arial" w:cs="Arial" w:eastAsia="Arial" w:hAnsi="Arial"/>
                <w:sz w:val="18"/>
                <w:szCs w:val="18"/>
                <w:color w:val="auto"/>
              </w:rPr>
              <w:t>(85,643)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46"/>
        </w:trPr>
        <w:tc>
          <w:tcPr>
            <w:tcW w:w="484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Balance at December 31, 2024</w:t>
            </w:r>
          </w:p>
        </w:tc>
        <w:tc>
          <w:tcPr>
            <w:tcW w:w="26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402,076</w:t>
            </w:r>
          </w:p>
        </w:tc>
        <w:tc>
          <w:tcPr>
            <w:tcW w:w="20" w:type="dxa"/>
            <w:vAlign w:val="bottom"/>
            <w:tcBorders>
              <w:top w:val="single" w:sz="8" w:color="D1EDF5"/>
            </w:tcBorders>
            <w:shd w:val="clear" w:color="auto" w:fill="D1EDF5"/>
          </w:tcPr>
          <w:p>
            <w:pPr>
              <w:spacing w:after="0"/>
              <w:rPr>
                <w:sz w:val="21"/>
                <w:szCs w:val="21"/>
                <w:color w:val="auto"/>
              </w:rPr>
            </w:pPr>
          </w:p>
        </w:tc>
        <w:tc>
          <w:tcPr>
            <w:tcW w:w="40" w:type="dxa"/>
            <w:vAlign w:val="bottom"/>
            <w:tcBorders>
              <w:top w:val="single" w:sz="8" w:color="D1EDF5"/>
            </w:tcBorders>
            <w:shd w:val="clear" w:color="auto" w:fill="D1EDF5"/>
          </w:tcPr>
          <w:p>
            <w:pPr>
              <w:spacing w:after="0"/>
              <w:rPr>
                <w:sz w:val="21"/>
                <w:szCs w:val="21"/>
                <w:color w:val="auto"/>
              </w:rPr>
            </w:pPr>
          </w:p>
        </w:tc>
        <w:tc>
          <w:tcPr>
            <w:tcW w:w="12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13.31</w:t>
            </w:r>
          </w:p>
        </w:tc>
      </w:tr>
      <w:tr>
        <w:trPr>
          <w:trHeight w:val="20"/>
        </w:trPr>
        <w:tc>
          <w:tcPr>
            <w:tcW w:w="48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540" w:hanging="540"/>
        <w:spacing w:after="0"/>
        <w:tabs>
          <w:tab w:leader="none" w:pos="5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OFF-BALANCE SHEET ARRANGEMENTS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399pt"/>
            </w:pict>
          </mc:Fallback>
        </mc:AlternateContent>
      </w:r>
    </w:p>
    <w:p>
      <w:pPr>
        <w:spacing w:after="0" w:line="26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Company is a party to financial instruments with off -balance-sheet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8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51" w:lineRule="exact"/>
        <w:rPr>
          <w:sz w:val="20"/>
          <w:szCs w:val="20"/>
          <w:color w:val="auto"/>
        </w:rPr>
      </w:pPr>
    </w:p>
    <w:p>
      <w:pPr>
        <w:jc w:val="both"/>
        <w:ind w:firstLine="361"/>
        <w:spacing w:after="0" w:line="250" w:lineRule="auto"/>
        <w:rPr>
          <w:sz w:val="20"/>
          <w:szCs w:val="20"/>
          <w:color w:val="auto"/>
        </w:rPr>
      </w:pPr>
      <w:r>
        <w:rPr>
          <w:rFonts w:ascii="Arial" w:cs="Arial" w:eastAsia="Arial" w:hAnsi="Arial"/>
          <w:sz w:val="20"/>
          <w:szCs w:val="20"/>
          <w:color w:val="auto"/>
        </w:rPr>
        <w:t>The Company records a liability for expected credit losses on off-balance-sheet credit exposure in accordance with ASC 326. The Company uses the loss rate and exposure of default framework to estimate a reserve for unfunded commitments. Loss rates for the expected funded balances are determined based on the associated pooled loan analysis loss rate and the exposure at default is based on an estimated utilization given default. The off-balance sheet commitment allowance as of December 31, 2025 was $752 thousand and as of December 31, 2024 was $571 thousand.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the amounts of the Company's financial instruments with off-balance sheet risk are shown below at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December 31,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19"/>
                <w:szCs w:val="19"/>
                <w:color w:val="auto"/>
              </w:rPr>
            </w:pPr>
          </w:p>
        </w:tc>
      </w:tr>
      <w:tr>
        <w:trPr>
          <w:trHeight w:val="232"/>
        </w:trPr>
        <w:tc>
          <w:tcPr>
            <w:tcW w:w="140" w:type="dxa"/>
            <w:vAlign w:val="bottom"/>
            <w:tcBorders>
              <w:bottom w:val="single" w:sz="8" w:color="D1EDF5"/>
            </w:tcBorders>
          </w:tcPr>
          <w:p>
            <w:pPr>
              <w:spacing w:after="0"/>
              <w:rPr>
                <w:sz w:val="20"/>
                <w:szCs w:val="20"/>
                <w:color w:val="auto"/>
              </w:rPr>
            </w:pPr>
          </w:p>
        </w:tc>
        <w:tc>
          <w:tcPr>
            <w:tcW w:w="694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D1EDF5"/>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30"/>
        </w:trPr>
        <w:tc>
          <w:tcPr>
            <w:tcW w:w="7100" w:type="dxa"/>
            <w:vAlign w:val="bottom"/>
            <w:gridSpan w:val="3"/>
            <w:shd w:val="clear" w:color="auto" w:fill="D1EDF5"/>
          </w:tcPr>
          <w:p>
            <w:pPr>
              <w:spacing w:after="0"/>
              <w:rPr>
                <w:sz w:val="20"/>
                <w:szCs w:val="20"/>
                <w:color w:val="auto"/>
              </w:rPr>
            </w:pPr>
            <w:r>
              <w:rPr>
                <w:rFonts w:ascii="Arial" w:cs="Arial" w:eastAsia="Arial" w:hAnsi="Arial"/>
                <w:sz w:val="18"/>
                <w:szCs w:val="18"/>
                <w:color w:val="auto"/>
              </w:rPr>
              <w:t>Commitments to grant loans and unfunded lines of credit</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161,606</w:t>
            </w:r>
          </w:p>
        </w:tc>
        <w:tc>
          <w:tcPr>
            <w:tcW w:w="60" w:type="dxa"/>
            <w:vAlign w:val="bottom"/>
            <w:shd w:val="clear" w:color="auto" w:fill="D1EDF5"/>
          </w:tcPr>
          <w:p>
            <w:pPr>
              <w:spacing w:after="0"/>
              <w:rPr>
                <w:sz w:val="19"/>
                <w:szCs w:val="19"/>
                <w:color w:val="auto"/>
              </w:rPr>
            </w:pPr>
          </w:p>
        </w:tc>
        <w:tc>
          <w:tcPr>
            <w:tcW w:w="640" w:type="dxa"/>
            <w:vAlign w:val="bottom"/>
            <w:shd w:val="clear" w:color="auto" w:fill="D1EDF5"/>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122,578</w:t>
            </w:r>
          </w:p>
        </w:tc>
      </w:tr>
      <w:tr>
        <w:trPr>
          <w:trHeight w:val="240"/>
        </w:trPr>
        <w:tc>
          <w:tcPr>
            <w:tcW w:w="7100" w:type="dxa"/>
            <w:vAlign w:val="bottom"/>
            <w:tcBorders>
              <w:bottom w:val="single" w:sz="8" w:color="D1EDF5"/>
            </w:tcBorders>
            <w:gridSpan w:val="3"/>
          </w:tcPr>
          <w:p>
            <w:pPr>
              <w:spacing w:after="0"/>
              <w:rPr>
                <w:sz w:val="20"/>
                <w:szCs w:val="20"/>
                <w:color w:val="auto"/>
              </w:rPr>
            </w:pPr>
            <w:r>
              <w:rPr>
                <w:rFonts w:ascii="Arial" w:cs="Arial" w:eastAsia="Arial" w:hAnsi="Arial"/>
                <w:sz w:val="18"/>
                <w:szCs w:val="18"/>
                <w:color w:val="auto"/>
              </w:rPr>
              <w:t>Standby and commercial letters of credit</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60" w:type="dxa"/>
            <w:vAlign w:val="bottom"/>
            <w:tcBorders>
              <w:bottom w:val="single" w:sz="8" w:color="D1EDF5"/>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r>
      <w:tr>
        <w:trPr>
          <w:trHeight w:val="245"/>
        </w:trPr>
        <w:tc>
          <w:tcPr>
            <w:tcW w:w="140" w:type="dxa"/>
            <w:vAlign w:val="bottom"/>
            <w:tcBorders>
              <w:bottom w:val="single" w:sz="8" w:color="D1EDF5"/>
            </w:tcBorders>
            <w:shd w:val="clear" w:color="auto" w:fill="D1EDF5"/>
          </w:tcPr>
          <w:p>
            <w:pPr>
              <w:spacing w:after="0"/>
              <w:rPr>
                <w:sz w:val="21"/>
                <w:szCs w:val="21"/>
                <w:color w:val="auto"/>
              </w:rPr>
            </w:pPr>
          </w:p>
        </w:tc>
        <w:tc>
          <w:tcPr>
            <w:tcW w:w="696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164,306</w:t>
            </w:r>
          </w:p>
        </w:tc>
        <w:tc>
          <w:tcPr>
            <w:tcW w:w="60" w:type="dxa"/>
            <w:vAlign w:val="bottom"/>
            <w:tcBorders>
              <w:bottom w:val="single" w:sz="8" w:color="D1EDF5"/>
            </w:tcBorders>
            <w:shd w:val="clear" w:color="auto" w:fill="D1EDF5"/>
          </w:tcPr>
          <w:p>
            <w:pPr>
              <w:spacing w:after="0"/>
              <w:rPr>
                <w:sz w:val="21"/>
                <w:szCs w:val="21"/>
                <w:color w:val="auto"/>
              </w:rPr>
            </w:pPr>
          </w:p>
        </w:tc>
        <w:tc>
          <w:tcPr>
            <w:tcW w:w="640" w:type="dxa"/>
            <w:vAlign w:val="bottom"/>
            <w:tcBorders>
              <w:bottom w:val="single" w:sz="8" w:color="D1EDF5"/>
            </w:tcBorders>
            <w:shd w:val="clear" w:color="auto" w:fill="D1EDF5"/>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127,967</w:t>
            </w:r>
          </w:p>
        </w:tc>
      </w:tr>
      <w:tr>
        <w:trPr>
          <w:trHeight w:val="20"/>
        </w:trPr>
        <w:tc>
          <w:tcPr>
            <w:tcW w:w="1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5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1" w:name="page112"/>
    <w:bookmarkEnd w:id="111"/>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0" w:hanging="540"/>
        <w:spacing w:after="0"/>
        <w:tabs>
          <w:tab w:leader="none" w:pos="5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DERIVATIVES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41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5pt,2.8pt" o:allowincell="f" strokecolor="#000000" strokeweight="1.44pt"/>
            </w:pict>
          </mc:Fallback>
        </mc:AlternateContent>
      </w:r>
    </w:p>
    <w:p>
      <w:pPr>
        <w:spacing w:after="0" w:line="262"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Company utilizes interest rate swap agreements as part of its asset- 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Rate Swaps Designated as Cash Flow Hedges</w:t>
      </w:r>
    </w:p>
    <w:p>
      <w:pPr>
        <w:spacing w:after="0" w:line="231"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July 2025, the Company entered into a two-year costless collar hedge with a notional amount of $50 million to manage exposure to interest rate volatility on a three-month brokered CD. The derivative is based on the USD SOFR overnight index and establishes a cap rate of 4.50% and a floor rate of 1.875%, effectively creating a defined range of interest rate outcomes without requiring an upfront premium. The hedge was designated as a cash flow hedge under ASC 815, Derivatives and Hedging, and is being accounted for accordingly. Changes in the fair value of the derivative will be recorded in other comprehensive income (loss) to the extent the hedge remains effective.</w:t>
      </w:r>
    </w:p>
    <w:p>
      <w:pPr>
        <w:spacing w:after="0" w:line="18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In August 2025, the Company entered into a two-year costless collar hedge with a notional amount of $50 million to manage exposure to interest rate volatility on a three-month brokered CD. The derivative is based on the USD SOFR overnight index and establishes a cap rate of 4.50% and a floor rate of 1.965%, effectively creating a defined range of interest rate outcomes without requiring an upfront premium. The hedge was designated as a cash flow hedge under ASC 815, Derivatives and Hedging, and is being accounted for accordingly. Changes in the fair value of the derivative will be recorded in other comprehensive income (loss) to the extent the hedge remains effective.</w:t>
      </w:r>
    </w:p>
    <w:p>
      <w:pPr>
        <w:spacing w:after="0" w:line="18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9"/>
          <w:szCs w:val="19"/>
          <w:color w:val="auto"/>
        </w:rPr>
        <w:t>As of December 31, 2025, the Company had one interest rate swap agreements with a notional aggregate amount of $25 million that were designated as cash flow hedges of certificates of deposit. The interest rate swap agreements have a maturity of 0.42 years, a weighted average fixed-rate paid of 3.47%, and with a weighted average 3-month compound USD SOFR being received. The company unwound one interest rate swap designated as a cash flow hedge of certificates of deposits with notional amount of $25 million during the quarter ended December 31, 2025. The decision to unwind this swap was driven by changes in interest rate forecasts and asset-liability management strategies. The early termination income to unwind the fair value swaps totaled $5 thousand. The original maturity of the cash flow interest rate swap was April 2026.</w:t>
      </w:r>
    </w:p>
    <w:p>
      <w:pPr>
        <w:spacing w:after="0" w:line="17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As of December 31, 2024, the Company had two interest rate swap agreements with a notional aggregate amount of $50 million that were designated as cash flow hedges of certificates of deposit. The interest rate swap agreements have an average maturity of 1.38 years, the weighted average fixed-rate paid is 3.59%, with the weighted average 3-month compound USD SOFR being received.</w:t>
      </w:r>
    </w:p>
    <w:p>
      <w:pPr>
        <w:spacing w:after="0" w:line="176"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changes in fair value on these interest rate swaps are recorded in other assets or accrued interest and other liabilities with a corresponding recognition in other comprehensive income (loss) and subsequently reclassified to earnings when gains or losses are realized.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 Designated as Fair Value Hedges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During the third quarter in 2024, the Company unwound four fair value interest rate swaps with a notional aggregate amount of $200 million. The decision to unwind these swaps was driven by changes in interest rate forecasts and asset-liability management strategies. The early termination fee to unwind the fair value swaps totaled $3.7 million. The termination fees allocated to each loan category are amortized over the remining life of the hedge loans on a monthly straight-line basis with full recognition of the unamortized cost upon the early payoff of the hedge loan. The amortization of the termination fee is reflected in the loan interest income line in the Company’s Consolidated Statement of Operations. The original maturities of these fair value interest swaps were between 2025 and 2026. The fair value interest rate swap agreements had an average maturity of 1.51 years at the date of termination.</w:t>
      </w:r>
    </w:p>
    <w:p>
      <w:pPr>
        <w:spacing w:after="0" w:line="200" w:lineRule="exact"/>
        <w:rPr>
          <w:sz w:val="20"/>
          <w:szCs w:val="20"/>
          <w:color w:val="auto"/>
        </w:rPr>
      </w:pPr>
    </w:p>
    <w:p>
      <w:pPr>
        <w:spacing w:after="0" w:line="27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2" w:name="page113"/>
    <w:bookmarkEnd w:id="112"/>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Interest Rate Swaps</w:t>
      </w:r>
    </w:p>
    <w:p>
      <w:pPr>
        <w:spacing w:after="0" w:line="231" w:lineRule="exact"/>
        <w:rPr>
          <w:sz w:val="20"/>
          <w:szCs w:val="20"/>
          <w:color w:val="auto"/>
        </w:rPr>
      </w:pPr>
    </w:p>
    <w:p>
      <w:pPr>
        <w:jc w:val="both"/>
        <w:ind w:firstLine="361"/>
        <w:spacing w:after="0" w:line="247" w:lineRule="auto"/>
        <w:rPr>
          <w:sz w:val="20"/>
          <w:szCs w:val="20"/>
          <w:color w:val="auto"/>
        </w:rPr>
      </w:pPr>
      <w:r>
        <w:rPr>
          <w:rFonts w:ascii="Arial" w:cs="Arial" w:eastAsia="Arial" w:hAnsi="Arial"/>
          <w:sz w:val="20"/>
          <w:szCs w:val="20"/>
          <w:color w:val="auto"/>
        </w:rPr>
        <w:t>The Company also enters into interest rate swaps with its loan customers. The Company had 94 and 60 interest rate swaps with loan customers with a notional aggregate amount of $310.8 million and $206.3 million at December 31, 2025 and 2024, respectively. These interest rate swaps have maturity dates of between 2026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the Company’s customer related interest rate swaps at the dates indicated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Fair Value</w:t>
            </w:r>
          </w:p>
        </w:tc>
      </w:tr>
      <w:tr>
        <w:trPr>
          <w:trHeight w:val="288"/>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Notional</w:t>
            </w:r>
          </w:p>
        </w:tc>
        <w:tc>
          <w:tcPr>
            <w:tcW w:w="80" w:type="dxa"/>
            <w:vAlign w:val="bottom"/>
          </w:tcPr>
          <w:p>
            <w:pPr>
              <w:spacing w:after="0"/>
              <w:rPr>
                <w:sz w:val="24"/>
                <w:szCs w:val="2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Collateral</w:t>
            </w: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7"/>
        </w:trPr>
        <w:tc>
          <w:tcPr>
            <w:tcW w:w="4180" w:type="dxa"/>
            <w:vAlign w:val="bottom"/>
            <w:tcBorders>
              <w:bottom w:val="single" w:sz="8" w:color="D1EDF5"/>
            </w:tcBorders>
          </w:tcPr>
          <w:p>
            <w:pPr>
              <w:spacing w:after="0"/>
              <w:rPr>
                <w:sz w:val="19"/>
                <w:szCs w:val="19"/>
                <w:color w:val="auto"/>
              </w:rPr>
            </w:pPr>
          </w:p>
        </w:tc>
        <w:tc>
          <w:tcPr>
            <w:tcW w:w="12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1ED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1EDF5"/>
            </w:tcBorders>
          </w:tcPr>
          <w:p>
            <w:pPr>
              <w:spacing w:after="0"/>
              <w:rPr>
                <w:sz w:val="19"/>
                <w:szCs w:val="19"/>
                <w:color w:val="auto"/>
              </w:rPr>
            </w:pPr>
          </w:p>
        </w:tc>
        <w:tc>
          <w:tcPr>
            <w:tcW w:w="2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Balance Sheet Location</w:t>
            </w:r>
          </w:p>
        </w:tc>
        <w:tc>
          <w:tcPr>
            <w:tcW w:w="8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Asset</w:t>
            </w:r>
          </w:p>
        </w:tc>
        <w:tc>
          <w:tcPr>
            <w:tcW w:w="60" w:type="dxa"/>
            <w:vAlign w:val="bottom"/>
            <w:tcBorders>
              <w:bottom w:val="single" w:sz="8" w:color="D1EDF5"/>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Liability</w:t>
            </w:r>
          </w:p>
        </w:tc>
      </w:tr>
      <w:tr>
        <w:trPr>
          <w:trHeight w:val="230"/>
        </w:trPr>
        <w:tc>
          <w:tcPr>
            <w:tcW w:w="418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12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94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20" w:type="dxa"/>
            <w:vAlign w:val="bottom"/>
            <w:shd w:val="clear" w:color="auto" w:fill="D1EDF5"/>
          </w:tcPr>
          <w:p>
            <w:pPr>
              <w:spacing w:after="0"/>
              <w:rPr>
                <w:sz w:val="19"/>
                <w:szCs w:val="19"/>
                <w:color w:val="auto"/>
              </w:rPr>
            </w:pPr>
          </w:p>
        </w:tc>
        <w:tc>
          <w:tcPr>
            <w:tcW w:w="88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4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72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640" w:type="dxa"/>
            <w:vAlign w:val="bottom"/>
            <w:shd w:val="clear" w:color="auto" w:fill="D1EDF5"/>
          </w:tcPr>
          <w:p>
            <w:pPr>
              <w:spacing w:after="0"/>
              <w:rPr>
                <w:sz w:val="19"/>
                <w:szCs w:val="19"/>
                <w:color w:val="auto"/>
              </w:rPr>
            </w:pPr>
          </w:p>
        </w:tc>
      </w:tr>
      <w:tr>
        <w:trPr>
          <w:trHeight w:val="240"/>
        </w:trPr>
        <w:tc>
          <w:tcPr>
            <w:tcW w:w="418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4"/>
        </w:trPr>
        <w:tc>
          <w:tcPr>
            <w:tcW w:w="418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940" w:type="dxa"/>
            <w:vAlign w:val="bottom"/>
            <w:shd w:val="clear" w:color="auto" w:fill="D1EDF5"/>
          </w:tcPr>
          <w:p>
            <w:pPr>
              <w:spacing w:after="0"/>
              <w:rPr>
                <w:sz w:val="23"/>
                <w:szCs w:val="23"/>
                <w:color w:val="auto"/>
              </w:rPr>
            </w:pPr>
          </w:p>
        </w:tc>
        <w:tc>
          <w:tcPr>
            <w:tcW w:w="8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880" w:type="dxa"/>
            <w:vAlign w:val="bottom"/>
            <w:shd w:val="clear" w:color="auto" w:fill="D1EDF5"/>
          </w:tcPr>
          <w:p>
            <w:pPr>
              <w:spacing w:after="0"/>
              <w:rPr>
                <w:sz w:val="23"/>
                <w:szCs w:val="23"/>
                <w:color w:val="auto"/>
              </w:rPr>
            </w:pPr>
          </w:p>
        </w:tc>
        <w:tc>
          <w:tcPr>
            <w:tcW w:w="80" w:type="dxa"/>
            <w:vAlign w:val="bottom"/>
            <w:shd w:val="clear" w:color="auto" w:fill="D1EDF5"/>
          </w:tcPr>
          <w:p>
            <w:pPr>
              <w:spacing w:after="0"/>
              <w:rPr>
                <w:sz w:val="23"/>
                <w:szCs w:val="23"/>
                <w:color w:val="auto"/>
              </w:rPr>
            </w:pPr>
          </w:p>
        </w:tc>
        <w:tc>
          <w:tcPr>
            <w:tcW w:w="2420" w:type="dxa"/>
            <w:vAlign w:val="bottom"/>
            <w:shd w:val="clear" w:color="auto" w:fill="D1EDF5"/>
          </w:tcPr>
          <w:p>
            <w:pPr>
              <w:spacing w:after="0"/>
              <w:rPr>
                <w:sz w:val="20"/>
                <w:szCs w:val="20"/>
                <w:color w:val="auto"/>
              </w:rPr>
            </w:pPr>
            <w:r>
              <w:rPr>
                <w:rFonts w:ascii="Arial" w:cs="Arial" w:eastAsia="Arial" w:hAnsi="Arial"/>
                <w:sz w:val="18"/>
                <w:szCs w:val="18"/>
                <w:color w:val="auto"/>
              </w:rPr>
              <w:t>Other assets/Accrued interest</w:t>
            </w:r>
          </w:p>
        </w:tc>
        <w:tc>
          <w:tcPr>
            <w:tcW w:w="80" w:type="dxa"/>
            <w:vAlign w:val="bottom"/>
            <w:shd w:val="clear" w:color="auto" w:fill="D1EDF5"/>
          </w:tcPr>
          <w:p>
            <w:pPr>
              <w:spacing w:after="0"/>
              <w:rPr>
                <w:sz w:val="23"/>
                <w:szCs w:val="23"/>
                <w:color w:val="auto"/>
              </w:rPr>
            </w:pPr>
          </w:p>
        </w:tc>
        <w:tc>
          <w:tcPr>
            <w:tcW w:w="140" w:type="dxa"/>
            <w:vAlign w:val="bottom"/>
            <w:shd w:val="clear" w:color="auto" w:fill="D1EDF5"/>
          </w:tcPr>
          <w:p>
            <w:pPr>
              <w:spacing w:after="0"/>
              <w:rPr>
                <w:sz w:val="23"/>
                <w:szCs w:val="23"/>
                <w:color w:val="auto"/>
              </w:rPr>
            </w:pPr>
          </w:p>
        </w:tc>
        <w:tc>
          <w:tcPr>
            <w:tcW w:w="720" w:type="dxa"/>
            <w:vAlign w:val="bottom"/>
            <w:shd w:val="clear" w:color="auto" w:fill="D1EDF5"/>
          </w:tcPr>
          <w:p>
            <w:pPr>
              <w:spacing w:after="0"/>
              <w:rPr>
                <w:sz w:val="23"/>
                <w:szCs w:val="23"/>
                <w:color w:val="auto"/>
              </w:rPr>
            </w:pPr>
          </w:p>
        </w:tc>
        <w:tc>
          <w:tcPr>
            <w:tcW w:w="60" w:type="dxa"/>
            <w:vAlign w:val="bottom"/>
            <w:shd w:val="clear" w:color="auto" w:fill="D1EDF5"/>
          </w:tcPr>
          <w:p>
            <w:pPr>
              <w:spacing w:after="0"/>
              <w:rPr>
                <w:sz w:val="23"/>
                <w:szCs w:val="23"/>
                <w:color w:val="auto"/>
              </w:rPr>
            </w:pPr>
          </w:p>
        </w:tc>
        <w:tc>
          <w:tcPr>
            <w:tcW w:w="220" w:type="dxa"/>
            <w:vAlign w:val="bottom"/>
            <w:shd w:val="clear" w:color="auto" w:fill="D1EDF5"/>
          </w:tcPr>
          <w:p>
            <w:pPr>
              <w:spacing w:after="0"/>
              <w:rPr>
                <w:sz w:val="23"/>
                <w:szCs w:val="23"/>
                <w:color w:val="auto"/>
              </w:rPr>
            </w:pPr>
          </w:p>
        </w:tc>
        <w:tc>
          <w:tcPr>
            <w:tcW w:w="640" w:type="dxa"/>
            <w:vAlign w:val="bottom"/>
            <w:shd w:val="clear" w:color="auto" w:fill="D1EDF5"/>
          </w:tcPr>
          <w:p>
            <w:pPr>
              <w:spacing w:after="0"/>
              <w:rPr>
                <w:sz w:val="23"/>
                <w:szCs w:val="23"/>
                <w:color w:val="auto"/>
              </w:rPr>
            </w:pPr>
          </w:p>
        </w:tc>
      </w:tr>
      <w:tr>
        <w:trPr>
          <w:trHeight w:val="206"/>
        </w:trPr>
        <w:tc>
          <w:tcPr>
            <w:tcW w:w="4180" w:type="dxa"/>
            <w:vAlign w:val="bottom"/>
            <w:shd w:val="clear" w:color="auto" w:fill="D1EDF5"/>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D1EDF5"/>
          </w:tcPr>
          <w:p>
            <w:pPr>
              <w:spacing w:after="0"/>
              <w:rPr>
                <w:sz w:val="17"/>
                <w:szCs w:val="17"/>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125,000</w:t>
            </w:r>
          </w:p>
        </w:tc>
        <w:tc>
          <w:tcPr>
            <w:tcW w:w="200" w:type="dxa"/>
            <w:vAlign w:val="bottom"/>
            <w:gridSpan w:val="2"/>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17"/>
                <w:szCs w:val="17"/>
                <w:color w:val="auto"/>
              </w:rPr>
            </w:pPr>
          </w:p>
        </w:tc>
        <w:tc>
          <w:tcPr>
            <w:tcW w:w="2420" w:type="dxa"/>
            <w:vAlign w:val="bottom"/>
            <w:shd w:val="clear" w:color="auto" w:fill="D1EDF5"/>
          </w:tcPr>
          <w:p>
            <w:pPr>
              <w:spacing w:after="0"/>
              <w:rPr>
                <w:sz w:val="20"/>
                <w:szCs w:val="20"/>
                <w:color w:val="auto"/>
              </w:rPr>
            </w:pPr>
            <w:r>
              <w:rPr>
                <w:rFonts w:ascii="Arial" w:cs="Arial" w:eastAsia="Arial" w:hAnsi="Arial"/>
                <w:sz w:val="18"/>
                <w:szCs w:val="18"/>
                <w:color w:val="auto"/>
              </w:rPr>
              <w:t>and other liabilities</w:t>
            </w:r>
          </w:p>
        </w:tc>
        <w:tc>
          <w:tcPr>
            <w:tcW w:w="80" w:type="dxa"/>
            <w:vAlign w:val="bottom"/>
            <w:shd w:val="clear" w:color="auto" w:fill="D1EDF5"/>
          </w:tcPr>
          <w:p>
            <w:pPr>
              <w:spacing w:after="0"/>
              <w:rPr>
                <w:sz w:val="17"/>
                <w:szCs w:val="17"/>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D1EDF5"/>
          </w:tcPr>
          <w:p>
            <w:pPr>
              <w:spacing w:after="0"/>
              <w:rPr>
                <w:sz w:val="17"/>
                <w:szCs w:val="17"/>
                <w:color w:val="auto"/>
              </w:rPr>
            </w:pPr>
          </w:p>
        </w:tc>
        <w:tc>
          <w:tcPr>
            <w:tcW w:w="220" w:type="dxa"/>
            <w:vAlign w:val="bottom"/>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33</w:t>
            </w:r>
          </w:p>
        </w:tc>
      </w:tr>
      <w:tr>
        <w:trPr>
          <w:trHeight w:val="240"/>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180" w:type="dxa"/>
            <w:vAlign w:val="bottom"/>
            <w:shd w:val="clear" w:color="auto" w:fill="D1EDF5"/>
          </w:tcPr>
          <w:p>
            <w:pPr>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4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r>
      <w:tr>
        <w:trPr>
          <w:trHeight w:val="255"/>
        </w:trPr>
        <w:tc>
          <w:tcPr>
            <w:tcW w:w="4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00" w:type="dxa"/>
            <w:vAlign w:val="bottom"/>
            <w:gridSpan w:val="2"/>
          </w:tcPr>
          <w:p>
            <w:pPr>
              <w:ind w:left="80"/>
              <w:spacing w:after="0"/>
              <w:rPr>
                <w:sz w:val="20"/>
                <w:szCs w:val="20"/>
                <w:color w:val="auto"/>
              </w:rPr>
            </w:pPr>
            <w:r>
              <w:rPr>
                <w:rFonts w:ascii="Arial" w:cs="Arial" w:eastAsia="Arial" w:hAnsi="Arial"/>
                <w:sz w:val="18"/>
                <w:szCs w:val="18"/>
                <w:color w:val="auto"/>
              </w:rPr>
              <w:t>Other assets/Accrued interest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25"/>
        </w:trPr>
        <w:tc>
          <w:tcPr>
            <w:tcW w:w="4180" w:type="dxa"/>
            <w:vAlign w:val="bottom"/>
          </w:tcPr>
          <w:p>
            <w:pPr>
              <w:spacing w:after="0"/>
              <w:rPr>
                <w:sz w:val="20"/>
                <w:szCs w:val="20"/>
                <w:color w:val="auto"/>
              </w:rPr>
            </w:pPr>
            <w:r>
              <w:rPr>
                <w:rFonts w:ascii="Arial" w:cs="Arial" w:eastAsia="Arial" w:hAnsi="Arial"/>
                <w:sz w:val="18"/>
                <w:szCs w:val="18"/>
                <w:color w:val="auto"/>
              </w:rPr>
              <w:t>Interest rate swaps related to customer loans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310,761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5,769</w:t>
            </w:r>
          </w:p>
        </w:tc>
        <w:tc>
          <w:tcPr>
            <w:tcW w:w="2500" w:type="dxa"/>
            <w:vAlign w:val="bottom"/>
            <w:gridSpan w:val="2"/>
          </w:tcPr>
          <w:p>
            <w:pPr>
              <w:ind w:left="80"/>
              <w:spacing w:after="0"/>
              <w:rPr>
                <w:sz w:val="20"/>
                <w:szCs w:val="20"/>
                <w:color w:val="auto"/>
              </w:rPr>
            </w:pPr>
            <w:r>
              <w:rPr>
                <w:rFonts w:ascii="Arial" w:cs="Arial" w:eastAsia="Arial" w:hAnsi="Arial"/>
                <w:sz w:val="18"/>
                <w:szCs w:val="18"/>
                <w:color w:val="auto"/>
              </w:rPr>
              <w:t>and other 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9,753</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9,753</w:t>
            </w:r>
          </w:p>
        </w:tc>
      </w:tr>
      <w:tr>
        <w:trPr>
          <w:trHeight w:val="240"/>
        </w:trPr>
        <w:tc>
          <w:tcPr>
            <w:tcW w:w="418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4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r>
      <w:tr>
        <w:trPr>
          <w:trHeight w:val="240"/>
        </w:trPr>
        <w:tc>
          <w:tcPr>
            <w:tcW w:w="4180" w:type="dxa"/>
            <w:vAlign w:val="bottom"/>
          </w:tcPr>
          <w:p>
            <w:pPr>
              <w:spacing w:after="0"/>
              <w:rPr>
                <w:sz w:val="20"/>
                <w:szCs w:val="20"/>
                <w:color w:val="auto"/>
              </w:rPr>
            </w:pPr>
            <w:r>
              <w:rPr>
                <w:rFonts w:ascii="Arial" w:cs="Arial" w:eastAsia="Arial" w:hAnsi="Arial"/>
                <w:sz w:val="18"/>
                <w:szCs w:val="18"/>
                <w:b w:val="1"/>
                <w:bCs w:val="1"/>
                <w:color w:val="auto"/>
              </w:rPr>
              <w:t>December 31,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0"/>
        </w:trPr>
        <w:tc>
          <w:tcPr>
            <w:tcW w:w="4180" w:type="dxa"/>
            <w:vAlign w:val="bottom"/>
            <w:shd w:val="clear" w:color="auto" w:fill="D1EDF5"/>
          </w:tcPr>
          <w:p>
            <w:pPr>
              <w:spacing w:after="0"/>
              <w:rPr>
                <w:sz w:val="20"/>
                <w:szCs w:val="20"/>
                <w:color w:val="auto"/>
              </w:rPr>
            </w:pPr>
            <w:r>
              <w:rPr>
                <w:rFonts w:ascii="Arial" w:cs="Arial" w:eastAsia="Arial" w:hAnsi="Arial"/>
                <w:sz w:val="18"/>
                <w:szCs w:val="18"/>
                <w:color w:val="auto"/>
              </w:rPr>
              <w:t>Derivatives Designated as Cash Flow Hedges</w:t>
            </w:r>
          </w:p>
        </w:tc>
        <w:tc>
          <w:tcPr>
            <w:tcW w:w="1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4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r>
      <w:tr>
        <w:trPr>
          <w:trHeight w:val="240"/>
        </w:trPr>
        <w:tc>
          <w:tcPr>
            <w:tcW w:w="4180" w:type="dxa"/>
            <w:vAlign w:val="bottom"/>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2"/>
          </w:tcPr>
          <w:p>
            <w:pPr>
              <w:ind w:left="80"/>
              <w:spacing w:after="0"/>
              <w:rPr>
                <w:sz w:val="20"/>
                <w:szCs w:val="20"/>
                <w:color w:val="auto"/>
              </w:rPr>
            </w:pPr>
            <w:r>
              <w:rPr>
                <w:rFonts w:ascii="Arial" w:cs="Arial" w:eastAsia="Arial" w:hAnsi="Arial"/>
                <w:sz w:val="18"/>
                <w:szCs w:val="18"/>
                <w:color w:val="auto"/>
              </w:rPr>
              <w:t>Other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18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9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4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7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640" w:type="dxa"/>
            <w:vAlign w:val="bottom"/>
            <w:shd w:val="clear" w:color="auto" w:fill="D1EDF5"/>
          </w:tcPr>
          <w:p>
            <w:pPr>
              <w:spacing w:after="0"/>
              <w:rPr>
                <w:sz w:val="20"/>
                <w:szCs w:val="20"/>
                <w:color w:val="auto"/>
              </w:rPr>
            </w:pPr>
          </w:p>
        </w:tc>
      </w:tr>
      <w:tr>
        <w:trPr>
          <w:trHeight w:val="240"/>
        </w:trPr>
        <w:tc>
          <w:tcPr>
            <w:tcW w:w="41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4"/>
        </w:trPr>
        <w:tc>
          <w:tcPr>
            <w:tcW w:w="418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940" w:type="dxa"/>
            <w:vAlign w:val="bottom"/>
            <w:shd w:val="clear" w:color="auto" w:fill="D1EDF5"/>
          </w:tcPr>
          <w:p>
            <w:pPr>
              <w:spacing w:after="0"/>
              <w:rPr>
                <w:sz w:val="23"/>
                <w:szCs w:val="23"/>
                <w:color w:val="auto"/>
              </w:rPr>
            </w:pPr>
          </w:p>
        </w:tc>
        <w:tc>
          <w:tcPr>
            <w:tcW w:w="80" w:type="dxa"/>
            <w:vAlign w:val="bottom"/>
            <w:shd w:val="clear" w:color="auto" w:fill="D1EDF5"/>
          </w:tcPr>
          <w:p>
            <w:pPr>
              <w:spacing w:after="0"/>
              <w:rPr>
                <w:sz w:val="23"/>
                <w:szCs w:val="23"/>
                <w:color w:val="auto"/>
              </w:rPr>
            </w:pPr>
          </w:p>
        </w:tc>
        <w:tc>
          <w:tcPr>
            <w:tcW w:w="120" w:type="dxa"/>
            <w:vAlign w:val="bottom"/>
            <w:shd w:val="clear" w:color="auto" w:fill="D1EDF5"/>
          </w:tcPr>
          <w:p>
            <w:pPr>
              <w:spacing w:after="0"/>
              <w:rPr>
                <w:sz w:val="23"/>
                <w:szCs w:val="23"/>
                <w:color w:val="auto"/>
              </w:rPr>
            </w:pPr>
          </w:p>
        </w:tc>
        <w:tc>
          <w:tcPr>
            <w:tcW w:w="880" w:type="dxa"/>
            <w:vAlign w:val="bottom"/>
            <w:shd w:val="clear" w:color="auto" w:fill="D1EDF5"/>
          </w:tcPr>
          <w:p>
            <w:pPr>
              <w:spacing w:after="0"/>
              <w:rPr>
                <w:sz w:val="23"/>
                <w:szCs w:val="23"/>
                <w:color w:val="auto"/>
              </w:rPr>
            </w:pPr>
          </w:p>
        </w:tc>
        <w:tc>
          <w:tcPr>
            <w:tcW w:w="80" w:type="dxa"/>
            <w:vAlign w:val="bottom"/>
            <w:shd w:val="clear" w:color="auto" w:fill="D1EDF5"/>
          </w:tcPr>
          <w:p>
            <w:pPr>
              <w:spacing w:after="0"/>
              <w:rPr>
                <w:sz w:val="23"/>
                <w:szCs w:val="23"/>
                <w:color w:val="auto"/>
              </w:rPr>
            </w:pPr>
          </w:p>
        </w:tc>
        <w:tc>
          <w:tcPr>
            <w:tcW w:w="2420" w:type="dxa"/>
            <w:vAlign w:val="bottom"/>
            <w:shd w:val="clear" w:color="auto" w:fill="D1EDF5"/>
          </w:tcPr>
          <w:p>
            <w:pPr>
              <w:spacing w:after="0"/>
              <w:rPr>
                <w:sz w:val="20"/>
                <w:szCs w:val="20"/>
                <w:color w:val="auto"/>
              </w:rPr>
            </w:pPr>
            <w:r>
              <w:rPr>
                <w:rFonts w:ascii="Arial" w:cs="Arial" w:eastAsia="Arial" w:hAnsi="Arial"/>
                <w:sz w:val="18"/>
                <w:szCs w:val="18"/>
                <w:color w:val="auto"/>
              </w:rPr>
              <w:t>Other assets/Accrued interest</w:t>
            </w:r>
          </w:p>
        </w:tc>
        <w:tc>
          <w:tcPr>
            <w:tcW w:w="80" w:type="dxa"/>
            <w:vAlign w:val="bottom"/>
            <w:shd w:val="clear" w:color="auto" w:fill="D1EDF5"/>
          </w:tcPr>
          <w:p>
            <w:pPr>
              <w:spacing w:after="0"/>
              <w:rPr>
                <w:sz w:val="23"/>
                <w:szCs w:val="23"/>
                <w:color w:val="auto"/>
              </w:rPr>
            </w:pPr>
          </w:p>
        </w:tc>
        <w:tc>
          <w:tcPr>
            <w:tcW w:w="140" w:type="dxa"/>
            <w:vAlign w:val="bottom"/>
            <w:shd w:val="clear" w:color="auto" w:fill="D1EDF5"/>
          </w:tcPr>
          <w:p>
            <w:pPr>
              <w:spacing w:after="0"/>
              <w:rPr>
                <w:sz w:val="23"/>
                <w:szCs w:val="23"/>
                <w:color w:val="auto"/>
              </w:rPr>
            </w:pPr>
          </w:p>
        </w:tc>
        <w:tc>
          <w:tcPr>
            <w:tcW w:w="720" w:type="dxa"/>
            <w:vAlign w:val="bottom"/>
            <w:shd w:val="clear" w:color="auto" w:fill="D1EDF5"/>
          </w:tcPr>
          <w:p>
            <w:pPr>
              <w:spacing w:after="0"/>
              <w:rPr>
                <w:sz w:val="23"/>
                <w:szCs w:val="23"/>
                <w:color w:val="auto"/>
              </w:rPr>
            </w:pPr>
          </w:p>
        </w:tc>
        <w:tc>
          <w:tcPr>
            <w:tcW w:w="60" w:type="dxa"/>
            <w:vAlign w:val="bottom"/>
            <w:shd w:val="clear" w:color="auto" w:fill="D1EDF5"/>
          </w:tcPr>
          <w:p>
            <w:pPr>
              <w:spacing w:after="0"/>
              <w:rPr>
                <w:sz w:val="23"/>
                <w:szCs w:val="23"/>
                <w:color w:val="auto"/>
              </w:rPr>
            </w:pPr>
          </w:p>
        </w:tc>
        <w:tc>
          <w:tcPr>
            <w:tcW w:w="220" w:type="dxa"/>
            <w:vAlign w:val="bottom"/>
            <w:shd w:val="clear" w:color="auto" w:fill="D1EDF5"/>
          </w:tcPr>
          <w:p>
            <w:pPr>
              <w:spacing w:after="0"/>
              <w:rPr>
                <w:sz w:val="23"/>
                <w:szCs w:val="23"/>
                <w:color w:val="auto"/>
              </w:rPr>
            </w:pPr>
          </w:p>
        </w:tc>
        <w:tc>
          <w:tcPr>
            <w:tcW w:w="640" w:type="dxa"/>
            <w:vAlign w:val="bottom"/>
            <w:shd w:val="clear" w:color="auto" w:fill="D1EDF5"/>
          </w:tcPr>
          <w:p>
            <w:pPr>
              <w:spacing w:after="0"/>
              <w:rPr>
                <w:sz w:val="23"/>
                <w:szCs w:val="23"/>
                <w:color w:val="auto"/>
              </w:rPr>
            </w:pPr>
          </w:p>
        </w:tc>
      </w:tr>
      <w:tr>
        <w:trPr>
          <w:trHeight w:val="206"/>
        </w:trPr>
        <w:tc>
          <w:tcPr>
            <w:tcW w:w="4180" w:type="dxa"/>
            <w:vAlign w:val="bottom"/>
            <w:shd w:val="clear" w:color="auto" w:fill="D1EDF5"/>
          </w:tcPr>
          <w:p>
            <w:pPr>
              <w:spacing w:after="0"/>
              <w:rPr>
                <w:sz w:val="20"/>
                <w:szCs w:val="20"/>
                <w:color w:val="auto"/>
              </w:rPr>
            </w:pPr>
            <w:r>
              <w:rPr>
                <w:rFonts w:ascii="Arial" w:cs="Arial" w:eastAsia="Arial" w:hAnsi="Arial"/>
                <w:sz w:val="18"/>
                <w:szCs w:val="18"/>
                <w:color w:val="auto"/>
              </w:rPr>
              <w:t>Interest rate swaps related to customer loans</w:t>
            </w:r>
          </w:p>
        </w:tc>
        <w:tc>
          <w:tcPr>
            <w:tcW w:w="120" w:type="dxa"/>
            <w:vAlign w:val="bottom"/>
            <w:shd w:val="clear" w:color="auto" w:fill="D1EDF5"/>
          </w:tcPr>
          <w:p>
            <w:pPr>
              <w:spacing w:after="0"/>
              <w:rPr>
                <w:sz w:val="17"/>
                <w:szCs w:val="17"/>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94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206,258</w:t>
            </w:r>
          </w:p>
        </w:tc>
        <w:tc>
          <w:tcPr>
            <w:tcW w:w="200" w:type="dxa"/>
            <w:vAlign w:val="bottom"/>
            <w:gridSpan w:val="2"/>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4,943</w:t>
            </w:r>
          </w:p>
        </w:tc>
        <w:tc>
          <w:tcPr>
            <w:tcW w:w="80" w:type="dxa"/>
            <w:vAlign w:val="bottom"/>
            <w:shd w:val="clear" w:color="auto" w:fill="D1EDF5"/>
          </w:tcPr>
          <w:p>
            <w:pPr>
              <w:spacing w:after="0"/>
              <w:rPr>
                <w:sz w:val="17"/>
                <w:szCs w:val="17"/>
                <w:color w:val="auto"/>
              </w:rPr>
            </w:pPr>
          </w:p>
        </w:tc>
        <w:tc>
          <w:tcPr>
            <w:tcW w:w="2420" w:type="dxa"/>
            <w:vAlign w:val="bottom"/>
            <w:shd w:val="clear" w:color="auto" w:fill="D1EDF5"/>
          </w:tcPr>
          <w:p>
            <w:pPr>
              <w:spacing w:after="0"/>
              <w:rPr>
                <w:sz w:val="20"/>
                <w:szCs w:val="20"/>
                <w:color w:val="auto"/>
              </w:rPr>
            </w:pPr>
            <w:r>
              <w:rPr>
                <w:rFonts w:ascii="Arial" w:cs="Arial" w:eastAsia="Arial" w:hAnsi="Arial"/>
                <w:sz w:val="18"/>
                <w:szCs w:val="18"/>
                <w:color w:val="auto"/>
              </w:rPr>
              <w:t>and other liabilities</w:t>
            </w:r>
          </w:p>
        </w:tc>
        <w:tc>
          <w:tcPr>
            <w:tcW w:w="80" w:type="dxa"/>
            <w:vAlign w:val="bottom"/>
            <w:shd w:val="clear" w:color="auto" w:fill="D1EDF5"/>
          </w:tcPr>
          <w:p>
            <w:pPr>
              <w:spacing w:after="0"/>
              <w:rPr>
                <w:sz w:val="17"/>
                <w:szCs w:val="17"/>
                <w:color w:val="auto"/>
              </w:rPr>
            </w:pPr>
          </w:p>
        </w:tc>
        <w:tc>
          <w:tcPr>
            <w:tcW w:w="14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7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6,869</w:t>
            </w:r>
          </w:p>
        </w:tc>
        <w:tc>
          <w:tcPr>
            <w:tcW w:w="60" w:type="dxa"/>
            <w:vAlign w:val="bottom"/>
            <w:shd w:val="clear" w:color="auto" w:fill="D1EDF5"/>
          </w:tcPr>
          <w:p>
            <w:pPr>
              <w:spacing w:after="0"/>
              <w:rPr>
                <w:sz w:val="17"/>
                <w:szCs w:val="17"/>
                <w:color w:val="auto"/>
              </w:rPr>
            </w:pPr>
          </w:p>
        </w:tc>
        <w:tc>
          <w:tcPr>
            <w:tcW w:w="220" w:type="dxa"/>
            <w:vAlign w:val="bottom"/>
            <w:shd w:val="clear" w:color="auto" w:fill="D1EDF5"/>
          </w:tcPr>
          <w:p>
            <w:pPr>
              <w:jc w:val="right"/>
              <w:ind w:right="30"/>
              <w:spacing w:after="0"/>
              <w:rPr>
                <w:sz w:val="20"/>
                <w:szCs w:val="20"/>
                <w:color w:val="auto"/>
              </w:rPr>
            </w:pPr>
            <w:r>
              <w:rPr>
                <w:rFonts w:ascii="Arial" w:cs="Arial" w:eastAsia="Arial" w:hAnsi="Arial"/>
                <w:sz w:val="18"/>
                <w:szCs w:val="18"/>
                <w:color w:val="auto"/>
                <w:w w:val="79"/>
                <w:shd w:val="clear" w:color="auto" w:fill="D1EDF5"/>
              </w:rPr>
              <w:t>$</w:t>
            </w:r>
          </w:p>
        </w:tc>
        <w:tc>
          <w:tcPr>
            <w:tcW w:w="64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6,869</w:t>
            </w:r>
          </w:p>
        </w:tc>
      </w:tr>
    </w:tbl>
    <w:p>
      <w:pPr>
        <w:spacing w:after="0" w:line="207" w:lineRule="exact"/>
        <w:rPr>
          <w:sz w:val="20"/>
          <w:szCs w:val="20"/>
          <w:color w:val="auto"/>
        </w:rPr>
      </w:pPr>
    </w:p>
    <w:p>
      <w:pPr>
        <w:ind w:left="540" w:hanging="540"/>
        <w:spacing w:after="0"/>
        <w:tabs>
          <w:tab w:leader="none" w:pos="54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7">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399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Determination of Fair Value</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19"/>
          <w:szCs w:val="19"/>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76"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3" w:name="page114"/>
    <w:bookmarkEnd w:id="113"/>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Hierarchy</w:t>
      </w:r>
    </w:p>
    <w:p>
      <w:pPr>
        <w:spacing w:after="0" w:line="23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68" w:lineRule="exact"/>
        <w:rPr>
          <w:sz w:val="20"/>
          <w:szCs w:val="20"/>
          <w:color w:val="auto"/>
        </w:rPr>
      </w:pPr>
    </w:p>
    <w:p>
      <w:pPr>
        <w:jc w:val="both"/>
        <w:ind w:left="720"/>
        <w:spacing w:after="0" w:line="255" w:lineRule="auto"/>
        <w:rPr>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Valuation is based on quoted prices in active markets for identical assets or liabilities that the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73" w:lineRule="exact"/>
        <w:rPr>
          <w:sz w:val="20"/>
          <w:szCs w:val="20"/>
          <w:color w:val="auto"/>
        </w:rPr>
      </w:pPr>
    </w:p>
    <w:p>
      <w:pPr>
        <w:jc w:val="both"/>
        <w:ind w:left="720"/>
        <w:spacing w:after="0" w:line="255" w:lineRule="auto"/>
        <w:rPr>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Valuation is based on inputs other than quoted prices included within Level 1 that are observable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73" w:lineRule="exact"/>
        <w:rPr>
          <w:sz w:val="20"/>
          <w:szCs w:val="20"/>
          <w:color w:val="auto"/>
        </w:rPr>
      </w:pPr>
    </w:p>
    <w:p>
      <w:pPr>
        <w:jc w:val="both"/>
        <w:ind w:left="720"/>
        <w:spacing w:after="0" w:line="255" w:lineRule="auto"/>
        <w:rPr>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Valuation is based on unobservable inputs that are supported by little or no market activity and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77"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A financial instrument's categorization within the valuation hierarchy is based upon the lowest level of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Measured at Fair Value on a Recurring Basis</w:t>
      </w:r>
    </w:p>
    <w:p>
      <w:pPr>
        <w:spacing w:after="0" w:line="2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b w:val="1"/>
          <w:bCs w:val="1"/>
          <w:color w:val="auto"/>
        </w:rPr>
        <w:t xml:space="preserve">Investment securities: </w:t>
      </w:r>
      <w:r>
        <w:rPr>
          <w:rFonts w:ascii="Arial" w:cs="Arial" w:eastAsia="Arial" w:hAnsi="Arial"/>
          <w:sz w:val="19"/>
          <w:szCs w:val="19"/>
          <w:color w:val="auto"/>
        </w:rPr>
        <w:t>When instruments are traded in secondary markets and quoted market prices do not exist for</w:t>
      </w:r>
      <w:r>
        <w:rPr>
          <w:rFonts w:ascii="Arial" w:cs="Arial" w:eastAsia="Arial" w:hAnsi="Arial"/>
          <w:sz w:val="19"/>
          <w:szCs w:val="19"/>
          <w:b w:val="1"/>
          <w:bCs w:val="1"/>
          <w:color w:val="auto"/>
        </w:rPr>
        <w:t xml:space="preserve"> </w:t>
      </w:r>
      <w:r>
        <w:rPr>
          <w:rFonts w:ascii="Arial" w:cs="Arial" w:eastAsia="Arial" w:hAnsi="Arial"/>
          <w:sz w:val="19"/>
          <w:szCs w:val="19"/>
          <w:color w:val="auto"/>
        </w:rPr>
        <w:t>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6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color w:val="auto"/>
        </w:rPr>
        <w:t xml:space="preserve">Derivatives: </w:t>
      </w:r>
      <w:r>
        <w:rPr>
          <w:rFonts w:ascii="Arial" w:cs="Arial" w:eastAsia="Arial" w:hAnsi="Arial"/>
          <w:sz w:val="20"/>
          <w:szCs w:val="20"/>
          <w:color w:val="auto"/>
        </w:rPr>
        <w:t>The fair value of derivatives are measured with pricing provided by third-party participants and are</w:t>
      </w:r>
      <w:r>
        <w:rPr>
          <w:rFonts w:ascii="Arial" w:cs="Arial" w:eastAsia="Arial" w:hAnsi="Arial"/>
          <w:sz w:val="20"/>
          <w:szCs w:val="20"/>
          <w:b w:val="1"/>
          <w:bCs w:val="1"/>
          <w:color w:val="auto"/>
        </w:rPr>
        <w:t xml:space="preserve"> </w:t>
      </w:r>
      <w:r>
        <w:rPr>
          <w:rFonts w:ascii="Arial" w:cs="Arial" w:eastAsia="Arial" w:hAnsi="Arial"/>
          <w:sz w:val="20"/>
          <w:szCs w:val="20"/>
          <w:color w:val="auto"/>
        </w:rPr>
        <w:t>classified within Level 2 of the hierarchy.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represents the Company's assets and liabilities measured at fair value on a recurring basis at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for each of the fair value hierarchy levels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32"/>
        </w:trPr>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30"/>
        </w:trPr>
        <w:tc>
          <w:tcPr>
            <w:tcW w:w="358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Borders>
              <w:top w:val="single" w:sz="8" w:color="auto"/>
            </w:tcBorders>
            <w:shd w:val="clear" w:color="auto" w:fill="D1EDF5"/>
          </w:tcPr>
          <w:p>
            <w:pPr>
              <w:spacing w:after="0"/>
              <w:rPr>
                <w:sz w:val="19"/>
                <w:szCs w:val="19"/>
                <w:color w:val="auto"/>
              </w:rPr>
            </w:pPr>
          </w:p>
        </w:tc>
        <w:tc>
          <w:tcPr>
            <w:tcW w:w="54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82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400" w:type="dxa"/>
            <w:vAlign w:val="bottom"/>
            <w:tcBorders>
              <w:top w:val="single" w:sz="8" w:color="auto"/>
            </w:tcBorders>
            <w:shd w:val="clear" w:color="auto" w:fill="D1EDF5"/>
          </w:tcPr>
          <w:p>
            <w:pPr>
              <w:spacing w:after="0"/>
              <w:rPr>
                <w:sz w:val="19"/>
                <w:szCs w:val="19"/>
                <w:color w:val="auto"/>
              </w:rPr>
            </w:pPr>
          </w:p>
        </w:tc>
        <w:tc>
          <w:tcPr>
            <w:tcW w:w="28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80" w:type="dxa"/>
            <w:vAlign w:val="bottom"/>
            <w:tcBorders>
              <w:top w:val="single" w:sz="8" w:color="auto"/>
            </w:tcBorders>
            <w:shd w:val="clear" w:color="auto" w:fill="D1EDF5"/>
          </w:tcPr>
          <w:p>
            <w:pPr>
              <w:spacing w:after="0"/>
              <w:rPr>
                <w:sz w:val="19"/>
                <w:szCs w:val="19"/>
                <w:color w:val="auto"/>
              </w:rPr>
            </w:pPr>
          </w:p>
        </w:tc>
        <w:tc>
          <w:tcPr>
            <w:tcW w:w="78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auto"/>
            </w:tcBorders>
            <w:shd w:val="clear" w:color="auto" w:fill="D1EDF5"/>
          </w:tcPr>
          <w:p>
            <w:pPr>
              <w:spacing w:after="0"/>
              <w:rPr>
                <w:sz w:val="19"/>
                <w:szCs w:val="19"/>
                <w:color w:val="auto"/>
              </w:rPr>
            </w:pPr>
          </w:p>
        </w:tc>
        <w:tc>
          <w:tcPr>
            <w:tcW w:w="360" w:type="dxa"/>
            <w:vAlign w:val="bottom"/>
            <w:tcBorders>
              <w:top w:val="single" w:sz="8" w:color="auto"/>
            </w:tcBorders>
            <w:shd w:val="clear" w:color="auto" w:fill="D1EDF5"/>
          </w:tcPr>
          <w:p>
            <w:pPr>
              <w:spacing w:after="0"/>
              <w:rPr>
                <w:sz w:val="19"/>
                <w:szCs w:val="19"/>
                <w:color w:val="auto"/>
              </w:rPr>
            </w:pPr>
          </w:p>
        </w:tc>
        <w:tc>
          <w:tcPr>
            <w:tcW w:w="32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60" w:type="dxa"/>
            <w:vAlign w:val="bottom"/>
            <w:tcBorders>
              <w:top w:val="single" w:sz="8" w:color="auto"/>
            </w:tcBorders>
            <w:shd w:val="clear" w:color="auto" w:fill="D1EDF5"/>
          </w:tcPr>
          <w:p>
            <w:pPr>
              <w:spacing w:after="0"/>
              <w:rPr>
                <w:sz w:val="19"/>
                <w:szCs w:val="19"/>
                <w:color w:val="auto"/>
              </w:rPr>
            </w:pPr>
          </w:p>
        </w:tc>
        <w:tc>
          <w:tcPr>
            <w:tcW w:w="80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400" w:type="dxa"/>
            <w:vAlign w:val="bottom"/>
            <w:tcBorders>
              <w:top w:val="single" w:sz="8" w:color="auto"/>
            </w:tcBorders>
            <w:shd w:val="clear" w:color="auto" w:fill="D1EDF5"/>
          </w:tcPr>
          <w:p>
            <w:pPr>
              <w:spacing w:after="0"/>
              <w:rPr>
                <w:sz w:val="19"/>
                <w:szCs w:val="19"/>
                <w:color w:val="auto"/>
              </w:rPr>
            </w:pPr>
          </w:p>
        </w:tc>
        <w:tc>
          <w:tcPr>
            <w:tcW w:w="28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c>
          <w:tcPr>
            <w:tcW w:w="20" w:type="dxa"/>
            <w:vAlign w:val="bottom"/>
            <w:tcBorders>
              <w:top w:val="single" w:sz="8" w:color="auto"/>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84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auto"/>
            </w:tcBorders>
            <w:shd w:val="clear" w:color="auto" w:fill="D1EDF5"/>
          </w:tcPr>
          <w:p>
            <w:pPr>
              <w:spacing w:after="0"/>
              <w:rPr>
                <w:sz w:val="19"/>
                <w:szCs w:val="19"/>
                <w:color w:val="auto"/>
              </w:rPr>
            </w:pPr>
          </w:p>
        </w:tc>
      </w:tr>
      <w:tr>
        <w:trPr>
          <w:trHeight w:val="240"/>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U.S. Government Agency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ind w:left="4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14,144</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560" w:type="dxa"/>
            <w:vAlign w:val="bottom"/>
            <w:gridSpan w:val="5"/>
          </w:tcPr>
          <w:p>
            <w:pPr>
              <w:ind w:left="22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14,144</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2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12,625</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gridSpan w:val="4"/>
          </w:tcPr>
          <w:p>
            <w:pPr>
              <w:ind w:left="2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12,625</w:t>
            </w:r>
          </w:p>
        </w:tc>
      </w:tr>
      <w:tr>
        <w:trPr>
          <w:trHeight w:val="240"/>
        </w:trPr>
        <w:tc>
          <w:tcPr>
            <w:tcW w:w="358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shd w:val="clear" w:color="auto" w:fill="D1EDF5"/>
          </w:tcPr>
          <w:p>
            <w:pPr>
              <w:spacing w:after="0"/>
              <w:rPr>
                <w:sz w:val="20"/>
                <w:szCs w:val="20"/>
                <w:color w:val="auto"/>
              </w:rPr>
            </w:pPr>
          </w:p>
        </w:tc>
        <w:tc>
          <w:tcPr>
            <w:tcW w:w="540" w:type="dxa"/>
            <w:vAlign w:val="bottom"/>
            <w:shd w:val="clear" w:color="auto" w:fill="D1EDF5"/>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75,828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280" w:type="dxa"/>
            <w:vAlign w:val="bottom"/>
            <w:shd w:val="clear" w:color="auto" w:fill="D1EDF5"/>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75,828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320" w:type="dxa"/>
            <w:vAlign w:val="bottom"/>
            <w:shd w:val="clear" w:color="auto" w:fill="D1EDF5"/>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78,905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280" w:type="dxa"/>
            <w:vAlign w:val="bottom"/>
            <w:shd w:val="clear" w:color="auto" w:fill="D1EDF5"/>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78,905</w:t>
            </w:r>
          </w:p>
        </w:tc>
        <w:tc>
          <w:tcPr>
            <w:tcW w:w="60" w:type="dxa"/>
            <w:vAlign w:val="bottom"/>
            <w:shd w:val="clear" w:color="auto" w:fill="D1EDF5"/>
          </w:tcPr>
          <w:p>
            <w:pPr>
              <w:spacing w:after="0"/>
              <w:rPr>
                <w:sz w:val="20"/>
                <w:szCs w:val="20"/>
                <w:color w:val="auto"/>
              </w:rPr>
            </w:pPr>
          </w:p>
        </w:tc>
      </w:tr>
      <w:tr>
        <w:trPr>
          <w:trHeight w:val="240"/>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 - residential</w:t>
            </w:r>
          </w:p>
        </w:tc>
        <w:tc>
          <w:tcPr>
            <w:tcW w:w="120" w:type="dxa"/>
            <w:vAlign w:val="bottom"/>
          </w:tcPr>
          <w:p>
            <w:pPr>
              <w:spacing w:after="0"/>
              <w:rPr>
                <w:sz w:val="20"/>
                <w:szCs w:val="20"/>
                <w:color w:val="auto"/>
              </w:rPr>
            </w:pP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29,917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29,917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46,933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46,933</w:t>
            </w:r>
          </w:p>
        </w:tc>
      </w:tr>
      <w:tr>
        <w:trPr>
          <w:trHeight w:val="240"/>
        </w:trPr>
        <w:tc>
          <w:tcPr>
            <w:tcW w:w="358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Mortgage-backed securities - commercial</w:t>
            </w:r>
          </w:p>
        </w:tc>
        <w:tc>
          <w:tcPr>
            <w:tcW w:w="120" w:type="dxa"/>
            <w:vAlign w:val="bottom"/>
            <w:shd w:val="clear" w:color="auto" w:fill="D1EDF5"/>
          </w:tcPr>
          <w:p>
            <w:pPr>
              <w:spacing w:after="0"/>
              <w:rPr>
                <w:sz w:val="20"/>
                <w:szCs w:val="20"/>
                <w:color w:val="auto"/>
              </w:rPr>
            </w:pPr>
          </w:p>
        </w:tc>
        <w:tc>
          <w:tcPr>
            <w:tcW w:w="540" w:type="dxa"/>
            <w:vAlign w:val="bottom"/>
            <w:shd w:val="clear" w:color="auto" w:fill="D1EDF5"/>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8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168,108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280" w:type="dxa"/>
            <w:vAlign w:val="bottom"/>
            <w:shd w:val="clear" w:color="auto" w:fill="D1EDF5"/>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7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168,108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320" w:type="dxa"/>
            <w:vAlign w:val="bottom"/>
            <w:shd w:val="clear" w:color="auto" w:fill="D1EDF5"/>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shd w:val="clear" w:color="auto" w:fill="D1EDF5"/>
          </w:tcPr>
          <w:p>
            <w:pPr>
              <w:spacing w:after="0"/>
              <w:rPr>
                <w:sz w:val="20"/>
                <w:szCs w:val="20"/>
                <w:color w:val="auto"/>
              </w:rPr>
            </w:pPr>
          </w:p>
        </w:tc>
        <w:tc>
          <w:tcPr>
            <w:tcW w:w="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78,739</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shd w:val="clear" w:color="auto" w:fill="D1EDF5"/>
          </w:tcPr>
          <w:p>
            <w:pPr>
              <w:spacing w:after="0"/>
              <w:rPr>
                <w:sz w:val="20"/>
                <w:szCs w:val="20"/>
                <w:color w:val="auto"/>
              </w:rPr>
            </w:pPr>
          </w:p>
        </w:tc>
        <w:tc>
          <w:tcPr>
            <w:tcW w:w="280" w:type="dxa"/>
            <w:vAlign w:val="bottom"/>
            <w:shd w:val="clear" w:color="auto" w:fill="D1EDF5"/>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78,739</w:t>
            </w:r>
          </w:p>
        </w:tc>
        <w:tc>
          <w:tcPr>
            <w:tcW w:w="60" w:type="dxa"/>
            <w:vAlign w:val="bottom"/>
            <w:shd w:val="clear" w:color="auto" w:fill="D1EDF5"/>
          </w:tcPr>
          <w:p>
            <w:pPr>
              <w:spacing w:after="0"/>
              <w:rPr>
                <w:sz w:val="20"/>
                <w:szCs w:val="20"/>
                <w:color w:val="auto"/>
              </w:rPr>
            </w:pPr>
          </w:p>
        </w:tc>
      </w:tr>
      <w:tr>
        <w:trPr>
          <w:trHeight w:val="240"/>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20"/>
                <w:szCs w:val="20"/>
                <w:color w:val="auto"/>
              </w:rPr>
            </w:pP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4,263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4,263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19,311</w:t>
            </w:r>
          </w:p>
        </w:tc>
      </w:tr>
      <w:tr>
        <w:trPr>
          <w:trHeight w:val="240"/>
        </w:trPr>
        <w:tc>
          <w:tcPr>
            <w:tcW w:w="358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Bank subordinated debt securities</w:t>
            </w:r>
          </w:p>
        </w:tc>
        <w:tc>
          <w:tcPr>
            <w:tcW w:w="120" w:type="dxa"/>
            <w:vAlign w:val="bottom"/>
            <w:tcBorders>
              <w:bottom w:val="single" w:sz="8" w:color="auto"/>
            </w:tcBorders>
            <w:shd w:val="clear" w:color="auto" w:fill="D1EDF5"/>
          </w:tcPr>
          <w:p>
            <w:pPr>
              <w:spacing w:after="0"/>
              <w:rPr>
                <w:sz w:val="20"/>
                <w:szCs w:val="20"/>
                <w:color w:val="auto"/>
              </w:rPr>
            </w:pPr>
          </w:p>
        </w:tc>
        <w:tc>
          <w:tcPr>
            <w:tcW w:w="540" w:type="dxa"/>
            <w:vAlign w:val="bottom"/>
            <w:tcBorders>
              <w:bottom w:val="single" w:sz="8" w:color="auto"/>
            </w:tcBorders>
            <w:shd w:val="clear" w:color="auto" w:fill="D1EDF5"/>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8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15,230</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tcBorders>
              <w:bottom w:val="single" w:sz="8" w:color="auto"/>
            </w:tcBorders>
            <w:shd w:val="clear" w:color="auto" w:fill="D1EDF5"/>
          </w:tcPr>
          <w:p>
            <w:pPr>
              <w:spacing w:after="0"/>
              <w:rPr>
                <w:sz w:val="20"/>
                <w:szCs w:val="20"/>
                <w:color w:val="auto"/>
              </w:rPr>
            </w:pPr>
          </w:p>
        </w:tc>
        <w:tc>
          <w:tcPr>
            <w:tcW w:w="280" w:type="dxa"/>
            <w:vAlign w:val="bottom"/>
            <w:tcBorders>
              <w:bottom w:val="single" w:sz="8" w:color="auto"/>
            </w:tcBorders>
            <w:shd w:val="clear" w:color="auto" w:fill="D1EDF5"/>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80" w:type="dxa"/>
            <w:vAlign w:val="bottom"/>
            <w:tcBorders>
              <w:bottom w:val="single" w:sz="8" w:color="auto"/>
            </w:tcBorders>
            <w:shd w:val="clear" w:color="auto" w:fill="D1EDF5"/>
          </w:tcPr>
          <w:p>
            <w:pPr>
              <w:spacing w:after="0"/>
              <w:rPr>
                <w:sz w:val="20"/>
                <w:szCs w:val="20"/>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15,230</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360" w:type="dxa"/>
            <w:vAlign w:val="bottom"/>
            <w:tcBorders>
              <w:bottom w:val="single" w:sz="8" w:color="auto"/>
            </w:tcBorders>
            <w:shd w:val="clear" w:color="auto" w:fill="D1EDF5"/>
          </w:tcPr>
          <w:p>
            <w:pPr>
              <w:spacing w:after="0"/>
              <w:rPr>
                <w:sz w:val="20"/>
                <w:szCs w:val="20"/>
                <w:color w:val="auto"/>
              </w:rPr>
            </w:pPr>
          </w:p>
        </w:tc>
        <w:tc>
          <w:tcPr>
            <w:tcW w:w="320" w:type="dxa"/>
            <w:vAlign w:val="bottom"/>
            <w:tcBorders>
              <w:bottom w:val="single" w:sz="8" w:color="auto"/>
            </w:tcBorders>
            <w:shd w:val="clear" w:color="auto" w:fill="D1EDF5"/>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60" w:type="dxa"/>
            <w:vAlign w:val="bottom"/>
            <w:tcBorders>
              <w:bottom w:val="single" w:sz="8" w:color="auto"/>
            </w:tcBorders>
            <w:shd w:val="clear" w:color="auto" w:fill="D1EDF5"/>
          </w:tcPr>
          <w:p>
            <w:pPr>
              <w:spacing w:after="0"/>
              <w:rPr>
                <w:sz w:val="20"/>
                <w:szCs w:val="20"/>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23,708</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400" w:type="dxa"/>
            <w:vAlign w:val="bottom"/>
            <w:tcBorders>
              <w:bottom w:val="single" w:sz="8" w:color="auto"/>
            </w:tcBorders>
            <w:shd w:val="clear" w:color="auto" w:fill="D1EDF5"/>
          </w:tcPr>
          <w:p>
            <w:pPr>
              <w:spacing w:after="0"/>
              <w:rPr>
                <w:sz w:val="20"/>
                <w:szCs w:val="20"/>
                <w:color w:val="auto"/>
              </w:rPr>
            </w:pPr>
          </w:p>
        </w:tc>
        <w:tc>
          <w:tcPr>
            <w:tcW w:w="280" w:type="dxa"/>
            <w:vAlign w:val="bottom"/>
            <w:tcBorders>
              <w:bottom w:val="single" w:sz="8" w:color="auto"/>
            </w:tcBorders>
            <w:shd w:val="clear" w:color="auto" w:fill="D1EDF5"/>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D1EDF5"/>
          </w:tcPr>
          <w:p>
            <w:pPr>
              <w:spacing w:after="0"/>
              <w:rPr>
                <w:sz w:val="20"/>
                <w:szCs w:val="20"/>
                <w:color w:val="auto"/>
              </w:rPr>
            </w:pPr>
          </w:p>
        </w:tc>
        <w:tc>
          <w:tcPr>
            <w:tcW w:w="20" w:type="dxa"/>
            <w:vAlign w:val="bottom"/>
            <w:tcBorders>
              <w:bottom w:val="single" w:sz="8" w:color="auto"/>
            </w:tcBorders>
            <w:shd w:val="clear" w:color="auto" w:fill="D1EDF5"/>
          </w:tcPr>
          <w:p>
            <w:pPr>
              <w:spacing w:after="0"/>
              <w:rPr>
                <w:sz w:val="20"/>
                <w:szCs w:val="20"/>
                <w:color w:val="auto"/>
              </w:rPr>
            </w:pPr>
          </w:p>
        </w:tc>
        <w:tc>
          <w:tcPr>
            <w:tcW w:w="120" w:type="dxa"/>
            <w:vAlign w:val="bottom"/>
            <w:tcBorders>
              <w:bottom w:val="single" w:sz="8" w:color="auto"/>
            </w:tcBorders>
            <w:shd w:val="clear" w:color="auto" w:fill="D1EDF5"/>
          </w:tcPr>
          <w:p>
            <w:pPr>
              <w:spacing w:after="0"/>
              <w:rPr>
                <w:sz w:val="20"/>
                <w:szCs w:val="20"/>
                <w:color w:val="auto"/>
              </w:rPr>
            </w:pPr>
          </w:p>
        </w:tc>
        <w:tc>
          <w:tcPr>
            <w:tcW w:w="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23,708</w:t>
            </w:r>
          </w:p>
        </w:tc>
        <w:tc>
          <w:tcPr>
            <w:tcW w:w="60" w:type="dxa"/>
            <w:vAlign w:val="bottom"/>
            <w:tcBorders>
              <w:bottom w:val="single" w:sz="8" w:color="auto"/>
            </w:tcBorders>
            <w:shd w:val="clear" w:color="auto" w:fill="D1EDF5"/>
          </w:tcPr>
          <w:p>
            <w:pPr>
              <w:spacing w:after="0"/>
              <w:rPr>
                <w:sz w:val="20"/>
                <w:szCs w:val="20"/>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307,490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307,490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260,221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260,221</w:t>
            </w:r>
          </w:p>
        </w:tc>
      </w:tr>
      <w:tr>
        <w:trPr>
          <w:trHeight w:val="260"/>
        </w:trPr>
        <w:tc>
          <w:tcPr>
            <w:tcW w:w="3580" w:type="dxa"/>
            <w:vAlign w:val="bottom"/>
            <w:tcBorders>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auto"/>
            </w:tcBorders>
            <w:shd w:val="clear" w:color="auto" w:fill="D1EDF5"/>
          </w:tcPr>
          <w:p>
            <w:pPr>
              <w:spacing w:after="0"/>
              <w:rPr>
                <w:sz w:val="22"/>
                <w:szCs w:val="22"/>
                <w:color w:val="auto"/>
              </w:rPr>
            </w:pPr>
          </w:p>
        </w:tc>
        <w:tc>
          <w:tcPr>
            <w:tcW w:w="540" w:type="dxa"/>
            <w:vAlign w:val="bottom"/>
            <w:tcBorders>
              <w:bottom w:val="single" w:sz="8" w:color="auto"/>
            </w:tcBorders>
            <w:shd w:val="clear" w:color="auto" w:fill="D1EDF5"/>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140" w:type="dxa"/>
            <w:vAlign w:val="bottom"/>
            <w:tcBorders>
              <w:bottom w:val="single" w:sz="8" w:color="auto"/>
            </w:tcBorders>
            <w:shd w:val="clear" w:color="auto" w:fill="D1EDF5"/>
          </w:tcPr>
          <w:p>
            <w:pPr>
              <w:spacing w:after="0"/>
              <w:rPr>
                <w:sz w:val="22"/>
                <w:szCs w:val="22"/>
                <w:color w:val="auto"/>
              </w:rPr>
            </w:pPr>
          </w:p>
        </w:tc>
        <w:tc>
          <w:tcPr>
            <w:tcW w:w="8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9,767</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400" w:type="dxa"/>
            <w:vAlign w:val="bottom"/>
            <w:tcBorders>
              <w:bottom w:val="single" w:sz="8" w:color="auto"/>
            </w:tcBorders>
            <w:shd w:val="clear" w:color="auto" w:fill="D1EDF5"/>
          </w:tcPr>
          <w:p>
            <w:pPr>
              <w:spacing w:after="0"/>
              <w:rPr>
                <w:sz w:val="22"/>
                <w:szCs w:val="22"/>
                <w:color w:val="auto"/>
              </w:rPr>
            </w:pPr>
          </w:p>
        </w:tc>
        <w:tc>
          <w:tcPr>
            <w:tcW w:w="280" w:type="dxa"/>
            <w:vAlign w:val="bottom"/>
            <w:tcBorders>
              <w:bottom w:val="single" w:sz="8" w:color="auto"/>
            </w:tcBorders>
            <w:shd w:val="clear" w:color="auto" w:fill="D1EDF5"/>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180" w:type="dxa"/>
            <w:vAlign w:val="bottom"/>
            <w:tcBorders>
              <w:bottom w:val="single" w:sz="8" w:color="auto"/>
            </w:tcBorders>
            <w:shd w:val="clear" w:color="auto" w:fill="D1EDF5"/>
          </w:tcPr>
          <w:p>
            <w:pPr>
              <w:spacing w:after="0"/>
              <w:rPr>
                <w:sz w:val="22"/>
                <w:szCs w:val="22"/>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9,767</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auto"/>
            </w:tcBorders>
            <w:shd w:val="clear" w:color="auto" w:fill="D1EDF5"/>
          </w:tcPr>
          <w:p>
            <w:pPr>
              <w:spacing w:after="0"/>
              <w:rPr>
                <w:sz w:val="22"/>
                <w:szCs w:val="22"/>
                <w:color w:val="auto"/>
              </w:rPr>
            </w:pPr>
          </w:p>
        </w:tc>
        <w:tc>
          <w:tcPr>
            <w:tcW w:w="360" w:type="dxa"/>
            <w:vAlign w:val="bottom"/>
            <w:tcBorders>
              <w:bottom w:val="single" w:sz="8" w:color="auto"/>
            </w:tcBorders>
            <w:shd w:val="clear" w:color="auto" w:fill="D1EDF5"/>
          </w:tcPr>
          <w:p>
            <w:pPr>
              <w:spacing w:after="0"/>
              <w:rPr>
                <w:sz w:val="22"/>
                <w:szCs w:val="22"/>
                <w:color w:val="auto"/>
              </w:rPr>
            </w:pPr>
          </w:p>
        </w:tc>
        <w:tc>
          <w:tcPr>
            <w:tcW w:w="320" w:type="dxa"/>
            <w:vAlign w:val="bottom"/>
            <w:tcBorders>
              <w:bottom w:val="single" w:sz="8" w:color="auto"/>
            </w:tcBorders>
            <w:shd w:val="clear" w:color="auto" w:fill="D1EDF5"/>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160" w:type="dxa"/>
            <w:vAlign w:val="bottom"/>
            <w:tcBorders>
              <w:bottom w:val="single" w:sz="8" w:color="auto"/>
            </w:tcBorders>
            <w:shd w:val="clear" w:color="auto" w:fill="D1EDF5"/>
          </w:tcPr>
          <w:p>
            <w:pPr>
              <w:spacing w:after="0"/>
              <w:rPr>
                <w:sz w:val="22"/>
                <w:szCs w:val="22"/>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7,190</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20" w:type="dxa"/>
            <w:vAlign w:val="bottom"/>
            <w:tcBorders>
              <w:bottom w:val="single" w:sz="8" w:color="D1EDF5"/>
            </w:tcBorders>
            <w:shd w:val="clear" w:color="auto" w:fill="D1EDF5"/>
          </w:tcPr>
          <w:p>
            <w:pPr>
              <w:spacing w:after="0"/>
              <w:rPr>
                <w:sz w:val="22"/>
                <w:szCs w:val="22"/>
                <w:color w:val="auto"/>
              </w:rPr>
            </w:pPr>
          </w:p>
        </w:tc>
        <w:tc>
          <w:tcPr>
            <w:tcW w:w="400" w:type="dxa"/>
            <w:vAlign w:val="bottom"/>
            <w:tcBorders>
              <w:bottom w:val="single" w:sz="8" w:color="auto"/>
            </w:tcBorders>
            <w:shd w:val="clear" w:color="auto" w:fill="D1EDF5"/>
          </w:tcPr>
          <w:p>
            <w:pPr>
              <w:spacing w:after="0"/>
              <w:rPr>
                <w:sz w:val="22"/>
                <w:szCs w:val="22"/>
                <w:color w:val="auto"/>
              </w:rPr>
            </w:pPr>
          </w:p>
        </w:tc>
        <w:tc>
          <w:tcPr>
            <w:tcW w:w="280" w:type="dxa"/>
            <w:vAlign w:val="bottom"/>
            <w:tcBorders>
              <w:bottom w:val="single" w:sz="8" w:color="auto"/>
            </w:tcBorders>
            <w:shd w:val="clear" w:color="auto" w:fill="D1EDF5"/>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D1EDF5"/>
          </w:tcPr>
          <w:p>
            <w:pPr>
              <w:spacing w:after="0"/>
              <w:rPr>
                <w:sz w:val="22"/>
                <w:szCs w:val="22"/>
                <w:color w:val="auto"/>
              </w:rPr>
            </w:pPr>
          </w:p>
        </w:tc>
        <w:tc>
          <w:tcPr>
            <w:tcW w:w="20" w:type="dxa"/>
            <w:vAlign w:val="bottom"/>
            <w:tcBorders>
              <w:bottom w:val="single" w:sz="8" w:color="auto"/>
            </w:tcBorders>
            <w:shd w:val="clear" w:color="auto" w:fill="D1EDF5"/>
          </w:tcPr>
          <w:p>
            <w:pPr>
              <w:spacing w:after="0"/>
              <w:rPr>
                <w:sz w:val="22"/>
                <w:szCs w:val="22"/>
                <w:color w:val="auto"/>
              </w:rPr>
            </w:pPr>
          </w:p>
        </w:tc>
        <w:tc>
          <w:tcPr>
            <w:tcW w:w="120" w:type="dxa"/>
            <w:vAlign w:val="bottom"/>
            <w:tcBorders>
              <w:bottom w:val="single" w:sz="8" w:color="auto"/>
            </w:tcBorders>
            <w:shd w:val="clear" w:color="auto" w:fill="D1EDF5"/>
          </w:tcPr>
          <w:p>
            <w:pPr>
              <w:spacing w:after="0"/>
              <w:rPr>
                <w:sz w:val="22"/>
                <w:szCs w:val="22"/>
                <w:color w:val="auto"/>
              </w:rPr>
            </w:pPr>
          </w:p>
        </w:tc>
        <w:tc>
          <w:tcPr>
            <w:tcW w:w="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7,190</w:t>
            </w:r>
          </w:p>
        </w:tc>
        <w:tc>
          <w:tcPr>
            <w:tcW w:w="60" w:type="dxa"/>
            <w:vAlign w:val="bottom"/>
            <w:tcBorders>
              <w:bottom w:val="single" w:sz="8" w:color="auto"/>
            </w:tcBorders>
            <w:shd w:val="clear" w:color="auto" w:fill="D1EDF5"/>
          </w:tcPr>
          <w:p>
            <w:pPr>
              <w:spacing w:after="0"/>
              <w:rPr>
                <w:sz w:val="22"/>
                <w:szCs w:val="22"/>
                <w:color w:val="auto"/>
              </w:rPr>
            </w:pPr>
          </w:p>
        </w:tc>
      </w:tr>
      <w:tr>
        <w:trPr>
          <w:trHeight w:val="28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ind w:left="4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317,257</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317,257</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267,411</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267,411</w:t>
            </w:r>
          </w:p>
        </w:tc>
      </w:tr>
      <w:tr>
        <w:trPr>
          <w:trHeight w:val="240"/>
        </w:trPr>
        <w:tc>
          <w:tcPr>
            <w:tcW w:w="3580" w:type="dxa"/>
            <w:vAlign w:val="bottom"/>
            <w:tcBorders>
              <w:top w:val="single" w:sz="8" w:color="D1EDF5"/>
              <w:bottom w:val="single" w:sz="8" w:color="D1EDF5"/>
            </w:tcBorders>
            <w:gridSpan w:val="2"/>
            <w:shd w:val="clear" w:color="auto" w:fill="D1EDF5"/>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D1EDF5"/>
          </w:tcPr>
          <w:p>
            <w:pPr>
              <w:ind w:left="4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9,786</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400" w:type="dxa"/>
            <w:vAlign w:val="bottom"/>
            <w:tcBorders>
              <w:top w:val="single" w:sz="8" w:color="auto"/>
              <w:bottom w:val="single" w:sz="8" w:color="auto"/>
            </w:tcBorders>
            <w:shd w:val="clear" w:color="auto" w:fill="D1EDF5"/>
          </w:tcPr>
          <w:p>
            <w:pPr>
              <w:jc w:val="right"/>
              <w:ind w:right="2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D1EDF5"/>
          </w:tcPr>
          <w:p>
            <w:pPr>
              <w:ind w:left="2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1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9,786</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auto"/>
              <w:bottom w:val="single" w:sz="8" w:color="auto"/>
            </w:tcBorders>
            <w:shd w:val="clear" w:color="auto" w:fill="D1EDF5"/>
          </w:tcPr>
          <w:p>
            <w:pPr>
              <w:spacing w:after="0"/>
              <w:rPr>
                <w:sz w:val="20"/>
                <w:szCs w:val="20"/>
                <w:color w:val="auto"/>
              </w:rPr>
            </w:pPr>
          </w:p>
        </w:tc>
        <w:tc>
          <w:tcPr>
            <w:tcW w:w="360" w:type="dxa"/>
            <w:vAlign w:val="bottom"/>
            <w:tcBorders>
              <w:top w:val="single" w:sz="8" w:color="auto"/>
              <w:bottom w:val="single" w:sz="8" w:color="auto"/>
            </w:tcBorders>
            <w:shd w:val="clear" w:color="auto" w:fill="D1EDF5"/>
          </w:tcPr>
          <w:p>
            <w:pPr>
              <w:jc w:val="right"/>
              <w:ind w:right="1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D1EDF5"/>
          </w:tcPr>
          <w:p>
            <w:pPr>
              <w:ind w:left="2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1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6,869</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20" w:type="dxa"/>
            <w:vAlign w:val="bottom"/>
            <w:tcBorders>
              <w:top w:val="single" w:sz="8" w:color="D1EDF5"/>
              <w:bottom w:val="single" w:sz="8" w:color="D1EDF5"/>
            </w:tcBorders>
            <w:shd w:val="clear" w:color="auto" w:fill="D1EDF5"/>
          </w:tcPr>
          <w:p>
            <w:pPr>
              <w:spacing w:after="0"/>
              <w:rPr>
                <w:sz w:val="20"/>
                <w:szCs w:val="20"/>
                <w:color w:val="auto"/>
              </w:rPr>
            </w:pPr>
          </w:p>
        </w:tc>
        <w:tc>
          <w:tcPr>
            <w:tcW w:w="400" w:type="dxa"/>
            <w:vAlign w:val="bottom"/>
            <w:tcBorders>
              <w:top w:val="single" w:sz="8" w:color="auto"/>
              <w:bottom w:val="single" w:sz="8" w:color="auto"/>
            </w:tcBorders>
            <w:shd w:val="clear" w:color="auto" w:fill="D1EDF5"/>
          </w:tcPr>
          <w:p>
            <w:pPr>
              <w:jc w:val="right"/>
              <w:ind w:right="2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D1EDF5"/>
          </w:tcPr>
          <w:p>
            <w:pPr>
              <w:ind w:left="2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c>
          <w:tcPr>
            <w:tcW w:w="20" w:type="dxa"/>
            <w:vAlign w:val="bottom"/>
            <w:tcBorders>
              <w:top w:val="single" w:sz="8" w:color="D1EDF5"/>
              <w:bottom w:val="single" w:sz="8" w:color="auto"/>
            </w:tcBorders>
            <w:shd w:val="clear" w:color="auto" w:fill="D1EDF5"/>
          </w:tcPr>
          <w:p>
            <w:pPr>
              <w:spacing w:after="0"/>
              <w:rPr>
                <w:sz w:val="20"/>
                <w:szCs w:val="20"/>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6,869</w:t>
            </w:r>
          </w:p>
        </w:tc>
        <w:tc>
          <w:tcPr>
            <w:tcW w:w="60" w:type="dxa"/>
            <w:vAlign w:val="bottom"/>
            <w:tcBorders>
              <w:top w:val="single" w:sz="8" w:color="auto"/>
              <w:bottom w:val="single" w:sz="8" w:color="auto"/>
            </w:tcBorders>
            <w:shd w:val="clear" w:color="auto" w:fill="D1EDF5"/>
          </w:tcPr>
          <w:p>
            <w:pPr>
              <w:spacing w:after="0"/>
              <w:rPr>
                <w:sz w:val="20"/>
                <w:szCs w:val="20"/>
                <w:color w:val="auto"/>
              </w:rPr>
            </w:pPr>
          </w:p>
        </w:tc>
      </w:tr>
      <w:tr>
        <w:trPr>
          <w:trHeight w:val="22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ind w:left="48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9,786</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560" w:type="dxa"/>
            <w:vAlign w:val="bottom"/>
            <w:gridSpan w:val="5"/>
          </w:tcPr>
          <w:p>
            <w:pPr>
              <w:ind w:left="22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9,786</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ind w:left="2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6,869</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gridSpan w:val="4"/>
          </w:tcPr>
          <w:p>
            <w:pPr>
              <w:ind w:left="2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6,869</w:t>
            </w:r>
          </w:p>
        </w:tc>
      </w:tr>
      <w:tr>
        <w:trPr>
          <w:trHeight w:val="20"/>
        </w:trPr>
        <w:tc>
          <w:tcPr>
            <w:tcW w:w="3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2733675</wp:posOffset>
                </wp:positionH>
                <wp:positionV relativeFrom="paragraph">
                  <wp:posOffset>-1943100</wp:posOffset>
                </wp:positionV>
                <wp:extent cx="18415" cy="127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56" o:spid="_x0000_s1181" style="position:absolute;margin-left:215.25pt;margin-top:-153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-1943100</wp:posOffset>
                </wp:positionV>
                <wp:extent cx="19685" cy="127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157" o:spid="_x0000_s1182" style="position:absolute;margin-left:306pt;margin-top:-153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4553585</wp:posOffset>
                </wp:positionH>
                <wp:positionV relativeFrom="paragraph">
                  <wp:posOffset>-1943100</wp:posOffset>
                </wp:positionV>
                <wp:extent cx="18415" cy="127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58" o:spid="_x0000_s1183" style="position:absolute;margin-left:358.55pt;margin-top:-153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5038090</wp:posOffset>
                </wp:positionH>
                <wp:positionV relativeFrom="paragraph">
                  <wp:posOffset>-1943100</wp:posOffset>
                </wp:positionV>
                <wp:extent cx="19685" cy="127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85" cy="12700"/>
                        </a:xfrm>
                        <a:prstGeom prst="rect">
                          <a:avLst/>
                        </a:prstGeom>
                        <a:solidFill>
                          <a:srgbClr val="D1EDF5"/>
                        </a:solidFill>
                      </wps:spPr>
                      <wps:bodyPr/>
                    </wps:wsp>
                  </a:graphicData>
                </a:graphic>
              </wp:anchor>
            </w:drawing>
          </mc:Choice>
          <mc:Fallback>
            <w:pict>
              <v:rect id="Shape 159" o:spid="_x0000_s1184" style="position:absolute;margin-left:396.7pt;margin-top:-153pt;width:1.5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5705475</wp:posOffset>
                </wp:positionH>
                <wp:positionV relativeFrom="paragraph">
                  <wp:posOffset>-1943100</wp:posOffset>
                </wp:positionV>
                <wp:extent cx="18415" cy="127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12700"/>
                        </a:xfrm>
                        <a:prstGeom prst="rect">
                          <a:avLst/>
                        </a:prstGeom>
                        <a:solidFill>
                          <a:srgbClr val="D1EDF5"/>
                        </a:solidFill>
                      </wps:spPr>
                      <wps:bodyPr/>
                    </wps:wsp>
                  </a:graphicData>
                </a:graphic>
              </wp:anchor>
            </w:drawing>
          </mc:Choice>
          <mc:Fallback>
            <w:pict>
              <v:rect id="Shape 160" o:spid="_x0000_s1185" style="position:absolute;margin-left:449.25pt;margin-top:-153pt;width:1.4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4" w:name="page115"/>
    <w:bookmarkEnd w:id="114"/>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Not Measured at Fair Value</w:t>
      </w:r>
    </w:p>
    <w:p>
      <w:pPr>
        <w:spacing w:after="0" w:line="235"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following table presents the carrying amounts and estimated fair values of financial instruments not carried at fair value, at December 31, 2025 and 2024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Fair Value Hierarchy</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9"/>
        </w:trPr>
        <w:tc>
          <w:tcPr>
            <w:tcW w:w="3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r>
      <w:tr>
        <w:trPr>
          <w:trHeight w:val="227"/>
        </w:trPr>
        <w:tc>
          <w:tcPr>
            <w:tcW w:w="39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D1EDF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D1EDF5"/>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30"/>
        </w:trPr>
        <w:tc>
          <w:tcPr>
            <w:tcW w:w="398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shd w:val="clear" w:color="auto" w:fill="D1EDF5"/>
          </w:tcPr>
          <w:p>
            <w:pPr>
              <w:spacing w:after="0"/>
              <w:rPr>
                <w:sz w:val="19"/>
                <w:szCs w:val="19"/>
                <w:color w:val="auto"/>
              </w:rPr>
            </w:pPr>
          </w:p>
        </w:tc>
        <w:tc>
          <w:tcPr>
            <w:tcW w:w="11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1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20" w:type="dxa"/>
            <w:vAlign w:val="bottom"/>
            <w:shd w:val="clear" w:color="auto" w:fill="D1EDF5"/>
          </w:tcPr>
          <w:p>
            <w:pPr>
              <w:spacing w:after="0"/>
              <w:rPr>
                <w:sz w:val="19"/>
                <w:szCs w:val="19"/>
                <w:color w:val="auto"/>
              </w:rPr>
            </w:pPr>
          </w:p>
        </w:tc>
        <w:tc>
          <w:tcPr>
            <w:tcW w:w="108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240" w:type="dxa"/>
            <w:vAlign w:val="bottom"/>
            <w:shd w:val="clear" w:color="auto" w:fill="D1EDF5"/>
          </w:tcPr>
          <w:p>
            <w:pPr>
              <w:spacing w:after="0"/>
              <w:rPr>
                <w:sz w:val="19"/>
                <w:szCs w:val="19"/>
                <w:color w:val="auto"/>
              </w:rPr>
            </w:pPr>
          </w:p>
        </w:tc>
        <w:tc>
          <w:tcPr>
            <w:tcW w:w="106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120" w:type="dxa"/>
            <w:vAlign w:val="bottom"/>
            <w:shd w:val="clear" w:color="auto" w:fill="D1EDF5"/>
          </w:tcPr>
          <w:p>
            <w:pPr>
              <w:spacing w:after="0"/>
              <w:rPr>
                <w:sz w:val="19"/>
                <w:szCs w:val="19"/>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18"/>
                <w:szCs w:val="18"/>
                <w:color w:val="auto"/>
              </w:rPr>
              <w:t>Financial 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Cash and due from banks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6,027</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6,027</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6,027</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32,450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32,450</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Investment securities held to maturity, net</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153,941</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142,508</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142,508</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Loans held for investment,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2,163,757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2,210,781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2,210,781</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Accrued interest receivable</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11,661</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10,218</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11,661</w:t>
            </w:r>
          </w:p>
        </w:tc>
      </w:tr>
      <w:tr>
        <w:trPr>
          <w:trHeight w:val="240"/>
        </w:trPr>
        <w:tc>
          <w:tcPr>
            <w:tcW w:w="3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Non-interest bearing demand deposits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583,860</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583,860</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583,860</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1,186,422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1,186,422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1,186,422</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Interest-bearing demand deposits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46,989</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46,989</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46,989</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527,809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527,575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527,575</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FHLB advances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158,250</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158,342</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158,342</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Subordinated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40,131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40,131</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Accrued interest payable</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3,984</w:t>
            </w:r>
          </w:p>
        </w:tc>
      </w:tr>
      <w:tr>
        <w:trPr>
          <w:trHeight w:val="240"/>
        </w:trPr>
        <w:tc>
          <w:tcPr>
            <w:tcW w:w="3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398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spacing w:after="0"/>
              <w:rPr>
                <w:sz w:val="20"/>
                <w:szCs w:val="20"/>
                <w:color w:val="auto"/>
              </w:rPr>
            </w:pPr>
          </w:p>
        </w:tc>
        <w:tc>
          <w:tcPr>
            <w:tcW w:w="10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40" w:type="dxa"/>
            <w:vAlign w:val="bottom"/>
            <w:shd w:val="clear" w:color="auto" w:fill="D1EDF5"/>
          </w:tcPr>
          <w:p>
            <w:pPr>
              <w:spacing w:after="0"/>
              <w:rPr>
                <w:sz w:val="20"/>
                <w:szCs w:val="20"/>
                <w:color w:val="auto"/>
              </w:rPr>
            </w:pPr>
          </w:p>
        </w:tc>
        <w:tc>
          <w:tcPr>
            <w:tcW w:w="106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120" w:type="dxa"/>
            <w:vAlign w:val="bottom"/>
            <w:shd w:val="clear" w:color="auto" w:fill="D1EDF5"/>
          </w:tcPr>
          <w:p>
            <w:pPr>
              <w:spacing w:after="0"/>
              <w:rPr>
                <w:sz w:val="20"/>
                <w:szCs w:val="20"/>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18"/>
                <w:szCs w:val="18"/>
                <w:color w:val="auto"/>
              </w:rPr>
              <w:t>Financial 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Cash and due from banks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6,986</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70,049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70,049</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Investment securities held to maturity, net</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164,694</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145,540</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145,540</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Loans held for investment,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1,948,778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1,950,646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1,950,646</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Accrued interest receivable</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10,945</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9,573</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10,945</w:t>
            </w:r>
          </w:p>
        </w:tc>
      </w:tr>
      <w:tr>
        <w:trPr>
          <w:trHeight w:val="240"/>
        </w:trPr>
        <w:tc>
          <w:tcPr>
            <w:tcW w:w="3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Demand Deposits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575,159</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Money market and savings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1,180,809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1,180,809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1,180,809</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Interest-bearing checking accounts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50,648</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50,648</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50,648</w:t>
            </w:r>
          </w:p>
        </w:tc>
      </w:tr>
      <w:tr>
        <w:trPr>
          <w:trHeight w:val="240"/>
        </w:trPr>
        <w:tc>
          <w:tcPr>
            <w:tcW w:w="39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367,388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366,479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366,479</w:t>
            </w:r>
          </w:p>
        </w:tc>
      </w:tr>
      <w:tr>
        <w:trPr>
          <w:trHeight w:val="220"/>
        </w:trPr>
        <w:tc>
          <w:tcPr>
            <w:tcW w:w="3980" w:type="dxa"/>
            <w:vAlign w:val="bottom"/>
            <w:tcBorders>
              <w:bottom w:val="single" w:sz="8" w:color="D1EDF5"/>
            </w:tcBorders>
            <w:shd w:val="clear" w:color="auto" w:fill="D1EDF5"/>
          </w:tcPr>
          <w:p>
            <w:pPr>
              <w:ind w:left="140"/>
              <w:spacing w:after="0"/>
              <w:rPr>
                <w:sz w:val="20"/>
                <w:szCs w:val="20"/>
                <w:color w:val="auto"/>
              </w:rPr>
            </w:pPr>
            <w:r>
              <w:rPr>
                <w:rFonts w:ascii="Arial" w:cs="Arial" w:eastAsia="Arial" w:hAnsi="Arial"/>
                <w:sz w:val="18"/>
                <w:szCs w:val="18"/>
                <w:color w:val="auto"/>
              </w:rPr>
              <w:t>FHLB advances</w:t>
            </w: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163,000</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220" w:type="dxa"/>
            <w:vAlign w:val="bottom"/>
            <w:tcBorders>
              <w:bottom w:val="single" w:sz="8" w:color="D1EDF5"/>
            </w:tcBorders>
            <w:shd w:val="clear" w:color="auto" w:fill="D1EDF5"/>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161,375</w:t>
            </w:r>
          </w:p>
        </w:tc>
        <w:tc>
          <w:tcPr>
            <w:tcW w:w="80" w:type="dxa"/>
            <w:vAlign w:val="bottom"/>
            <w:tcBorders>
              <w:bottom w:val="single" w:sz="8" w:color="D1EDF5"/>
            </w:tcBorders>
            <w:shd w:val="clear" w:color="auto" w:fill="D1EDF5"/>
          </w:tcPr>
          <w:p>
            <w:pPr>
              <w:spacing w:after="0"/>
              <w:rPr>
                <w:sz w:val="19"/>
                <w:szCs w:val="19"/>
                <w:color w:val="auto"/>
              </w:rPr>
            </w:pPr>
          </w:p>
        </w:tc>
        <w:tc>
          <w:tcPr>
            <w:tcW w:w="240" w:type="dxa"/>
            <w:vAlign w:val="bottom"/>
            <w:tcBorders>
              <w:bottom w:val="single" w:sz="8" w:color="D1EDF5"/>
            </w:tcBorders>
            <w:shd w:val="clear" w:color="auto" w:fill="D1EDF5"/>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1EDF5"/>
            </w:tcBorders>
            <w:shd w:val="clear" w:color="auto" w:fill="D1EDF5"/>
          </w:tcPr>
          <w:p>
            <w:pPr>
              <w:spacing w:after="0"/>
              <w:rPr>
                <w:sz w:val="19"/>
                <w:szCs w:val="19"/>
                <w:color w:val="auto"/>
              </w:rPr>
            </w:pPr>
          </w:p>
        </w:tc>
        <w:tc>
          <w:tcPr>
            <w:tcW w:w="18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w w:val="79"/>
                <w:shd w:val="clear" w:color="auto" w:fill="D1EDF5"/>
              </w:rPr>
              <w:t>$</w:t>
            </w:r>
          </w:p>
        </w:tc>
        <w:tc>
          <w:tcPr>
            <w:tcW w:w="1120" w:type="dxa"/>
            <w:vAlign w:val="bottom"/>
            <w:tcBorders>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161,375</w:t>
            </w:r>
          </w:p>
        </w:tc>
      </w:tr>
      <w:tr>
        <w:trPr>
          <w:trHeight w:val="260"/>
        </w:trPr>
        <w:tc>
          <w:tcPr>
            <w:tcW w:w="3980" w:type="dxa"/>
            <w:vAlign w:val="bottom"/>
          </w:tcPr>
          <w:p>
            <w:pPr>
              <w:ind w:left="14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2,125</w:t>
            </w:r>
          </w:p>
        </w:tc>
      </w:tr>
    </w:tbl>
    <w:p>
      <w:pPr>
        <w:spacing w:after="0" w:line="18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b w:val="1"/>
          <w:bCs w:val="1"/>
          <w:color w:val="auto"/>
        </w:rPr>
        <w:t xml:space="preserve">Collateral Dependent Loans Measured for Expected Credit Losses: </w:t>
      </w:r>
      <w:r>
        <w:rPr>
          <w:rFonts w:ascii="Arial" w:cs="Arial" w:eastAsia="Arial" w:hAnsi="Arial"/>
          <w:sz w:val="20"/>
          <w:szCs w:val="20"/>
          <w:color w:val="auto"/>
        </w:rPr>
        <w:t>Fair values of collateral-dependent yacht loans</w:t>
      </w:r>
      <w:r>
        <w:rPr>
          <w:rFonts w:ascii="Arial" w:cs="Arial" w:eastAsia="Arial" w:hAnsi="Arial"/>
          <w:sz w:val="20"/>
          <w:szCs w:val="20"/>
          <w:b w:val="1"/>
          <w:bCs w:val="1"/>
          <w:color w:val="auto"/>
        </w:rPr>
        <w:t xml:space="preserve"> </w:t>
      </w:r>
      <w:r>
        <w:rPr>
          <w:rFonts w:ascii="Arial" w:cs="Arial" w:eastAsia="Arial" w:hAnsi="Arial"/>
          <w:sz w:val="20"/>
          <w:szCs w:val="20"/>
          <w:color w:val="auto"/>
        </w:rPr>
        <w:t>and real estate loans are based on recent boat and real estate appraisals less estimated costs of sale, repossession, and/or holding costs. Appraisals are made by a third party, and its evaluation may use either a comparative sales, cost and/or income approach or a combination of methodologies.</w:t>
      </w:r>
    </w:p>
    <w:p>
      <w:pPr>
        <w:spacing w:after="0" w:line="177" w:lineRule="exact"/>
        <w:rPr>
          <w:sz w:val="20"/>
          <w:szCs w:val="20"/>
          <w:color w:val="auto"/>
        </w:rPr>
      </w:pPr>
    </w:p>
    <w:p>
      <w:pPr>
        <w:jc w:val="both"/>
        <w:ind w:firstLine="360"/>
        <w:spacing w:after="0" w:line="310" w:lineRule="auto"/>
        <w:rPr>
          <w:sz w:val="20"/>
          <w:szCs w:val="20"/>
          <w:color w:val="auto"/>
        </w:rPr>
      </w:pPr>
      <w:r>
        <w:rPr>
          <w:rFonts w:ascii="Arial" w:cs="Arial" w:eastAsia="Arial" w:hAnsi="Arial"/>
          <w:sz w:val="19"/>
          <w:szCs w:val="19"/>
          <w:color w:val="auto"/>
        </w:rPr>
        <w:t>The fair value of collateral dependent loans considered Level 3 in the fair value hierarchy was $2.6 million with no specific reserved as of December 31, 2025 and $2.0 million with a specific reserve of $651 thousand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5" w:name="page116"/>
    <w:bookmarkEnd w:id="115"/>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The following table presents quantitative information about level 3 fair value measurements for assets measured at fair value on a non-recurring basis at December 31, 2025 and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685800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540pt,1.15pt" o:allowincell="f" strokecolor="#000000" strokeweight="0.4809pt"/>
            </w:pict>
          </mc:Fallback>
        </mc:AlternateConten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660"/>
              <w:spacing w:after="0"/>
              <w:rPr>
                <w:sz w:val="20"/>
                <w:szCs w:val="20"/>
                <w:color w:val="auto"/>
              </w:rPr>
            </w:pPr>
            <w:r>
              <w:rPr>
                <w:rFonts w:ascii="Arial" w:cs="Arial" w:eastAsia="Arial" w:hAnsi="Arial"/>
                <w:sz w:val="16"/>
                <w:szCs w:val="16"/>
                <w:b w:val="1"/>
                <w:bCs w:val="1"/>
                <w:color w:val="auto"/>
              </w:rPr>
              <w:t>Range</w:t>
            </w:r>
          </w:p>
        </w:tc>
        <w:tc>
          <w:tcPr>
            <w:tcW w:w="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245"/>
        </w:trPr>
        <w:tc>
          <w:tcPr>
            <w:tcW w:w="20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Financial Instrument</w:t>
            </w:r>
          </w:p>
        </w:tc>
        <w:tc>
          <w:tcPr>
            <w:tcW w:w="140" w:type="dxa"/>
            <w:vAlign w:val="bottom"/>
            <w:tcBorders>
              <w:bottom w:val="single" w:sz="8" w:color="D1EDF5"/>
            </w:tcBorders>
          </w:tcPr>
          <w:p>
            <w:pPr>
              <w:spacing w:after="0"/>
              <w:rPr>
                <w:sz w:val="21"/>
                <w:szCs w:val="21"/>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D1EDF5"/>
            </w:tcBorders>
          </w:tcPr>
          <w:p>
            <w:pPr>
              <w:spacing w:after="0"/>
              <w:rPr>
                <w:sz w:val="21"/>
                <w:szCs w:val="21"/>
                <w:color w:val="auto"/>
              </w:rPr>
            </w:pPr>
          </w:p>
        </w:tc>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Valuation Technique(s)</w:t>
            </w:r>
          </w:p>
        </w:tc>
        <w:tc>
          <w:tcPr>
            <w:tcW w:w="60" w:type="dxa"/>
            <w:vAlign w:val="bottom"/>
            <w:tcBorders>
              <w:bottom w:val="single" w:sz="8" w:color="D1EDF5"/>
            </w:tcBorders>
          </w:tcPr>
          <w:p>
            <w:pPr>
              <w:spacing w:after="0"/>
              <w:rPr>
                <w:sz w:val="21"/>
                <w:szCs w:val="21"/>
                <w:color w:val="auto"/>
              </w:rPr>
            </w:pPr>
          </w:p>
        </w:tc>
        <w:tc>
          <w:tcPr>
            <w:tcW w:w="22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Unobservable Input(s)</w:t>
            </w:r>
          </w:p>
        </w:tc>
        <w:tc>
          <w:tcPr>
            <w:tcW w:w="80" w:type="dxa"/>
            <w:vAlign w:val="bottom"/>
            <w:tcBorders>
              <w:bottom w:val="single" w:sz="8" w:color="D1EDF5"/>
            </w:tcBorders>
          </w:tcPr>
          <w:p>
            <w:pPr>
              <w:spacing w:after="0"/>
              <w:rPr>
                <w:sz w:val="21"/>
                <w:szCs w:val="21"/>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Minimum</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Maximum</w:t>
            </w: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average</w:t>
            </w:r>
          </w:p>
        </w:tc>
        <w:tc>
          <w:tcPr>
            <w:tcW w:w="0" w:type="dxa"/>
            <w:vAlign w:val="bottom"/>
          </w:tcPr>
          <w:p>
            <w:pPr>
              <w:spacing w:after="0"/>
              <w:rPr>
                <w:sz w:val="1"/>
                <w:szCs w:val="1"/>
                <w:color w:val="auto"/>
              </w:rPr>
            </w:pPr>
          </w:p>
        </w:tc>
      </w:tr>
      <w:tr>
        <w:trPr>
          <w:trHeight w:val="201"/>
        </w:trPr>
        <w:tc>
          <w:tcPr>
            <w:tcW w:w="2060" w:type="dxa"/>
            <w:vAlign w:val="bottom"/>
            <w:shd w:val="clear" w:color="auto" w:fill="D1EDF5"/>
          </w:tcPr>
          <w:p>
            <w:pPr>
              <w:spacing w:after="0"/>
              <w:rPr>
                <w:sz w:val="20"/>
                <w:szCs w:val="20"/>
                <w:color w:val="auto"/>
              </w:rPr>
            </w:pPr>
            <w:r>
              <w:rPr>
                <w:rFonts w:ascii="Arial" w:cs="Arial" w:eastAsia="Arial" w:hAnsi="Arial"/>
                <w:sz w:val="16"/>
                <w:szCs w:val="16"/>
                <w:color w:val="auto"/>
              </w:rPr>
              <w:t>Collateral dependent loans -</w:t>
            </w:r>
          </w:p>
        </w:tc>
        <w:tc>
          <w:tcPr>
            <w:tcW w:w="140" w:type="dxa"/>
            <w:vAlign w:val="bottom"/>
            <w:shd w:val="clear" w:color="auto" w:fill="D1EDF5"/>
          </w:tcPr>
          <w:p>
            <w:pPr>
              <w:spacing w:after="0"/>
              <w:rPr>
                <w:sz w:val="17"/>
                <w:szCs w:val="17"/>
                <w:color w:val="auto"/>
              </w:rPr>
            </w:pPr>
          </w:p>
        </w:tc>
        <w:tc>
          <w:tcPr>
            <w:tcW w:w="460" w:type="dxa"/>
            <w:vAlign w:val="bottom"/>
            <w:vMerge w:val="restart"/>
            <w:shd w:val="clear" w:color="auto" w:fill="D1EDF5"/>
          </w:tcPr>
          <w:p>
            <w:pPr>
              <w:ind w:left="18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D1EDF5"/>
          </w:tcPr>
          <w:p>
            <w:pPr>
              <w:jc w:val="right"/>
              <w:spacing w:after="0"/>
              <w:rPr>
                <w:sz w:val="20"/>
                <w:szCs w:val="20"/>
                <w:color w:val="auto"/>
              </w:rPr>
            </w:pPr>
            <w:r>
              <w:rPr>
                <w:rFonts w:ascii="Arial" w:cs="Arial" w:eastAsia="Arial" w:hAnsi="Arial"/>
                <w:sz w:val="16"/>
                <w:szCs w:val="16"/>
                <w:color w:val="auto"/>
              </w:rPr>
              <w:t>2,583</w:t>
            </w:r>
          </w:p>
        </w:tc>
        <w:tc>
          <w:tcPr>
            <w:tcW w:w="6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2240" w:type="dxa"/>
            <w:vAlign w:val="bottom"/>
            <w:vMerge w:val="restart"/>
            <w:shd w:val="clear" w:color="auto" w:fill="D1EDF5"/>
          </w:tcPr>
          <w:p>
            <w:pPr>
              <w:spacing w:after="0"/>
              <w:rPr>
                <w:sz w:val="20"/>
                <w:szCs w:val="20"/>
                <w:color w:val="auto"/>
              </w:rPr>
            </w:pPr>
            <w:r>
              <w:rPr>
                <w:rFonts w:ascii="Arial" w:cs="Arial" w:eastAsia="Arial" w:hAnsi="Arial"/>
                <w:sz w:val="16"/>
                <w:szCs w:val="16"/>
                <w:color w:val="auto"/>
              </w:rPr>
              <w:t>Sales comparison approach</w:t>
            </w:r>
          </w:p>
        </w:tc>
        <w:tc>
          <w:tcPr>
            <w:tcW w:w="60" w:type="dxa"/>
            <w:vAlign w:val="bottom"/>
            <w:shd w:val="clear" w:color="auto" w:fill="D1EDF5"/>
          </w:tcPr>
          <w:p>
            <w:pPr>
              <w:spacing w:after="0"/>
              <w:rPr>
                <w:sz w:val="17"/>
                <w:szCs w:val="17"/>
                <w:color w:val="auto"/>
              </w:rPr>
            </w:pPr>
          </w:p>
        </w:tc>
        <w:tc>
          <w:tcPr>
            <w:tcW w:w="2240" w:type="dxa"/>
            <w:vAlign w:val="bottom"/>
            <w:vMerge w:val="restart"/>
            <w:shd w:val="clear" w:color="auto" w:fill="D1EDF5"/>
          </w:tcPr>
          <w:p>
            <w:pPr>
              <w:ind w:left="60"/>
              <w:spacing w:after="0"/>
              <w:rPr>
                <w:sz w:val="20"/>
                <w:szCs w:val="20"/>
                <w:color w:val="auto"/>
              </w:rPr>
            </w:pPr>
            <w:r>
              <w:rPr>
                <w:rFonts w:ascii="Arial" w:cs="Arial" w:eastAsia="Arial" w:hAnsi="Arial"/>
                <w:sz w:val="16"/>
                <w:szCs w:val="16"/>
                <w:color w:val="auto"/>
              </w:rPr>
              <w:t>Third party appraisals</w:t>
            </w:r>
          </w:p>
        </w:tc>
        <w:tc>
          <w:tcPr>
            <w:tcW w:w="960" w:type="dxa"/>
            <w:vAlign w:val="bottom"/>
            <w:gridSpan w:val="2"/>
            <w:vMerge w:val="restart"/>
            <w:shd w:val="clear" w:color="auto" w:fill="D1EDF5"/>
          </w:tcPr>
          <w:p>
            <w:pPr>
              <w:jc w:val="right"/>
              <w:ind w:right="240"/>
              <w:spacing w:after="0"/>
              <w:rPr>
                <w:sz w:val="20"/>
                <w:szCs w:val="20"/>
                <w:color w:val="auto"/>
              </w:rPr>
            </w:pPr>
            <w:r>
              <w:rPr>
                <w:rFonts w:ascii="Arial" w:cs="Arial" w:eastAsia="Arial" w:hAnsi="Arial"/>
                <w:sz w:val="16"/>
                <w:szCs w:val="16"/>
                <w:color w:val="auto"/>
              </w:rPr>
              <w:t>0%</w:t>
            </w:r>
          </w:p>
        </w:tc>
        <w:tc>
          <w:tcPr>
            <w:tcW w:w="940" w:type="dxa"/>
            <w:vAlign w:val="bottom"/>
            <w:vMerge w:val="restart"/>
            <w:shd w:val="clear" w:color="auto" w:fill="D1EDF5"/>
          </w:tcPr>
          <w:p>
            <w:pPr>
              <w:jc w:val="right"/>
              <w:ind w:right="280"/>
              <w:spacing w:after="0"/>
              <w:rPr>
                <w:sz w:val="20"/>
                <w:szCs w:val="20"/>
                <w:color w:val="auto"/>
              </w:rPr>
            </w:pPr>
            <w:r>
              <w:rPr>
                <w:rFonts w:ascii="Arial" w:cs="Arial" w:eastAsia="Arial" w:hAnsi="Arial"/>
                <w:sz w:val="16"/>
                <w:szCs w:val="16"/>
                <w:color w:val="auto"/>
              </w:rPr>
              <w:t>0%</w:t>
            </w:r>
          </w:p>
        </w:tc>
        <w:tc>
          <w:tcPr>
            <w:tcW w:w="60" w:type="dxa"/>
            <w:vAlign w:val="bottom"/>
            <w:shd w:val="clear" w:color="auto" w:fill="D1EDF5"/>
          </w:tcPr>
          <w:p>
            <w:pPr>
              <w:spacing w:after="0"/>
              <w:rPr>
                <w:sz w:val="17"/>
                <w:szCs w:val="17"/>
                <w:color w:val="auto"/>
              </w:rPr>
            </w:pPr>
          </w:p>
        </w:tc>
        <w:tc>
          <w:tcPr>
            <w:tcW w:w="900" w:type="dxa"/>
            <w:vAlign w:val="bottom"/>
            <w:vMerge w:val="restart"/>
            <w:shd w:val="clear" w:color="auto" w:fill="D1EDF5"/>
          </w:tcPr>
          <w:p>
            <w:pPr>
              <w:jc w:val="right"/>
              <w:ind w:right="2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6"/>
        </w:trPr>
        <w:tc>
          <w:tcPr>
            <w:tcW w:w="2060" w:type="dxa"/>
            <w:vAlign w:val="bottom"/>
            <w:vMerge w:val="restart"/>
            <w:shd w:val="clear" w:color="auto" w:fill="D1EDF5"/>
          </w:tcPr>
          <w:p>
            <w:pPr>
              <w:spacing w:after="0"/>
              <w:rPr>
                <w:sz w:val="20"/>
                <w:szCs w:val="20"/>
                <w:color w:val="auto"/>
              </w:rPr>
            </w:pPr>
            <w:r>
              <w:rPr>
                <w:rFonts w:ascii="Arial" w:cs="Arial" w:eastAsia="Arial" w:hAnsi="Arial"/>
                <w:sz w:val="16"/>
                <w:szCs w:val="16"/>
                <w:color w:val="auto"/>
              </w:rPr>
              <w:t>residential loans</w:t>
            </w:r>
          </w:p>
        </w:tc>
        <w:tc>
          <w:tcPr>
            <w:tcW w:w="140" w:type="dxa"/>
            <w:vAlign w:val="bottom"/>
            <w:shd w:val="clear" w:color="auto" w:fill="D1EDF5"/>
          </w:tcPr>
          <w:p>
            <w:pPr>
              <w:spacing w:after="0"/>
              <w:rPr>
                <w:sz w:val="9"/>
                <w:szCs w:val="9"/>
                <w:color w:val="auto"/>
              </w:rPr>
            </w:pPr>
          </w:p>
        </w:tc>
        <w:tc>
          <w:tcPr>
            <w:tcW w:w="460" w:type="dxa"/>
            <w:vAlign w:val="bottom"/>
            <w:vMerge w:val="continue"/>
            <w:shd w:val="clear" w:color="auto" w:fill="D1EDF5"/>
          </w:tcPr>
          <w:p>
            <w:pPr>
              <w:spacing w:after="0"/>
              <w:rPr>
                <w:sz w:val="9"/>
                <w:szCs w:val="9"/>
                <w:color w:val="auto"/>
              </w:rPr>
            </w:pPr>
          </w:p>
        </w:tc>
        <w:tc>
          <w:tcPr>
            <w:tcW w:w="600" w:type="dxa"/>
            <w:vAlign w:val="bottom"/>
            <w:vMerge w:val="continue"/>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80" w:type="dxa"/>
            <w:vAlign w:val="bottom"/>
            <w:shd w:val="clear" w:color="auto" w:fill="D1EDF5"/>
          </w:tcPr>
          <w:p>
            <w:pPr>
              <w:spacing w:after="0"/>
              <w:rPr>
                <w:sz w:val="9"/>
                <w:szCs w:val="9"/>
                <w:color w:val="auto"/>
              </w:rPr>
            </w:pPr>
          </w:p>
        </w:tc>
        <w:tc>
          <w:tcPr>
            <w:tcW w:w="2240" w:type="dxa"/>
            <w:vAlign w:val="bottom"/>
            <w:vMerge w:val="continue"/>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2240" w:type="dxa"/>
            <w:vAlign w:val="bottom"/>
            <w:vMerge w:val="continue"/>
            <w:shd w:val="clear" w:color="auto" w:fill="D1EDF5"/>
          </w:tcPr>
          <w:p>
            <w:pPr>
              <w:spacing w:after="0"/>
              <w:rPr>
                <w:sz w:val="9"/>
                <w:szCs w:val="9"/>
                <w:color w:val="auto"/>
              </w:rPr>
            </w:pPr>
          </w:p>
        </w:tc>
        <w:tc>
          <w:tcPr>
            <w:tcW w:w="960" w:type="dxa"/>
            <w:vAlign w:val="bottom"/>
            <w:gridSpan w:val="2"/>
            <w:vMerge w:val="continue"/>
            <w:shd w:val="clear" w:color="auto" w:fill="D1EDF5"/>
          </w:tcPr>
          <w:p>
            <w:pPr>
              <w:spacing w:after="0"/>
              <w:rPr>
                <w:sz w:val="9"/>
                <w:szCs w:val="9"/>
                <w:color w:val="auto"/>
              </w:rPr>
            </w:pPr>
          </w:p>
        </w:tc>
        <w:tc>
          <w:tcPr>
            <w:tcW w:w="940" w:type="dxa"/>
            <w:vAlign w:val="bottom"/>
            <w:vMerge w:val="continue"/>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900" w:type="dxa"/>
            <w:vAlign w:val="bottom"/>
            <w:vMerge w:val="continue"/>
            <w:shd w:val="clear" w:color="auto" w:fill="D1EDF5"/>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60" w:type="dxa"/>
            <w:vAlign w:val="bottom"/>
            <w:tcBorders>
              <w:bottom w:val="single" w:sz="8" w:color="D1EDF5"/>
            </w:tcBorders>
            <w:vMerge w:val="continue"/>
            <w:shd w:val="clear" w:color="auto" w:fill="D1EDF5"/>
          </w:tcPr>
          <w:p>
            <w:pPr>
              <w:spacing w:after="0"/>
              <w:rPr>
                <w:sz w:val="9"/>
                <w:szCs w:val="9"/>
                <w:color w:val="auto"/>
              </w:rPr>
            </w:pPr>
          </w:p>
        </w:tc>
        <w:tc>
          <w:tcPr>
            <w:tcW w:w="140" w:type="dxa"/>
            <w:vAlign w:val="bottom"/>
            <w:tcBorders>
              <w:bottom w:val="single" w:sz="8" w:color="D1EDF5"/>
            </w:tcBorders>
            <w:shd w:val="clear" w:color="auto" w:fill="D1EDF5"/>
          </w:tcPr>
          <w:p>
            <w:pPr>
              <w:spacing w:after="0"/>
              <w:rPr>
                <w:sz w:val="9"/>
                <w:szCs w:val="9"/>
                <w:color w:val="auto"/>
              </w:rPr>
            </w:pPr>
          </w:p>
        </w:tc>
        <w:tc>
          <w:tcPr>
            <w:tcW w:w="460" w:type="dxa"/>
            <w:vAlign w:val="bottom"/>
            <w:tcBorders>
              <w:bottom w:val="single" w:sz="8" w:color="D1EDF5"/>
            </w:tcBorders>
            <w:shd w:val="clear" w:color="auto" w:fill="D1EDF5"/>
          </w:tcPr>
          <w:p>
            <w:pPr>
              <w:spacing w:after="0"/>
              <w:rPr>
                <w:sz w:val="9"/>
                <w:szCs w:val="9"/>
                <w:color w:val="auto"/>
              </w:rPr>
            </w:pPr>
          </w:p>
        </w:tc>
        <w:tc>
          <w:tcPr>
            <w:tcW w:w="600" w:type="dxa"/>
            <w:vAlign w:val="bottom"/>
            <w:tcBorders>
              <w:bottom w:val="single" w:sz="8" w:color="D1EDF5"/>
            </w:tcBorders>
            <w:shd w:val="clear" w:color="auto" w:fill="D1EDF5"/>
          </w:tcPr>
          <w:p>
            <w:pPr>
              <w:spacing w:after="0"/>
              <w:rPr>
                <w:sz w:val="9"/>
                <w:szCs w:val="9"/>
                <w:color w:val="auto"/>
              </w:rPr>
            </w:pPr>
          </w:p>
        </w:tc>
        <w:tc>
          <w:tcPr>
            <w:tcW w:w="60" w:type="dxa"/>
            <w:vAlign w:val="bottom"/>
            <w:tcBorders>
              <w:bottom w:val="single" w:sz="8" w:color="D1EDF5"/>
            </w:tcBorders>
            <w:shd w:val="clear" w:color="auto" w:fill="D1EDF5"/>
          </w:tcPr>
          <w:p>
            <w:pPr>
              <w:spacing w:after="0"/>
              <w:rPr>
                <w:sz w:val="9"/>
                <w:szCs w:val="9"/>
                <w:color w:val="auto"/>
              </w:rPr>
            </w:pPr>
          </w:p>
        </w:tc>
        <w:tc>
          <w:tcPr>
            <w:tcW w:w="80" w:type="dxa"/>
            <w:vAlign w:val="bottom"/>
            <w:tcBorders>
              <w:bottom w:val="single" w:sz="8" w:color="D1EDF5"/>
            </w:tcBorders>
            <w:shd w:val="clear" w:color="auto" w:fill="D1EDF5"/>
          </w:tcPr>
          <w:p>
            <w:pPr>
              <w:spacing w:after="0"/>
              <w:rPr>
                <w:sz w:val="9"/>
                <w:szCs w:val="9"/>
                <w:color w:val="auto"/>
              </w:rPr>
            </w:pPr>
          </w:p>
        </w:tc>
        <w:tc>
          <w:tcPr>
            <w:tcW w:w="2240" w:type="dxa"/>
            <w:vAlign w:val="bottom"/>
            <w:tcBorders>
              <w:bottom w:val="single" w:sz="8" w:color="D1EDF5"/>
            </w:tcBorders>
            <w:shd w:val="clear" w:color="auto" w:fill="D1EDF5"/>
          </w:tcPr>
          <w:p>
            <w:pPr>
              <w:spacing w:after="0"/>
              <w:rPr>
                <w:sz w:val="9"/>
                <w:szCs w:val="9"/>
                <w:color w:val="auto"/>
              </w:rPr>
            </w:pPr>
          </w:p>
        </w:tc>
        <w:tc>
          <w:tcPr>
            <w:tcW w:w="60" w:type="dxa"/>
            <w:vAlign w:val="bottom"/>
            <w:tcBorders>
              <w:bottom w:val="single" w:sz="8" w:color="D1EDF5"/>
            </w:tcBorders>
            <w:shd w:val="clear" w:color="auto" w:fill="D1EDF5"/>
          </w:tcPr>
          <w:p>
            <w:pPr>
              <w:spacing w:after="0"/>
              <w:rPr>
                <w:sz w:val="9"/>
                <w:szCs w:val="9"/>
                <w:color w:val="auto"/>
              </w:rPr>
            </w:pPr>
          </w:p>
        </w:tc>
        <w:tc>
          <w:tcPr>
            <w:tcW w:w="2240" w:type="dxa"/>
            <w:vAlign w:val="bottom"/>
            <w:tcBorders>
              <w:bottom w:val="single" w:sz="8" w:color="D1EDF5"/>
            </w:tcBorders>
            <w:shd w:val="clear" w:color="auto" w:fill="D1EDF5"/>
          </w:tcPr>
          <w:p>
            <w:pPr>
              <w:spacing w:after="0"/>
              <w:rPr>
                <w:sz w:val="9"/>
                <w:szCs w:val="9"/>
                <w:color w:val="auto"/>
              </w:rPr>
            </w:pPr>
          </w:p>
        </w:tc>
        <w:tc>
          <w:tcPr>
            <w:tcW w:w="80" w:type="dxa"/>
            <w:vAlign w:val="bottom"/>
            <w:tcBorders>
              <w:bottom w:val="single" w:sz="8" w:color="D1EDF5"/>
            </w:tcBorders>
            <w:shd w:val="clear" w:color="auto" w:fill="D1EDF5"/>
          </w:tcPr>
          <w:p>
            <w:pPr>
              <w:spacing w:after="0"/>
              <w:rPr>
                <w:sz w:val="9"/>
                <w:szCs w:val="9"/>
                <w:color w:val="auto"/>
              </w:rPr>
            </w:pPr>
          </w:p>
        </w:tc>
        <w:tc>
          <w:tcPr>
            <w:tcW w:w="880" w:type="dxa"/>
            <w:vAlign w:val="bottom"/>
            <w:tcBorders>
              <w:bottom w:val="single" w:sz="8" w:color="D1EDF5"/>
            </w:tcBorders>
            <w:shd w:val="clear" w:color="auto" w:fill="D1EDF5"/>
          </w:tcPr>
          <w:p>
            <w:pPr>
              <w:spacing w:after="0"/>
              <w:rPr>
                <w:sz w:val="9"/>
                <w:szCs w:val="9"/>
                <w:color w:val="auto"/>
              </w:rPr>
            </w:pPr>
          </w:p>
        </w:tc>
        <w:tc>
          <w:tcPr>
            <w:tcW w:w="940" w:type="dxa"/>
            <w:vAlign w:val="bottom"/>
            <w:tcBorders>
              <w:bottom w:val="single" w:sz="8" w:color="D1EDF5"/>
            </w:tcBorders>
            <w:shd w:val="clear" w:color="auto" w:fill="D1EDF5"/>
          </w:tcPr>
          <w:p>
            <w:pPr>
              <w:spacing w:after="0"/>
              <w:rPr>
                <w:sz w:val="9"/>
                <w:szCs w:val="9"/>
                <w:color w:val="auto"/>
              </w:rPr>
            </w:pPr>
          </w:p>
        </w:tc>
        <w:tc>
          <w:tcPr>
            <w:tcW w:w="60" w:type="dxa"/>
            <w:vAlign w:val="bottom"/>
            <w:tcBorders>
              <w:bottom w:val="single" w:sz="8" w:color="D1EDF5"/>
            </w:tcBorders>
            <w:shd w:val="clear" w:color="auto" w:fill="D1EDF5"/>
          </w:tcPr>
          <w:p>
            <w:pPr>
              <w:spacing w:after="0"/>
              <w:rPr>
                <w:sz w:val="9"/>
                <w:szCs w:val="9"/>
                <w:color w:val="auto"/>
              </w:rPr>
            </w:pPr>
          </w:p>
        </w:tc>
        <w:tc>
          <w:tcPr>
            <w:tcW w:w="900" w:type="dxa"/>
            <w:vAlign w:val="bottom"/>
            <w:tcBorders>
              <w:bottom w:val="single" w:sz="8" w:color="D1EDF5"/>
            </w:tcBorders>
            <w:shd w:val="clear" w:color="auto" w:fill="D1EDF5"/>
          </w:tcPr>
          <w:p>
            <w:pPr>
              <w:spacing w:after="0"/>
              <w:rPr>
                <w:sz w:val="9"/>
                <w:szCs w:val="9"/>
                <w:color w:val="auto"/>
              </w:rPr>
            </w:pPr>
          </w:p>
        </w:tc>
        <w:tc>
          <w:tcPr>
            <w:tcW w:w="0" w:type="dxa"/>
            <w:vAlign w:val="bottom"/>
          </w:tcPr>
          <w:p>
            <w:pPr>
              <w:spacing w:after="0"/>
              <w:rPr>
                <w:sz w:val="1"/>
                <w:szCs w:val="1"/>
                <w:color w:val="auto"/>
              </w:rPr>
            </w:pPr>
          </w:p>
        </w:tc>
      </w:tr>
      <w:tr>
        <w:trPr>
          <w:trHeight w:val="449"/>
        </w:trPr>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ind w:left="128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2"/>
          </w:tcPr>
          <w:p>
            <w:pPr>
              <w:ind w:left="660"/>
              <w:spacing w:after="0"/>
              <w:rPr>
                <w:sz w:val="20"/>
                <w:szCs w:val="20"/>
                <w:color w:val="auto"/>
              </w:rPr>
            </w:pPr>
            <w:r>
              <w:rPr>
                <w:rFonts w:ascii="Arial" w:cs="Arial" w:eastAsia="Arial" w:hAnsi="Arial"/>
                <w:sz w:val="16"/>
                <w:szCs w:val="16"/>
                <w:b w:val="1"/>
                <w:bCs w:val="1"/>
                <w:color w:val="auto"/>
              </w:rPr>
              <w:t>Range</w:t>
            </w: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203"/>
        </w:trPr>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Financial Instrument</w:t>
            </w:r>
          </w:p>
        </w:tc>
        <w:tc>
          <w:tcPr>
            <w:tcW w:w="1120" w:type="dxa"/>
            <w:vAlign w:val="bottom"/>
            <w:gridSpan w:val="3"/>
          </w:tcPr>
          <w:p>
            <w:pPr>
              <w:ind w:left="180"/>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7"/>
                <w:szCs w:val="17"/>
                <w:color w:val="auto"/>
              </w:rPr>
            </w:pPr>
          </w:p>
        </w:tc>
        <w:tc>
          <w:tcPr>
            <w:tcW w:w="2240" w:type="dxa"/>
            <w:vAlign w:val="bottom"/>
          </w:tcPr>
          <w:p>
            <w:pPr>
              <w:ind w:left="240"/>
              <w:spacing w:after="0"/>
              <w:rPr>
                <w:sz w:val="20"/>
                <w:szCs w:val="20"/>
                <w:color w:val="auto"/>
              </w:rPr>
            </w:pPr>
            <w:r>
              <w:rPr>
                <w:rFonts w:ascii="Arial" w:cs="Arial" w:eastAsia="Arial" w:hAnsi="Arial"/>
                <w:sz w:val="16"/>
                <w:szCs w:val="16"/>
                <w:b w:val="1"/>
                <w:bCs w:val="1"/>
                <w:color w:val="auto"/>
              </w:rPr>
              <w:t>Valuation Technique(s)</w:t>
            </w:r>
          </w:p>
        </w:tc>
        <w:tc>
          <w:tcPr>
            <w:tcW w:w="60" w:type="dxa"/>
            <w:vAlign w:val="bottom"/>
          </w:tcPr>
          <w:p>
            <w:pPr>
              <w:spacing w:after="0"/>
              <w:rPr>
                <w:sz w:val="17"/>
                <w:szCs w:val="17"/>
                <w:color w:val="auto"/>
              </w:rPr>
            </w:pPr>
          </w:p>
        </w:tc>
        <w:tc>
          <w:tcPr>
            <w:tcW w:w="2240" w:type="dxa"/>
            <w:vAlign w:val="bottom"/>
          </w:tcPr>
          <w:p>
            <w:pPr>
              <w:ind w:left="280"/>
              <w:spacing w:after="0"/>
              <w:rPr>
                <w:sz w:val="20"/>
                <w:szCs w:val="20"/>
                <w:color w:val="auto"/>
              </w:rPr>
            </w:pPr>
            <w:r>
              <w:rPr>
                <w:rFonts w:ascii="Arial" w:cs="Arial" w:eastAsia="Arial" w:hAnsi="Arial"/>
                <w:sz w:val="16"/>
                <w:szCs w:val="16"/>
                <w:b w:val="1"/>
                <w:bCs w:val="1"/>
                <w:color w:val="auto"/>
              </w:rPr>
              <w:t>Unobservable Input(s)</w:t>
            </w:r>
          </w:p>
        </w:tc>
        <w:tc>
          <w:tcPr>
            <w:tcW w:w="8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6"/>
                <w:szCs w:val="16"/>
                <w:b w:val="1"/>
                <w:bCs w:val="1"/>
                <w:color w:val="auto"/>
              </w:rPr>
              <w:t>Minimum</w:t>
            </w:r>
          </w:p>
        </w:tc>
        <w:tc>
          <w:tcPr>
            <w:tcW w:w="940" w:type="dxa"/>
            <w:vAlign w:val="bottom"/>
          </w:tcPr>
          <w:p>
            <w:pPr>
              <w:ind w:left="100"/>
              <w:spacing w:after="0"/>
              <w:rPr>
                <w:sz w:val="20"/>
                <w:szCs w:val="20"/>
                <w:color w:val="auto"/>
              </w:rPr>
            </w:pPr>
            <w:r>
              <w:rPr>
                <w:rFonts w:ascii="Arial" w:cs="Arial" w:eastAsia="Arial" w:hAnsi="Arial"/>
                <w:sz w:val="16"/>
                <w:szCs w:val="16"/>
                <w:b w:val="1"/>
                <w:bCs w:val="1"/>
                <w:color w:val="auto"/>
              </w:rPr>
              <w:t>Maximum</w:t>
            </w:r>
          </w:p>
        </w:tc>
        <w:tc>
          <w:tcPr>
            <w:tcW w:w="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average</w:t>
            </w:r>
          </w:p>
        </w:tc>
        <w:tc>
          <w:tcPr>
            <w:tcW w:w="0" w:type="dxa"/>
            <w:vAlign w:val="bottom"/>
          </w:tcPr>
          <w:p>
            <w:pPr>
              <w:spacing w:after="0"/>
              <w:rPr>
                <w:sz w:val="1"/>
                <w:szCs w:val="1"/>
                <w:color w:val="auto"/>
              </w:rPr>
            </w:pPr>
          </w:p>
        </w:tc>
      </w:tr>
      <w:tr>
        <w:trPr>
          <w:trHeight w:val="311"/>
        </w:trPr>
        <w:tc>
          <w:tcPr>
            <w:tcW w:w="2060" w:type="dxa"/>
            <w:vAlign w:val="bottom"/>
            <w:tcBorders>
              <w:top w:val="single" w:sz="8" w:color="auto"/>
            </w:tcBorders>
            <w:shd w:val="clear" w:color="auto" w:fill="D1EDF5"/>
          </w:tcPr>
          <w:p>
            <w:pPr>
              <w:spacing w:after="0"/>
              <w:rPr>
                <w:sz w:val="20"/>
                <w:szCs w:val="20"/>
                <w:color w:val="auto"/>
              </w:rPr>
            </w:pPr>
            <w:r>
              <w:rPr>
                <w:rFonts w:ascii="Arial" w:cs="Arial" w:eastAsia="Arial" w:hAnsi="Arial"/>
                <w:sz w:val="16"/>
                <w:szCs w:val="16"/>
                <w:color w:val="auto"/>
              </w:rPr>
              <w:t>Collateral dependent loans -</w:t>
            </w:r>
          </w:p>
        </w:tc>
        <w:tc>
          <w:tcPr>
            <w:tcW w:w="140" w:type="dxa"/>
            <w:vAlign w:val="bottom"/>
            <w:tcBorders>
              <w:top w:val="single" w:sz="8" w:color="D1EDF5"/>
            </w:tcBorders>
            <w:shd w:val="clear" w:color="auto" w:fill="D1EDF5"/>
          </w:tcPr>
          <w:p>
            <w:pPr>
              <w:spacing w:after="0"/>
              <w:rPr>
                <w:sz w:val="24"/>
                <w:szCs w:val="24"/>
                <w:color w:val="auto"/>
              </w:rPr>
            </w:pPr>
          </w:p>
        </w:tc>
        <w:tc>
          <w:tcPr>
            <w:tcW w:w="460" w:type="dxa"/>
            <w:vAlign w:val="bottom"/>
            <w:tcBorders>
              <w:top w:val="single" w:sz="8" w:color="auto"/>
            </w:tcBorders>
            <w:vMerge w:val="restart"/>
            <w:shd w:val="clear" w:color="auto" w:fill="D1EDF5"/>
          </w:tcPr>
          <w:p>
            <w:pPr>
              <w:ind w:left="18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vMerge w:val="restart"/>
            <w:shd w:val="clear" w:color="auto" w:fill="D1EDF5"/>
          </w:tcPr>
          <w:p>
            <w:pPr>
              <w:jc w:val="right"/>
              <w:spacing w:after="0"/>
              <w:rPr>
                <w:sz w:val="20"/>
                <w:szCs w:val="20"/>
                <w:color w:val="auto"/>
              </w:rPr>
            </w:pPr>
            <w:r>
              <w:rPr>
                <w:rFonts w:ascii="Arial" w:cs="Arial" w:eastAsia="Arial" w:hAnsi="Arial"/>
                <w:sz w:val="16"/>
                <w:szCs w:val="16"/>
                <w:color w:val="auto"/>
              </w:rPr>
              <w:t>1,650</w:t>
            </w:r>
          </w:p>
        </w:tc>
        <w:tc>
          <w:tcPr>
            <w:tcW w:w="60" w:type="dxa"/>
            <w:vAlign w:val="bottom"/>
            <w:tcBorders>
              <w:top w:val="single" w:sz="8" w:color="auto"/>
            </w:tcBorders>
            <w:shd w:val="clear" w:color="auto" w:fill="D1EDF5"/>
          </w:tcPr>
          <w:p>
            <w:pPr>
              <w:spacing w:after="0"/>
              <w:rPr>
                <w:sz w:val="24"/>
                <w:szCs w:val="24"/>
                <w:color w:val="auto"/>
              </w:rPr>
            </w:pPr>
          </w:p>
        </w:tc>
        <w:tc>
          <w:tcPr>
            <w:tcW w:w="80" w:type="dxa"/>
            <w:vAlign w:val="bottom"/>
            <w:tcBorders>
              <w:top w:val="single" w:sz="8" w:color="D1EDF5"/>
            </w:tcBorders>
            <w:shd w:val="clear" w:color="auto" w:fill="D1EDF5"/>
          </w:tcPr>
          <w:p>
            <w:pPr>
              <w:spacing w:after="0"/>
              <w:rPr>
                <w:sz w:val="24"/>
                <w:szCs w:val="24"/>
                <w:color w:val="auto"/>
              </w:rPr>
            </w:pPr>
          </w:p>
        </w:tc>
        <w:tc>
          <w:tcPr>
            <w:tcW w:w="2240" w:type="dxa"/>
            <w:vAlign w:val="bottom"/>
            <w:tcBorders>
              <w:top w:val="single" w:sz="8" w:color="auto"/>
            </w:tcBorders>
            <w:vMerge w:val="restart"/>
            <w:shd w:val="clear" w:color="auto" w:fill="D1EDF5"/>
          </w:tcPr>
          <w:p>
            <w:pPr>
              <w:spacing w:after="0"/>
              <w:rPr>
                <w:sz w:val="20"/>
                <w:szCs w:val="20"/>
                <w:color w:val="auto"/>
              </w:rPr>
            </w:pPr>
            <w:r>
              <w:rPr>
                <w:rFonts w:ascii="Arial" w:cs="Arial" w:eastAsia="Arial" w:hAnsi="Arial"/>
                <w:sz w:val="16"/>
                <w:szCs w:val="16"/>
                <w:color w:val="auto"/>
              </w:rPr>
              <w:t>Sales comparison approach</w:t>
            </w:r>
          </w:p>
        </w:tc>
        <w:tc>
          <w:tcPr>
            <w:tcW w:w="60" w:type="dxa"/>
            <w:vAlign w:val="bottom"/>
            <w:tcBorders>
              <w:top w:val="single" w:sz="8" w:color="D1EDF5"/>
            </w:tcBorders>
            <w:shd w:val="clear" w:color="auto" w:fill="D1EDF5"/>
          </w:tcPr>
          <w:p>
            <w:pPr>
              <w:spacing w:after="0"/>
              <w:rPr>
                <w:sz w:val="24"/>
                <w:szCs w:val="24"/>
                <w:color w:val="auto"/>
              </w:rPr>
            </w:pPr>
          </w:p>
        </w:tc>
        <w:tc>
          <w:tcPr>
            <w:tcW w:w="2240" w:type="dxa"/>
            <w:vAlign w:val="bottom"/>
            <w:tcBorders>
              <w:top w:val="single" w:sz="8" w:color="auto"/>
            </w:tcBorders>
            <w:shd w:val="clear" w:color="auto" w:fill="D1EDF5"/>
          </w:tcPr>
          <w:p>
            <w:pPr>
              <w:ind w:left="60"/>
              <w:spacing w:after="0"/>
              <w:rPr>
                <w:sz w:val="20"/>
                <w:szCs w:val="20"/>
                <w:color w:val="auto"/>
              </w:rPr>
            </w:pPr>
            <w:r>
              <w:rPr>
                <w:rFonts w:ascii="Arial" w:cs="Arial" w:eastAsia="Arial" w:hAnsi="Arial"/>
                <w:sz w:val="16"/>
                <w:szCs w:val="16"/>
                <w:color w:val="auto"/>
              </w:rPr>
              <w:t>Adjustment for differences</w:t>
            </w:r>
          </w:p>
        </w:tc>
        <w:tc>
          <w:tcPr>
            <w:tcW w:w="960" w:type="dxa"/>
            <w:vAlign w:val="bottom"/>
            <w:tcBorders>
              <w:top w:val="single" w:sz="8" w:color="auto"/>
            </w:tcBorders>
            <w:gridSpan w:val="2"/>
            <w:vMerge w:val="restart"/>
            <w:shd w:val="clear" w:color="auto" w:fill="D1EDF5"/>
          </w:tcPr>
          <w:p>
            <w:pPr>
              <w:jc w:val="right"/>
              <w:ind w:right="200"/>
              <w:spacing w:after="0"/>
              <w:rPr>
                <w:sz w:val="20"/>
                <w:szCs w:val="20"/>
                <w:color w:val="auto"/>
              </w:rPr>
            </w:pPr>
            <w:r>
              <w:rPr>
                <w:rFonts w:ascii="Arial" w:cs="Arial" w:eastAsia="Arial" w:hAnsi="Arial"/>
                <w:sz w:val="16"/>
                <w:szCs w:val="16"/>
                <w:color w:val="auto"/>
              </w:rPr>
              <w:t>11%</w:t>
            </w:r>
          </w:p>
        </w:tc>
        <w:tc>
          <w:tcPr>
            <w:tcW w:w="940" w:type="dxa"/>
            <w:vAlign w:val="bottom"/>
            <w:tcBorders>
              <w:top w:val="single" w:sz="8" w:color="auto"/>
            </w:tcBorders>
            <w:vMerge w:val="restart"/>
            <w:shd w:val="clear" w:color="auto" w:fill="D1EDF5"/>
          </w:tcPr>
          <w:p>
            <w:pPr>
              <w:jc w:val="right"/>
              <w:ind w:right="220"/>
              <w:spacing w:after="0"/>
              <w:rPr>
                <w:sz w:val="20"/>
                <w:szCs w:val="20"/>
                <w:color w:val="auto"/>
              </w:rPr>
            </w:pPr>
            <w:r>
              <w:rPr>
                <w:rFonts w:ascii="Arial" w:cs="Arial" w:eastAsia="Arial" w:hAnsi="Arial"/>
                <w:sz w:val="16"/>
                <w:szCs w:val="16"/>
                <w:color w:val="auto"/>
              </w:rPr>
              <w:t>31%</w:t>
            </w:r>
          </w:p>
        </w:tc>
        <w:tc>
          <w:tcPr>
            <w:tcW w:w="60" w:type="dxa"/>
            <w:vAlign w:val="bottom"/>
            <w:tcBorders>
              <w:top w:val="single" w:sz="8" w:color="auto"/>
            </w:tcBorders>
            <w:shd w:val="clear" w:color="auto" w:fill="D1EDF5"/>
          </w:tcPr>
          <w:p>
            <w:pPr>
              <w:spacing w:after="0"/>
              <w:rPr>
                <w:sz w:val="24"/>
                <w:szCs w:val="24"/>
                <w:color w:val="auto"/>
              </w:rPr>
            </w:pPr>
          </w:p>
        </w:tc>
        <w:tc>
          <w:tcPr>
            <w:tcW w:w="900" w:type="dxa"/>
            <w:vAlign w:val="bottom"/>
            <w:tcBorders>
              <w:top w:val="single" w:sz="8" w:color="auto"/>
            </w:tcBorders>
            <w:vMerge w:val="restart"/>
            <w:shd w:val="clear" w:color="auto" w:fill="D1EDF5"/>
          </w:tcPr>
          <w:p>
            <w:pPr>
              <w:jc w:val="right"/>
              <w:ind w:right="2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08"/>
        </w:trPr>
        <w:tc>
          <w:tcPr>
            <w:tcW w:w="2060" w:type="dxa"/>
            <w:vAlign w:val="bottom"/>
            <w:vMerge w:val="restart"/>
            <w:shd w:val="clear" w:color="auto" w:fill="D1EDF5"/>
          </w:tcPr>
          <w:p>
            <w:pPr>
              <w:spacing w:after="0"/>
              <w:rPr>
                <w:sz w:val="20"/>
                <w:szCs w:val="20"/>
                <w:color w:val="auto"/>
              </w:rPr>
            </w:pPr>
            <w:r>
              <w:rPr>
                <w:rFonts w:ascii="Arial" w:cs="Arial" w:eastAsia="Arial" w:hAnsi="Arial"/>
                <w:sz w:val="16"/>
                <w:szCs w:val="16"/>
                <w:color w:val="auto"/>
              </w:rPr>
              <w:t>consumer boat loans</w:t>
            </w:r>
          </w:p>
        </w:tc>
        <w:tc>
          <w:tcPr>
            <w:tcW w:w="140" w:type="dxa"/>
            <w:vAlign w:val="bottom"/>
            <w:shd w:val="clear" w:color="auto" w:fill="D1EDF5"/>
          </w:tcPr>
          <w:p>
            <w:pPr>
              <w:spacing w:after="0"/>
              <w:rPr>
                <w:sz w:val="9"/>
                <w:szCs w:val="9"/>
                <w:color w:val="auto"/>
              </w:rPr>
            </w:pPr>
          </w:p>
        </w:tc>
        <w:tc>
          <w:tcPr>
            <w:tcW w:w="460" w:type="dxa"/>
            <w:vAlign w:val="bottom"/>
            <w:vMerge w:val="continue"/>
            <w:shd w:val="clear" w:color="auto" w:fill="D1EDF5"/>
          </w:tcPr>
          <w:p>
            <w:pPr>
              <w:spacing w:after="0"/>
              <w:rPr>
                <w:sz w:val="9"/>
                <w:szCs w:val="9"/>
                <w:color w:val="auto"/>
              </w:rPr>
            </w:pPr>
          </w:p>
        </w:tc>
        <w:tc>
          <w:tcPr>
            <w:tcW w:w="600" w:type="dxa"/>
            <w:vAlign w:val="bottom"/>
            <w:vMerge w:val="continue"/>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80" w:type="dxa"/>
            <w:vAlign w:val="bottom"/>
            <w:shd w:val="clear" w:color="auto" w:fill="D1EDF5"/>
          </w:tcPr>
          <w:p>
            <w:pPr>
              <w:spacing w:after="0"/>
              <w:rPr>
                <w:sz w:val="9"/>
                <w:szCs w:val="9"/>
                <w:color w:val="auto"/>
              </w:rPr>
            </w:pPr>
          </w:p>
        </w:tc>
        <w:tc>
          <w:tcPr>
            <w:tcW w:w="2240" w:type="dxa"/>
            <w:vAlign w:val="bottom"/>
            <w:vMerge w:val="continue"/>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2240" w:type="dxa"/>
            <w:vAlign w:val="bottom"/>
            <w:vMerge w:val="restart"/>
            <w:shd w:val="clear" w:color="auto" w:fill="D1EDF5"/>
          </w:tcPr>
          <w:p>
            <w:pPr>
              <w:spacing w:after="0"/>
              <w:rPr>
                <w:sz w:val="20"/>
                <w:szCs w:val="20"/>
                <w:color w:val="auto"/>
              </w:rPr>
            </w:pPr>
            <w:r>
              <w:rPr>
                <w:rFonts w:ascii="Arial" w:cs="Arial" w:eastAsia="Arial" w:hAnsi="Arial"/>
                <w:sz w:val="16"/>
                <w:szCs w:val="16"/>
                <w:color w:val="auto"/>
              </w:rPr>
              <w:t>between the comparable sales</w:t>
            </w:r>
          </w:p>
        </w:tc>
        <w:tc>
          <w:tcPr>
            <w:tcW w:w="960" w:type="dxa"/>
            <w:vAlign w:val="bottom"/>
            <w:gridSpan w:val="2"/>
            <w:vMerge w:val="continue"/>
            <w:shd w:val="clear" w:color="auto" w:fill="D1EDF5"/>
          </w:tcPr>
          <w:p>
            <w:pPr>
              <w:spacing w:after="0"/>
              <w:rPr>
                <w:sz w:val="9"/>
                <w:szCs w:val="9"/>
                <w:color w:val="auto"/>
              </w:rPr>
            </w:pPr>
          </w:p>
        </w:tc>
        <w:tc>
          <w:tcPr>
            <w:tcW w:w="940" w:type="dxa"/>
            <w:vAlign w:val="bottom"/>
            <w:vMerge w:val="continue"/>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900" w:type="dxa"/>
            <w:vAlign w:val="bottom"/>
            <w:vMerge w:val="continue"/>
            <w:shd w:val="clear" w:color="auto" w:fill="D1EDF5"/>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60" w:type="dxa"/>
            <w:vAlign w:val="bottom"/>
            <w:vMerge w:val="continue"/>
            <w:shd w:val="clear" w:color="auto" w:fill="D1EDF5"/>
          </w:tcPr>
          <w:p>
            <w:pPr>
              <w:spacing w:after="0"/>
              <w:rPr>
                <w:sz w:val="9"/>
                <w:szCs w:val="9"/>
                <w:color w:val="auto"/>
              </w:rPr>
            </w:pPr>
          </w:p>
        </w:tc>
        <w:tc>
          <w:tcPr>
            <w:tcW w:w="140" w:type="dxa"/>
            <w:vAlign w:val="bottom"/>
            <w:shd w:val="clear" w:color="auto" w:fill="D1EDF5"/>
          </w:tcPr>
          <w:p>
            <w:pPr>
              <w:spacing w:after="0"/>
              <w:rPr>
                <w:sz w:val="9"/>
                <w:szCs w:val="9"/>
                <w:color w:val="auto"/>
              </w:rPr>
            </w:pPr>
          </w:p>
        </w:tc>
        <w:tc>
          <w:tcPr>
            <w:tcW w:w="460" w:type="dxa"/>
            <w:vAlign w:val="bottom"/>
            <w:shd w:val="clear" w:color="auto" w:fill="D1EDF5"/>
          </w:tcPr>
          <w:p>
            <w:pPr>
              <w:spacing w:after="0"/>
              <w:rPr>
                <w:sz w:val="9"/>
                <w:szCs w:val="9"/>
                <w:color w:val="auto"/>
              </w:rPr>
            </w:pPr>
          </w:p>
        </w:tc>
        <w:tc>
          <w:tcPr>
            <w:tcW w:w="600" w:type="dxa"/>
            <w:vAlign w:val="bottom"/>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80" w:type="dxa"/>
            <w:vAlign w:val="bottom"/>
            <w:shd w:val="clear" w:color="auto" w:fill="D1EDF5"/>
          </w:tcPr>
          <w:p>
            <w:pPr>
              <w:spacing w:after="0"/>
              <w:rPr>
                <w:sz w:val="9"/>
                <w:szCs w:val="9"/>
                <w:color w:val="auto"/>
              </w:rPr>
            </w:pPr>
          </w:p>
        </w:tc>
        <w:tc>
          <w:tcPr>
            <w:tcW w:w="2240" w:type="dxa"/>
            <w:vAlign w:val="bottom"/>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2240" w:type="dxa"/>
            <w:vAlign w:val="bottom"/>
            <w:vMerge w:val="continue"/>
            <w:shd w:val="clear" w:color="auto" w:fill="D1EDF5"/>
          </w:tcPr>
          <w:p>
            <w:pPr>
              <w:spacing w:after="0"/>
              <w:rPr>
                <w:sz w:val="9"/>
                <w:szCs w:val="9"/>
                <w:color w:val="auto"/>
              </w:rPr>
            </w:pPr>
          </w:p>
        </w:tc>
        <w:tc>
          <w:tcPr>
            <w:tcW w:w="80" w:type="dxa"/>
            <w:vAlign w:val="bottom"/>
            <w:shd w:val="clear" w:color="auto" w:fill="D1EDF5"/>
          </w:tcPr>
          <w:p>
            <w:pPr>
              <w:spacing w:after="0"/>
              <w:rPr>
                <w:sz w:val="9"/>
                <w:szCs w:val="9"/>
                <w:color w:val="auto"/>
              </w:rPr>
            </w:pPr>
          </w:p>
        </w:tc>
        <w:tc>
          <w:tcPr>
            <w:tcW w:w="880" w:type="dxa"/>
            <w:vAlign w:val="bottom"/>
            <w:shd w:val="clear" w:color="auto" w:fill="D1EDF5"/>
          </w:tcPr>
          <w:p>
            <w:pPr>
              <w:spacing w:after="0"/>
              <w:rPr>
                <w:sz w:val="9"/>
                <w:szCs w:val="9"/>
                <w:color w:val="auto"/>
              </w:rPr>
            </w:pPr>
          </w:p>
        </w:tc>
        <w:tc>
          <w:tcPr>
            <w:tcW w:w="940" w:type="dxa"/>
            <w:vAlign w:val="bottom"/>
            <w:shd w:val="clear" w:color="auto" w:fill="D1EDF5"/>
          </w:tcPr>
          <w:p>
            <w:pPr>
              <w:spacing w:after="0"/>
              <w:rPr>
                <w:sz w:val="9"/>
                <w:szCs w:val="9"/>
                <w:color w:val="auto"/>
              </w:rPr>
            </w:pPr>
          </w:p>
        </w:tc>
        <w:tc>
          <w:tcPr>
            <w:tcW w:w="60" w:type="dxa"/>
            <w:vAlign w:val="bottom"/>
            <w:shd w:val="clear" w:color="auto" w:fill="D1EDF5"/>
          </w:tcPr>
          <w:p>
            <w:pPr>
              <w:spacing w:after="0"/>
              <w:rPr>
                <w:sz w:val="9"/>
                <w:szCs w:val="9"/>
                <w:color w:val="auto"/>
              </w:rPr>
            </w:pPr>
          </w:p>
        </w:tc>
        <w:tc>
          <w:tcPr>
            <w:tcW w:w="900" w:type="dxa"/>
            <w:vAlign w:val="bottom"/>
            <w:shd w:val="clear" w:color="auto" w:fill="D1EDF5"/>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60" w:type="dxa"/>
            <w:vAlign w:val="bottom"/>
            <w:shd w:val="clear" w:color="auto" w:fill="D1EDF5"/>
          </w:tcPr>
          <w:p>
            <w:pPr>
              <w:spacing w:after="0"/>
              <w:rPr>
                <w:sz w:val="11"/>
                <w:szCs w:val="11"/>
                <w:color w:val="auto"/>
              </w:rPr>
            </w:pPr>
          </w:p>
        </w:tc>
        <w:tc>
          <w:tcPr>
            <w:tcW w:w="140" w:type="dxa"/>
            <w:vAlign w:val="bottom"/>
            <w:shd w:val="clear" w:color="auto" w:fill="D1EDF5"/>
          </w:tcPr>
          <w:p>
            <w:pPr>
              <w:spacing w:after="0"/>
              <w:rPr>
                <w:sz w:val="11"/>
                <w:szCs w:val="11"/>
                <w:color w:val="auto"/>
              </w:rPr>
            </w:pPr>
          </w:p>
        </w:tc>
        <w:tc>
          <w:tcPr>
            <w:tcW w:w="460" w:type="dxa"/>
            <w:vAlign w:val="bottom"/>
            <w:shd w:val="clear" w:color="auto" w:fill="D1EDF5"/>
          </w:tcPr>
          <w:p>
            <w:pPr>
              <w:spacing w:after="0"/>
              <w:rPr>
                <w:sz w:val="11"/>
                <w:szCs w:val="11"/>
                <w:color w:val="auto"/>
              </w:rPr>
            </w:pPr>
          </w:p>
        </w:tc>
        <w:tc>
          <w:tcPr>
            <w:tcW w:w="600" w:type="dxa"/>
            <w:vAlign w:val="bottom"/>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80" w:type="dxa"/>
            <w:vAlign w:val="bottom"/>
            <w:shd w:val="clear" w:color="auto" w:fill="D1EDF5"/>
          </w:tcPr>
          <w:p>
            <w:pPr>
              <w:spacing w:after="0"/>
              <w:rPr>
                <w:sz w:val="11"/>
                <w:szCs w:val="11"/>
                <w:color w:val="auto"/>
              </w:rPr>
            </w:pPr>
          </w:p>
        </w:tc>
        <w:tc>
          <w:tcPr>
            <w:tcW w:w="2240" w:type="dxa"/>
            <w:vAlign w:val="bottom"/>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2240" w:type="dxa"/>
            <w:vAlign w:val="bottom"/>
            <w:shd w:val="clear" w:color="auto" w:fill="D1EDF5"/>
          </w:tcPr>
          <w:p>
            <w:pPr>
              <w:spacing w:after="0"/>
              <w:rPr>
                <w:sz w:val="11"/>
                <w:szCs w:val="11"/>
                <w:color w:val="auto"/>
              </w:rPr>
            </w:pPr>
          </w:p>
        </w:tc>
        <w:tc>
          <w:tcPr>
            <w:tcW w:w="80" w:type="dxa"/>
            <w:vAlign w:val="bottom"/>
            <w:shd w:val="clear" w:color="auto" w:fill="D1EDF5"/>
          </w:tcPr>
          <w:p>
            <w:pPr>
              <w:spacing w:after="0"/>
              <w:rPr>
                <w:sz w:val="11"/>
                <w:szCs w:val="11"/>
                <w:color w:val="auto"/>
              </w:rPr>
            </w:pPr>
          </w:p>
        </w:tc>
        <w:tc>
          <w:tcPr>
            <w:tcW w:w="880" w:type="dxa"/>
            <w:vAlign w:val="bottom"/>
            <w:shd w:val="clear" w:color="auto" w:fill="D1EDF5"/>
          </w:tcPr>
          <w:p>
            <w:pPr>
              <w:spacing w:after="0"/>
              <w:rPr>
                <w:sz w:val="11"/>
                <w:szCs w:val="11"/>
                <w:color w:val="auto"/>
              </w:rPr>
            </w:pPr>
          </w:p>
        </w:tc>
        <w:tc>
          <w:tcPr>
            <w:tcW w:w="940" w:type="dxa"/>
            <w:vAlign w:val="bottom"/>
            <w:shd w:val="clear" w:color="auto" w:fill="D1EDF5"/>
          </w:tcPr>
          <w:p>
            <w:pPr>
              <w:spacing w:after="0"/>
              <w:rPr>
                <w:sz w:val="11"/>
                <w:szCs w:val="11"/>
                <w:color w:val="auto"/>
              </w:rPr>
            </w:pPr>
          </w:p>
        </w:tc>
        <w:tc>
          <w:tcPr>
            <w:tcW w:w="60" w:type="dxa"/>
            <w:vAlign w:val="bottom"/>
            <w:shd w:val="clear" w:color="auto" w:fill="D1EDF5"/>
          </w:tcPr>
          <w:p>
            <w:pPr>
              <w:spacing w:after="0"/>
              <w:rPr>
                <w:sz w:val="11"/>
                <w:szCs w:val="11"/>
                <w:color w:val="auto"/>
              </w:rPr>
            </w:pPr>
          </w:p>
        </w:tc>
        <w:tc>
          <w:tcPr>
            <w:tcW w:w="900" w:type="dxa"/>
            <w:vAlign w:val="bottom"/>
            <w:shd w:val="clear" w:color="auto" w:fill="D1EDF5"/>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0" w:hanging="540"/>
        <w:spacing w:after="0"/>
        <w:tabs>
          <w:tab w:leader="none" w:pos="5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34290</wp:posOffset>
                </wp:positionV>
                <wp:extent cx="689356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7pt" to="541.4pt,2.7pt" o:allowincell="f" strokecolor="#000000" strokeweight="1.44pt"/>
            </w:pict>
          </mc:Fallback>
        </mc:AlternateConten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During the year ended December 31, 2025, the Company repurchased 2.0 million shares of Class A common stock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 During the year ended December 31, 2025 pursuant to the Company’s publicly announced repurchase programs the Company repurchased 9,671 shares of Class A common stock at a weighted average price per share of $17.91. The aggregate purchase price for these transactions was approximately $174 thousand including transaction costs. As of December 31, 2025, 528,309 shares remained authorized for repurchase under the Company’s two stock repurchase programs.</w:t>
      </w:r>
    </w:p>
    <w:p>
      <w:pPr>
        <w:spacing w:after="0" w:line="19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During the year ended December 31, 2024, the Company repurchased 42,100 shares of Class A common stock at a weighted average price per share of $11.85. The aggregate purchase price for these transactions was approximately $501 thousand, including transaction costs. As of December 31, 2024, 537,980 shares remained authorized for repurchase under the Company’s two stock repurchase programs.</w:t>
      </w:r>
    </w:p>
    <w:p>
      <w:pPr>
        <w:spacing w:after="0" w:line="176"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In 2025, the Company issued 124,424 shares of Class A common stock to employees and directors as restricted stock awards pursuant to the Company's 2015 Option Plan.</w:t>
      </w:r>
    </w:p>
    <w:p>
      <w:pPr>
        <w:spacing w:after="0" w:line="151"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20"/>
          <w:szCs w:val="20"/>
          <w:color w:val="auto"/>
        </w:rPr>
        <w:t>In 2024, the Company issued 277,922 shares of Class A common stock to employees and directors as restricted stock awards pursuant to the Company's 2015 Option Plan.</w:t>
      </w:r>
    </w:p>
    <w:p>
      <w:pPr>
        <w:spacing w:after="0" w:line="152"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Shares of the Company’s Class A common stock issued and outstanding as of December 31, 2025 and December 31, 2024 were 18,137,885 and 19,924,632,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3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20"/>
          <w:szCs w:val="20"/>
          <w:color w:val="auto"/>
        </w:rPr>
        <w:t>Declaration of dividends by the Board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declare. In addition, bank regulators have the authority to prohibit banks and bank holding companies from paying dividends if they deem such payment to be an unsafe or unsound practice.</w:t>
      </w:r>
    </w:p>
    <w:p>
      <w:pPr>
        <w:spacing w:after="0" w:line="200" w:lineRule="exact"/>
        <w:rPr>
          <w:sz w:val="20"/>
          <w:szCs w:val="20"/>
          <w:color w:val="auto"/>
        </w:rPr>
      </w:pPr>
    </w:p>
    <w:p>
      <w:pPr>
        <w:spacing w:after="0" w:line="336"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6" w:name="page117"/>
    <w:bookmarkEnd w:id="116"/>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As of December 31, 2025, the Company was not subject to any formal supervisory restrictions on its ability to pay dividends but has agreed to notify the Federal Reserve Bank of Atlanta in advance of any proposed dividend to the Company's shareholders in light of the Bank's negative retained earnings. In addition, under applicable FDIC regulations and policy, because the Bank has negative retained earnings, it must obtain the prior approval of the FDIC before effecting a cash dividend or other capital distribution.</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details the dividends declared and paid by the Company for the periods presented: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40pt,1.25pt" o:allowincell="f" strokecolor="#000000" strokeweight="0.4809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Declaration Date</w:t>
            </w:r>
          </w:p>
        </w:tc>
        <w:tc>
          <w:tcPr>
            <w:tcW w:w="2020" w:type="dxa"/>
            <w:vAlign w:val="bottom"/>
          </w:tcPr>
          <w:p>
            <w:pPr>
              <w:ind w:left="480"/>
              <w:spacing w:after="0"/>
              <w:rPr>
                <w:sz w:val="20"/>
                <w:szCs w:val="20"/>
                <w:color w:val="auto"/>
              </w:rPr>
            </w:pPr>
            <w:r>
              <w:rPr>
                <w:rFonts w:ascii="Arial" w:cs="Arial" w:eastAsia="Arial" w:hAnsi="Arial"/>
                <w:sz w:val="18"/>
                <w:szCs w:val="18"/>
                <w:b w:val="1"/>
                <w:bCs w:val="1"/>
                <w:color w:val="auto"/>
              </w:rPr>
              <w:t>Record Date</w:t>
            </w:r>
          </w:p>
        </w:tc>
        <w:tc>
          <w:tcPr>
            <w:tcW w:w="80" w:type="dxa"/>
            <w:vAlign w:val="bottom"/>
          </w:tcPr>
          <w:p>
            <w:pPr>
              <w:spacing w:after="0"/>
              <w:rPr>
                <w:sz w:val="19"/>
                <w:szCs w:val="19"/>
                <w:color w:val="auto"/>
              </w:rPr>
            </w:pPr>
          </w:p>
        </w:tc>
        <w:tc>
          <w:tcPr>
            <w:tcW w:w="2020" w:type="dxa"/>
            <w:vAlign w:val="bottom"/>
          </w:tcPr>
          <w:p>
            <w:pPr>
              <w:ind w:left="420"/>
              <w:spacing w:after="0"/>
              <w:rPr>
                <w:sz w:val="20"/>
                <w:szCs w:val="20"/>
                <w:color w:val="auto"/>
              </w:rPr>
            </w:pPr>
            <w:r>
              <w:rPr>
                <w:rFonts w:ascii="Arial" w:cs="Arial" w:eastAsia="Arial" w:hAnsi="Arial"/>
                <w:sz w:val="18"/>
                <w:szCs w:val="18"/>
                <w:b w:val="1"/>
                <w:bCs w:val="1"/>
                <w:color w:val="auto"/>
              </w:rPr>
              <w:t>Payment Date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Dividend Per Share</w:t>
            </w:r>
          </w:p>
        </w:tc>
        <w:tc>
          <w:tcPr>
            <w:tcW w:w="220" w:type="dxa"/>
            <w:vAlign w:val="bottom"/>
          </w:tcPr>
          <w:p>
            <w:pPr>
              <w:spacing w:after="0"/>
              <w:rPr>
                <w:sz w:val="19"/>
                <w:szCs w:val="19"/>
                <w:color w:val="auto"/>
              </w:rPr>
            </w:pPr>
          </w:p>
        </w:tc>
        <w:tc>
          <w:tcPr>
            <w:tcW w:w="2000" w:type="dxa"/>
            <w:vAlign w:val="bottom"/>
          </w:tcPr>
          <w:p>
            <w:pPr>
              <w:ind w:left="140"/>
              <w:spacing w:after="0"/>
              <w:rPr>
                <w:sz w:val="20"/>
                <w:szCs w:val="20"/>
                <w:color w:val="auto"/>
              </w:rPr>
            </w:pPr>
            <w:r>
              <w:rPr>
                <w:rFonts w:ascii="Arial" w:cs="Arial" w:eastAsia="Arial" w:hAnsi="Arial"/>
                <w:sz w:val="18"/>
                <w:szCs w:val="18"/>
                <w:b w:val="1"/>
                <w:bCs w:val="1"/>
                <w:color w:val="auto"/>
              </w:rPr>
              <w:t>Dividend Amount</w:t>
            </w:r>
          </w:p>
        </w:tc>
      </w:tr>
      <w:tr>
        <w:trPr>
          <w:trHeight w:val="230"/>
        </w:trPr>
        <w:tc>
          <w:tcPr>
            <w:tcW w:w="202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rPr>
              <w:t>January 21, 2025</w:t>
            </w:r>
          </w:p>
        </w:tc>
        <w:tc>
          <w:tcPr>
            <w:tcW w:w="80" w:type="dxa"/>
            <w:vAlign w:val="bottom"/>
            <w:tcBorders>
              <w:top w:val="single" w:sz="8" w:color="D1EDF5"/>
            </w:tcBorders>
            <w:shd w:val="clear" w:color="auto" w:fill="D1EDF5"/>
          </w:tcPr>
          <w:p>
            <w:pPr>
              <w:spacing w:after="0"/>
              <w:rPr>
                <w:sz w:val="19"/>
                <w:szCs w:val="19"/>
                <w:color w:val="auto"/>
              </w:rPr>
            </w:pPr>
          </w:p>
        </w:tc>
        <w:tc>
          <w:tcPr>
            <w:tcW w:w="202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rPr>
              <w:t>February 14, 2025</w:t>
            </w:r>
          </w:p>
        </w:tc>
        <w:tc>
          <w:tcPr>
            <w:tcW w:w="80" w:type="dxa"/>
            <w:vAlign w:val="bottom"/>
            <w:tcBorders>
              <w:top w:val="single" w:sz="8" w:color="D1EDF5"/>
            </w:tcBorders>
            <w:shd w:val="clear" w:color="auto" w:fill="D1EDF5"/>
          </w:tcPr>
          <w:p>
            <w:pPr>
              <w:spacing w:after="0"/>
              <w:rPr>
                <w:sz w:val="19"/>
                <w:szCs w:val="19"/>
                <w:color w:val="auto"/>
              </w:rPr>
            </w:pPr>
          </w:p>
        </w:tc>
        <w:tc>
          <w:tcPr>
            <w:tcW w:w="2020" w:type="dxa"/>
            <w:vAlign w:val="bottom"/>
            <w:tcBorders>
              <w:top w:val="single" w:sz="8" w:color="auto"/>
            </w:tcBorders>
            <w:shd w:val="clear" w:color="auto" w:fill="D1EDF5"/>
          </w:tcPr>
          <w:p>
            <w:pPr>
              <w:ind w:left="100"/>
              <w:spacing w:after="0"/>
              <w:rPr>
                <w:sz w:val="20"/>
                <w:szCs w:val="20"/>
                <w:color w:val="auto"/>
              </w:rPr>
            </w:pPr>
            <w:r>
              <w:rPr>
                <w:rFonts w:ascii="Arial" w:cs="Arial" w:eastAsia="Arial" w:hAnsi="Arial"/>
                <w:sz w:val="18"/>
                <w:szCs w:val="18"/>
                <w:color w:val="auto"/>
              </w:rPr>
              <w:t>March 5, 2025</w:t>
            </w:r>
          </w:p>
        </w:tc>
        <w:tc>
          <w:tcPr>
            <w:tcW w:w="80" w:type="dxa"/>
            <w:vAlign w:val="bottom"/>
            <w:tcBorders>
              <w:top w:val="single" w:sz="8" w:color="D1EDF5"/>
            </w:tcBorders>
            <w:shd w:val="clear" w:color="auto" w:fill="D1EDF5"/>
          </w:tcPr>
          <w:p>
            <w:pPr>
              <w:spacing w:after="0"/>
              <w:rPr>
                <w:sz w:val="19"/>
                <w:szCs w:val="19"/>
                <w:color w:val="auto"/>
              </w:rPr>
            </w:pPr>
          </w:p>
        </w:tc>
        <w:tc>
          <w:tcPr>
            <w:tcW w:w="2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980" w:type="dxa"/>
            <w:vAlign w:val="bottom"/>
            <w:tcBorders>
              <w:top w:val="single" w:sz="8" w:color="auto"/>
            </w:tcBorders>
            <w:shd w:val="clear" w:color="auto" w:fill="D1EDF5"/>
          </w:tcPr>
          <w:p>
            <w:pPr>
              <w:jc w:val="right"/>
              <w:ind w:right="750"/>
              <w:spacing w:after="0"/>
              <w:rPr>
                <w:sz w:val="20"/>
                <w:szCs w:val="20"/>
                <w:color w:val="auto"/>
              </w:rPr>
            </w:pPr>
            <w:r>
              <w:rPr>
                <w:rFonts w:ascii="Arial" w:cs="Arial" w:eastAsia="Arial" w:hAnsi="Arial"/>
                <w:sz w:val="18"/>
                <w:szCs w:val="18"/>
                <w:color w:val="auto"/>
              </w:rPr>
              <w:t>0.10</w:t>
            </w:r>
          </w:p>
        </w:tc>
        <w:tc>
          <w:tcPr>
            <w:tcW w:w="80" w:type="dxa"/>
            <w:vAlign w:val="bottom"/>
            <w:tcBorders>
              <w:top w:val="single" w:sz="8" w:color="D1EDF5"/>
            </w:tcBorders>
            <w:shd w:val="clear" w:color="auto" w:fill="D1EDF5"/>
          </w:tcPr>
          <w:p>
            <w:pPr>
              <w:spacing w:after="0"/>
              <w:rPr>
                <w:sz w:val="19"/>
                <w:szCs w:val="19"/>
                <w:color w:val="auto"/>
              </w:rPr>
            </w:pPr>
          </w:p>
        </w:tc>
        <w:tc>
          <w:tcPr>
            <w:tcW w:w="2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2000" w:type="dxa"/>
            <w:vAlign w:val="bottom"/>
            <w:tcBorders>
              <w:top w:val="single" w:sz="8" w:color="auto"/>
            </w:tcBorders>
            <w:shd w:val="clear" w:color="auto" w:fill="D1EDF5"/>
          </w:tcPr>
          <w:p>
            <w:pPr>
              <w:ind w:left="580"/>
              <w:spacing w:after="0"/>
              <w:rPr>
                <w:sz w:val="20"/>
                <w:szCs w:val="20"/>
                <w:color w:val="auto"/>
              </w:rPr>
            </w:pPr>
            <w:r>
              <w:rPr>
                <w:rFonts w:ascii="Arial" w:cs="Arial" w:eastAsia="Arial" w:hAnsi="Arial"/>
                <w:sz w:val="18"/>
                <w:szCs w:val="18"/>
                <w:color w:val="auto"/>
              </w:rPr>
              <w:t>2.0 million</w:t>
            </w:r>
          </w:p>
        </w:tc>
      </w:tr>
      <w:tr>
        <w:trPr>
          <w:trHeight w:val="24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April 21, 2025</w:t>
            </w:r>
          </w:p>
        </w:tc>
        <w:tc>
          <w:tcPr>
            <w:tcW w:w="2020" w:type="dxa"/>
            <w:vAlign w:val="bottom"/>
          </w:tcPr>
          <w:p>
            <w:pPr>
              <w:ind w:left="40"/>
              <w:spacing w:after="0"/>
              <w:rPr>
                <w:sz w:val="20"/>
                <w:szCs w:val="20"/>
                <w:color w:val="auto"/>
              </w:rPr>
            </w:pPr>
            <w:r>
              <w:rPr>
                <w:rFonts w:ascii="Arial" w:cs="Arial" w:eastAsia="Arial" w:hAnsi="Arial"/>
                <w:sz w:val="18"/>
                <w:szCs w:val="18"/>
                <w:color w:val="auto"/>
              </w:rPr>
              <w:t>May 15, 2025</w:t>
            </w:r>
          </w:p>
        </w:tc>
        <w:tc>
          <w:tcPr>
            <w:tcW w:w="80" w:type="dxa"/>
            <w:vAlign w:val="bottom"/>
          </w:tcPr>
          <w:p>
            <w:pPr>
              <w:spacing w:after="0"/>
              <w:rPr>
                <w:sz w:val="20"/>
                <w:szCs w:val="20"/>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June 5, 2025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ind w:left="580"/>
              <w:spacing w:after="0"/>
              <w:rPr>
                <w:sz w:val="20"/>
                <w:szCs w:val="20"/>
                <w:color w:val="auto"/>
              </w:rPr>
            </w:pPr>
            <w:r>
              <w:rPr>
                <w:rFonts w:ascii="Arial" w:cs="Arial" w:eastAsia="Arial" w:hAnsi="Arial"/>
                <w:sz w:val="18"/>
                <w:szCs w:val="18"/>
                <w:color w:val="auto"/>
              </w:rPr>
              <w:t>2.0 million</w:t>
            </w:r>
          </w:p>
        </w:tc>
      </w:tr>
      <w:tr>
        <w:trPr>
          <w:trHeight w:val="240"/>
        </w:trPr>
        <w:tc>
          <w:tcPr>
            <w:tcW w:w="2020" w:type="dxa"/>
            <w:vAlign w:val="bottom"/>
            <w:shd w:val="clear" w:color="auto" w:fill="D1EDF5"/>
          </w:tcPr>
          <w:p>
            <w:pPr>
              <w:ind w:left="40"/>
              <w:spacing w:after="0"/>
              <w:rPr>
                <w:sz w:val="20"/>
                <w:szCs w:val="20"/>
                <w:color w:val="auto"/>
              </w:rPr>
            </w:pPr>
            <w:r>
              <w:rPr>
                <w:rFonts w:ascii="Arial" w:cs="Arial" w:eastAsia="Arial" w:hAnsi="Arial"/>
                <w:sz w:val="18"/>
                <w:szCs w:val="18"/>
                <w:color w:val="auto"/>
              </w:rPr>
              <w:t>July 21, 2025</w:t>
            </w:r>
          </w:p>
        </w:tc>
        <w:tc>
          <w:tcPr>
            <w:tcW w:w="80" w:type="dxa"/>
            <w:vAlign w:val="bottom"/>
            <w:shd w:val="clear" w:color="auto" w:fill="D1EDF5"/>
          </w:tcPr>
          <w:p>
            <w:pPr>
              <w:spacing w:after="0"/>
              <w:rPr>
                <w:sz w:val="20"/>
                <w:szCs w:val="20"/>
                <w:color w:val="auto"/>
              </w:rPr>
            </w:pPr>
          </w:p>
        </w:tc>
        <w:tc>
          <w:tcPr>
            <w:tcW w:w="2020" w:type="dxa"/>
            <w:vAlign w:val="bottom"/>
            <w:shd w:val="clear" w:color="auto" w:fill="D1EDF5"/>
          </w:tcPr>
          <w:p>
            <w:pPr>
              <w:ind w:left="40"/>
              <w:spacing w:after="0"/>
              <w:rPr>
                <w:sz w:val="20"/>
                <w:szCs w:val="20"/>
                <w:color w:val="auto"/>
              </w:rPr>
            </w:pPr>
            <w:r>
              <w:rPr>
                <w:rFonts w:ascii="Arial" w:cs="Arial" w:eastAsia="Arial" w:hAnsi="Arial"/>
                <w:sz w:val="18"/>
                <w:szCs w:val="18"/>
                <w:color w:val="auto"/>
              </w:rPr>
              <w:t>August 15, 2025</w:t>
            </w:r>
          </w:p>
        </w:tc>
        <w:tc>
          <w:tcPr>
            <w:tcW w:w="80" w:type="dxa"/>
            <w:vAlign w:val="bottom"/>
            <w:shd w:val="clear" w:color="auto" w:fill="D1EDF5"/>
          </w:tcPr>
          <w:p>
            <w:pPr>
              <w:spacing w:after="0"/>
              <w:rPr>
                <w:sz w:val="20"/>
                <w:szCs w:val="20"/>
                <w:color w:val="auto"/>
              </w:rPr>
            </w:pPr>
          </w:p>
        </w:tc>
        <w:tc>
          <w:tcPr>
            <w:tcW w:w="2020" w:type="dxa"/>
            <w:vAlign w:val="bottom"/>
            <w:shd w:val="clear" w:color="auto" w:fill="D1EDF5"/>
          </w:tcPr>
          <w:p>
            <w:pPr>
              <w:ind w:left="100"/>
              <w:spacing w:after="0"/>
              <w:rPr>
                <w:sz w:val="20"/>
                <w:szCs w:val="20"/>
                <w:color w:val="auto"/>
              </w:rPr>
            </w:pPr>
            <w:r>
              <w:rPr>
                <w:rFonts w:ascii="Arial" w:cs="Arial" w:eastAsia="Arial" w:hAnsi="Arial"/>
                <w:sz w:val="18"/>
                <w:szCs w:val="18"/>
                <w:color w:val="auto"/>
              </w:rPr>
              <w:t>September 5, 2025</w:t>
            </w: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980" w:type="dxa"/>
            <w:vAlign w:val="bottom"/>
            <w:shd w:val="clear" w:color="auto" w:fill="D1EDF5"/>
          </w:tcPr>
          <w:p>
            <w:pPr>
              <w:jc w:val="right"/>
              <w:ind w:right="75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2000" w:type="dxa"/>
            <w:vAlign w:val="bottom"/>
            <w:shd w:val="clear" w:color="auto" w:fill="D1EDF5"/>
          </w:tcPr>
          <w:p>
            <w:pPr>
              <w:ind w:left="580"/>
              <w:spacing w:after="0"/>
              <w:rPr>
                <w:sz w:val="20"/>
                <w:szCs w:val="20"/>
                <w:color w:val="auto"/>
              </w:rPr>
            </w:pPr>
            <w:r>
              <w:rPr>
                <w:rFonts w:ascii="Arial" w:cs="Arial" w:eastAsia="Arial" w:hAnsi="Arial"/>
                <w:sz w:val="18"/>
                <w:szCs w:val="18"/>
                <w:color w:val="auto"/>
              </w:rPr>
              <w:t>2.0 million</w:t>
            </w:r>
          </w:p>
        </w:tc>
      </w:tr>
      <w:tr>
        <w:trPr>
          <w:trHeight w:val="26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October 20, 2025</w:t>
            </w:r>
          </w:p>
        </w:tc>
        <w:tc>
          <w:tcPr>
            <w:tcW w:w="2020" w:type="dxa"/>
            <w:vAlign w:val="bottom"/>
          </w:tcPr>
          <w:p>
            <w:pPr>
              <w:ind w:left="40"/>
              <w:spacing w:after="0"/>
              <w:rPr>
                <w:sz w:val="20"/>
                <w:szCs w:val="20"/>
                <w:color w:val="auto"/>
              </w:rPr>
            </w:pPr>
            <w:r>
              <w:rPr>
                <w:rFonts w:ascii="Arial" w:cs="Arial" w:eastAsia="Arial" w:hAnsi="Arial"/>
                <w:sz w:val="18"/>
                <w:szCs w:val="18"/>
                <w:color w:val="auto"/>
              </w:rPr>
              <w:t>November 14, 2025</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December 5, 2025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ind w:left="580"/>
              <w:spacing w:after="0"/>
              <w:rPr>
                <w:sz w:val="20"/>
                <w:szCs w:val="20"/>
                <w:color w:val="auto"/>
              </w:rPr>
            </w:pPr>
            <w:r>
              <w:rPr>
                <w:rFonts w:ascii="Arial" w:cs="Arial" w:eastAsia="Arial" w:hAnsi="Arial"/>
                <w:sz w:val="18"/>
                <w:szCs w:val="18"/>
                <w:color w:val="auto"/>
              </w:rPr>
              <w:t>1.8 million</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40pt,1.25pt" o:allowincell="f" strokecolor="#000000" strokeweight="0.4809pt"/>
            </w:pict>
          </mc:Fallback>
        </mc:AlternateConten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Declaration Date</w:t>
            </w:r>
          </w:p>
        </w:tc>
        <w:tc>
          <w:tcPr>
            <w:tcW w:w="2020" w:type="dxa"/>
            <w:vAlign w:val="bottom"/>
          </w:tcPr>
          <w:p>
            <w:pPr>
              <w:ind w:left="480"/>
              <w:spacing w:after="0"/>
              <w:rPr>
                <w:sz w:val="20"/>
                <w:szCs w:val="20"/>
                <w:color w:val="auto"/>
              </w:rPr>
            </w:pPr>
            <w:r>
              <w:rPr>
                <w:rFonts w:ascii="Arial" w:cs="Arial" w:eastAsia="Arial" w:hAnsi="Arial"/>
                <w:sz w:val="18"/>
                <w:szCs w:val="18"/>
                <w:b w:val="1"/>
                <w:bCs w:val="1"/>
                <w:color w:val="auto"/>
              </w:rPr>
              <w:t>Record Date</w:t>
            </w:r>
          </w:p>
        </w:tc>
        <w:tc>
          <w:tcPr>
            <w:tcW w:w="80" w:type="dxa"/>
            <w:vAlign w:val="bottom"/>
          </w:tcPr>
          <w:p>
            <w:pPr>
              <w:spacing w:after="0"/>
              <w:rPr>
                <w:sz w:val="19"/>
                <w:szCs w:val="19"/>
                <w:color w:val="auto"/>
              </w:rPr>
            </w:pPr>
          </w:p>
        </w:tc>
        <w:tc>
          <w:tcPr>
            <w:tcW w:w="2020" w:type="dxa"/>
            <w:vAlign w:val="bottom"/>
          </w:tcPr>
          <w:p>
            <w:pPr>
              <w:ind w:left="420"/>
              <w:spacing w:after="0"/>
              <w:rPr>
                <w:sz w:val="20"/>
                <w:szCs w:val="20"/>
                <w:color w:val="auto"/>
              </w:rPr>
            </w:pPr>
            <w:r>
              <w:rPr>
                <w:rFonts w:ascii="Arial" w:cs="Arial" w:eastAsia="Arial" w:hAnsi="Arial"/>
                <w:sz w:val="18"/>
                <w:szCs w:val="18"/>
                <w:b w:val="1"/>
                <w:bCs w:val="1"/>
                <w:color w:val="auto"/>
              </w:rPr>
              <w:t>Payment Date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Dividend Per Share</w:t>
            </w:r>
          </w:p>
        </w:tc>
        <w:tc>
          <w:tcPr>
            <w:tcW w:w="220" w:type="dxa"/>
            <w:vAlign w:val="bottom"/>
          </w:tcPr>
          <w:p>
            <w:pPr>
              <w:spacing w:after="0"/>
              <w:rPr>
                <w:sz w:val="19"/>
                <w:szCs w:val="19"/>
                <w:color w:val="auto"/>
              </w:rPr>
            </w:pPr>
          </w:p>
        </w:tc>
        <w:tc>
          <w:tcPr>
            <w:tcW w:w="2000" w:type="dxa"/>
            <w:vAlign w:val="bottom"/>
          </w:tcPr>
          <w:p>
            <w:pPr>
              <w:ind w:left="140"/>
              <w:spacing w:after="0"/>
              <w:rPr>
                <w:sz w:val="20"/>
                <w:szCs w:val="20"/>
                <w:color w:val="auto"/>
              </w:rPr>
            </w:pPr>
            <w:r>
              <w:rPr>
                <w:rFonts w:ascii="Arial" w:cs="Arial" w:eastAsia="Arial" w:hAnsi="Arial"/>
                <w:sz w:val="18"/>
                <w:szCs w:val="18"/>
                <w:b w:val="1"/>
                <w:bCs w:val="1"/>
                <w:color w:val="auto"/>
              </w:rPr>
              <w:t>Dividend Amount</w:t>
            </w:r>
          </w:p>
        </w:tc>
      </w:tr>
      <w:tr>
        <w:trPr>
          <w:trHeight w:val="232"/>
        </w:trPr>
        <w:tc>
          <w:tcPr>
            <w:tcW w:w="202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rPr>
              <w:t>January 22, 2024</w:t>
            </w:r>
          </w:p>
        </w:tc>
        <w:tc>
          <w:tcPr>
            <w:tcW w:w="80" w:type="dxa"/>
            <w:vAlign w:val="bottom"/>
            <w:tcBorders>
              <w:top w:val="single" w:sz="8" w:color="D1EDF5"/>
            </w:tcBorders>
            <w:shd w:val="clear" w:color="auto" w:fill="D1EDF5"/>
          </w:tcPr>
          <w:p>
            <w:pPr>
              <w:spacing w:after="0"/>
              <w:rPr>
                <w:sz w:val="20"/>
                <w:szCs w:val="20"/>
                <w:color w:val="auto"/>
              </w:rPr>
            </w:pPr>
          </w:p>
        </w:tc>
        <w:tc>
          <w:tcPr>
            <w:tcW w:w="2020" w:type="dxa"/>
            <w:vAlign w:val="bottom"/>
            <w:tcBorders>
              <w:top w:val="single" w:sz="8" w:color="auto"/>
            </w:tcBorders>
            <w:shd w:val="clear" w:color="auto" w:fill="D1EDF5"/>
          </w:tcPr>
          <w:p>
            <w:pPr>
              <w:ind w:left="40"/>
              <w:spacing w:after="0"/>
              <w:rPr>
                <w:sz w:val="20"/>
                <w:szCs w:val="20"/>
                <w:color w:val="auto"/>
              </w:rPr>
            </w:pPr>
            <w:r>
              <w:rPr>
                <w:rFonts w:ascii="Arial" w:cs="Arial" w:eastAsia="Arial" w:hAnsi="Arial"/>
                <w:sz w:val="18"/>
                <w:szCs w:val="18"/>
                <w:color w:val="auto"/>
              </w:rPr>
              <w:t>February 15, 2024</w:t>
            </w:r>
          </w:p>
        </w:tc>
        <w:tc>
          <w:tcPr>
            <w:tcW w:w="80" w:type="dxa"/>
            <w:vAlign w:val="bottom"/>
            <w:tcBorders>
              <w:top w:val="single" w:sz="8" w:color="D1EDF5"/>
            </w:tcBorders>
            <w:shd w:val="clear" w:color="auto" w:fill="D1EDF5"/>
          </w:tcPr>
          <w:p>
            <w:pPr>
              <w:spacing w:after="0"/>
              <w:rPr>
                <w:sz w:val="20"/>
                <w:szCs w:val="20"/>
                <w:color w:val="auto"/>
              </w:rPr>
            </w:pPr>
          </w:p>
        </w:tc>
        <w:tc>
          <w:tcPr>
            <w:tcW w:w="2020" w:type="dxa"/>
            <w:vAlign w:val="bottom"/>
            <w:tcBorders>
              <w:top w:val="single" w:sz="8" w:color="auto"/>
            </w:tcBorders>
            <w:shd w:val="clear" w:color="auto" w:fill="D1EDF5"/>
          </w:tcPr>
          <w:p>
            <w:pPr>
              <w:ind w:left="100"/>
              <w:spacing w:after="0"/>
              <w:rPr>
                <w:sz w:val="20"/>
                <w:szCs w:val="20"/>
                <w:color w:val="auto"/>
              </w:rPr>
            </w:pPr>
            <w:r>
              <w:rPr>
                <w:rFonts w:ascii="Arial" w:cs="Arial" w:eastAsia="Arial" w:hAnsi="Arial"/>
                <w:sz w:val="18"/>
                <w:szCs w:val="18"/>
                <w:color w:val="auto"/>
              </w:rPr>
              <w:t>March 5, 2024</w:t>
            </w:r>
          </w:p>
        </w:tc>
        <w:tc>
          <w:tcPr>
            <w:tcW w:w="80" w:type="dxa"/>
            <w:vAlign w:val="bottom"/>
            <w:tcBorders>
              <w:top w:val="single" w:sz="8" w:color="D1EDF5"/>
            </w:tcBorders>
            <w:shd w:val="clear" w:color="auto" w:fill="D1EDF5"/>
          </w:tcPr>
          <w:p>
            <w:pPr>
              <w:spacing w:after="0"/>
              <w:rPr>
                <w:sz w:val="20"/>
                <w:szCs w:val="20"/>
                <w:color w:val="auto"/>
              </w:rPr>
            </w:pPr>
          </w:p>
        </w:tc>
        <w:tc>
          <w:tcPr>
            <w:tcW w:w="2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980" w:type="dxa"/>
            <w:vAlign w:val="bottom"/>
            <w:tcBorders>
              <w:top w:val="single" w:sz="8" w:color="auto"/>
            </w:tcBorders>
            <w:shd w:val="clear" w:color="auto" w:fill="D1EDF5"/>
          </w:tcPr>
          <w:p>
            <w:pPr>
              <w:jc w:val="right"/>
              <w:ind w:right="750"/>
              <w:spacing w:after="0"/>
              <w:rPr>
                <w:sz w:val="20"/>
                <w:szCs w:val="20"/>
                <w:color w:val="auto"/>
              </w:rPr>
            </w:pPr>
            <w:r>
              <w:rPr>
                <w:rFonts w:ascii="Arial" w:cs="Arial" w:eastAsia="Arial" w:hAnsi="Arial"/>
                <w:sz w:val="18"/>
                <w:szCs w:val="18"/>
                <w:color w:val="auto"/>
              </w:rPr>
              <w:t>0.05</w:t>
            </w:r>
          </w:p>
        </w:tc>
        <w:tc>
          <w:tcPr>
            <w:tcW w:w="80" w:type="dxa"/>
            <w:vAlign w:val="bottom"/>
            <w:tcBorders>
              <w:top w:val="single" w:sz="8" w:color="D1EDF5"/>
            </w:tcBorders>
            <w:shd w:val="clear" w:color="auto" w:fill="D1EDF5"/>
          </w:tcPr>
          <w:p>
            <w:pPr>
              <w:spacing w:after="0"/>
              <w:rPr>
                <w:sz w:val="20"/>
                <w:szCs w:val="20"/>
                <w:color w:val="auto"/>
              </w:rPr>
            </w:pPr>
          </w:p>
        </w:tc>
        <w:tc>
          <w:tcPr>
            <w:tcW w:w="220" w:type="dxa"/>
            <w:vAlign w:val="bottom"/>
            <w:tcBorders>
              <w:top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2000" w:type="dxa"/>
            <w:vAlign w:val="bottom"/>
            <w:tcBorders>
              <w:top w:val="single" w:sz="8" w:color="auto"/>
            </w:tcBorders>
            <w:shd w:val="clear" w:color="auto" w:fill="D1EDF5"/>
          </w:tcPr>
          <w:p>
            <w:pPr>
              <w:ind w:left="580"/>
              <w:spacing w:after="0"/>
              <w:rPr>
                <w:sz w:val="20"/>
                <w:szCs w:val="20"/>
                <w:color w:val="auto"/>
              </w:rPr>
            </w:pPr>
            <w:r>
              <w:rPr>
                <w:rFonts w:ascii="Arial" w:cs="Arial" w:eastAsia="Arial" w:hAnsi="Arial"/>
                <w:sz w:val="18"/>
                <w:szCs w:val="18"/>
                <w:color w:val="auto"/>
              </w:rPr>
              <w:t>1.0 million</w:t>
            </w:r>
          </w:p>
        </w:tc>
      </w:tr>
      <w:tr>
        <w:trPr>
          <w:trHeight w:val="24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April 22, 2024</w:t>
            </w:r>
          </w:p>
        </w:tc>
        <w:tc>
          <w:tcPr>
            <w:tcW w:w="2020" w:type="dxa"/>
            <w:vAlign w:val="bottom"/>
          </w:tcPr>
          <w:p>
            <w:pPr>
              <w:ind w:left="40"/>
              <w:spacing w:after="0"/>
              <w:rPr>
                <w:sz w:val="20"/>
                <w:szCs w:val="20"/>
                <w:color w:val="auto"/>
              </w:rPr>
            </w:pPr>
            <w:r>
              <w:rPr>
                <w:rFonts w:ascii="Arial" w:cs="Arial" w:eastAsia="Arial" w:hAnsi="Arial"/>
                <w:sz w:val="18"/>
                <w:szCs w:val="18"/>
                <w:color w:val="auto"/>
              </w:rPr>
              <w:t>May 15, 2024</w:t>
            </w:r>
          </w:p>
        </w:tc>
        <w:tc>
          <w:tcPr>
            <w:tcW w:w="80" w:type="dxa"/>
            <w:vAlign w:val="bottom"/>
          </w:tcPr>
          <w:p>
            <w:pPr>
              <w:spacing w:after="0"/>
              <w:rPr>
                <w:sz w:val="20"/>
                <w:szCs w:val="20"/>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June 5, 2024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ind w:left="580"/>
              <w:spacing w:after="0"/>
              <w:rPr>
                <w:sz w:val="20"/>
                <w:szCs w:val="20"/>
                <w:color w:val="auto"/>
              </w:rPr>
            </w:pPr>
            <w:r>
              <w:rPr>
                <w:rFonts w:ascii="Arial" w:cs="Arial" w:eastAsia="Arial" w:hAnsi="Arial"/>
                <w:sz w:val="18"/>
                <w:szCs w:val="18"/>
                <w:color w:val="auto"/>
              </w:rPr>
              <w:t>1.0 million</w:t>
            </w:r>
          </w:p>
        </w:tc>
      </w:tr>
      <w:tr>
        <w:trPr>
          <w:trHeight w:val="240"/>
        </w:trPr>
        <w:tc>
          <w:tcPr>
            <w:tcW w:w="2020" w:type="dxa"/>
            <w:vAlign w:val="bottom"/>
            <w:shd w:val="clear" w:color="auto" w:fill="D1EDF5"/>
          </w:tcPr>
          <w:p>
            <w:pPr>
              <w:ind w:left="40"/>
              <w:spacing w:after="0"/>
              <w:rPr>
                <w:sz w:val="20"/>
                <w:szCs w:val="20"/>
                <w:color w:val="auto"/>
              </w:rPr>
            </w:pPr>
            <w:r>
              <w:rPr>
                <w:rFonts w:ascii="Arial" w:cs="Arial" w:eastAsia="Arial" w:hAnsi="Arial"/>
                <w:sz w:val="18"/>
                <w:szCs w:val="18"/>
                <w:color w:val="auto"/>
              </w:rPr>
              <w:t>July 22, 2024</w:t>
            </w:r>
          </w:p>
        </w:tc>
        <w:tc>
          <w:tcPr>
            <w:tcW w:w="80" w:type="dxa"/>
            <w:vAlign w:val="bottom"/>
            <w:shd w:val="clear" w:color="auto" w:fill="D1EDF5"/>
          </w:tcPr>
          <w:p>
            <w:pPr>
              <w:spacing w:after="0"/>
              <w:rPr>
                <w:sz w:val="20"/>
                <w:szCs w:val="20"/>
                <w:color w:val="auto"/>
              </w:rPr>
            </w:pPr>
          </w:p>
        </w:tc>
        <w:tc>
          <w:tcPr>
            <w:tcW w:w="2020" w:type="dxa"/>
            <w:vAlign w:val="bottom"/>
            <w:shd w:val="clear" w:color="auto" w:fill="D1EDF5"/>
          </w:tcPr>
          <w:p>
            <w:pPr>
              <w:ind w:left="40"/>
              <w:spacing w:after="0"/>
              <w:rPr>
                <w:sz w:val="20"/>
                <w:szCs w:val="20"/>
                <w:color w:val="auto"/>
              </w:rPr>
            </w:pPr>
            <w:r>
              <w:rPr>
                <w:rFonts w:ascii="Arial" w:cs="Arial" w:eastAsia="Arial" w:hAnsi="Arial"/>
                <w:sz w:val="18"/>
                <w:szCs w:val="18"/>
                <w:color w:val="auto"/>
              </w:rPr>
              <w:t>August 15, 2024</w:t>
            </w:r>
          </w:p>
        </w:tc>
        <w:tc>
          <w:tcPr>
            <w:tcW w:w="80" w:type="dxa"/>
            <w:vAlign w:val="bottom"/>
            <w:shd w:val="clear" w:color="auto" w:fill="D1EDF5"/>
          </w:tcPr>
          <w:p>
            <w:pPr>
              <w:spacing w:after="0"/>
              <w:rPr>
                <w:sz w:val="20"/>
                <w:szCs w:val="20"/>
                <w:color w:val="auto"/>
              </w:rPr>
            </w:pPr>
          </w:p>
        </w:tc>
        <w:tc>
          <w:tcPr>
            <w:tcW w:w="2020" w:type="dxa"/>
            <w:vAlign w:val="bottom"/>
            <w:shd w:val="clear" w:color="auto" w:fill="D1EDF5"/>
          </w:tcPr>
          <w:p>
            <w:pPr>
              <w:ind w:left="100"/>
              <w:spacing w:after="0"/>
              <w:rPr>
                <w:sz w:val="20"/>
                <w:szCs w:val="20"/>
                <w:color w:val="auto"/>
              </w:rPr>
            </w:pPr>
            <w:r>
              <w:rPr>
                <w:rFonts w:ascii="Arial" w:cs="Arial" w:eastAsia="Arial" w:hAnsi="Arial"/>
                <w:sz w:val="18"/>
                <w:szCs w:val="18"/>
                <w:color w:val="auto"/>
              </w:rPr>
              <w:t>September 5, 2024</w:t>
            </w: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1980" w:type="dxa"/>
            <w:vAlign w:val="bottom"/>
            <w:shd w:val="clear" w:color="auto" w:fill="D1EDF5"/>
          </w:tcPr>
          <w:p>
            <w:pPr>
              <w:jc w:val="right"/>
              <w:ind w:right="75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D1EDF5"/>
          </w:tcPr>
          <w:p>
            <w:pPr>
              <w:spacing w:after="0"/>
              <w:rPr>
                <w:sz w:val="20"/>
                <w:szCs w:val="20"/>
                <w:color w:val="auto"/>
              </w:rPr>
            </w:pPr>
          </w:p>
        </w:tc>
        <w:tc>
          <w:tcPr>
            <w:tcW w:w="220" w:type="dxa"/>
            <w:vAlign w:val="bottom"/>
            <w:shd w:val="clear" w:color="auto" w:fill="D1EDF5"/>
          </w:tcPr>
          <w:p>
            <w:pPr>
              <w:jc w:val="right"/>
              <w:spacing w:after="0"/>
              <w:rPr>
                <w:sz w:val="20"/>
                <w:szCs w:val="20"/>
                <w:color w:val="auto"/>
              </w:rPr>
            </w:pPr>
            <w:r>
              <w:rPr>
                <w:rFonts w:ascii="Arial" w:cs="Arial" w:eastAsia="Arial" w:hAnsi="Arial"/>
                <w:sz w:val="18"/>
                <w:szCs w:val="18"/>
                <w:color w:val="auto"/>
                <w:shd w:val="clear" w:color="auto" w:fill="D1EDF5"/>
              </w:rPr>
              <w:t>$</w:t>
            </w:r>
          </w:p>
        </w:tc>
        <w:tc>
          <w:tcPr>
            <w:tcW w:w="2000" w:type="dxa"/>
            <w:vAlign w:val="bottom"/>
            <w:shd w:val="clear" w:color="auto" w:fill="D1EDF5"/>
          </w:tcPr>
          <w:p>
            <w:pPr>
              <w:ind w:left="580"/>
              <w:spacing w:after="0"/>
              <w:rPr>
                <w:sz w:val="20"/>
                <w:szCs w:val="20"/>
                <w:color w:val="auto"/>
              </w:rPr>
            </w:pPr>
            <w:r>
              <w:rPr>
                <w:rFonts w:ascii="Arial" w:cs="Arial" w:eastAsia="Arial" w:hAnsi="Arial"/>
                <w:sz w:val="18"/>
                <w:szCs w:val="18"/>
                <w:color w:val="auto"/>
              </w:rPr>
              <w:t>1.0 million</w:t>
            </w:r>
          </w:p>
        </w:tc>
      </w:tr>
      <w:tr>
        <w:trPr>
          <w:trHeight w:val="257"/>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October 28, 2024</w:t>
            </w:r>
          </w:p>
        </w:tc>
        <w:tc>
          <w:tcPr>
            <w:tcW w:w="2020" w:type="dxa"/>
            <w:vAlign w:val="bottom"/>
          </w:tcPr>
          <w:p>
            <w:pPr>
              <w:ind w:left="40"/>
              <w:spacing w:after="0"/>
              <w:rPr>
                <w:sz w:val="20"/>
                <w:szCs w:val="20"/>
                <w:color w:val="auto"/>
              </w:rPr>
            </w:pPr>
            <w:r>
              <w:rPr>
                <w:rFonts w:ascii="Arial" w:cs="Arial" w:eastAsia="Arial" w:hAnsi="Arial"/>
                <w:sz w:val="18"/>
                <w:szCs w:val="18"/>
                <w:color w:val="auto"/>
              </w:rPr>
              <w:t>November 15, 2024</w:t>
            </w:r>
          </w:p>
        </w:tc>
        <w:tc>
          <w:tcPr>
            <w:tcW w:w="80" w:type="dxa"/>
            <w:vAlign w:val="bottom"/>
          </w:tcPr>
          <w:p>
            <w:pPr>
              <w:spacing w:after="0"/>
              <w:rPr>
                <w:sz w:val="22"/>
                <w:szCs w:val="22"/>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December 5, 2024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ind w:left="580"/>
              <w:spacing w:after="0"/>
              <w:rPr>
                <w:sz w:val="20"/>
                <w:szCs w:val="20"/>
                <w:color w:val="auto"/>
              </w:rPr>
            </w:pPr>
            <w:r>
              <w:rPr>
                <w:rFonts w:ascii="Arial" w:cs="Arial" w:eastAsia="Arial" w:hAnsi="Arial"/>
                <w:sz w:val="18"/>
                <w:szCs w:val="18"/>
                <w:color w:val="auto"/>
              </w:rPr>
              <w:t>0.9 million</w:t>
            </w:r>
          </w:p>
        </w:tc>
      </w:tr>
    </w:tbl>
    <w:p>
      <w:pPr>
        <w:spacing w:after="0" w:line="200" w:lineRule="exact"/>
        <w:rPr>
          <w:sz w:val="20"/>
          <w:szCs w:val="20"/>
          <w:color w:val="auto"/>
        </w:rPr>
      </w:pPr>
    </w:p>
    <w:p>
      <w:pPr>
        <w:spacing w:after="0" w:line="23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Company and the Bank exceeded all regulatory capital requirements and remained above “well-capitalized” guidelines as of December 31, 2025 and December 31, 2024. At December 31, 2025, the total risk-based capital ratios for the Company and the Bank were 13.91% and 13.67%, respectively.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Note 21, “Subsequent Events”, for information regarding dividends declared in January 2026.</w:t>
      </w:r>
    </w:p>
    <w:p>
      <w:pPr>
        <w:spacing w:after="0" w:line="200" w:lineRule="exact"/>
        <w:rPr>
          <w:sz w:val="20"/>
          <w:szCs w:val="20"/>
          <w:color w:val="auto"/>
        </w:rPr>
      </w:pPr>
    </w:p>
    <w:p>
      <w:pPr>
        <w:spacing w:after="0" w:line="255" w:lineRule="exact"/>
        <w:rPr>
          <w:sz w:val="20"/>
          <w:szCs w:val="20"/>
          <w:color w:val="auto"/>
        </w:rPr>
      </w:pPr>
    </w:p>
    <w:p>
      <w:pPr>
        <w:ind w:left="540" w:hanging="540"/>
        <w:spacing w:after="0"/>
        <w:tabs>
          <w:tab w:leader="none" w:pos="54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419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5pt,2.8pt" o:allowincell="f" strokecolor="#000000" strokeweight="1.44pt"/>
            </w:pict>
          </mc:Fallback>
        </mc:AlternateContent>
      </w:r>
    </w:p>
    <w:p>
      <w:pPr>
        <w:spacing w:after="0" w:line="262"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9"/>
          <w:szCs w:val="19"/>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the calculation of net income available to common stockholders for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4040" w:type="dxa"/>
            <w:vAlign w:val="bottom"/>
            <w:tcBorders>
              <w:bottom w:val="single" w:sz="8" w:color="auto"/>
            </w:tcBorders>
            <w:gridSpan w:val="6"/>
          </w:tcPr>
          <w:p>
            <w:pPr>
              <w:jc w:val="right"/>
              <w:ind w:right="470"/>
              <w:spacing w:after="0"/>
              <w:rPr>
                <w:sz w:val="20"/>
                <w:szCs w:val="20"/>
                <w:color w:val="auto"/>
              </w:rPr>
            </w:pPr>
            <w:r>
              <w:rPr>
                <w:rFonts w:ascii="Arial" w:cs="Arial" w:eastAsia="Arial" w:hAnsi="Arial"/>
                <w:sz w:val="18"/>
                <w:szCs w:val="18"/>
                <w:b w:val="1"/>
                <w:bCs w:val="1"/>
                <w:color w:val="auto"/>
              </w:rPr>
              <w:t>For the years ended December 31,</w:t>
            </w:r>
          </w:p>
        </w:tc>
      </w:tr>
      <w:tr>
        <w:trPr>
          <w:trHeight w:val="230"/>
        </w:trPr>
        <w:tc>
          <w:tcPr>
            <w:tcW w:w="6760" w:type="dxa"/>
            <w:vAlign w:val="bottom"/>
            <w:tcBorders>
              <w:bottom w:val="single" w:sz="8" w:color="D1EDF5"/>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30"/>
        </w:trPr>
        <w:tc>
          <w:tcPr>
            <w:tcW w:w="6760" w:type="dxa"/>
            <w:vAlign w:val="bottom"/>
            <w:shd w:val="clear" w:color="auto" w:fill="D1EDF5"/>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shd w:val="clear" w:color="auto" w:fill="D1EDF5"/>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D1EDF5"/>
          </w:tcPr>
          <w:p>
            <w:pPr>
              <w:ind w:left="100"/>
              <w:spacing w:after="0"/>
              <w:rPr>
                <w:sz w:val="20"/>
                <w:szCs w:val="20"/>
                <w:color w:val="auto"/>
              </w:rPr>
            </w:pPr>
            <w:r>
              <w:rPr>
                <w:rFonts w:ascii="Arial" w:cs="Arial" w:eastAsia="Arial" w:hAnsi="Arial"/>
                <w:sz w:val="18"/>
                <w:szCs w:val="18"/>
                <w:color w:val="auto"/>
              </w:rPr>
              <w:t>26,100</w:t>
            </w: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440" w:type="dxa"/>
            <w:vAlign w:val="bottom"/>
            <w:tcBorders>
              <w:bottom w:val="single" w:sz="8" w:color="auto"/>
            </w:tcBorders>
            <w:shd w:val="clear" w:color="auto" w:fill="D1EDF5"/>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24,674</w:t>
            </w:r>
          </w:p>
        </w:tc>
      </w:tr>
      <w:tr>
        <w:trPr>
          <w:trHeight w:val="246"/>
        </w:trPr>
        <w:tc>
          <w:tcPr>
            <w:tcW w:w="6760" w:type="dxa"/>
            <w:vAlign w:val="bottom"/>
          </w:tcPr>
          <w:p>
            <w:pPr>
              <w:ind w:left="140"/>
              <w:spacing w:after="0"/>
              <w:rPr>
                <w:sz w:val="20"/>
                <w:szCs w:val="20"/>
                <w:color w:val="auto"/>
              </w:rPr>
            </w:pPr>
            <w:r>
              <w:rPr>
                <w:rFonts w:ascii="Arial" w:cs="Arial" w:eastAsia="Arial" w:hAnsi="Arial"/>
                <w:sz w:val="18"/>
                <w:szCs w:val="18"/>
                <w:color w:val="auto"/>
              </w:rPr>
              <w:t>Net income available to common stockholders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100"/>
              <w:spacing w:after="0"/>
              <w:rPr>
                <w:sz w:val="20"/>
                <w:szCs w:val="20"/>
                <w:color w:val="auto"/>
              </w:rPr>
            </w:pPr>
            <w:r>
              <w:rPr>
                <w:rFonts w:ascii="Arial" w:cs="Arial" w:eastAsia="Arial" w:hAnsi="Arial"/>
                <w:sz w:val="18"/>
                <w:szCs w:val="18"/>
                <w:color w:val="auto"/>
              </w:rPr>
              <w:t>26,100</w:t>
            </w:r>
          </w:p>
        </w:tc>
        <w:tc>
          <w:tcPr>
            <w:tcW w:w="5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24,674</w:t>
            </w:r>
          </w:p>
        </w:tc>
      </w:tr>
      <w:tr>
        <w:trPr>
          <w:trHeight w:val="20"/>
        </w:trPr>
        <w:tc>
          <w:tcPr>
            <w:tcW w:w="67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7" w:name="page118"/>
    <w:bookmarkEnd w:id="117"/>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reflects the calculation of basic and diluted earnings per common share class for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(in thousands, except per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 and for the years ended December 31,</w:t>
            </w:r>
          </w:p>
        </w:tc>
      </w:tr>
      <w:tr>
        <w:trPr>
          <w:trHeight w:val="230"/>
        </w:trPr>
        <w:tc>
          <w:tcPr>
            <w:tcW w:w="14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30"/>
        </w:trPr>
        <w:tc>
          <w:tcPr>
            <w:tcW w:w="140" w:type="dxa"/>
            <w:vAlign w:val="bottom"/>
            <w:tcBorders>
              <w:bottom w:val="single" w:sz="8" w:color="D1EDF5"/>
            </w:tcBorders>
          </w:tcPr>
          <w:p>
            <w:pPr>
              <w:spacing w:after="0"/>
              <w:rPr>
                <w:sz w:val="19"/>
                <w:szCs w:val="19"/>
                <w:color w:val="auto"/>
              </w:rPr>
            </w:pPr>
          </w:p>
        </w:tc>
        <w:tc>
          <w:tcPr>
            <w:tcW w:w="678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Class A</w:t>
            </w:r>
          </w:p>
        </w:tc>
        <w:tc>
          <w:tcPr>
            <w:tcW w:w="80" w:type="dxa"/>
            <w:vAlign w:val="bottom"/>
            <w:tcBorders>
              <w:bottom w:val="single" w:sz="8" w:color="D1EDF5"/>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Class A</w:t>
            </w:r>
          </w:p>
        </w:tc>
      </w:tr>
      <w:tr>
        <w:trPr>
          <w:trHeight w:val="230"/>
        </w:trPr>
        <w:tc>
          <w:tcPr>
            <w:tcW w:w="692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Basic EPS</w:t>
            </w:r>
          </w:p>
        </w:tc>
        <w:tc>
          <w:tcPr>
            <w:tcW w:w="180" w:type="dxa"/>
            <w:vAlign w:val="bottom"/>
            <w:shd w:val="clear" w:color="auto" w:fill="D1EDF5"/>
          </w:tcPr>
          <w:p>
            <w:pPr>
              <w:spacing w:after="0"/>
              <w:rPr>
                <w:sz w:val="19"/>
                <w:szCs w:val="19"/>
                <w:color w:val="auto"/>
              </w:rPr>
            </w:pPr>
          </w:p>
        </w:tc>
        <w:tc>
          <w:tcPr>
            <w:tcW w:w="17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360" w:type="dxa"/>
            <w:vAlign w:val="bottom"/>
            <w:shd w:val="clear" w:color="auto" w:fill="D1EDF5"/>
          </w:tcPr>
          <w:p>
            <w:pPr>
              <w:spacing w:after="0"/>
              <w:rPr>
                <w:sz w:val="19"/>
                <w:szCs w:val="19"/>
                <w:color w:val="auto"/>
              </w:rPr>
            </w:pPr>
          </w:p>
        </w:tc>
        <w:tc>
          <w:tcPr>
            <w:tcW w:w="1540" w:type="dxa"/>
            <w:vAlign w:val="bottom"/>
            <w:shd w:val="clear" w:color="auto" w:fill="D1EDF5"/>
          </w:tcPr>
          <w:p>
            <w:pPr>
              <w:spacing w:after="0"/>
              <w:rPr>
                <w:sz w:val="19"/>
                <w:szCs w:val="19"/>
                <w:color w:val="auto"/>
              </w:rPr>
            </w:pPr>
          </w:p>
        </w:tc>
      </w:tr>
      <w:tr>
        <w:trPr>
          <w:trHeight w:val="240"/>
        </w:trPr>
        <w:tc>
          <w:tcPr>
            <w:tcW w:w="692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0"/>
        </w:trPr>
        <w:tc>
          <w:tcPr>
            <w:tcW w:w="140" w:type="dxa"/>
            <w:vAlign w:val="bottom"/>
            <w:shd w:val="clear" w:color="auto" w:fill="D1EDF5"/>
          </w:tcPr>
          <w:p>
            <w:pPr>
              <w:spacing w:after="0"/>
              <w:rPr>
                <w:sz w:val="20"/>
                <w:szCs w:val="20"/>
                <w:color w:val="auto"/>
              </w:rPr>
            </w:pPr>
          </w:p>
        </w:tc>
        <w:tc>
          <w:tcPr>
            <w:tcW w:w="6780" w:type="dxa"/>
            <w:vAlign w:val="bottom"/>
            <w:shd w:val="clear" w:color="auto" w:fill="D1EDF5"/>
          </w:tcPr>
          <w:p>
            <w:pPr>
              <w:spacing w:after="0"/>
              <w:rPr>
                <w:sz w:val="20"/>
                <w:szCs w:val="20"/>
                <w:color w:val="auto"/>
              </w:rPr>
            </w:pPr>
            <w:r>
              <w:rPr>
                <w:rFonts w:ascii="Arial" w:cs="Arial" w:eastAsia="Arial" w:hAnsi="Arial"/>
                <w:sz w:val="18"/>
                <w:szCs w:val="18"/>
                <w:color w:val="auto"/>
              </w:rPr>
              <w:t>Net income available to common shares</w:t>
            </w: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26,100</w:t>
            </w:r>
          </w:p>
        </w:tc>
        <w:tc>
          <w:tcPr>
            <w:tcW w:w="80" w:type="dxa"/>
            <w:vAlign w:val="bottom"/>
            <w:shd w:val="clear" w:color="auto" w:fill="D1EDF5"/>
          </w:tcPr>
          <w:p>
            <w:pPr>
              <w:spacing w:after="0"/>
              <w:rPr>
                <w:sz w:val="20"/>
                <w:szCs w:val="20"/>
                <w:color w:val="auto"/>
              </w:rPr>
            </w:pPr>
          </w:p>
        </w:tc>
        <w:tc>
          <w:tcPr>
            <w:tcW w:w="360" w:type="dxa"/>
            <w:vAlign w:val="bottom"/>
            <w:shd w:val="clear" w:color="auto" w:fill="D1EDF5"/>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24,674</w:t>
            </w:r>
          </w:p>
        </w:tc>
      </w:tr>
      <w:tr>
        <w:trPr>
          <w:trHeight w:val="240"/>
        </w:trPr>
        <w:tc>
          <w:tcPr>
            <w:tcW w:w="69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78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D1EDF5"/>
          </w:tcPr>
          <w:p>
            <w:pPr>
              <w:spacing w:after="0"/>
              <w:rPr>
                <w:sz w:val="21"/>
                <w:szCs w:val="21"/>
                <w:color w:val="auto"/>
              </w:rPr>
            </w:pPr>
          </w:p>
        </w:tc>
        <w:tc>
          <w:tcPr>
            <w:tcW w:w="17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19,425,746</w:t>
            </w:r>
          </w:p>
        </w:tc>
        <w:tc>
          <w:tcPr>
            <w:tcW w:w="80" w:type="dxa"/>
            <w:vAlign w:val="bottom"/>
            <w:tcBorders>
              <w:bottom w:val="single" w:sz="8" w:color="D1EDF5"/>
            </w:tcBorders>
            <w:shd w:val="clear" w:color="auto" w:fill="D1EDF5"/>
          </w:tcPr>
          <w:p>
            <w:pPr>
              <w:spacing w:after="0"/>
              <w:rPr>
                <w:sz w:val="21"/>
                <w:szCs w:val="21"/>
                <w:color w:val="auto"/>
              </w:rPr>
            </w:pPr>
          </w:p>
        </w:tc>
        <w:tc>
          <w:tcPr>
            <w:tcW w:w="360" w:type="dxa"/>
            <w:vAlign w:val="bottom"/>
            <w:tcBorders>
              <w:bottom w:val="single" w:sz="8" w:color="auto"/>
            </w:tcBorders>
            <w:shd w:val="clear" w:color="auto" w:fill="D1EDF5"/>
          </w:tcPr>
          <w:p>
            <w:pPr>
              <w:spacing w:after="0"/>
              <w:rPr>
                <w:sz w:val="21"/>
                <w:szCs w:val="21"/>
                <w:color w:val="auto"/>
              </w:rPr>
            </w:pPr>
          </w:p>
        </w:tc>
        <w:tc>
          <w:tcPr>
            <w:tcW w:w="15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19,675,444</w:t>
            </w:r>
          </w:p>
        </w:tc>
      </w:tr>
      <w:tr>
        <w:trPr>
          <w:trHeight w:val="272"/>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40"/>
        </w:trPr>
        <w:tc>
          <w:tcPr>
            <w:tcW w:w="140" w:type="dxa"/>
            <w:vAlign w:val="bottom"/>
            <w:tcBorders>
              <w:top w:val="single" w:sz="8" w:color="D1EDF5"/>
            </w:tcBorders>
            <w:shd w:val="clear" w:color="auto" w:fill="D1EDF5"/>
          </w:tcPr>
          <w:p>
            <w:pPr>
              <w:spacing w:after="0"/>
              <w:rPr>
                <w:sz w:val="20"/>
                <w:szCs w:val="20"/>
                <w:color w:val="auto"/>
              </w:rPr>
            </w:pPr>
          </w:p>
        </w:tc>
        <w:tc>
          <w:tcPr>
            <w:tcW w:w="678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172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360" w:type="dxa"/>
            <w:vAlign w:val="bottom"/>
            <w:tcBorders>
              <w:top w:val="single" w:sz="8" w:color="auto"/>
            </w:tcBorders>
            <w:shd w:val="clear" w:color="auto" w:fill="D1EDF5"/>
          </w:tcPr>
          <w:p>
            <w:pPr>
              <w:spacing w:after="0"/>
              <w:rPr>
                <w:sz w:val="20"/>
                <w:szCs w:val="20"/>
                <w:color w:val="auto"/>
              </w:rPr>
            </w:pPr>
          </w:p>
        </w:tc>
        <w:tc>
          <w:tcPr>
            <w:tcW w:w="1540" w:type="dxa"/>
            <w:vAlign w:val="bottom"/>
            <w:tcBorders>
              <w:top w:val="single" w:sz="8" w:color="auto"/>
            </w:tcBorders>
            <w:shd w:val="clear" w:color="auto" w:fill="D1EDF5"/>
          </w:tcPr>
          <w:p>
            <w:pPr>
              <w:spacing w:after="0"/>
              <w:rPr>
                <w:sz w:val="20"/>
                <w:szCs w:val="20"/>
                <w:color w:val="auto"/>
              </w:rPr>
            </w:pPr>
          </w:p>
        </w:tc>
      </w:tr>
      <w:tr>
        <w:trPr>
          <w:trHeight w:val="24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0"/>
        </w:trPr>
        <w:tc>
          <w:tcPr>
            <w:tcW w:w="692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D1EDF5"/>
          </w:tcPr>
          <w:p>
            <w:pPr>
              <w:spacing w:after="0"/>
              <w:rPr>
                <w:sz w:val="20"/>
                <w:szCs w:val="20"/>
                <w:color w:val="auto"/>
              </w:rPr>
            </w:pPr>
          </w:p>
        </w:tc>
        <w:tc>
          <w:tcPr>
            <w:tcW w:w="17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154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available to common shares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26,100</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24,674</w:t>
            </w:r>
          </w:p>
        </w:tc>
      </w:tr>
      <w:tr>
        <w:trPr>
          <w:trHeight w:val="240"/>
        </w:trPr>
        <w:tc>
          <w:tcPr>
            <w:tcW w:w="692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D1EDF5"/>
          </w:tcPr>
          <w:p>
            <w:pPr>
              <w:spacing w:after="0"/>
              <w:rPr>
                <w:sz w:val="20"/>
                <w:szCs w:val="20"/>
                <w:color w:val="auto"/>
              </w:rPr>
            </w:pPr>
          </w:p>
        </w:tc>
        <w:tc>
          <w:tcPr>
            <w:tcW w:w="17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154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Weighted average shares outstanding for basic EPS</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19,425,746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19,675,444</w:t>
            </w:r>
          </w:p>
        </w:tc>
      </w:tr>
      <w:tr>
        <w:trPr>
          <w:trHeight w:val="240"/>
        </w:trPr>
        <w:tc>
          <w:tcPr>
            <w:tcW w:w="140" w:type="dxa"/>
            <w:vAlign w:val="bottom"/>
            <w:shd w:val="clear" w:color="auto" w:fill="D1EDF5"/>
          </w:tcPr>
          <w:p>
            <w:pPr>
              <w:spacing w:after="0"/>
              <w:rPr>
                <w:sz w:val="20"/>
                <w:szCs w:val="20"/>
                <w:color w:val="auto"/>
              </w:rPr>
            </w:pPr>
          </w:p>
        </w:tc>
        <w:tc>
          <w:tcPr>
            <w:tcW w:w="6780" w:type="dxa"/>
            <w:vAlign w:val="bottom"/>
            <w:shd w:val="clear" w:color="auto" w:fill="D1EDF5"/>
          </w:tcPr>
          <w:p>
            <w:pPr>
              <w:spacing w:after="0"/>
              <w:rPr>
                <w:sz w:val="20"/>
                <w:szCs w:val="20"/>
                <w:color w:val="auto"/>
              </w:rPr>
            </w:pPr>
            <w:r>
              <w:rPr>
                <w:rFonts w:ascii="Arial" w:cs="Arial" w:eastAsia="Arial" w:hAnsi="Arial"/>
                <w:sz w:val="18"/>
                <w:szCs w:val="18"/>
                <w:color w:val="auto"/>
              </w:rPr>
              <w:t>Add: Dilutive effects of assumed exercises of stock options</w:t>
            </w:r>
          </w:p>
        </w:tc>
        <w:tc>
          <w:tcPr>
            <w:tcW w:w="180" w:type="dxa"/>
            <w:vAlign w:val="bottom"/>
            <w:tcBorders>
              <w:bottom w:val="single" w:sz="8" w:color="auto"/>
            </w:tcBorders>
            <w:shd w:val="clear" w:color="auto" w:fill="D1EDF5"/>
          </w:tcPr>
          <w:p>
            <w:pPr>
              <w:spacing w:after="0"/>
              <w:rPr>
                <w:sz w:val="20"/>
                <w:szCs w:val="20"/>
                <w:color w:val="auto"/>
              </w:rPr>
            </w:pPr>
          </w:p>
        </w:tc>
        <w:tc>
          <w:tcPr>
            <w:tcW w:w="17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225,068</w:t>
            </w:r>
          </w:p>
        </w:tc>
        <w:tc>
          <w:tcPr>
            <w:tcW w:w="80" w:type="dxa"/>
            <w:vAlign w:val="bottom"/>
            <w:shd w:val="clear" w:color="auto" w:fill="D1EDF5"/>
          </w:tcPr>
          <w:p>
            <w:pPr>
              <w:spacing w:after="0"/>
              <w:rPr>
                <w:sz w:val="20"/>
                <w:szCs w:val="20"/>
                <w:color w:val="auto"/>
              </w:rPr>
            </w:pPr>
          </w:p>
        </w:tc>
        <w:tc>
          <w:tcPr>
            <w:tcW w:w="360" w:type="dxa"/>
            <w:vAlign w:val="bottom"/>
            <w:tcBorders>
              <w:bottom w:val="single" w:sz="8" w:color="auto"/>
            </w:tcBorders>
            <w:shd w:val="clear" w:color="auto" w:fill="D1EDF5"/>
          </w:tcPr>
          <w:p>
            <w:pPr>
              <w:spacing w:after="0"/>
              <w:rPr>
                <w:sz w:val="20"/>
                <w:szCs w:val="20"/>
                <w:color w:val="auto"/>
              </w:rPr>
            </w:pPr>
          </w:p>
        </w:tc>
        <w:tc>
          <w:tcPr>
            <w:tcW w:w="15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155,977</w:t>
            </w:r>
          </w:p>
        </w:tc>
      </w:tr>
      <w:tr>
        <w:trPr>
          <w:trHeight w:val="246"/>
        </w:trPr>
        <w:tc>
          <w:tcPr>
            <w:tcW w:w="140" w:type="dxa"/>
            <w:vAlign w:val="bottom"/>
            <w:tcBorders>
              <w:bottom w:val="single" w:sz="8" w:color="D1EDF5"/>
            </w:tcBorders>
          </w:tcPr>
          <w:p>
            <w:pPr>
              <w:spacing w:after="0"/>
              <w:rPr>
                <w:sz w:val="21"/>
                <w:szCs w:val="21"/>
                <w:color w:val="auto"/>
              </w:rPr>
            </w:pPr>
          </w:p>
        </w:tc>
        <w:tc>
          <w:tcPr>
            <w:tcW w:w="678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Weighted avg. shares including dilutive potential common shares</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19,650,814</w:t>
            </w:r>
          </w:p>
        </w:tc>
        <w:tc>
          <w:tcPr>
            <w:tcW w:w="80" w:type="dxa"/>
            <w:vAlign w:val="bottom"/>
            <w:tcBorders>
              <w:bottom w:val="single" w:sz="8" w:color="D1EDF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19,831,421</w:t>
            </w:r>
          </w:p>
        </w:tc>
      </w:tr>
      <w:tr>
        <w:trPr>
          <w:trHeight w:val="244"/>
        </w:trPr>
        <w:tc>
          <w:tcPr>
            <w:tcW w:w="692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Earnings per share, diluted</w:t>
            </w:r>
          </w:p>
        </w:tc>
        <w:tc>
          <w:tcPr>
            <w:tcW w:w="18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D1EDF5"/>
          </w:tcPr>
          <w:p>
            <w:pPr>
              <w:spacing w:after="0"/>
              <w:rPr>
                <w:sz w:val="21"/>
                <w:szCs w:val="21"/>
                <w:color w:val="auto"/>
              </w:rPr>
            </w:pPr>
          </w:p>
        </w:tc>
        <w:tc>
          <w:tcPr>
            <w:tcW w:w="360" w:type="dxa"/>
            <w:vAlign w:val="bottom"/>
            <w:tcBorders>
              <w:bottom w:val="single" w:sz="8" w:color="auto"/>
            </w:tcBorders>
            <w:shd w:val="clear" w:color="auto" w:fill="D1EDF5"/>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9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0"/>
        </w:trPr>
        <w:tc>
          <w:tcPr>
            <w:tcW w:w="69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0"/>
        </w:trPr>
        <w:tc>
          <w:tcPr>
            <w:tcW w:w="692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Anti-dilutive stock options excluded from diluted EPS</w:t>
            </w:r>
          </w:p>
        </w:tc>
        <w:tc>
          <w:tcPr>
            <w:tcW w:w="180" w:type="dxa"/>
            <w:vAlign w:val="bottom"/>
            <w:shd w:val="clear" w:color="auto" w:fill="D1EDF5"/>
          </w:tcPr>
          <w:p>
            <w:pPr>
              <w:spacing w:after="0"/>
              <w:rPr>
                <w:sz w:val="20"/>
                <w:szCs w:val="20"/>
                <w:color w:val="auto"/>
              </w:rPr>
            </w:pPr>
          </w:p>
        </w:tc>
        <w:tc>
          <w:tcPr>
            <w:tcW w:w="17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EDF5"/>
          </w:tcPr>
          <w:p>
            <w:pPr>
              <w:spacing w:after="0"/>
              <w:rPr>
                <w:sz w:val="20"/>
                <w:szCs w:val="20"/>
                <w:color w:val="auto"/>
              </w:rPr>
            </w:pPr>
          </w:p>
        </w:tc>
        <w:tc>
          <w:tcPr>
            <w:tcW w:w="360" w:type="dxa"/>
            <w:vAlign w:val="bottom"/>
            <w:shd w:val="clear" w:color="auto" w:fill="D1EDF5"/>
          </w:tcPr>
          <w:p>
            <w:pPr>
              <w:spacing w:after="0"/>
              <w:rPr>
                <w:sz w:val="20"/>
                <w:szCs w:val="20"/>
                <w:color w:val="auto"/>
              </w:rPr>
            </w:pPr>
          </w:p>
        </w:tc>
        <w:tc>
          <w:tcPr>
            <w:tcW w:w="15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15,000</w:t>
            </w:r>
          </w:p>
        </w:tc>
      </w:tr>
    </w:tbl>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Net income has not been allocated to unvested restricted stock awards that are participating securities because the amounts that would be allocated are not material to earnings per share of common stock. Unvested restricted stock awards that are participating securities represent less than one percent of all of the outstanding shares of common stock for each of the periods presented.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-374650</wp:posOffset>
                </wp:positionV>
                <wp:extent cx="439039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903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4999pt" to="345.7pt,-29.4999pt" o:allowincell="f" strokecolor="#000000" strokeweight="0.48pt"/>
            </w:pict>
          </mc:Fallback>
        </mc:AlternateContent>
      </w:r>
    </w:p>
    <w:p>
      <w:pPr>
        <w:spacing w:after="0" w:line="321" w:lineRule="exact"/>
        <w:rPr>
          <w:sz w:val="20"/>
          <w:szCs w:val="20"/>
          <w:color w:val="auto"/>
        </w:rPr>
      </w:pPr>
    </w:p>
    <w:p>
      <w:pPr>
        <w:ind w:left="540" w:hanging="540"/>
        <w:spacing w:after="0"/>
        <w:tabs>
          <w:tab w:leader="none" w:pos="5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36195</wp:posOffset>
                </wp:positionV>
                <wp:extent cx="689356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5pt" to="541.4pt,2.85pt" o:allowincell="f" strokecolor="#000000" strokeweight="1.44pt"/>
            </w:pict>
          </mc:Fallback>
        </mc:AlternateContent>
      </w:r>
    </w:p>
    <w:p>
      <w:pPr>
        <w:spacing w:after="0" w:line="26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Company’s and the Bank’s capital amounts and classification are also subject to qualitative judgments by the regulators about components, risk weightings, and other factors.</w:t>
      </w:r>
    </w:p>
    <w:p>
      <w:pPr>
        <w:spacing w:after="0" w:line="19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regulatory capital measurements independent of the Bank.</w:t>
      </w:r>
    </w:p>
    <w:p>
      <w:pPr>
        <w:spacing w:after="0" w:line="180" w:lineRule="exact"/>
        <w:rPr>
          <w:sz w:val="20"/>
          <w:szCs w:val="20"/>
          <w:color w:val="auto"/>
        </w:rPr>
      </w:pPr>
    </w:p>
    <w:p>
      <w:pPr>
        <w:jc w:val="both"/>
        <w:ind w:firstLine="361"/>
        <w:spacing w:after="0" w:line="261" w:lineRule="auto"/>
        <w:rPr>
          <w:sz w:val="20"/>
          <w:szCs w:val="20"/>
          <w:color w:val="auto"/>
        </w:rPr>
      </w:pPr>
      <w:r>
        <w:rPr>
          <w:rFonts w:ascii="Arial" w:cs="Arial" w:eastAsia="Arial" w:hAnsi="Arial"/>
          <w:sz w:val="20"/>
          <w:szCs w:val="20"/>
          <w:color w:val="auto"/>
        </w:rPr>
        <w:t>The Bank elected to permanently opt-out of the inclusion of accumulated other comprehensive income in the capital calculations, as permitted by the regulations. This opt-out reduces the impact of market volatility on the Bank’s regulatory capital levels.</w:t>
      </w:r>
    </w:p>
    <w:p>
      <w:pPr>
        <w:spacing w:after="0" w:line="16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0"/>
          <w:szCs w:val="20"/>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 limit the ability of the Bank to pay dividends, repurchase shares or pay discretionary bonuses. At December 31, 2025 and 2024, the capital ratios for the Bank were sufficient to meet the conservation buffer.</w:t>
      </w:r>
    </w:p>
    <w:p>
      <w:pPr>
        <w:spacing w:after="0" w:line="178"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Prompt corrective action regulations provide five classifications: well capitalized, adequately capitalized, undercapitalized, significantly undercapitalized, and critically undercapitalized, although these terms are not used to</w:t>
      </w:r>
    </w:p>
    <w:p>
      <w:pPr>
        <w:spacing w:after="0" w:line="197"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8" w:name="page119"/>
    <w:bookmarkEnd w:id="118"/>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69" w:lineRule="exact"/>
        <w:rPr>
          <w:sz w:val="20"/>
          <w:szCs w:val="20"/>
          <w:color w:val="auto"/>
        </w:rPr>
      </w:pPr>
    </w:p>
    <w:p>
      <w:pPr>
        <w:jc w:val="both"/>
        <w:ind w:firstLine="361"/>
        <w:spacing w:after="0" w:line="246" w:lineRule="auto"/>
        <w:rPr>
          <w:sz w:val="20"/>
          <w:szCs w:val="20"/>
          <w:color w:val="auto"/>
        </w:rPr>
      </w:pPr>
      <w:r>
        <w:rPr>
          <w:rFonts w:ascii="Arial" w:cs="Arial" w:eastAsia="Arial" w:hAnsi="Arial"/>
          <w:sz w:val="20"/>
          <w:szCs w:val="20"/>
          <w:color w:val="auto"/>
        </w:rPr>
        <w:t>At December 31, 2025 and 2024,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186"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Actual and required capital amounts and ratios are presented below for the Bank at December 31, 2025 and 2024 (in thousands, except ratios). The required amounts for capital adequacy shown do not include the capital conservation buffer previously discussed.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Arial" w:cs="Arial" w:eastAsia="Arial" w:hAnsi="Arial"/>
                <w:sz w:val="18"/>
                <w:szCs w:val="18"/>
                <w:b w:val="1"/>
                <w:bCs w:val="1"/>
                <w:color w:val="auto"/>
              </w:rPr>
              <w:t>Minimum Capital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140"/>
              <w:spacing w:after="0"/>
              <w:rPr>
                <w:sz w:val="20"/>
                <w:szCs w:val="20"/>
                <w:color w:val="auto"/>
              </w:rPr>
            </w:pPr>
            <w:r>
              <w:rPr>
                <w:rFonts w:ascii="Arial" w:cs="Arial" w:eastAsia="Arial" w:hAnsi="Arial"/>
                <w:sz w:val="18"/>
                <w:szCs w:val="18"/>
                <w:b w:val="1"/>
                <w:bCs w:val="1"/>
                <w:color w:val="auto"/>
              </w:rPr>
              <w:t>To be Well Capitalized</w:t>
            </w: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8"/>
                <w:szCs w:val="18"/>
                <w:b w:val="1"/>
                <w:bCs w:val="1"/>
                <w:color w:val="auto"/>
              </w:rPr>
              <w:t>Under Prompt Corrective</w:t>
            </w:r>
          </w:p>
        </w:tc>
        <w:tc>
          <w:tcPr>
            <w:tcW w:w="0" w:type="dxa"/>
            <w:vAlign w:val="bottom"/>
          </w:tcPr>
          <w:p>
            <w:pPr>
              <w:spacing w:after="0"/>
              <w:rPr>
                <w:sz w:val="1"/>
                <w:szCs w:val="1"/>
                <w:color w:val="auto"/>
              </w:rPr>
            </w:pPr>
          </w:p>
        </w:tc>
      </w:tr>
      <w:tr>
        <w:trPr>
          <w:trHeight w:val="227"/>
        </w:trPr>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Actual</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Requirements</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Action Provisions</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Ratio</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232"/>
        </w:trPr>
        <w:tc>
          <w:tcPr>
            <w:tcW w:w="286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December 31, 2025</w:t>
            </w:r>
          </w:p>
        </w:tc>
        <w:tc>
          <w:tcPr>
            <w:tcW w:w="54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98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300" w:type="dxa"/>
            <w:vAlign w:val="bottom"/>
            <w:tcBorders>
              <w:top w:val="single" w:sz="8" w:color="auto"/>
            </w:tcBorders>
            <w:shd w:val="clear" w:color="auto" w:fill="D1EDF5"/>
          </w:tcPr>
          <w:p>
            <w:pPr>
              <w:spacing w:after="0"/>
              <w:rPr>
                <w:sz w:val="20"/>
                <w:szCs w:val="20"/>
                <w:color w:val="auto"/>
              </w:rPr>
            </w:pPr>
          </w:p>
        </w:tc>
        <w:tc>
          <w:tcPr>
            <w:tcW w:w="62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auto"/>
            </w:tcBorders>
            <w:shd w:val="clear" w:color="auto" w:fill="D1EDF5"/>
          </w:tcPr>
          <w:p>
            <w:pPr>
              <w:spacing w:after="0"/>
              <w:rPr>
                <w:sz w:val="20"/>
                <w:szCs w:val="20"/>
                <w:color w:val="auto"/>
              </w:rPr>
            </w:pPr>
          </w:p>
        </w:tc>
        <w:tc>
          <w:tcPr>
            <w:tcW w:w="20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180" w:type="dxa"/>
            <w:vAlign w:val="bottom"/>
            <w:tcBorders>
              <w:top w:val="single" w:sz="8" w:color="auto"/>
            </w:tcBorders>
            <w:shd w:val="clear" w:color="auto" w:fill="D1EDF5"/>
          </w:tcPr>
          <w:p>
            <w:pPr>
              <w:spacing w:after="0"/>
              <w:rPr>
                <w:sz w:val="20"/>
                <w:szCs w:val="20"/>
                <w:color w:val="auto"/>
              </w:rPr>
            </w:pPr>
          </w:p>
        </w:tc>
        <w:tc>
          <w:tcPr>
            <w:tcW w:w="98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920" w:type="dxa"/>
            <w:vAlign w:val="bottom"/>
            <w:tcBorders>
              <w:top w:val="single" w:sz="8" w:color="auto"/>
            </w:tcBorders>
            <w:shd w:val="clear" w:color="auto" w:fill="D1EDF5"/>
          </w:tcPr>
          <w:p>
            <w:pPr>
              <w:spacing w:after="0"/>
              <w:rPr>
                <w:sz w:val="20"/>
                <w:szCs w:val="20"/>
                <w:color w:val="auto"/>
              </w:rPr>
            </w:pPr>
          </w:p>
        </w:tc>
        <w:tc>
          <w:tcPr>
            <w:tcW w:w="280" w:type="dxa"/>
            <w:vAlign w:val="bottom"/>
            <w:tcBorders>
              <w:top w:val="single" w:sz="8" w:color="auto"/>
            </w:tcBorders>
            <w:shd w:val="clear" w:color="auto" w:fill="D1EDF5"/>
          </w:tcPr>
          <w:p>
            <w:pPr>
              <w:spacing w:after="0"/>
              <w:rPr>
                <w:sz w:val="20"/>
                <w:szCs w:val="20"/>
                <w:color w:val="auto"/>
              </w:rPr>
            </w:pPr>
          </w:p>
        </w:tc>
        <w:tc>
          <w:tcPr>
            <w:tcW w:w="60" w:type="dxa"/>
            <w:vAlign w:val="bottom"/>
            <w:tcBorders>
              <w:top w:val="single" w:sz="8" w:color="D1EDF5"/>
            </w:tcBorders>
            <w:shd w:val="clear" w:color="auto" w:fill="D1EDF5"/>
          </w:tcPr>
          <w:p>
            <w:pPr>
              <w:spacing w:after="0"/>
              <w:rPr>
                <w:sz w:val="20"/>
                <w:szCs w:val="20"/>
                <w:color w:val="auto"/>
              </w:rPr>
            </w:pPr>
          </w:p>
        </w:tc>
        <w:tc>
          <w:tcPr>
            <w:tcW w:w="120" w:type="dxa"/>
            <w:vAlign w:val="bottom"/>
            <w:tcBorders>
              <w:top w:val="single" w:sz="8" w:color="auto"/>
            </w:tcBorders>
            <w:shd w:val="clear" w:color="auto" w:fill="D1EDF5"/>
          </w:tcPr>
          <w:p>
            <w:pPr>
              <w:spacing w:after="0"/>
              <w:rPr>
                <w:sz w:val="20"/>
                <w:szCs w:val="20"/>
                <w:color w:val="auto"/>
              </w:rPr>
            </w:pPr>
          </w:p>
        </w:tc>
        <w:tc>
          <w:tcPr>
            <w:tcW w:w="1040" w:type="dxa"/>
            <w:vAlign w:val="bottom"/>
            <w:tcBorders>
              <w:top w:val="single" w:sz="8" w:color="auto"/>
            </w:tcBorders>
            <w:shd w:val="clear" w:color="auto" w:fill="D1EDF5"/>
          </w:tcPr>
          <w:p>
            <w:pPr>
              <w:spacing w:after="0"/>
              <w:rPr>
                <w:sz w:val="20"/>
                <w:szCs w:val="20"/>
                <w:color w:val="auto"/>
              </w:rPr>
            </w:pPr>
          </w:p>
        </w:tc>
        <w:tc>
          <w:tcPr>
            <w:tcW w:w="80" w:type="dxa"/>
            <w:vAlign w:val="bottom"/>
            <w:tcBorders>
              <w:top w:val="single" w:sz="8" w:color="D1EDF5"/>
            </w:tcBorders>
            <w:shd w:val="clear" w:color="auto" w:fill="D1EDF5"/>
          </w:tcPr>
          <w:p>
            <w:pPr>
              <w:spacing w:after="0"/>
              <w:rPr>
                <w:sz w:val="20"/>
                <w:szCs w:val="20"/>
                <w:color w:val="auto"/>
              </w:rPr>
            </w:pPr>
          </w:p>
        </w:tc>
        <w:tc>
          <w:tcPr>
            <w:tcW w:w="920" w:type="dxa"/>
            <w:vAlign w:val="bottom"/>
            <w:tcBorders>
              <w:top w:val="single" w:sz="8" w:color="auto"/>
            </w:tcBorders>
            <w:shd w:val="clear" w:color="auto" w:fill="D1EDF5"/>
          </w:tcPr>
          <w:p>
            <w:pPr>
              <w:spacing w:after="0"/>
              <w:rPr>
                <w:sz w:val="20"/>
                <w:szCs w:val="20"/>
                <w:color w:val="auto"/>
              </w:rPr>
            </w:pPr>
          </w:p>
        </w:tc>
        <w:tc>
          <w:tcPr>
            <w:tcW w:w="260" w:type="dxa"/>
            <w:vAlign w:val="bottom"/>
            <w:tcBorders>
              <w:top w:val="single" w:sz="8" w:color="auto"/>
            </w:tcBorders>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Total risk-based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299,596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13.67 %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175,387</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40"/>
              <w:spacing w:after="0"/>
              <w:rPr>
                <w:sz w:val="20"/>
                <w:szCs w:val="20"/>
                <w:color w:val="auto"/>
              </w:rPr>
            </w:pPr>
            <w:r>
              <w:rPr>
                <w:rFonts w:ascii="Arial" w:cs="Arial" w:eastAsia="Arial" w:hAnsi="Arial"/>
                <w:sz w:val="18"/>
                <w:szCs w:val="18"/>
                <w:color w:val="auto"/>
              </w:rPr>
              <w:t>219,234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0"/>
        </w:trPr>
        <w:tc>
          <w:tcPr>
            <w:tcW w:w="2860" w:type="dxa"/>
            <w:vAlign w:val="bottom"/>
            <w:shd w:val="clear" w:color="auto" w:fill="D1EDF5"/>
          </w:tcPr>
          <w:p>
            <w:pPr>
              <w:spacing w:after="0"/>
              <w:rPr>
                <w:sz w:val="20"/>
                <w:szCs w:val="20"/>
                <w:color w:val="auto"/>
              </w:rPr>
            </w:pPr>
            <w:r>
              <w:rPr>
                <w:rFonts w:ascii="Arial" w:cs="Arial" w:eastAsia="Arial" w:hAnsi="Arial"/>
                <w:sz w:val="18"/>
                <w:szCs w:val="18"/>
                <w:color w:val="auto"/>
              </w:rPr>
              <w:t>Tier 1 risk-based capital:</w:t>
            </w:r>
          </w:p>
        </w:tc>
        <w:tc>
          <w:tcPr>
            <w:tcW w:w="5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273,342</w:t>
            </w:r>
          </w:p>
        </w:tc>
        <w:tc>
          <w:tcPr>
            <w:tcW w:w="80" w:type="dxa"/>
            <w:vAlign w:val="bottom"/>
            <w:shd w:val="clear" w:color="auto" w:fill="D1EDF5"/>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620" w:type="dxa"/>
            <w:vAlign w:val="bottom"/>
            <w:shd w:val="clear" w:color="auto" w:fill="D1EDF5"/>
          </w:tcPr>
          <w:p>
            <w:pPr>
              <w:spacing w:after="0"/>
              <w:rPr>
                <w:sz w:val="20"/>
                <w:szCs w:val="20"/>
                <w:color w:val="auto"/>
              </w:rPr>
            </w:pPr>
          </w:p>
        </w:tc>
        <w:tc>
          <w:tcPr>
            <w:tcW w:w="60" w:type="dxa"/>
            <w:vAlign w:val="bottom"/>
            <w:shd w:val="clear" w:color="auto" w:fill="D1EDF5"/>
          </w:tcPr>
          <w:p>
            <w:pPr>
              <w:jc w:val="right"/>
              <w:ind w:right="55"/>
              <w:spacing w:after="0"/>
              <w:rPr>
                <w:sz w:val="20"/>
                <w:szCs w:val="20"/>
                <w:color w:val="auto"/>
              </w:rPr>
            </w:pPr>
            <w:r>
              <w:rPr>
                <w:rFonts w:ascii="Arial" w:cs="Arial" w:eastAsia="Arial" w:hAnsi="Arial"/>
                <w:sz w:val="1"/>
                <w:szCs w:val="1"/>
                <w:color w:val="auto"/>
                <w:w w:val="63"/>
              </w:rPr>
              <w:t>12.  47</w:t>
            </w:r>
          </w:p>
        </w:tc>
        <w:tc>
          <w:tcPr>
            <w:tcW w:w="2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87"/>
                <w:shd w:val="clear" w:color="auto" w:fill="D1EDF5"/>
              </w:rPr>
              <w:t>%</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131,541</w:t>
            </w:r>
          </w:p>
        </w:tc>
        <w:tc>
          <w:tcPr>
            <w:tcW w:w="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ind w:left="320"/>
              <w:spacing w:after="0"/>
              <w:rPr>
                <w:sz w:val="20"/>
                <w:szCs w:val="20"/>
                <w:color w:val="auto"/>
              </w:rPr>
            </w:pPr>
            <w:r>
              <w:rPr>
                <w:rFonts w:ascii="Arial" w:cs="Arial" w:eastAsia="Arial" w:hAnsi="Arial"/>
                <w:sz w:val="18"/>
                <w:szCs w:val="18"/>
                <w:color w:val="auto"/>
              </w:rPr>
              <w:t>175,387</w:t>
            </w:r>
          </w:p>
        </w:tc>
        <w:tc>
          <w:tcPr>
            <w:tcW w:w="8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Common equity tier 1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273,342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12.47 %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98,655</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142,502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0"/>
        </w:trPr>
        <w:tc>
          <w:tcPr>
            <w:tcW w:w="2860" w:type="dxa"/>
            <w:vAlign w:val="bottom"/>
            <w:shd w:val="clear" w:color="auto" w:fill="D1EDF5"/>
          </w:tcPr>
          <w:p>
            <w:pPr>
              <w:spacing w:after="0"/>
              <w:rPr>
                <w:sz w:val="20"/>
                <w:szCs w:val="20"/>
                <w:color w:val="auto"/>
              </w:rPr>
            </w:pPr>
            <w:r>
              <w:rPr>
                <w:rFonts w:ascii="Arial" w:cs="Arial" w:eastAsia="Arial" w:hAnsi="Arial"/>
                <w:sz w:val="18"/>
                <w:szCs w:val="18"/>
                <w:color w:val="auto"/>
              </w:rPr>
              <w:t>Leverage ratio:</w:t>
            </w:r>
          </w:p>
        </w:tc>
        <w:tc>
          <w:tcPr>
            <w:tcW w:w="5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273,342</w:t>
            </w:r>
          </w:p>
        </w:tc>
        <w:tc>
          <w:tcPr>
            <w:tcW w:w="80" w:type="dxa"/>
            <w:vAlign w:val="bottom"/>
            <w:shd w:val="clear" w:color="auto" w:fill="D1EDF5"/>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6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9.65</w:t>
            </w:r>
          </w:p>
        </w:tc>
        <w:tc>
          <w:tcPr>
            <w:tcW w:w="60" w:type="dxa"/>
            <w:vAlign w:val="bottom"/>
            <w:shd w:val="clear" w:color="auto" w:fill="D1EDF5"/>
          </w:tcPr>
          <w:p>
            <w:pPr>
              <w:spacing w:after="0"/>
              <w:rPr>
                <w:sz w:val="20"/>
                <w:szCs w:val="20"/>
                <w:color w:val="auto"/>
              </w:rPr>
            </w:pPr>
          </w:p>
        </w:tc>
        <w:tc>
          <w:tcPr>
            <w:tcW w:w="2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87"/>
                <w:shd w:val="clear" w:color="auto" w:fill="D1EDF5"/>
              </w:rPr>
              <w:t>%</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113,296</w:t>
            </w:r>
          </w:p>
        </w:tc>
        <w:tc>
          <w:tcPr>
            <w:tcW w:w="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ind w:left="320"/>
              <w:spacing w:after="0"/>
              <w:rPr>
                <w:sz w:val="20"/>
                <w:szCs w:val="20"/>
                <w:color w:val="auto"/>
              </w:rPr>
            </w:pPr>
            <w:r>
              <w:rPr>
                <w:rFonts w:ascii="Arial" w:cs="Arial" w:eastAsia="Arial" w:hAnsi="Arial"/>
                <w:sz w:val="18"/>
                <w:szCs w:val="18"/>
                <w:color w:val="auto"/>
              </w:rPr>
              <w:t>141,620</w:t>
            </w:r>
          </w:p>
        </w:tc>
        <w:tc>
          <w:tcPr>
            <w:tcW w:w="8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6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December 31, 2024</w:t>
            </w:r>
          </w:p>
        </w:tc>
        <w:tc>
          <w:tcPr>
            <w:tcW w:w="5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62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98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8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04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92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Total risk-based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266,387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13.34 %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159,795</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40"/>
              <w:spacing w:after="0"/>
              <w:rPr>
                <w:sz w:val="20"/>
                <w:szCs w:val="20"/>
                <w:color w:val="auto"/>
              </w:rPr>
            </w:pPr>
            <w:r>
              <w:rPr>
                <w:rFonts w:ascii="Arial" w:cs="Arial" w:eastAsia="Arial" w:hAnsi="Arial"/>
                <w:sz w:val="18"/>
                <w:szCs w:val="18"/>
                <w:color w:val="auto"/>
              </w:rPr>
              <w:t>199,744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0"/>
        </w:trPr>
        <w:tc>
          <w:tcPr>
            <w:tcW w:w="2860" w:type="dxa"/>
            <w:vAlign w:val="bottom"/>
            <w:shd w:val="clear" w:color="auto" w:fill="D1EDF5"/>
          </w:tcPr>
          <w:p>
            <w:pPr>
              <w:spacing w:after="0"/>
              <w:rPr>
                <w:sz w:val="20"/>
                <w:szCs w:val="20"/>
                <w:color w:val="auto"/>
              </w:rPr>
            </w:pPr>
            <w:r>
              <w:rPr>
                <w:rFonts w:ascii="Arial" w:cs="Arial" w:eastAsia="Arial" w:hAnsi="Arial"/>
                <w:sz w:val="18"/>
                <w:szCs w:val="18"/>
                <w:color w:val="auto"/>
              </w:rPr>
              <w:t>Tier 1 risk-based capital:</w:t>
            </w:r>
          </w:p>
        </w:tc>
        <w:tc>
          <w:tcPr>
            <w:tcW w:w="5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1EDF5"/>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6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12.10</w:t>
            </w:r>
          </w:p>
        </w:tc>
        <w:tc>
          <w:tcPr>
            <w:tcW w:w="60" w:type="dxa"/>
            <w:vAlign w:val="bottom"/>
            <w:shd w:val="clear" w:color="auto" w:fill="D1EDF5"/>
          </w:tcPr>
          <w:p>
            <w:pPr>
              <w:spacing w:after="0"/>
              <w:rPr>
                <w:sz w:val="20"/>
                <w:szCs w:val="20"/>
                <w:color w:val="auto"/>
              </w:rPr>
            </w:pPr>
          </w:p>
        </w:tc>
        <w:tc>
          <w:tcPr>
            <w:tcW w:w="2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87"/>
                <w:shd w:val="clear" w:color="auto" w:fill="D1EDF5"/>
              </w:rPr>
              <w:t>%</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119,846</w:t>
            </w:r>
          </w:p>
        </w:tc>
        <w:tc>
          <w:tcPr>
            <w:tcW w:w="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ind w:left="320"/>
              <w:spacing w:after="0"/>
              <w:rPr>
                <w:sz w:val="20"/>
                <w:szCs w:val="20"/>
                <w:color w:val="auto"/>
              </w:rPr>
            </w:pPr>
            <w:r>
              <w:rPr>
                <w:rFonts w:ascii="Arial" w:cs="Arial" w:eastAsia="Arial" w:hAnsi="Arial"/>
                <w:sz w:val="18"/>
                <w:szCs w:val="18"/>
                <w:color w:val="auto"/>
              </w:rPr>
              <w:t>159,795</w:t>
            </w:r>
          </w:p>
        </w:tc>
        <w:tc>
          <w:tcPr>
            <w:tcW w:w="8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r>
              <w:rPr>
                <w:rFonts w:ascii="Arial" w:cs="Arial" w:eastAsia="Arial" w:hAnsi="Arial"/>
                <w:sz w:val="18"/>
                <w:szCs w:val="18"/>
                <w:color w:val="auto"/>
              </w:rPr>
              <w:t>Common equity tier 1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12.10 %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89,885</w:t>
            </w:r>
          </w:p>
        </w:tc>
        <w:tc>
          <w:tcPr>
            <w:tcW w:w="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129,834</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0"/>
        </w:trPr>
        <w:tc>
          <w:tcPr>
            <w:tcW w:w="2860" w:type="dxa"/>
            <w:vAlign w:val="bottom"/>
            <w:shd w:val="clear" w:color="auto" w:fill="D1EDF5"/>
          </w:tcPr>
          <w:p>
            <w:pPr>
              <w:spacing w:after="0"/>
              <w:rPr>
                <w:sz w:val="20"/>
                <w:szCs w:val="20"/>
                <w:color w:val="auto"/>
              </w:rPr>
            </w:pPr>
            <w:r>
              <w:rPr>
                <w:rFonts w:ascii="Arial" w:cs="Arial" w:eastAsia="Arial" w:hAnsi="Arial"/>
                <w:sz w:val="18"/>
                <w:szCs w:val="18"/>
                <w:color w:val="auto"/>
              </w:rPr>
              <w:t>Leverage ratio:</w:t>
            </w:r>
          </w:p>
        </w:tc>
        <w:tc>
          <w:tcPr>
            <w:tcW w:w="5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241,740</w:t>
            </w:r>
          </w:p>
        </w:tc>
        <w:tc>
          <w:tcPr>
            <w:tcW w:w="80" w:type="dxa"/>
            <w:vAlign w:val="bottom"/>
            <w:shd w:val="clear" w:color="auto" w:fill="D1EDF5"/>
          </w:tcPr>
          <w:p>
            <w:pPr>
              <w:spacing w:after="0"/>
              <w:rPr>
                <w:sz w:val="20"/>
                <w:szCs w:val="20"/>
                <w:color w:val="auto"/>
              </w:rPr>
            </w:pPr>
          </w:p>
        </w:tc>
        <w:tc>
          <w:tcPr>
            <w:tcW w:w="300" w:type="dxa"/>
            <w:vAlign w:val="bottom"/>
            <w:shd w:val="clear" w:color="auto" w:fill="D1EDF5"/>
          </w:tcPr>
          <w:p>
            <w:pPr>
              <w:spacing w:after="0"/>
              <w:rPr>
                <w:sz w:val="20"/>
                <w:szCs w:val="20"/>
                <w:color w:val="auto"/>
              </w:rPr>
            </w:pPr>
          </w:p>
        </w:tc>
        <w:tc>
          <w:tcPr>
            <w:tcW w:w="6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9.38</w:t>
            </w:r>
          </w:p>
        </w:tc>
        <w:tc>
          <w:tcPr>
            <w:tcW w:w="60" w:type="dxa"/>
            <w:vAlign w:val="bottom"/>
            <w:shd w:val="clear" w:color="auto" w:fill="D1EDF5"/>
          </w:tcPr>
          <w:p>
            <w:pPr>
              <w:spacing w:after="0"/>
              <w:rPr>
                <w:sz w:val="20"/>
                <w:szCs w:val="20"/>
                <w:color w:val="auto"/>
              </w:rPr>
            </w:pPr>
          </w:p>
        </w:tc>
        <w:tc>
          <w:tcPr>
            <w:tcW w:w="200" w:type="dxa"/>
            <w:vAlign w:val="bottom"/>
            <w:shd w:val="clear" w:color="auto" w:fill="D1EDF5"/>
          </w:tcPr>
          <w:p>
            <w:pPr>
              <w:jc w:val="right"/>
              <w:spacing w:after="0"/>
              <w:rPr>
                <w:sz w:val="20"/>
                <w:szCs w:val="20"/>
                <w:color w:val="auto"/>
              </w:rPr>
            </w:pPr>
            <w:r>
              <w:rPr>
                <w:rFonts w:ascii="Arial" w:cs="Arial" w:eastAsia="Arial" w:hAnsi="Arial"/>
                <w:sz w:val="18"/>
                <w:szCs w:val="18"/>
                <w:color w:val="auto"/>
                <w:w w:val="87"/>
                <w:shd w:val="clear" w:color="auto" w:fill="D1EDF5"/>
              </w:rPr>
              <w:t>%</w:t>
            </w:r>
          </w:p>
        </w:tc>
        <w:tc>
          <w:tcPr>
            <w:tcW w:w="8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103,074</w:t>
            </w:r>
          </w:p>
        </w:tc>
        <w:tc>
          <w:tcPr>
            <w:tcW w:w="6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EDF5"/>
          </w:tcPr>
          <w:p>
            <w:pPr>
              <w:ind w:left="320"/>
              <w:spacing w:after="0"/>
              <w:rPr>
                <w:sz w:val="20"/>
                <w:szCs w:val="20"/>
                <w:color w:val="auto"/>
              </w:rPr>
            </w:pPr>
            <w:r>
              <w:rPr>
                <w:rFonts w:ascii="Arial" w:cs="Arial" w:eastAsia="Arial" w:hAnsi="Arial"/>
                <w:sz w:val="18"/>
                <w:szCs w:val="18"/>
                <w:color w:val="auto"/>
              </w:rPr>
              <w:t>128,843</w:t>
            </w:r>
          </w:p>
        </w:tc>
        <w:tc>
          <w:tcPr>
            <w:tcW w:w="80" w:type="dxa"/>
            <w:vAlign w:val="bottom"/>
            <w:shd w:val="clear" w:color="auto" w:fill="D1EDF5"/>
          </w:tcPr>
          <w:p>
            <w:pPr>
              <w:spacing w:after="0"/>
              <w:rPr>
                <w:sz w:val="20"/>
                <w:szCs w:val="20"/>
                <w:color w:val="auto"/>
              </w:rPr>
            </w:pPr>
          </w:p>
        </w:tc>
        <w:tc>
          <w:tcPr>
            <w:tcW w:w="9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20"/>
          <w:szCs w:val="20"/>
          <w:color w:val="auto"/>
        </w:rPr>
        <w:t>The Company is limited in the amount of cash dividends that it may pay. Payment of dividends is generally limited to the Company’s net income for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including dividends to their parent holding company, if they deem such payment to be an unsafe or unsound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19" w:name="page120"/>
    <w:bookmarkEnd w:id="119"/>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hanging="720"/>
        <w:spacing w:after="0"/>
        <w:tabs>
          <w:tab w:leader="none" w:pos="72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4pt"/>
            </w:pict>
          </mc:Fallback>
        </mc:AlternateContent>
      </w:r>
    </w:p>
    <w:p>
      <w:pPr>
        <w:spacing w:after="0" w:line="26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2025 and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Years Ended December 31,</w:t>
            </w:r>
          </w:p>
        </w:tc>
      </w:tr>
      <w:tr>
        <w:trPr>
          <w:trHeight w:val="230"/>
        </w:trPr>
        <w:tc>
          <w:tcPr>
            <w:tcW w:w="5480" w:type="dxa"/>
            <w:vAlign w:val="bottom"/>
            <w:tcBorders>
              <w:bottom w:val="single" w:sz="8" w:color="D1EDF5"/>
            </w:tcBorders>
          </w:tcPr>
          <w:p>
            <w:pPr>
              <w:spacing w:after="0"/>
              <w:rPr>
                <w:sz w:val="19"/>
                <w:szCs w:val="19"/>
                <w:color w:val="auto"/>
              </w:rPr>
            </w:pPr>
          </w:p>
        </w:tc>
        <w:tc>
          <w:tcPr>
            <w:tcW w:w="2040" w:type="dxa"/>
            <w:vAlign w:val="bottom"/>
            <w:tcBorders>
              <w:bottom w:val="single" w:sz="8" w:color="D1EDF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D1EDF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30"/>
        </w:trPr>
        <w:tc>
          <w:tcPr>
            <w:tcW w:w="548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Consolidated Balance Sheets:</w:t>
            </w:r>
          </w:p>
        </w:tc>
        <w:tc>
          <w:tcPr>
            <w:tcW w:w="2040" w:type="dxa"/>
            <w:vAlign w:val="bottom"/>
            <w:shd w:val="clear" w:color="auto" w:fill="D1EDF5"/>
          </w:tcPr>
          <w:p>
            <w:pPr>
              <w:spacing w:after="0"/>
              <w:rPr>
                <w:sz w:val="19"/>
                <w:szCs w:val="19"/>
                <w:color w:val="auto"/>
              </w:rPr>
            </w:pPr>
          </w:p>
        </w:tc>
        <w:tc>
          <w:tcPr>
            <w:tcW w:w="180" w:type="dxa"/>
            <w:vAlign w:val="bottom"/>
            <w:shd w:val="clear" w:color="auto" w:fill="D1EDF5"/>
          </w:tcPr>
          <w:p>
            <w:pPr>
              <w:spacing w:after="0"/>
              <w:rPr>
                <w:sz w:val="19"/>
                <w:szCs w:val="19"/>
                <w:color w:val="auto"/>
              </w:rPr>
            </w:pPr>
          </w:p>
        </w:tc>
        <w:tc>
          <w:tcPr>
            <w:tcW w:w="1420" w:type="dxa"/>
            <w:vAlign w:val="bottom"/>
            <w:shd w:val="clear" w:color="auto" w:fill="D1EDF5"/>
          </w:tcPr>
          <w:p>
            <w:pPr>
              <w:spacing w:after="0"/>
              <w:rPr>
                <w:sz w:val="19"/>
                <w:szCs w:val="19"/>
                <w:color w:val="auto"/>
              </w:rPr>
            </w:pPr>
          </w:p>
        </w:tc>
        <w:tc>
          <w:tcPr>
            <w:tcW w:w="80" w:type="dxa"/>
            <w:vAlign w:val="bottom"/>
            <w:shd w:val="clear" w:color="auto" w:fill="D1EDF5"/>
          </w:tcPr>
          <w:p>
            <w:pPr>
              <w:spacing w:after="0"/>
              <w:rPr>
                <w:sz w:val="19"/>
                <w:szCs w:val="19"/>
                <w:color w:val="auto"/>
              </w:rPr>
            </w:pPr>
          </w:p>
        </w:tc>
        <w:tc>
          <w:tcPr>
            <w:tcW w:w="340" w:type="dxa"/>
            <w:vAlign w:val="bottom"/>
            <w:shd w:val="clear" w:color="auto" w:fill="D1EDF5"/>
          </w:tcPr>
          <w:p>
            <w:pPr>
              <w:spacing w:after="0"/>
              <w:rPr>
                <w:sz w:val="19"/>
                <w:szCs w:val="19"/>
                <w:color w:val="auto"/>
              </w:rPr>
            </w:pPr>
          </w:p>
        </w:tc>
        <w:tc>
          <w:tcPr>
            <w:tcW w:w="1260" w:type="dxa"/>
            <w:vAlign w:val="bottom"/>
            <w:shd w:val="clear" w:color="auto" w:fill="D1EDF5"/>
          </w:tcPr>
          <w:p>
            <w:pPr>
              <w:spacing w:after="0"/>
              <w:rPr>
                <w:sz w:val="19"/>
                <w:szCs w:val="19"/>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8"/>
                <w:szCs w:val="18"/>
                <w:color w:val="auto"/>
              </w:rPr>
              <w:t>Loans held for investment, net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480" w:type="dxa"/>
            <w:vAlign w:val="bottom"/>
            <w:shd w:val="clear" w:color="auto" w:fill="D1EDF5"/>
          </w:tcPr>
          <w:p>
            <w:pPr>
              <w:ind w:left="140"/>
              <w:spacing w:after="0"/>
              <w:rPr>
                <w:sz w:val="20"/>
                <w:szCs w:val="20"/>
                <w:color w:val="auto"/>
              </w:rPr>
            </w:pPr>
            <w:r>
              <w:rPr>
                <w:rFonts w:ascii="Arial" w:cs="Arial" w:eastAsia="Arial" w:hAnsi="Arial"/>
                <w:sz w:val="18"/>
                <w:szCs w:val="18"/>
                <w:color w:val="auto"/>
              </w:rPr>
              <w:t>Deposits</w:t>
            </w:r>
          </w:p>
        </w:tc>
        <w:tc>
          <w:tcPr>
            <w:tcW w:w="20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D1EDF5"/>
          </w:tcPr>
          <w:p>
            <w:pPr>
              <w:spacing w:after="0"/>
              <w:rPr>
                <w:sz w:val="20"/>
                <w:szCs w:val="20"/>
                <w:color w:val="auto"/>
              </w:rPr>
            </w:pPr>
          </w:p>
        </w:tc>
        <w:tc>
          <w:tcPr>
            <w:tcW w:w="340" w:type="dxa"/>
            <w:vAlign w:val="bottom"/>
            <w:shd w:val="clear" w:color="auto" w:fill="D1EDF5"/>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4,551</w:t>
            </w:r>
          </w:p>
        </w:tc>
      </w:tr>
      <w:tr>
        <w:trPr>
          <w:trHeight w:val="240"/>
        </w:trPr>
        <w:tc>
          <w:tcPr>
            <w:tcW w:w="5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0"/>
        </w:trPr>
        <w:tc>
          <w:tcPr>
            <w:tcW w:w="548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040" w:type="dxa"/>
            <w:vAlign w:val="bottom"/>
            <w:shd w:val="clear" w:color="auto" w:fill="D1EDF5"/>
          </w:tcPr>
          <w:p>
            <w:pPr>
              <w:spacing w:after="0"/>
              <w:rPr>
                <w:sz w:val="20"/>
                <w:szCs w:val="20"/>
                <w:color w:val="auto"/>
              </w:rPr>
            </w:pPr>
          </w:p>
        </w:tc>
        <w:tc>
          <w:tcPr>
            <w:tcW w:w="180" w:type="dxa"/>
            <w:vAlign w:val="bottom"/>
            <w:shd w:val="clear" w:color="auto" w:fill="D1EDF5"/>
          </w:tcPr>
          <w:p>
            <w:pPr>
              <w:spacing w:after="0"/>
              <w:rPr>
                <w:sz w:val="20"/>
                <w:szCs w:val="20"/>
                <w:color w:val="auto"/>
              </w:rPr>
            </w:pPr>
          </w:p>
        </w:tc>
        <w:tc>
          <w:tcPr>
            <w:tcW w:w="14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340" w:type="dxa"/>
            <w:vAlign w:val="bottom"/>
            <w:shd w:val="clear" w:color="auto" w:fill="D1EDF5"/>
          </w:tcPr>
          <w:p>
            <w:pPr>
              <w:spacing w:after="0"/>
              <w:rPr>
                <w:sz w:val="20"/>
                <w:szCs w:val="20"/>
                <w:color w:val="auto"/>
              </w:rPr>
            </w:pPr>
          </w:p>
        </w:tc>
        <w:tc>
          <w:tcPr>
            <w:tcW w:w="1260" w:type="dxa"/>
            <w:vAlign w:val="bottom"/>
            <w:shd w:val="clear" w:color="auto" w:fill="D1EDF5"/>
          </w:tcPr>
          <w:p>
            <w:pPr>
              <w:spacing w:after="0"/>
              <w:rPr>
                <w:sz w:val="20"/>
                <w:szCs w:val="20"/>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815</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480" w:type="dxa"/>
            <w:vAlign w:val="bottom"/>
            <w:shd w:val="clear" w:color="auto" w:fill="D1EDF5"/>
          </w:tcPr>
          <w:p>
            <w:pPr>
              <w:ind w:left="140"/>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D1EDF5"/>
          </w:tcPr>
          <w:p>
            <w:pPr>
              <w:spacing w:after="0"/>
              <w:rPr>
                <w:sz w:val="20"/>
                <w:szCs w:val="20"/>
                <w:color w:val="auto"/>
              </w:rPr>
            </w:pPr>
          </w:p>
        </w:tc>
        <w:tc>
          <w:tcPr>
            <w:tcW w:w="18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D1EDF5"/>
          </w:tcPr>
          <w:p>
            <w:pPr>
              <w:spacing w:after="0"/>
              <w:rPr>
                <w:sz w:val="20"/>
                <w:szCs w:val="20"/>
                <w:color w:val="auto"/>
              </w:rPr>
            </w:pPr>
          </w:p>
        </w:tc>
        <w:tc>
          <w:tcPr>
            <w:tcW w:w="340" w:type="dxa"/>
            <w:vAlign w:val="bottom"/>
            <w:shd w:val="clear" w:color="auto" w:fill="D1EDF5"/>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119</w:t>
            </w:r>
          </w:p>
        </w:tc>
      </w:tr>
    </w:tbl>
    <w:p>
      <w:pPr>
        <w:spacing w:after="0" w:line="21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Loan Purchases</w:t>
      </w:r>
    </w:p>
    <w:p>
      <w:pPr>
        <w:spacing w:after="0" w:line="22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During 2025, the Bank purchased $79.6 million of loans from entities that are deemed to be related parties. The Bank paid those entities fees of $447 thousand.</w:t>
      </w:r>
    </w:p>
    <w:p>
      <w:pPr>
        <w:spacing w:after="0" w:line="14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During 2024, the Bank purchased $90.8 million of loans from entities that are deemed to be related parties. The Bank paid those entities fees of $2.7 million.</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Loan Originations</w:t>
      </w:r>
    </w:p>
    <w:p>
      <w:pPr>
        <w:spacing w:after="0" w:line="221"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20"/>
          <w:szCs w:val="20"/>
          <w:color w:val="auto"/>
        </w:rPr>
        <w:t>During the year ended December 31, 2025, the Bank acted as the lead arranger in a $40.0 million syndicated loan extended to an entity deemed to be a related party. As of December 31, 2025, the Bank held an outstanding balance of $15.0 million related to this transaction. In connection with the syndication, the Bank received a 50-basis point commitment fee and will earn a 25-basis point annual servicing fee. The other two financial institutions participating in the syndication were also deemed to be related parties. Although originating loans to related parties is not part of the Company’s standard policy, this transaction was reviewed by the appropriate departments in accordance with Company procedures. Detailed analyses were presented to the Board of Directors and the Audit and Risk Committee, and all necessary approvals were obtained. Additional analysis was conducted to determine that the transaction was executed in the ordinary course of business and on arm’s-length terms, consistent with the requirements of Regulation O.</w:t>
      </w:r>
    </w:p>
    <w:p>
      <w:pPr>
        <w:spacing w:after="0" w:line="189" w:lineRule="exact"/>
        <w:rPr>
          <w:sz w:val="20"/>
          <w:szCs w:val="20"/>
          <w:color w:val="auto"/>
        </w:rPr>
      </w:pPr>
    </w:p>
    <w:p>
      <w:pPr>
        <w:jc w:val="both"/>
        <w:ind w:firstLine="360"/>
        <w:spacing w:after="0" w:line="180" w:lineRule="auto"/>
        <w:rPr>
          <w:sz w:val="20"/>
          <w:szCs w:val="20"/>
          <w:color w:val="auto"/>
        </w:rPr>
      </w:pPr>
      <w:r>
        <w:rPr>
          <w:rFonts w:ascii="Arial" w:cs="Arial" w:eastAsia="Arial" w:hAnsi="Arial"/>
          <w:sz w:val="17"/>
          <w:szCs w:val="17"/>
          <w:color w:val="auto"/>
        </w:rPr>
        <w:t>During the year ended December 31, 2025, the Bank participated in two loans totaling $21.3 million with an entity that is considered a related party, for which the Bank was not the lead arranger. The underlying borrowers were not related parties. Under the terms of the participation agreements, the Bank pays the related</w:t>
      </w:r>
      <w:r>
        <w:rPr>
          <w:rFonts w:ascii="Cambria Math" w:cs="Cambria Math" w:eastAsia="Cambria Math" w:hAnsi="Cambria Math"/>
          <w:sz w:val="17"/>
          <w:szCs w:val="17"/>
          <w:color w:val="auto"/>
        </w:rPr>
        <w:t>-</w:t>
      </w:r>
      <w:r>
        <w:rPr>
          <w:rFonts w:ascii="Arial" w:cs="Arial" w:eastAsia="Arial" w:hAnsi="Arial"/>
          <w:sz w:val="17"/>
          <w:szCs w:val="17"/>
          <w:color w:val="auto"/>
        </w:rPr>
        <w:t>party entity a servicing fee equal to 8 basis points, calculated on the declining monthly outstanding balance of the loans.</w:t>
      </w:r>
    </w:p>
    <w:p>
      <w:pPr>
        <w:spacing w:after="0" w:line="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20"/>
          <w:szCs w:val="20"/>
          <w:color w:val="auto"/>
        </w:rPr>
        <w:t>There were no loan originations or syndications extended to entities deemed to be related parties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20" w:name="page121"/>
    <w:bookmarkEnd w:id="120"/>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0" w:hanging="720"/>
        <w:spacing w:after="0"/>
        <w:tabs>
          <w:tab w:leader="none" w:pos="72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PARENT COMPANY CONDENSED FINANCIAL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35560</wp:posOffset>
                </wp:positionV>
                <wp:extent cx="689356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2.8pt" to="541.4pt,2.8pt" o:allowincell="f" strokecolor="#000000" strokeweight="1.44pt"/>
            </w:pict>
          </mc:Fallback>
        </mc:AlternateContent>
      </w:r>
    </w:p>
    <w:p>
      <w:pPr>
        <w:spacing w:after="0" w:line="26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2025</w:t>
            </w:r>
          </w:p>
        </w:tc>
        <w:tc>
          <w:tcPr>
            <w:tcW w:w="60" w:type="dxa"/>
            <w:vAlign w:val="bottom"/>
            <w:tcBorders>
              <w:bottom w:val="single" w:sz="8" w:color="D1EDF5"/>
            </w:tcBorders>
          </w:tcPr>
          <w:p>
            <w:pPr>
              <w:spacing w:after="0"/>
              <w:rPr>
                <w:sz w:val="19"/>
                <w:szCs w:val="19"/>
                <w:color w:val="auto"/>
              </w:rPr>
            </w:pPr>
          </w:p>
        </w:tc>
        <w:tc>
          <w:tcPr>
            <w:tcW w:w="20" w:type="dxa"/>
            <w:vAlign w:val="bottom"/>
            <w:tcBorders>
              <w:bottom w:val="single" w:sz="8" w:color="D1EDF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2024</w:t>
            </w:r>
          </w:p>
        </w:tc>
      </w:tr>
      <w:tr>
        <w:trPr>
          <w:trHeight w:val="230"/>
        </w:trPr>
        <w:tc>
          <w:tcPr>
            <w:tcW w:w="676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EDF5"/>
          </w:tcPr>
          <w:p>
            <w:pPr>
              <w:spacing w:after="0"/>
              <w:rPr>
                <w:sz w:val="19"/>
                <w:szCs w:val="19"/>
                <w:color w:val="auto"/>
              </w:rPr>
            </w:pPr>
          </w:p>
        </w:tc>
        <w:tc>
          <w:tcPr>
            <w:tcW w:w="1840" w:type="dxa"/>
            <w:vAlign w:val="bottom"/>
            <w:shd w:val="clear" w:color="auto" w:fill="D1EDF5"/>
          </w:tcPr>
          <w:p>
            <w:pPr>
              <w:spacing w:after="0"/>
              <w:rPr>
                <w:sz w:val="19"/>
                <w:szCs w:val="19"/>
                <w:color w:val="auto"/>
              </w:rPr>
            </w:pPr>
          </w:p>
        </w:tc>
        <w:tc>
          <w:tcPr>
            <w:tcW w:w="60" w:type="dxa"/>
            <w:vAlign w:val="bottom"/>
            <w:shd w:val="clear" w:color="auto" w:fill="D1EDF5"/>
          </w:tcPr>
          <w:p>
            <w:pPr>
              <w:spacing w:after="0"/>
              <w:rPr>
                <w:sz w:val="19"/>
                <w:szCs w:val="19"/>
                <w:color w:val="auto"/>
              </w:rPr>
            </w:pPr>
          </w:p>
        </w:tc>
        <w:tc>
          <w:tcPr>
            <w:tcW w:w="20" w:type="dxa"/>
            <w:vAlign w:val="bottom"/>
            <w:shd w:val="clear" w:color="auto" w:fill="D1EDF5"/>
          </w:tcPr>
          <w:p>
            <w:pPr>
              <w:spacing w:after="0"/>
              <w:rPr>
                <w:sz w:val="19"/>
                <w:szCs w:val="19"/>
                <w:color w:val="auto"/>
              </w:rPr>
            </w:pPr>
          </w:p>
        </w:tc>
        <w:tc>
          <w:tcPr>
            <w:tcW w:w="140" w:type="dxa"/>
            <w:vAlign w:val="bottom"/>
            <w:shd w:val="clear" w:color="auto" w:fill="D1EDF5"/>
          </w:tcPr>
          <w:p>
            <w:pPr>
              <w:spacing w:after="0"/>
              <w:rPr>
                <w:sz w:val="19"/>
                <w:szCs w:val="19"/>
                <w:color w:val="auto"/>
              </w:rPr>
            </w:pPr>
          </w:p>
        </w:tc>
        <w:tc>
          <w:tcPr>
            <w:tcW w:w="1840" w:type="dxa"/>
            <w:vAlign w:val="bottom"/>
            <w:shd w:val="clear" w:color="auto" w:fill="D1EDF5"/>
          </w:tcPr>
          <w:p>
            <w:pPr>
              <w:spacing w:after="0"/>
              <w:rPr>
                <w:sz w:val="19"/>
                <w:szCs w:val="19"/>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6,773</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40"/>
        </w:trPr>
        <w:tc>
          <w:tcPr>
            <w:tcW w:w="6760" w:type="dxa"/>
            <w:vAlign w:val="bottom"/>
            <w:shd w:val="clear" w:color="auto" w:fill="D1EDF5"/>
          </w:tcPr>
          <w:p>
            <w:pPr>
              <w:ind w:left="140"/>
              <w:spacing w:after="0"/>
              <w:rPr>
                <w:sz w:val="20"/>
                <w:szCs w:val="20"/>
                <w:color w:val="auto"/>
              </w:rPr>
            </w:pPr>
            <w:r>
              <w:rPr>
                <w:rFonts w:ascii="Arial" w:cs="Arial" w:eastAsia="Arial" w:hAnsi="Arial"/>
                <w:sz w:val="18"/>
                <w:szCs w:val="18"/>
                <w:color w:val="auto"/>
              </w:rPr>
              <w:t>Investment in bank subsidiary</w:t>
            </w: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248,230</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210,253</w:t>
            </w:r>
          </w:p>
        </w:tc>
      </w:tr>
      <w:tr>
        <w:trPr>
          <w:trHeight w:val="240"/>
        </w:trPr>
        <w:tc>
          <w:tcPr>
            <w:tcW w:w="6760" w:type="dxa"/>
            <w:vAlign w:val="bottom"/>
            <w:tcBorders>
              <w:bottom w:val="single" w:sz="8" w:color="D1EDF5"/>
            </w:tcBorders>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46"/>
        </w:trPr>
        <w:tc>
          <w:tcPr>
            <w:tcW w:w="6760" w:type="dxa"/>
            <w:vAlign w:val="bottom"/>
            <w:shd w:val="clear" w:color="auto" w:fill="D1EDF5"/>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257,627</w:t>
            </w:r>
          </w:p>
        </w:tc>
        <w:tc>
          <w:tcPr>
            <w:tcW w:w="60" w:type="dxa"/>
            <w:vAlign w:val="bottom"/>
            <w:shd w:val="clear" w:color="auto" w:fill="D1EDF5"/>
          </w:tcPr>
          <w:p>
            <w:pPr>
              <w:spacing w:after="0"/>
              <w:rPr>
                <w:sz w:val="21"/>
                <w:szCs w:val="21"/>
                <w:color w:val="auto"/>
              </w:rPr>
            </w:pPr>
          </w:p>
        </w:tc>
        <w:tc>
          <w:tcPr>
            <w:tcW w:w="20" w:type="dxa"/>
            <w:vAlign w:val="bottom"/>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215,388</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0"/>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0"/>
        </w:trPr>
        <w:tc>
          <w:tcPr>
            <w:tcW w:w="676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Subordinated 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39,300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60" w:type="dxa"/>
            <w:vAlign w:val="bottom"/>
            <w:shd w:val="clear" w:color="auto" w:fill="D1EDF5"/>
          </w:tcPr>
          <w:p>
            <w:pPr>
              <w:ind w:left="140"/>
              <w:spacing w:after="0"/>
              <w:rPr>
                <w:sz w:val="20"/>
                <w:szCs w:val="20"/>
                <w:color w:val="auto"/>
              </w:rPr>
            </w:pPr>
            <w:r>
              <w:rPr>
                <w:rFonts w:ascii="Arial" w:cs="Arial" w:eastAsia="Arial" w:hAnsi="Arial"/>
                <w:sz w:val="18"/>
                <w:szCs w:val="18"/>
                <w:color w:val="auto"/>
              </w:rPr>
              <w:t>Accrued interest and other liabilities</w:t>
            </w: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1,144</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60" w:type="dxa"/>
            <w:vAlign w:val="bottom"/>
            <w:tcBorders>
              <w:bottom w:val="single" w:sz="8" w:color="D1EDF5"/>
            </w:tcBorders>
          </w:tcPr>
          <w:p>
            <w:pPr>
              <w:ind w:left="1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217,183</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215,388</w:t>
            </w:r>
          </w:p>
        </w:tc>
      </w:tr>
      <w:tr>
        <w:trPr>
          <w:trHeight w:val="245"/>
        </w:trPr>
        <w:tc>
          <w:tcPr>
            <w:tcW w:w="6760" w:type="dxa"/>
            <w:vAlign w:val="bottom"/>
            <w:shd w:val="clear" w:color="auto" w:fill="D1EDF5"/>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257,627</w:t>
            </w:r>
          </w:p>
        </w:tc>
        <w:tc>
          <w:tcPr>
            <w:tcW w:w="60" w:type="dxa"/>
            <w:vAlign w:val="bottom"/>
            <w:shd w:val="clear" w:color="auto" w:fill="D1EDF5"/>
          </w:tcPr>
          <w:p>
            <w:pPr>
              <w:spacing w:after="0"/>
              <w:rPr>
                <w:sz w:val="21"/>
                <w:szCs w:val="21"/>
                <w:color w:val="auto"/>
              </w:rPr>
            </w:pPr>
          </w:p>
        </w:tc>
        <w:tc>
          <w:tcPr>
            <w:tcW w:w="20" w:type="dxa"/>
            <w:vAlign w:val="bottom"/>
            <w:tcBorders>
              <w:bottom w:val="single" w:sz="8" w:color="auto"/>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215,388</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 condensed income statement is presented below for USCB Financial Holdings, Inc.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Years Ended</w:t>
            </w:r>
          </w:p>
        </w:tc>
      </w:tr>
      <w:tr>
        <w:trPr>
          <w:trHeight w:val="230"/>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December 31, 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2024</w:t>
            </w:r>
          </w:p>
        </w:tc>
      </w:tr>
      <w:tr>
        <w:trPr>
          <w:trHeight w:val="230"/>
        </w:trPr>
        <w:tc>
          <w:tcPr>
            <w:tcW w:w="676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b w:val="1"/>
                <w:bCs w:val="1"/>
                <w:color w:val="auto"/>
              </w:rPr>
              <w:t>INCOME:</w:t>
            </w:r>
          </w:p>
        </w:tc>
        <w:tc>
          <w:tcPr>
            <w:tcW w:w="140" w:type="dxa"/>
            <w:vAlign w:val="bottom"/>
            <w:tcBorders>
              <w:top w:val="single" w:sz="8" w:color="auto"/>
            </w:tcBorders>
            <w:shd w:val="clear" w:color="auto" w:fill="D1EDF5"/>
          </w:tcPr>
          <w:p>
            <w:pPr>
              <w:spacing w:after="0"/>
              <w:rPr>
                <w:sz w:val="19"/>
                <w:szCs w:val="19"/>
                <w:color w:val="auto"/>
              </w:rPr>
            </w:pPr>
          </w:p>
        </w:tc>
        <w:tc>
          <w:tcPr>
            <w:tcW w:w="40" w:type="dxa"/>
            <w:vAlign w:val="bottom"/>
            <w:tcBorders>
              <w:top w:val="single" w:sz="8" w:color="auto"/>
            </w:tcBorders>
            <w:shd w:val="clear" w:color="auto" w:fill="D1EDF5"/>
          </w:tcPr>
          <w:p>
            <w:pPr>
              <w:spacing w:after="0"/>
              <w:rPr>
                <w:sz w:val="19"/>
                <w:szCs w:val="19"/>
                <w:color w:val="auto"/>
              </w:rPr>
            </w:pPr>
          </w:p>
        </w:tc>
        <w:tc>
          <w:tcPr>
            <w:tcW w:w="180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840" w:type="dxa"/>
            <w:vAlign w:val="bottom"/>
            <w:tcBorders>
              <w:top w:val="single" w:sz="8" w:color="auto"/>
            </w:tcBorders>
            <w:shd w:val="clear" w:color="auto" w:fill="D1EDF5"/>
          </w:tcPr>
          <w:p>
            <w:pPr>
              <w:spacing w:after="0"/>
              <w:rPr>
                <w:sz w:val="19"/>
                <w:szCs w:val="19"/>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Dividends from 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20"/>
                <w:szCs w:val="20"/>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2"/>
        </w:trPr>
        <w:tc>
          <w:tcPr>
            <w:tcW w:w="6760" w:type="dxa"/>
            <w:vAlign w:val="bottom"/>
            <w:tcBorders>
              <w:top w:val="single" w:sz="8" w:color="D1EDF5"/>
            </w:tcBorders>
            <w:shd w:val="clear" w:color="auto" w:fill="D1EDF5"/>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1EDF5"/>
          </w:tcPr>
          <w:p>
            <w:pPr>
              <w:spacing w:after="0"/>
              <w:rPr>
                <w:sz w:val="20"/>
                <w:szCs w:val="20"/>
                <w:color w:val="auto"/>
              </w:rPr>
            </w:pPr>
          </w:p>
        </w:tc>
        <w:tc>
          <w:tcPr>
            <w:tcW w:w="1840" w:type="dxa"/>
            <w:vAlign w:val="bottom"/>
            <w:tcBorders>
              <w:top w:val="single" w:sz="8" w:color="auto"/>
              <w:bottom w:val="single" w:sz="8" w:color="auto"/>
            </w:tcBorders>
            <w:gridSpan w:val="2"/>
            <w:shd w:val="clear" w:color="auto" w:fill="D1EDF5"/>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top w:val="single" w:sz="8" w:color="D1EDF5"/>
            </w:tcBorders>
            <w:shd w:val="clear" w:color="auto" w:fill="D1EDF5"/>
          </w:tcPr>
          <w:p>
            <w:pPr>
              <w:spacing w:after="0"/>
              <w:rPr>
                <w:sz w:val="20"/>
                <w:szCs w:val="20"/>
                <w:color w:val="auto"/>
              </w:rPr>
            </w:pPr>
          </w:p>
        </w:tc>
        <w:tc>
          <w:tcPr>
            <w:tcW w:w="20" w:type="dxa"/>
            <w:vAlign w:val="bottom"/>
            <w:tcBorders>
              <w:top w:val="single" w:sz="8" w:color="D1EDF5"/>
            </w:tcBorders>
            <w:shd w:val="clear" w:color="auto" w:fill="D1EDF5"/>
          </w:tcPr>
          <w:p>
            <w:pPr>
              <w:spacing w:after="0"/>
              <w:rPr>
                <w:sz w:val="20"/>
                <w:szCs w:val="20"/>
                <w:color w:val="auto"/>
              </w:rPr>
            </w:pPr>
          </w:p>
        </w:tc>
        <w:tc>
          <w:tcPr>
            <w:tcW w:w="140" w:type="dxa"/>
            <w:vAlign w:val="bottom"/>
            <w:tcBorders>
              <w:top w:val="single" w:sz="8" w:color="auto"/>
              <w:bottom w:val="single" w:sz="8" w:color="auto"/>
            </w:tcBorders>
            <w:shd w:val="clear" w:color="auto" w:fill="D1EDF5"/>
          </w:tcPr>
          <w:p>
            <w:pPr>
              <w:spacing w:after="0"/>
              <w:rPr>
                <w:sz w:val="20"/>
                <w:szCs w:val="20"/>
                <w:color w:val="auto"/>
              </w:rPr>
            </w:pPr>
          </w:p>
        </w:tc>
        <w:tc>
          <w:tcPr>
            <w:tcW w:w="18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0"/>
        </w:trPr>
        <w:tc>
          <w:tcPr>
            <w:tcW w:w="6760" w:type="dxa"/>
            <w:vAlign w:val="bottom"/>
            <w:shd w:val="clear" w:color="auto" w:fill="D1EDF5"/>
          </w:tcPr>
          <w:p>
            <w:pPr>
              <w:spacing w:after="0"/>
              <w:rPr>
                <w:sz w:val="20"/>
                <w:szCs w:val="20"/>
                <w:color w:val="auto"/>
              </w:rPr>
            </w:pPr>
            <w:r>
              <w:rPr>
                <w:rFonts w:ascii="Arial" w:cs="Arial" w:eastAsia="Arial" w:hAnsi="Arial"/>
                <w:sz w:val="18"/>
                <w:szCs w:val="18"/>
                <w:b w:val="1"/>
                <w:bCs w:val="1"/>
                <w:color w:val="auto"/>
              </w:rPr>
              <w:t>EXPENSE:</w:t>
            </w:r>
          </w:p>
        </w:tc>
        <w:tc>
          <w:tcPr>
            <w:tcW w:w="1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60" w:type="dxa"/>
            <w:vAlign w:val="bottom"/>
            <w:shd w:val="clear" w:color="auto" w:fill="D1EDF5"/>
          </w:tcPr>
          <w:p>
            <w:pPr>
              <w:ind w:left="140"/>
              <w:spacing w:after="0"/>
              <w:rPr>
                <w:sz w:val="20"/>
                <w:szCs w:val="20"/>
                <w:color w:val="auto"/>
              </w:rPr>
            </w:pPr>
            <w:r>
              <w:rPr>
                <w:rFonts w:ascii="Arial" w:cs="Arial" w:eastAsia="Arial" w:hAnsi="Arial"/>
                <w:sz w:val="18"/>
                <w:szCs w:val="18"/>
                <w:color w:val="auto"/>
              </w:rPr>
              <w:t>Employee compensation and benefits</w:t>
            </w:r>
          </w:p>
        </w:tc>
        <w:tc>
          <w:tcPr>
            <w:tcW w:w="140" w:type="dxa"/>
            <w:vAlign w:val="bottom"/>
            <w:shd w:val="clear" w:color="auto" w:fill="D1EDF5"/>
          </w:tcPr>
          <w:p>
            <w:pPr>
              <w:spacing w:after="0"/>
              <w:rPr>
                <w:sz w:val="20"/>
                <w:szCs w:val="20"/>
                <w:color w:val="auto"/>
              </w:rPr>
            </w:pPr>
          </w:p>
        </w:tc>
        <w:tc>
          <w:tcPr>
            <w:tcW w:w="40" w:type="dxa"/>
            <w:vAlign w:val="bottom"/>
            <w:shd w:val="clear" w:color="auto" w:fill="D1EDF5"/>
          </w:tcPr>
          <w:p>
            <w:pPr>
              <w:spacing w:after="0"/>
              <w:rPr>
                <w:sz w:val="20"/>
                <w:szCs w:val="20"/>
                <w:color w:val="auto"/>
              </w:rPr>
            </w:pPr>
          </w:p>
        </w:tc>
        <w:tc>
          <w:tcPr>
            <w:tcW w:w="180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3,005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2,129</w:t>
            </w:r>
          </w:p>
        </w:tc>
      </w:tr>
      <w:tr>
        <w:trPr>
          <w:trHeight w:val="240"/>
        </w:trPr>
        <w:tc>
          <w:tcPr>
            <w:tcW w:w="6760" w:type="dxa"/>
            <w:vAlign w:val="bottom"/>
            <w:tcBorders>
              <w:bottom w:val="single" w:sz="8" w:color="D1EDF5"/>
            </w:tcBorders>
          </w:tcPr>
          <w:p>
            <w:pPr>
              <w:ind w:left="140"/>
              <w:spacing w:after="0"/>
              <w:rPr>
                <w:sz w:val="20"/>
                <w:szCs w:val="20"/>
                <w:color w:val="auto"/>
              </w:rPr>
            </w:pPr>
            <w:r>
              <w:rPr>
                <w:rFonts w:ascii="Arial" w:cs="Arial" w:eastAsia="Arial" w:hAnsi="Arial"/>
                <w:sz w:val="18"/>
                <w:szCs w:val="18"/>
                <w:color w:val="auto"/>
              </w:rPr>
              <w:t>Other operating</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622</w:t>
            </w:r>
          </w:p>
        </w:tc>
        <w:tc>
          <w:tcPr>
            <w:tcW w:w="60" w:type="dxa"/>
            <w:vAlign w:val="bottom"/>
            <w:tcBorders>
              <w:bottom w:val="single" w:sz="8" w:color="D1EDF5"/>
            </w:tcBorders>
          </w:tcPr>
          <w:p>
            <w:pPr>
              <w:spacing w:after="0"/>
              <w:rPr>
                <w:sz w:val="20"/>
                <w:szCs w:val="20"/>
                <w:color w:val="auto"/>
              </w:rPr>
            </w:pPr>
          </w:p>
        </w:tc>
        <w:tc>
          <w:tcPr>
            <w:tcW w:w="20" w:type="dxa"/>
            <w:vAlign w:val="bottom"/>
            <w:tcBorders>
              <w:bottom w:val="single" w:sz="8" w:color="D1EDF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676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D1EDF5"/>
          </w:tcPr>
          <w:p>
            <w:pPr>
              <w:spacing w:after="0"/>
              <w:rPr>
                <w:sz w:val="19"/>
                <w:szCs w:val="19"/>
                <w:color w:val="auto"/>
              </w:rPr>
            </w:pPr>
          </w:p>
        </w:tc>
        <w:tc>
          <w:tcPr>
            <w:tcW w:w="1840" w:type="dxa"/>
            <w:vAlign w:val="bottom"/>
            <w:tcBorders>
              <w:bottom w:val="single" w:sz="8" w:color="auto"/>
            </w:tcBorders>
            <w:gridSpan w:val="2"/>
            <w:shd w:val="clear" w:color="auto" w:fill="D1EDF5"/>
          </w:tcPr>
          <w:p>
            <w:pPr>
              <w:jc w:val="right"/>
              <w:spacing w:after="0"/>
              <w:rPr>
                <w:sz w:val="20"/>
                <w:szCs w:val="20"/>
                <w:color w:val="auto"/>
              </w:rPr>
            </w:pPr>
            <w:r>
              <w:rPr>
                <w:rFonts w:ascii="Arial" w:cs="Arial" w:eastAsia="Arial" w:hAnsi="Arial"/>
                <w:sz w:val="18"/>
                <w:szCs w:val="18"/>
                <w:color w:val="auto"/>
              </w:rPr>
              <w:t>4,832</w:t>
            </w:r>
          </w:p>
        </w:tc>
        <w:tc>
          <w:tcPr>
            <w:tcW w:w="60" w:type="dxa"/>
            <w:vAlign w:val="bottom"/>
            <w:tcBorders>
              <w:bottom w:val="single" w:sz="8" w:color="D1EDF5"/>
            </w:tcBorders>
            <w:shd w:val="clear" w:color="auto" w:fill="D1EDF5"/>
          </w:tcPr>
          <w:p>
            <w:pPr>
              <w:spacing w:after="0"/>
              <w:rPr>
                <w:sz w:val="19"/>
                <w:szCs w:val="19"/>
                <w:color w:val="auto"/>
              </w:rPr>
            </w:pPr>
          </w:p>
        </w:tc>
        <w:tc>
          <w:tcPr>
            <w:tcW w:w="20" w:type="dxa"/>
            <w:vAlign w:val="bottom"/>
            <w:tcBorders>
              <w:bottom w:val="single" w:sz="8" w:color="D1EDF5"/>
            </w:tcBorders>
            <w:shd w:val="clear" w:color="auto" w:fill="D1EDF5"/>
          </w:tcPr>
          <w:p>
            <w:pPr>
              <w:spacing w:after="0"/>
              <w:rPr>
                <w:sz w:val="19"/>
                <w:szCs w:val="19"/>
                <w:color w:val="auto"/>
              </w:rPr>
            </w:pPr>
          </w:p>
        </w:tc>
        <w:tc>
          <w:tcPr>
            <w:tcW w:w="140" w:type="dxa"/>
            <w:vAlign w:val="bottom"/>
            <w:tcBorders>
              <w:bottom w:val="single" w:sz="8" w:color="auto"/>
            </w:tcBorders>
            <w:shd w:val="clear" w:color="auto" w:fill="D1EDF5"/>
          </w:tcPr>
          <w:p>
            <w:pPr>
              <w:spacing w:after="0"/>
              <w:rPr>
                <w:sz w:val="19"/>
                <w:szCs w:val="19"/>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0"/>
        </w:trPr>
        <w:tc>
          <w:tcPr>
            <w:tcW w:w="6760" w:type="dxa"/>
            <w:vAlign w:val="bottom"/>
            <w:shd w:val="clear" w:color="auto" w:fill="D1EDF5"/>
          </w:tcPr>
          <w:p>
            <w:pPr>
              <w:spacing w:after="0"/>
              <w:rPr>
                <w:sz w:val="20"/>
                <w:szCs w:val="20"/>
                <w:color w:val="auto"/>
              </w:rPr>
            </w:pPr>
            <w:r>
              <w:rPr>
                <w:rFonts w:ascii="Arial" w:cs="Arial" w:eastAsia="Arial" w:hAnsi="Arial"/>
                <w:sz w:val="18"/>
                <w:szCs w:val="18"/>
                <w:color w:val="auto"/>
              </w:rPr>
              <w:t>Income before income taxes and undistributed subsidiary income</w:t>
            </w:r>
          </w:p>
        </w:tc>
        <w:tc>
          <w:tcPr>
            <w:tcW w:w="140" w:type="dxa"/>
            <w:vAlign w:val="bottom"/>
            <w:shd w:val="clear" w:color="auto" w:fill="D1EDF5"/>
          </w:tcPr>
          <w:p>
            <w:pPr>
              <w:spacing w:after="0"/>
              <w:rPr>
                <w:sz w:val="20"/>
                <w:szCs w:val="20"/>
                <w:color w:val="auto"/>
              </w:rPr>
            </w:pPr>
          </w:p>
        </w:tc>
        <w:tc>
          <w:tcPr>
            <w:tcW w:w="1840" w:type="dxa"/>
            <w:vAlign w:val="bottom"/>
            <w:gridSpan w:val="2"/>
            <w:shd w:val="clear" w:color="auto" w:fill="D1EDF5"/>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2,301</w:t>
            </w:r>
          </w:p>
        </w:tc>
      </w:tr>
      <w:tr>
        <w:trPr>
          <w:trHeight w:val="240"/>
        </w:trPr>
        <w:tc>
          <w:tcPr>
            <w:tcW w:w="6760" w:type="dxa"/>
            <w:vAlign w:val="bottom"/>
          </w:tcPr>
          <w:p>
            <w:pPr>
              <w:ind w:left="140"/>
              <w:spacing w:after="0"/>
              <w:rPr>
                <w:sz w:val="20"/>
                <w:szCs w:val="20"/>
                <w:color w:val="auto"/>
              </w:rPr>
            </w:pPr>
            <w:r>
              <w:rPr>
                <w:rFonts w:ascii="Arial" w:cs="Arial" w:eastAsia="Arial" w:hAnsi="Arial"/>
                <w:sz w:val="18"/>
                <w:szCs w:val="18"/>
                <w:color w:val="auto"/>
              </w:rPr>
              <w:t>Benefit from income taxes</w:t>
            </w:r>
          </w:p>
        </w:tc>
        <w:tc>
          <w:tcPr>
            <w:tcW w:w="140" w:type="dxa"/>
            <w:vAlign w:val="bottom"/>
          </w:tcPr>
          <w:p>
            <w:pPr>
              <w:spacing w:after="0"/>
              <w:rPr>
                <w:sz w:val="20"/>
                <w:szCs w:val="20"/>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40"/>
        </w:trPr>
        <w:tc>
          <w:tcPr>
            <w:tcW w:w="6760" w:type="dxa"/>
            <w:vAlign w:val="bottom"/>
            <w:shd w:val="clear" w:color="auto" w:fill="D1EDF5"/>
          </w:tcPr>
          <w:p>
            <w:pPr>
              <w:spacing w:after="0"/>
              <w:rPr>
                <w:sz w:val="20"/>
                <w:szCs w:val="20"/>
                <w:color w:val="auto"/>
              </w:rPr>
            </w:pPr>
            <w:r>
              <w:rPr>
                <w:rFonts w:ascii="Arial" w:cs="Arial" w:eastAsia="Arial" w:hAnsi="Arial"/>
                <w:sz w:val="18"/>
                <w:szCs w:val="18"/>
                <w:color w:val="auto"/>
              </w:rPr>
              <w:t>Equity in undisbursed subsidiary income</w:t>
            </w:r>
          </w:p>
        </w:tc>
        <w:tc>
          <w:tcPr>
            <w:tcW w:w="140" w:type="dxa"/>
            <w:vAlign w:val="bottom"/>
            <w:tcBorders>
              <w:bottom w:val="single" w:sz="8" w:color="auto"/>
            </w:tcBorders>
            <w:shd w:val="clear" w:color="auto" w:fill="D1EDF5"/>
          </w:tcPr>
          <w:p>
            <w:pPr>
              <w:spacing w:after="0"/>
              <w:rPr>
                <w:sz w:val="20"/>
                <w:szCs w:val="20"/>
                <w:color w:val="auto"/>
              </w:rPr>
            </w:pPr>
          </w:p>
        </w:tc>
        <w:tc>
          <w:tcPr>
            <w:tcW w:w="1840" w:type="dxa"/>
            <w:vAlign w:val="bottom"/>
            <w:tcBorders>
              <w:bottom w:val="single" w:sz="8" w:color="auto"/>
            </w:tcBorders>
            <w:gridSpan w:val="2"/>
            <w:shd w:val="clear" w:color="auto" w:fill="D1EDF5"/>
          </w:tcPr>
          <w:p>
            <w:pPr>
              <w:jc w:val="right"/>
              <w:spacing w:after="0"/>
              <w:rPr>
                <w:sz w:val="20"/>
                <w:szCs w:val="20"/>
                <w:color w:val="auto"/>
              </w:rPr>
            </w:pPr>
            <w:r>
              <w:rPr>
                <w:rFonts w:ascii="Arial" w:cs="Arial" w:eastAsia="Arial" w:hAnsi="Arial"/>
                <w:sz w:val="18"/>
                <w:szCs w:val="18"/>
                <w:color w:val="auto"/>
              </w:rPr>
              <w:t>23,707</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tcBorders>
              <w:bottom w:val="single" w:sz="8" w:color="auto"/>
            </w:tcBorders>
            <w:shd w:val="clear" w:color="auto" w:fill="D1EDF5"/>
          </w:tcPr>
          <w:p>
            <w:pPr>
              <w:spacing w:after="0"/>
              <w:rPr>
                <w:sz w:val="20"/>
                <w:szCs w:val="20"/>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21,689</w:t>
            </w:r>
          </w:p>
        </w:tc>
      </w:tr>
      <w:tr>
        <w:trPr>
          <w:trHeight w:val="246"/>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26,100</w:t>
            </w:r>
          </w:p>
        </w:tc>
        <w:tc>
          <w:tcPr>
            <w:tcW w:w="60" w:type="dxa"/>
            <w:vAlign w:val="bottom"/>
          </w:tcPr>
          <w:p>
            <w:pPr>
              <w:spacing w:after="0"/>
              <w:rPr>
                <w:sz w:val="21"/>
                <w:szCs w:val="21"/>
                <w:color w:val="auto"/>
              </w:rPr>
            </w:pPr>
          </w:p>
        </w:tc>
        <w:tc>
          <w:tcPr>
            <w:tcW w:w="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24,674</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21" w:name="page122"/>
    <w:bookmarkEnd w:id="121"/>
    <w:p>
      <w:pPr>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condensed cash flow is presented below for USCB Financial Holdings, Inc. for the periods indicated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Years Ended</w:t>
            </w:r>
          </w:p>
        </w:tc>
      </w:tr>
      <w:tr>
        <w:trPr>
          <w:trHeight w:val="230"/>
        </w:trPr>
        <w:tc>
          <w:tcPr>
            <w:tcW w:w="1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 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2024</w:t>
            </w:r>
          </w:p>
        </w:tc>
      </w:tr>
      <w:tr>
        <w:trPr>
          <w:trHeight w:val="230"/>
        </w:trPr>
        <w:tc>
          <w:tcPr>
            <w:tcW w:w="6760" w:type="dxa"/>
            <w:vAlign w:val="bottom"/>
            <w:tcBorders>
              <w:top w:val="single" w:sz="8" w:color="D1EDF5"/>
            </w:tcBorders>
            <w:gridSpan w:val="2"/>
            <w:shd w:val="clear" w:color="auto" w:fill="D1EDF5"/>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Borders>
              <w:top w:val="single" w:sz="8" w:color="D1EDF5"/>
            </w:tcBorders>
            <w:shd w:val="clear" w:color="auto" w:fill="D1EDF5"/>
          </w:tcPr>
          <w:p>
            <w:pPr>
              <w:spacing w:after="0"/>
              <w:rPr>
                <w:sz w:val="19"/>
                <w:szCs w:val="19"/>
                <w:color w:val="auto"/>
              </w:rPr>
            </w:pPr>
          </w:p>
        </w:tc>
        <w:tc>
          <w:tcPr>
            <w:tcW w:w="120" w:type="dxa"/>
            <w:vAlign w:val="bottom"/>
            <w:tcBorders>
              <w:top w:val="single" w:sz="8" w:color="auto"/>
            </w:tcBorders>
            <w:shd w:val="clear" w:color="auto" w:fill="D1EDF5"/>
          </w:tcPr>
          <w:p>
            <w:pPr>
              <w:spacing w:after="0"/>
              <w:rPr>
                <w:sz w:val="19"/>
                <w:szCs w:val="19"/>
                <w:color w:val="auto"/>
              </w:rPr>
            </w:pPr>
          </w:p>
        </w:tc>
        <w:tc>
          <w:tcPr>
            <w:tcW w:w="1840" w:type="dxa"/>
            <w:vAlign w:val="bottom"/>
            <w:tcBorders>
              <w:top w:val="single" w:sz="8" w:color="auto"/>
            </w:tcBorders>
            <w:shd w:val="clear" w:color="auto" w:fill="D1EDF5"/>
          </w:tcPr>
          <w:p>
            <w:pPr>
              <w:spacing w:after="0"/>
              <w:rPr>
                <w:sz w:val="19"/>
                <w:szCs w:val="19"/>
                <w:color w:val="auto"/>
              </w:rPr>
            </w:pPr>
          </w:p>
        </w:tc>
        <w:tc>
          <w:tcPr>
            <w:tcW w:w="60" w:type="dxa"/>
            <w:vAlign w:val="bottom"/>
            <w:tcBorders>
              <w:top w:val="single" w:sz="8" w:color="D1EDF5"/>
            </w:tcBorders>
            <w:shd w:val="clear" w:color="auto" w:fill="D1EDF5"/>
          </w:tcPr>
          <w:p>
            <w:pPr>
              <w:spacing w:after="0"/>
              <w:rPr>
                <w:sz w:val="19"/>
                <w:szCs w:val="19"/>
                <w:color w:val="auto"/>
              </w:rPr>
            </w:pPr>
          </w:p>
        </w:tc>
        <w:tc>
          <w:tcPr>
            <w:tcW w:w="20" w:type="dxa"/>
            <w:vAlign w:val="bottom"/>
            <w:tcBorders>
              <w:top w:val="single" w:sz="8" w:color="D1EDF5"/>
            </w:tcBorders>
            <w:shd w:val="clear" w:color="auto" w:fill="D1EDF5"/>
          </w:tcPr>
          <w:p>
            <w:pPr>
              <w:spacing w:after="0"/>
              <w:rPr>
                <w:sz w:val="19"/>
                <w:szCs w:val="19"/>
                <w:color w:val="auto"/>
              </w:rPr>
            </w:pPr>
          </w:p>
        </w:tc>
        <w:tc>
          <w:tcPr>
            <w:tcW w:w="140" w:type="dxa"/>
            <w:vAlign w:val="bottom"/>
            <w:tcBorders>
              <w:top w:val="single" w:sz="8" w:color="auto"/>
            </w:tcBorders>
            <w:shd w:val="clear" w:color="auto" w:fill="D1EDF5"/>
          </w:tcPr>
          <w:p>
            <w:pPr>
              <w:spacing w:after="0"/>
              <w:rPr>
                <w:sz w:val="19"/>
                <w:szCs w:val="19"/>
                <w:color w:val="auto"/>
              </w:rPr>
            </w:pPr>
          </w:p>
        </w:tc>
        <w:tc>
          <w:tcPr>
            <w:tcW w:w="1840" w:type="dxa"/>
            <w:vAlign w:val="bottom"/>
            <w:tcBorders>
              <w:top w:val="single" w:sz="8" w:color="auto"/>
            </w:tcBorders>
            <w:shd w:val="clear" w:color="auto" w:fill="D1EDF5"/>
          </w:tcPr>
          <w:p>
            <w:pPr>
              <w:spacing w:after="0"/>
              <w:rPr>
                <w:sz w:val="19"/>
                <w:szCs w:val="19"/>
                <w:color w:val="auto"/>
              </w:rPr>
            </w:pP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26,100</w:t>
            </w:r>
          </w:p>
        </w:tc>
        <w:tc>
          <w:tcPr>
            <w:tcW w:w="60" w:type="dxa"/>
            <w:vAlign w:val="bottom"/>
          </w:tcPr>
          <w:p>
            <w:pPr>
              <w:spacing w:after="0"/>
              <w:rPr>
                <w:sz w:val="20"/>
                <w:szCs w:val="20"/>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24,674</w:t>
            </w:r>
          </w:p>
        </w:tc>
      </w:tr>
      <w:tr>
        <w:trPr>
          <w:trHeight w:val="209"/>
        </w:trPr>
        <w:tc>
          <w:tcPr>
            <w:tcW w:w="140" w:type="dxa"/>
            <w:vAlign w:val="bottom"/>
            <w:shd w:val="clear" w:color="auto" w:fill="D1EDF5"/>
          </w:tcPr>
          <w:p>
            <w:pPr>
              <w:spacing w:after="0"/>
              <w:rPr>
                <w:sz w:val="18"/>
                <w:szCs w:val="18"/>
                <w:color w:val="auto"/>
              </w:rPr>
            </w:pPr>
          </w:p>
        </w:tc>
        <w:tc>
          <w:tcPr>
            <w:tcW w:w="6620" w:type="dxa"/>
            <w:vAlign w:val="bottom"/>
            <w:shd w:val="clear" w:color="auto" w:fill="D1EDF5"/>
          </w:tcPr>
          <w:p>
            <w:pPr>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20" w:type="dxa"/>
            <w:vAlign w:val="bottom"/>
            <w:shd w:val="clear" w:color="auto" w:fill="D1EDF5"/>
          </w:tcPr>
          <w:p>
            <w:pPr>
              <w:spacing w:after="0"/>
              <w:rPr>
                <w:sz w:val="18"/>
                <w:szCs w:val="18"/>
                <w:color w:val="auto"/>
              </w:rPr>
            </w:pPr>
          </w:p>
        </w:tc>
        <w:tc>
          <w:tcPr>
            <w:tcW w:w="120" w:type="dxa"/>
            <w:vAlign w:val="bottom"/>
            <w:shd w:val="clear" w:color="auto" w:fill="D1EDF5"/>
          </w:tcPr>
          <w:p>
            <w:pPr>
              <w:spacing w:after="0"/>
              <w:rPr>
                <w:sz w:val="18"/>
                <w:szCs w:val="18"/>
                <w:color w:val="auto"/>
              </w:rPr>
            </w:pPr>
          </w:p>
        </w:tc>
        <w:tc>
          <w:tcPr>
            <w:tcW w:w="1840" w:type="dxa"/>
            <w:vAlign w:val="bottom"/>
            <w:shd w:val="clear" w:color="auto" w:fill="D1EDF5"/>
          </w:tcPr>
          <w:p>
            <w:pPr>
              <w:spacing w:after="0"/>
              <w:rPr>
                <w:sz w:val="18"/>
                <w:szCs w:val="18"/>
                <w:color w:val="auto"/>
              </w:rPr>
            </w:pPr>
          </w:p>
        </w:tc>
        <w:tc>
          <w:tcPr>
            <w:tcW w:w="60" w:type="dxa"/>
            <w:vAlign w:val="bottom"/>
            <w:shd w:val="clear" w:color="auto" w:fill="D1EDF5"/>
          </w:tcPr>
          <w:p>
            <w:pPr>
              <w:spacing w:after="0"/>
              <w:rPr>
                <w:sz w:val="18"/>
                <w:szCs w:val="18"/>
                <w:color w:val="auto"/>
              </w:rPr>
            </w:pPr>
          </w:p>
        </w:tc>
        <w:tc>
          <w:tcPr>
            <w:tcW w:w="20" w:type="dxa"/>
            <w:vAlign w:val="bottom"/>
            <w:shd w:val="clear" w:color="auto" w:fill="D1EDF5"/>
          </w:tcPr>
          <w:p>
            <w:pPr>
              <w:spacing w:after="0"/>
              <w:rPr>
                <w:sz w:val="18"/>
                <w:szCs w:val="18"/>
                <w:color w:val="auto"/>
              </w:rPr>
            </w:pPr>
          </w:p>
        </w:tc>
        <w:tc>
          <w:tcPr>
            <w:tcW w:w="140" w:type="dxa"/>
            <w:vAlign w:val="bottom"/>
            <w:shd w:val="clear" w:color="auto" w:fill="D1EDF5"/>
          </w:tcPr>
          <w:p>
            <w:pPr>
              <w:spacing w:after="0"/>
              <w:rPr>
                <w:sz w:val="18"/>
                <w:szCs w:val="18"/>
                <w:color w:val="auto"/>
              </w:rPr>
            </w:pPr>
          </w:p>
        </w:tc>
        <w:tc>
          <w:tcPr>
            <w:tcW w:w="1840" w:type="dxa"/>
            <w:vAlign w:val="bottom"/>
            <w:shd w:val="clear" w:color="auto" w:fill="D1EDF5"/>
          </w:tcPr>
          <w:p>
            <w:pPr>
              <w:spacing w:after="0"/>
              <w:rPr>
                <w:sz w:val="18"/>
                <w:szCs w:val="18"/>
                <w:color w:val="auto"/>
              </w:rPr>
            </w:pPr>
          </w:p>
        </w:tc>
      </w:tr>
      <w:tr>
        <w:trPr>
          <w:trHeight w:val="206"/>
        </w:trPr>
        <w:tc>
          <w:tcPr>
            <w:tcW w:w="140" w:type="dxa"/>
            <w:vAlign w:val="bottom"/>
            <w:shd w:val="clear" w:color="auto" w:fill="D1EDF5"/>
          </w:tcPr>
          <w:p>
            <w:pPr>
              <w:spacing w:after="0"/>
              <w:rPr>
                <w:sz w:val="17"/>
                <w:szCs w:val="17"/>
                <w:color w:val="auto"/>
              </w:rPr>
            </w:pPr>
          </w:p>
        </w:tc>
        <w:tc>
          <w:tcPr>
            <w:tcW w:w="6620" w:type="dxa"/>
            <w:vAlign w:val="bottom"/>
            <w:shd w:val="clear" w:color="auto" w:fill="D1EDF5"/>
          </w:tcPr>
          <w:p>
            <w:pPr>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1840" w:type="dxa"/>
            <w:vAlign w:val="bottom"/>
            <w:shd w:val="clear" w:color="auto" w:fill="D1EDF5"/>
          </w:tcPr>
          <w:p>
            <w:pPr>
              <w:spacing w:after="0"/>
              <w:rPr>
                <w:sz w:val="17"/>
                <w:szCs w:val="17"/>
                <w:color w:val="auto"/>
              </w:rPr>
            </w:pPr>
          </w:p>
        </w:tc>
        <w:tc>
          <w:tcPr>
            <w:tcW w:w="60" w:type="dxa"/>
            <w:vAlign w:val="bottom"/>
            <w:shd w:val="clear" w:color="auto" w:fill="D1EDF5"/>
          </w:tcPr>
          <w:p>
            <w:pPr>
              <w:spacing w:after="0"/>
              <w:rPr>
                <w:sz w:val="17"/>
                <w:szCs w:val="17"/>
                <w:color w:val="auto"/>
              </w:rPr>
            </w:pPr>
          </w:p>
        </w:tc>
        <w:tc>
          <w:tcPr>
            <w:tcW w:w="2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1840" w:type="dxa"/>
            <w:vAlign w:val="bottom"/>
            <w:shd w:val="clear" w:color="auto" w:fill="D1EDF5"/>
          </w:tcPr>
          <w:p>
            <w:pPr>
              <w:spacing w:after="0"/>
              <w:rPr>
                <w:sz w:val="17"/>
                <w:szCs w:val="17"/>
                <w:color w:val="auto"/>
              </w:rPr>
            </w:pP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Equity in undistributed earnings of subsidiaries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(23,707)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(21,689)</w:t>
            </w:r>
          </w:p>
        </w:tc>
      </w:tr>
      <w:tr>
        <w:trPr>
          <w:trHeight w:val="240"/>
        </w:trPr>
        <w:tc>
          <w:tcPr>
            <w:tcW w:w="140" w:type="dxa"/>
            <w:vAlign w:val="bottom"/>
            <w:shd w:val="clear" w:color="auto" w:fill="D1EDF5"/>
          </w:tcPr>
          <w:p>
            <w:pPr>
              <w:spacing w:after="0"/>
              <w:rPr>
                <w:sz w:val="20"/>
                <w:szCs w:val="20"/>
                <w:color w:val="auto"/>
              </w:rPr>
            </w:pPr>
          </w:p>
        </w:tc>
        <w:tc>
          <w:tcPr>
            <w:tcW w:w="6620" w:type="dxa"/>
            <w:vAlign w:val="bottom"/>
            <w:shd w:val="clear" w:color="auto" w:fill="D1EDF5"/>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3,005</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2,129</w:t>
            </w: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Increase in deferred tax asset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6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Increase in accrued interest and other liabilities</w:t>
            </w: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1,144</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72"/>
        </w:trPr>
        <w:tc>
          <w:tcPr>
            <w:tcW w:w="140" w:type="dxa"/>
            <w:vAlign w:val="bottom"/>
            <w:tcBorders>
              <w:bottom w:val="single" w:sz="8" w:color="D1EDF5"/>
            </w:tcBorders>
          </w:tcPr>
          <w:p>
            <w:pPr>
              <w:spacing w:after="0"/>
              <w:rPr>
                <w:sz w:val="23"/>
                <w:szCs w:val="23"/>
                <w:color w:val="auto"/>
              </w:rPr>
            </w:pPr>
          </w:p>
        </w:tc>
        <w:tc>
          <w:tcPr>
            <w:tcW w:w="662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bottom w:val="single" w:sz="8" w:color="D1EDF5"/>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w:t>
            </w:r>
          </w:p>
        </w:tc>
        <w:tc>
          <w:tcPr>
            <w:tcW w:w="60" w:type="dxa"/>
            <w:vAlign w:val="bottom"/>
            <w:tcBorders>
              <w:bottom w:val="single" w:sz="8" w:color="D1EDF5"/>
            </w:tcBorders>
          </w:tcPr>
          <w:p>
            <w:pPr>
              <w:spacing w:after="0"/>
              <w:rPr>
                <w:sz w:val="23"/>
                <w:szCs w:val="23"/>
                <w:color w:val="auto"/>
              </w:rPr>
            </w:pPr>
          </w:p>
        </w:tc>
        <w:tc>
          <w:tcPr>
            <w:tcW w:w="20" w:type="dxa"/>
            <w:vAlign w:val="bottom"/>
            <w:tcBorders>
              <w:bottom w:val="single" w:sz="8" w:color="D1EDF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w:t>
            </w:r>
          </w:p>
        </w:tc>
      </w:tr>
      <w:tr>
        <w:trPr>
          <w:trHeight w:val="240"/>
        </w:trPr>
        <w:tc>
          <w:tcPr>
            <w:tcW w:w="676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Capital contributions to subsidiary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6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140" w:type="dxa"/>
            <w:vAlign w:val="bottom"/>
            <w:tcBorders>
              <w:bottom w:val="single" w:sz="8" w:color="D1EDF5"/>
            </w:tcBorders>
          </w:tcPr>
          <w:p>
            <w:pPr>
              <w:spacing w:after="0"/>
              <w:rPr>
                <w:sz w:val="23"/>
                <w:szCs w:val="23"/>
                <w:color w:val="auto"/>
              </w:rPr>
            </w:pPr>
          </w:p>
        </w:tc>
        <w:tc>
          <w:tcPr>
            <w:tcW w:w="6620" w:type="dxa"/>
            <w:vAlign w:val="bottom"/>
            <w:tcBorders>
              <w:bottom w:val="single" w:sz="8" w:color="D1EDF5"/>
            </w:tcBorders>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Borders>
              <w:bottom w:val="single" w:sz="8" w:color="D1EDF5"/>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D1EDF5"/>
            </w:tcBorders>
          </w:tcPr>
          <w:p>
            <w:pPr>
              <w:spacing w:after="0"/>
              <w:rPr>
                <w:sz w:val="23"/>
                <w:szCs w:val="23"/>
                <w:color w:val="auto"/>
              </w:rPr>
            </w:pPr>
          </w:p>
        </w:tc>
        <w:tc>
          <w:tcPr>
            <w:tcW w:w="20" w:type="dxa"/>
            <w:vAlign w:val="bottom"/>
            <w:tcBorders>
              <w:bottom w:val="single" w:sz="8" w:color="D1EDF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60" w:type="dxa"/>
            <w:vAlign w:val="bottom"/>
            <w:gridSpan w:val="2"/>
            <w:shd w:val="clear" w:color="auto" w:fill="D1EDF5"/>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spacing w:after="0"/>
              <w:rPr>
                <w:sz w:val="20"/>
                <w:szCs w:val="20"/>
                <w:color w:val="auto"/>
              </w:rPr>
            </w:pP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(7,829)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(3,939)</w:t>
            </w:r>
          </w:p>
        </w:tc>
      </w:tr>
      <w:tr>
        <w:trPr>
          <w:trHeight w:val="240"/>
        </w:trPr>
        <w:tc>
          <w:tcPr>
            <w:tcW w:w="140" w:type="dxa"/>
            <w:vAlign w:val="bottom"/>
            <w:shd w:val="clear" w:color="auto" w:fill="D1EDF5"/>
          </w:tcPr>
          <w:p>
            <w:pPr>
              <w:spacing w:after="0"/>
              <w:rPr>
                <w:sz w:val="20"/>
                <w:szCs w:val="20"/>
                <w:color w:val="auto"/>
              </w:rPr>
            </w:pPr>
          </w:p>
        </w:tc>
        <w:tc>
          <w:tcPr>
            <w:tcW w:w="6620" w:type="dxa"/>
            <w:vAlign w:val="bottom"/>
            <w:shd w:val="clear" w:color="auto" w:fill="D1EDF5"/>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D1EDF5"/>
          </w:tcPr>
          <w:p>
            <w:pPr>
              <w:spacing w:after="0"/>
              <w:rPr>
                <w:sz w:val="20"/>
                <w:szCs w:val="20"/>
                <w:color w:val="auto"/>
              </w:rPr>
            </w:pPr>
          </w:p>
        </w:tc>
        <w:tc>
          <w:tcPr>
            <w:tcW w:w="12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140" w:type="dxa"/>
            <w:vAlign w:val="bottom"/>
            <w:shd w:val="clear" w:color="auto" w:fill="D1EDF5"/>
          </w:tcPr>
          <w:p>
            <w:pPr>
              <w:spacing w:after="0"/>
              <w:rPr>
                <w:sz w:val="20"/>
                <w:szCs w:val="20"/>
                <w:color w:val="auto"/>
              </w:rPr>
            </w:pPr>
          </w:p>
        </w:tc>
        <w:tc>
          <w:tcPr>
            <w:tcW w:w="18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1,319</w:t>
            </w: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(34,554)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6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Proceeds from issuance of subordinated notes, net of issuance cost</w:t>
            </w: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39,300</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w:t>
            </w:r>
          </w:p>
        </w:tc>
      </w:tr>
      <w:tr>
        <w:trPr>
          <w:trHeight w:val="272"/>
        </w:trPr>
        <w:tc>
          <w:tcPr>
            <w:tcW w:w="140" w:type="dxa"/>
            <w:vAlign w:val="bottom"/>
          </w:tcPr>
          <w:p>
            <w:pPr>
              <w:spacing w:after="0"/>
              <w:rPr>
                <w:sz w:val="23"/>
                <w:szCs w:val="23"/>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20"/>
        </w:trPr>
        <w:tc>
          <w:tcPr>
            <w:tcW w:w="140" w:type="dxa"/>
            <w:vAlign w:val="bottom"/>
            <w:tcBorders>
              <w:top w:val="single" w:sz="8" w:color="D1EDF5"/>
              <w:bottom w:val="single" w:sz="8" w:color="D1EDF5"/>
            </w:tcBorders>
            <w:shd w:val="clear" w:color="auto" w:fill="D1EDF5"/>
          </w:tcPr>
          <w:p>
            <w:pPr>
              <w:spacing w:after="0"/>
              <w:rPr>
                <w:sz w:val="19"/>
                <w:szCs w:val="19"/>
                <w:color w:val="auto"/>
              </w:rPr>
            </w:pPr>
          </w:p>
        </w:tc>
        <w:tc>
          <w:tcPr>
            <w:tcW w:w="6620" w:type="dxa"/>
            <w:vAlign w:val="bottom"/>
            <w:tcBorders>
              <w:top w:val="single" w:sz="8" w:color="D1EDF5"/>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top w:val="single" w:sz="8" w:color="D1EDF5"/>
              <w:bottom w:val="single" w:sz="8" w:color="D1EDF5"/>
            </w:tcBorders>
            <w:shd w:val="clear" w:color="auto" w:fill="D1EDF5"/>
          </w:tcPr>
          <w:p>
            <w:pPr>
              <w:spacing w:after="0"/>
              <w:rPr>
                <w:sz w:val="19"/>
                <w:szCs w:val="19"/>
                <w:color w:val="auto"/>
              </w:rPr>
            </w:pPr>
          </w:p>
        </w:tc>
        <w:tc>
          <w:tcPr>
            <w:tcW w:w="120" w:type="dxa"/>
            <w:vAlign w:val="bottom"/>
            <w:tcBorders>
              <w:top w:val="single" w:sz="8" w:color="auto"/>
              <w:bottom w:val="single" w:sz="8" w:color="D1EDF5"/>
            </w:tcBorders>
            <w:shd w:val="clear" w:color="auto" w:fill="D1EDF5"/>
          </w:tcPr>
          <w:p>
            <w:pPr>
              <w:spacing w:after="0"/>
              <w:rPr>
                <w:sz w:val="19"/>
                <w:szCs w:val="19"/>
                <w:color w:val="auto"/>
              </w:rPr>
            </w:pPr>
          </w:p>
        </w:tc>
        <w:tc>
          <w:tcPr>
            <w:tcW w:w="1840" w:type="dxa"/>
            <w:vAlign w:val="bottom"/>
            <w:tcBorders>
              <w:top w:val="single" w:sz="8" w:color="auto"/>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3,038</w:t>
            </w:r>
          </w:p>
        </w:tc>
        <w:tc>
          <w:tcPr>
            <w:tcW w:w="60" w:type="dxa"/>
            <w:vAlign w:val="bottom"/>
            <w:tcBorders>
              <w:top w:val="single" w:sz="8" w:color="D1EDF5"/>
              <w:bottom w:val="single" w:sz="8" w:color="D1EDF5"/>
            </w:tcBorders>
            <w:shd w:val="clear" w:color="auto" w:fill="D1EDF5"/>
          </w:tcPr>
          <w:p>
            <w:pPr>
              <w:spacing w:after="0"/>
              <w:rPr>
                <w:sz w:val="19"/>
                <w:szCs w:val="19"/>
                <w:color w:val="auto"/>
              </w:rPr>
            </w:pPr>
          </w:p>
        </w:tc>
        <w:tc>
          <w:tcPr>
            <w:tcW w:w="20" w:type="dxa"/>
            <w:vAlign w:val="bottom"/>
            <w:tcBorders>
              <w:top w:val="single" w:sz="8" w:color="D1EDF5"/>
              <w:bottom w:val="single" w:sz="8" w:color="D1EDF5"/>
            </w:tcBorders>
            <w:shd w:val="clear" w:color="auto" w:fill="D1EDF5"/>
          </w:tcPr>
          <w:p>
            <w:pPr>
              <w:spacing w:after="0"/>
              <w:rPr>
                <w:sz w:val="19"/>
                <w:szCs w:val="19"/>
                <w:color w:val="auto"/>
              </w:rPr>
            </w:pPr>
          </w:p>
        </w:tc>
        <w:tc>
          <w:tcPr>
            <w:tcW w:w="140" w:type="dxa"/>
            <w:vAlign w:val="bottom"/>
            <w:tcBorders>
              <w:top w:val="single" w:sz="8" w:color="auto"/>
              <w:bottom w:val="single" w:sz="8" w:color="D1EDF5"/>
            </w:tcBorders>
            <w:shd w:val="clear" w:color="auto" w:fill="D1EDF5"/>
          </w:tcPr>
          <w:p>
            <w:pPr>
              <w:spacing w:after="0"/>
              <w:rPr>
                <w:sz w:val="19"/>
                <w:szCs w:val="19"/>
                <w:color w:val="auto"/>
              </w:rPr>
            </w:pPr>
          </w:p>
        </w:tc>
        <w:tc>
          <w:tcPr>
            <w:tcW w:w="1840" w:type="dxa"/>
            <w:vAlign w:val="bottom"/>
            <w:tcBorders>
              <w:top w:val="single" w:sz="8" w:color="auto"/>
              <w:bottom w:val="single" w:sz="8" w:color="D1EDF5"/>
            </w:tcBorders>
            <w:shd w:val="clear" w:color="auto" w:fill="D1EDF5"/>
          </w:tcPr>
          <w:p>
            <w:pPr>
              <w:jc w:val="right"/>
              <w:spacing w:after="0"/>
              <w:rPr>
                <w:sz w:val="20"/>
                <w:szCs w:val="20"/>
                <w:color w:val="auto"/>
              </w:rPr>
            </w:pPr>
            <w:r>
              <w:rPr>
                <w:rFonts w:ascii="Arial" w:cs="Arial" w:eastAsia="Arial" w:hAnsi="Arial"/>
                <w:sz w:val="18"/>
                <w:szCs w:val="18"/>
                <w:color w:val="auto"/>
              </w:rPr>
              <w:t>1,309</w:t>
            </w:r>
          </w:p>
        </w:tc>
      </w:tr>
      <w:tr>
        <w:trPr>
          <w:trHeight w:val="240"/>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2"/>
        </w:trPr>
        <w:tc>
          <w:tcPr>
            <w:tcW w:w="140" w:type="dxa"/>
            <w:vAlign w:val="bottom"/>
            <w:tcBorders>
              <w:bottom w:val="single" w:sz="8" w:color="D1EDF5"/>
            </w:tcBorders>
            <w:shd w:val="clear" w:color="auto" w:fill="D1EDF5"/>
          </w:tcPr>
          <w:p>
            <w:pPr>
              <w:spacing w:after="0"/>
              <w:rPr>
                <w:sz w:val="21"/>
                <w:szCs w:val="21"/>
                <w:color w:val="auto"/>
              </w:rPr>
            </w:pPr>
          </w:p>
        </w:tc>
        <w:tc>
          <w:tcPr>
            <w:tcW w:w="6620" w:type="dxa"/>
            <w:vAlign w:val="bottom"/>
            <w:tcBorders>
              <w:bottom w:val="single" w:sz="8" w:color="D1EDF5"/>
            </w:tcBorders>
            <w:shd w:val="clear" w:color="auto" w:fill="D1EDF5"/>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Borders>
              <w:bottom w:val="single" w:sz="8" w:color="D1EDF5"/>
            </w:tcBorders>
            <w:shd w:val="clear" w:color="auto" w:fill="D1EDF5"/>
          </w:tcPr>
          <w:p>
            <w:pPr>
              <w:spacing w:after="0"/>
              <w:rPr>
                <w:sz w:val="21"/>
                <w:szCs w:val="21"/>
                <w:color w:val="auto"/>
              </w:rPr>
            </w:pPr>
          </w:p>
        </w:tc>
        <w:tc>
          <w:tcPr>
            <w:tcW w:w="12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3,735</w:t>
            </w:r>
          </w:p>
        </w:tc>
        <w:tc>
          <w:tcPr>
            <w:tcW w:w="60" w:type="dxa"/>
            <w:vAlign w:val="bottom"/>
            <w:tcBorders>
              <w:bottom w:val="single" w:sz="8" w:color="D1EDF5"/>
            </w:tcBorders>
            <w:shd w:val="clear" w:color="auto" w:fill="D1EDF5"/>
          </w:tcPr>
          <w:p>
            <w:pPr>
              <w:spacing w:after="0"/>
              <w:rPr>
                <w:sz w:val="21"/>
                <w:szCs w:val="21"/>
                <w:color w:val="auto"/>
              </w:rPr>
            </w:pPr>
          </w:p>
        </w:tc>
        <w:tc>
          <w:tcPr>
            <w:tcW w:w="20" w:type="dxa"/>
            <w:vAlign w:val="bottom"/>
            <w:tcBorders>
              <w:bottom w:val="single" w:sz="8" w:color="D1EDF5"/>
            </w:tcBorders>
            <w:shd w:val="clear" w:color="auto" w:fill="D1EDF5"/>
          </w:tcPr>
          <w:p>
            <w:pPr>
              <w:spacing w:after="0"/>
              <w:rPr>
                <w:sz w:val="21"/>
                <w:szCs w:val="21"/>
                <w:color w:val="auto"/>
              </w:rPr>
            </w:pPr>
          </w:p>
        </w:tc>
        <w:tc>
          <w:tcPr>
            <w:tcW w:w="140" w:type="dxa"/>
            <w:vAlign w:val="bottom"/>
            <w:tcBorders>
              <w:bottom w:val="single" w:sz="8" w:color="auto"/>
            </w:tcBorders>
            <w:shd w:val="clear" w:color="auto" w:fill="D1EDF5"/>
          </w:tcPr>
          <w:p>
            <w:pPr>
              <w:spacing w:after="0"/>
              <w:rPr>
                <w:sz w:val="21"/>
                <w:szCs w:val="21"/>
                <w:color w:val="auto"/>
              </w:rPr>
            </w:pPr>
          </w:p>
        </w:tc>
        <w:tc>
          <w:tcPr>
            <w:tcW w:w="1840" w:type="dxa"/>
            <w:vAlign w:val="bottom"/>
            <w:tcBorders>
              <w:bottom w:val="single" w:sz="8" w:color="auto"/>
            </w:tcBorders>
            <w:shd w:val="clear" w:color="auto" w:fill="D1EDF5"/>
          </w:tcPr>
          <w:p>
            <w:pPr>
              <w:jc w:val="right"/>
              <w:spacing w:after="0"/>
              <w:rPr>
                <w:sz w:val="20"/>
                <w:szCs w:val="20"/>
                <w:color w:val="auto"/>
              </w:rPr>
            </w:pPr>
            <w:r>
              <w:rPr>
                <w:rFonts w:ascii="Arial" w:cs="Arial" w:eastAsia="Arial" w:hAnsi="Arial"/>
                <w:sz w:val="18"/>
                <w:szCs w:val="18"/>
                <w:color w:val="auto"/>
              </w:rPr>
              <w:t>2,426</w:t>
            </w:r>
          </w:p>
        </w:tc>
      </w:tr>
      <w:tr>
        <w:trPr>
          <w:trHeight w:val="235"/>
        </w:trPr>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20"/>
                <w:szCs w:val="20"/>
                <w:color w:val="auto"/>
              </w:rPr>
            </w:pPr>
          </w:p>
        </w:tc>
        <w:tc>
          <w:tcPr>
            <w:tcW w:w="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r>
      <w:tr>
        <w:trPr>
          <w:trHeight w:val="20"/>
        </w:trPr>
        <w:tc>
          <w:tcPr>
            <w:tcW w:w="1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22" w:name="page123"/>
    <w:bookmarkEnd w:id="122"/>
    <w:p>
      <w:pPr>
        <w:ind w:left="1"/>
        <w:spacing w:after="0"/>
        <w:rPr>
          <w:sz w:val="20"/>
          <w:szCs w:val="20"/>
          <w:color w:val="auto"/>
        </w:rPr>
      </w:pPr>
      <w:r>
        <w:rPr>
          <w:rFonts w:ascii="Arial" w:cs="Arial" w:eastAsia="Arial" w:hAnsi="Arial"/>
          <w:sz w:val="20"/>
          <w:szCs w:val="20"/>
          <w:u w:val="single" w:color="auto"/>
          <w:color w:val="0D248E"/>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USCB FINANCIAL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34" w:lineRule="exact"/>
        <w:rPr>
          <w:sz w:val="20"/>
          <w:szCs w:val="20"/>
          <w:color w:val="auto"/>
        </w:rPr>
      </w:pPr>
    </w:p>
    <w:p>
      <w:pPr>
        <w:ind w:left="721" w:hanging="720"/>
        <w:spacing w:after="0"/>
        <w:tabs>
          <w:tab w:leader="none" w:pos="721"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SEGMENT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35560</wp:posOffset>
                </wp:positionV>
                <wp:extent cx="689356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2.8pt" to="541.45pt,2.8pt" o:allowincell="f" strokecolor="#000000" strokeweight="1.44pt"/>
            </w:pict>
          </mc:Fallback>
        </mc:AlternateContent>
      </w:r>
    </w:p>
    <w:p>
      <w:pPr>
        <w:spacing w:after="0" w:line="265" w:lineRule="exact"/>
        <w:rPr>
          <w:sz w:val="20"/>
          <w:szCs w:val="20"/>
          <w:color w:val="auto"/>
        </w:rPr>
      </w:pPr>
    </w:p>
    <w:p>
      <w:pPr>
        <w:jc w:val="both"/>
        <w:ind w:left="1" w:firstLine="360"/>
        <w:spacing w:after="0" w:line="260" w:lineRule="auto"/>
        <w:rPr>
          <w:sz w:val="20"/>
          <w:szCs w:val="20"/>
          <w:color w:val="auto"/>
        </w:rPr>
      </w:pPr>
      <w:r>
        <w:rPr>
          <w:rFonts w:ascii="Arial" w:cs="Arial" w:eastAsia="Arial" w:hAnsi="Arial"/>
          <w:sz w:val="20"/>
          <w:szCs w:val="20"/>
          <w:color w:val="auto"/>
        </w:rPr>
        <w:t>Operating segments are components of an enterprise about which separate financial information is available that is evaluated regularly by the chief operating decision maker (“CODM”) in assessing performance and in deciding how to allocate resources. The Company’s CODM is the President, Chief Executive Officer, and Chairman.</w:t>
      </w:r>
    </w:p>
    <w:p>
      <w:pPr>
        <w:spacing w:after="0" w:line="172" w:lineRule="exact"/>
        <w:rPr>
          <w:sz w:val="20"/>
          <w:szCs w:val="20"/>
          <w:color w:val="auto"/>
        </w:rPr>
      </w:pPr>
    </w:p>
    <w:p>
      <w:pPr>
        <w:jc w:val="both"/>
        <w:ind w:left="1" w:firstLine="360"/>
        <w:spacing w:after="0" w:line="244" w:lineRule="auto"/>
        <w:rPr>
          <w:sz w:val="20"/>
          <w:szCs w:val="20"/>
          <w:color w:val="auto"/>
        </w:rPr>
      </w:pPr>
      <w:r>
        <w:rPr>
          <w:rFonts w:ascii="Arial" w:cs="Arial" w:eastAsia="Arial" w:hAnsi="Arial"/>
          <w:sz w:val="20"/>
          <w:szCs w:val="20"/>
          <w:color w:val="auto"/>
        </w:rPr>
        <w:t>The Company through the Bank, its sole direct subsidiary, operates 10 banking centers in South Florida providing a wide range of personal and business banking products and services, and through a subsidiary of the Bank, offers clients title insurance policies for real estate transactions closed at the Bank. The Company’s business activities are similar in their nature, operations and economic characteristics, largely serving commercial and specialty banking clients with products and services that are offered through similar processes and platforms. Accounting policies for the products and services referenced here are the same as those described in Note 1, “Summary of Significant Accounting Policies”. The Company’s segment revenue is driven primarily by interest income on loans as well as fee income from the origination of loans and from fees charged on loans and deposit accounts. Lending activities include loans to individuals, which primarily consist of home equity lines of credit, residential real estate loans, yacht loans, and consumer loans, and loans to commercial clients, which include commercial and industrial loans, commercial real estate loans, residential real estate loans, correspondent banking loans, and letters of credit.</w:t>
      </w:r>
    </w:p>
    <w:p>
      <w:pPr>
        <w:spacing w:after="0" w:line="189" w:lineRule="exact"/>
        <w:rPr>
          <w:sz w:val="20"/>
          <w:szCs w:val="20"/>
          <w:color w:val="auto"/>
        </w:rPr>
      </w:pPr>
    </w:p>
    <w:p>
      <w:pPr>
        <w:jc w:val="both"/>
        <w:ind w:left="1" w:firstLine="360"/>
        <w:spacing w:after="0" w:line="245" w:lineRule="auto"/>
        <w:rPr>
          <w:sz w:val="20"/>
          <w:szCs w:val="20"/>
          <w:color w:val="auto"/>
        </w:rPr>
      </w:pPr>
      <w:r>
        <w:rPr>
          <w:rFonts w:ascii="Arial" w:cs="Arial" w:eastAsia="Arial" w:hAnsi="Arial"/>
          <w:sz w:val="20"/>
          <w:szCs w:val="20"/>
          <w:color w:val="auto"/>
        </w:rPr>
        <w:t>The CODM regularly reviews consolidated income and expenses, as presented on the Consolidated Statements of Operations, in addition to consolidated assets presented on the Consolidated Balance Sheets. The significant segment expenses that the CODM receives regularly are interest expense, provision for credit losses, salaries and wages, employee benefits, and occupancy. The CODM evaluates the performance of the segment and allocates resources based on net income that is also reported on the Consolidated Statements of Operations as consolidated net income to maximize shareholder value. Additionally, consolidated internal financial information is used by the CODM to monitor credit quality and credit loss expense. Furthermore, net income, as the measure of profit or loss, is used to monitor budget versus actual results and to perform competitive analyses that benchmark the Company to competitors. As a result, the Company has determined that it has only one reportable segment.</w:t>
      </w:r>
    </w:p>
    <w:p>
      <w:pPr>
        <w:spacing w:after="0" w:line="200" w:lineRule="exact"/>
        <w:rPr>
          <w:sz w:val="20"/>
          <w:szCs w:val="20"/>
          <w:color w:val="auto"/>
        </w:rPr>
      </w:pPr>
    </w:p>
    <w:p>
      <w:pPr>
        <w:spacing w:after="0" w:line="213" w:lineRule="exact"/>
        <w:rPr>
          <w:sz w:val="20"/>
          <w:szCs w:val="20"/>
          <w:color w:val="auto"/>
        </w:rPr>
      </w:pPr>
    </w:p>
    <w:p>
      <w:pPr>
        <w:ind w:left="541" w:hanging="541"/>
        <w:spacing w:after="0"/>
        <w:tabs>
          <w:tab w:leader="none" w:pos="541"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LOSS CONTINGENCIES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34925</wp:posOffset>
                </wp:positionV>
                <wp:extent cx="689356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2.75pt" to="541.45pt,2.75pt" o:allowincell="f" strokecolor="#000000" strokeweight="1.44pt"/>
            </w:pict>
          </mc:Fallback>
        </mc:AlternateContent>
      </w:r>
    </w:p>
    <w:p>
      <w:pPr>
        <w:spacing w:after="0" w:line="261" w:lineRule="exact"/>
        <w:rPr>
          <w:sz w:val="20"/>
          <w:szCs w:val="20"/>
          <w:color w:val="auto"/>
        </w:rPr>
      </w:pPr>
    </w:p>
    <w:p>
      <w:pPr>
        <w:jc w:val="both"/>
        <w:ind w:left="1" w:firstLine="360"/>
        <w:spacing w:after="0" w:line="261" w:lineRule="auto"/>
        <w:rPr>
          <w:sz w:val="20"/>
          <w:szCs w:val="20"/>
          <w:color w:val="auto"/>
        </w:rPr>
      </w:pPr>
      <w:r>
        <w:rPr>
          <w:rFonts w:ascii="Arial" w:cs="Arial" w:eastAsia="Arial" w:hAnsi="Arial"/>
          <w:sz w:val="20"/>
          <w:szCs w:val="20"/>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68" w:lineRule="exact"/>
        <w:rPr>
          <w:sz w:val="20"/>
          <w:szCs w:val="20"/>
          <w:color w:val="auto"/>
        </w:rPr>
      </w:pPr>
    </w:p>
    <w:p>
      <w:pPr>
        <w:ind w:left="721" w:hanging="720"/>
        <w:spacing w:after="0"/>
        <w:tabs>
          <w:tab w:leader="none" w:pos="721"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35560</wp:posOffset>
                </wp:positionV>
                <wp:extent cx="689356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18288">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2.8pt" to="541.45pt,2.8pt" o:allowincell="f" strokecolor="#000000" strokeweight="1.44pt"/>
            </w:pict>
          </mc:Fallback>
        </mc:AlternateContent>
      </w:r>
    </w:p>
    <w:p>
      <w:pPr>
        <w:spacing w:after="0" w:line="25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Dividends</w:t>
      </w:r>
    </w:p>
    <w:p>
      <w:pPr>
        <w:spacing w:after="0" w:line="235" w:lineRule="exact"/>
        <w:rPr>
          <w:sz w:val="20"/>
          <w:szCs w:val="20"/>
          <w:color w:val="auto"/>
        </w:rPr>
      </w:pPr>
    </w:p>
    <w:p>
      <w:pPr>
        <w:jc w:val="both"/>
        <w:ind w:left="1" w:firstLine="360"/>
        <w:spacing w:after="0" w:line="260" w:lineRule="auto"/>
        <w:rPr>
          <w:sz w:val="20"/>
          <w:szCs w:val="20"/>
          <w:color w:val="auto"/>
        </w:rPr>
      </w:pPr>
      <w:r>
        <w:rPr>
          <w:rFonts w:ascii="Arial" w:cs="Arial" w:eastAsia="Arial" w:hAnsi="Arial"/>
          <w:sz w:val="20"/>
          <w:szCs w:val="20"/>
          <w:color w:val="auto"/>
        </w:rPr>
        <w:t>On January 20, 2026, the Company’s Board of Directors declared a quarterly cash dividend of $0.125 per share of Class A common stock, to be paid on March 5, 2026, to stockholders of record as of the close of business on 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1"/>
          </w:cols>
          <w:pgMar w:left="719" w:top="355" w:right="720" w:bottom="0" w:gutter="0" w:footer="0" w:header="0"/>
        </w:sectPr>
      </w:pPr>
    </w:p>
    <w:bookmarkStart w:id="123" w:name="page124"/>
    <w:bookmarkEnd w:id="123"/>
    <w:p>
      <w:pPr>
        <w:spacing w:after="0"/>
        <w:rPr>
          <w:sz w:val="20"/>
          <w:szCs w:val="20"/>
          <w:color w:val="auto"/>
        </w:rPr>
      </w:pPr>
      <w:r>
        <w:rPr>
          <w:rFonts w:ascii="Arial" w:cs="Arial" w:eastAsia="Arial" w:hAnsi="Arial"/>
          <w:sz w:val="20"/>
          <w:szCs w:val="20"/>
          <w:u w:val="single" w:color="auto"/>
          <w:color w:val="0D248E"/>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35"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Under the supervision and with the participation of our management, including our Chief Executive Officer and our Chief Financial Officer, we evaluated the effectiveness of the design and operation of the Company’s disclosure controls and procedures as of December 31, 2025.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Annual Report on Form 10-K.</w:t>
      </w:r>
    </w:p>
    <w:p>
      <w:pPr>
        <w:spacing w:after="0" w:line="18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This annual report does not include an integrated audit report of the Company's registered public accounting firm regarding internal control over financial reporting. Management's report was not subject to audit by the Company's registered public accounting firm pursuant to the rules of the SEC that permit the Company, as an emerging growth company to provide only management's report in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35"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Management is responsible for designing, implementing, documenting, and maintaining an adequate system of internal control over financial reporting, as such term is defined in the Exchange Act. An adequate system of internal control over financial reporting encompasses the processes and procedures that have been established by management to:</w:t>
      </w:r>
    </w:p>
    <w:p>
      <w:pPr>
        <w:spacing w:after="0" w:line="155" w:lineRule="exact"/>
        <w:rPr>
          <w:sz w:val="20"/>
          <w:szCs w:val="20"/>
          <w:color w:val="auto"/>
        </w:rPr>
      </w:pPr>
    </w:p>
    <w:p>
      <w:pPr>
        <w:ind w:left="720" w:hanging="360"/>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maintain records that accurately reflect the Company’s transactions;</w:t>
      </w:r>
    </w:p>
    <w:p>
      <w:pPr>
        <w:spacing w:after="0" w:line="26" w:lineRule="exact"/>
        <w:rPr>
          <w:rFonts w:ascii="Arial" w:cs="Arial" w:eastAsia="Arial" w:hAnsi="Arial"/>
          <w:sz w:val="20"/>
          <w:szCs w:val="20"/>
          <w:color w:val="auto"/>
        </w:rPr>
      </w:pPr>
    </w:p>
    <w:p>
      <w:pPr>
        <w:ind w:left="720" w:hanging="360"/>
        <w:spacing w:after="0" w:line="239"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prepare financial statement and footnote disclosures in accordance with U.S. GAAP that can be relied upon by external users; and</w:t>
      </w:r>
    </w:p>
    <w:p>
      <w:pPr>
        <w:ind w:left="720" w:hanging="360"/>
        <w:spacing w:after="0" w:line="255"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prevent and detect unauthorized acquisition, use or disposition of the Company's assets that could have a material effect on the financial statements.</w:t>
      </w:r>
    </w:p>
    <w:p>
      <w:pPr>
        <w:spacing w:after="0" w:line="1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Management conducted an evaluation of the effectiveness of the Company's internal control over financial reporting based on the criteria in Internal Control-Integrated Framework issued by the Committee of Sponsoring Organizations of the Treadway Commission (COSO). Based on this evaluation under the criteria in Internal Control-Integrated Framework, management concluded that internal control over financial reporting was effective as of December 31, 2025. Furthermore, during the conduct of its assessment, management identified no material weakness in its financial reporting control system.</w:t>
      </w:r>
    </w:p>
    <w:p>
      <w:pPr>
        <w:spacing w:after="0" w:line="170"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Board of the Company, through its Audit Committee, provides oversight to management’s conduct of the financial reporting process. The Audit Committee, which is composed entirely of independent directors, is also responsible for the appointment of the independent registered public accounting firm. The Audit Committee also meets with management, the internal audit staff, and the Company’s independent registered public accounting firm throughout the year to provide assurance as to the adequacy of the financial reporting process and to monitor the overall scope of the work performed by the internal audit staff and the independent registered public accounting firm.</w:t>
      </w:r>
    </w:p>
    <w:p>
      <w:pPr>
        <w:spacing w:after="0" w:line="18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9"/>
          <w:szCs w:val="19"/>
          <w:color w:val="auto"/>
        </w:rPr>
        <w:t>Because of its inherent limitations, the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There has been no change in our internal control over financial reporting (as defined in Rules 13a-15(f) and 15d-15(f) under the Exchange Act) during the quarter ended December 31, 2025 that has materially affected, or is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None</w:t>
      </w:r>
    </w:p>
    <w:p>
      <w:pPr>
        <w:spacing w:after="0" w:line="351"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24" w:name="page125"/>
    <w:bookmarkEnd w:id="124"/>
    <w:p>
      <w:pPr>
        <w:spacing w:after="0"/>
        <w:rPr>
          <w:sz w:val="20"/>
          <w:szCs w:val="20"/>
          <w:color w:val="auto"/>
        </w:rPr>
      </w:pPr>
      <w:r>
        <w:rPr>
          <w:rFonts w:ascii="Arial" w:cs="Arial" w:eastAsia="Arial" w:hAnsi="Arial"/>
          <w:sz w:val="20"/>
          <w:szCs w:val="20"/>
          <w:u w:val="single" w:color="auto"/>
          <w:color w:val="0D248E"/>
        </w:rPr>
        <w:t>Table of Contents</w:t>
      </w:r>
    </w:p>
    <w:p>
      <w:pPr>
        <w:spacing w:after="0" w:line="200" w:lineRule="exact"/>
        <w:rPr>
          <w:sz w:val="20"/>
          <w:szCs w:val="20"/>
          <w:color w:val="auto"/>
        </w:rPr>
      </w:pPr>
    </w:p>
    <w:p>
      <w:pPr>
        <w:spacing w:after="0" w:line="276" w:lineRule="exact"/>
        <w:rPr>
          <w:sz w:val="20"/>
          <w:szCs w:val="20"/>
          <w:color w:val="auto"/>
        </w:rPr>
      </w:pPr>
    </w:p>
    <w:p>
      <w:pPr>
        <w:jc w:val="both"/>
        <w:ind w:left="720" w:hanging="360"/>
        <w:spacing w:after="0" w:line="261"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During the three months ended December 31, 2025, none of the Company’s directors or Section 16 reporting officers adopted or terminated any Rule 10b5-1 trading arrangement or non-Rule 10b5-1 trading arrangement (as such terms are defined in Item 408 of the SEC’s Regulation S-K).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25" w:name="page126"/>
    <w:bookmarkEnd w:id="125"/>
    <w:p>
      <w:pPr>
        <w:spacing w:after="0"/>
        <w:rPr>
          <w:sz w:val="20"/>
          <w:szCs w:val="20"/>
          <w:color w:val="auto"/>
        </w:rPr>
      </w:pPr>
      <w:r>
        <w:rPr>
          <w:rFonts w:ascii="Arial" w:cs="Arial" w:eastAsia="Arial" w:hAnsi="Arial"/>
          <w:sz w:val="20"/>
          <w:szCs w:val="20"/>
          <w:u w:val="single" w:color="auto"/>
          <w:color w:val="0D248E"/>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3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0"/>
          <w:szCs w:val="20"/>
          <w:color w:val="auto"/>
        </w:rPr>
        <w:t>The information required herein is incorporated by reference from the sections captioned “Information with Respect to Nominees for Director and Information About Executive Officers” and “Beneficial Ownership of Common Stock by Certain Beneficial Owners and Management – Delinquent Section 16(a) Reports” in the Company’s Definitive Proxy Statement for the Annual Meeting of Shareholders currently expected to be held on May 26, 2026, is expected to be filed with the SEC within 120 days of December 31, 2025 (“2026 Definitive Proxy Statement”).</w:t>
      </w:r>
    </w:p>
    <w:p>
      <w:pPr>
        <w:spacing w:after="0" w:line="183" w:lineRule="exact"/>
        <w:rPr>
          <w:sz w:val="20"/>
          <w:szCs w:val="20"/>
          <w:color w:val="auto"/>
        </w:rPr>
      </w:pPr>
    </w:p>
    <w:p>
      <w:pPr>
        <w:jc w:val="both"/>
        <w:ind w:firstLine="360"/>
        <w:spacing w:after="0" w:line="248" w:lineRule="auto"/>
        <w:rPr>
          <w:sz w:val="20"/>
          <w:szCs w:val="20"/>
          <w:color w:val="auto"/>
        </w:rPr>
      </w:pPr>
      <w:r>
        <w:rPr>
          <w:rFonts w:ascii="Arial" w:cs="Arial" w:eastAsia="Arial" w:hAnsi="Arial"/>
          <w:sz w:val="20"/>
          <w:szCs w:val="20"/>
          <w:color w:val="auto"/>
        </w:rPr>
        <w:t>The Company has adopted a code of ethics and business conduct policy, which applies to all of its directors, officers, including its principal executive officer, principal financial officer, principal accounting officer, and employees generally. The Company will provide a copy of its code of ethics to any person, free of charge, upon request. Any requests for a copy should be made to the Corporate Secretary, USCB Financial Holdings, Inc., 2301 N.W. 87th Avenue, Doral, Florida. In addition, a copy of the Code of Ethics is available at the Company’s website at www.uscentury.com under the “Investor Relations” tab.</w:t>
      </w:r>
    </w:p>
    <w:p>
      <w:pPr>
        <w:spacing w:after="0" w:line="18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20"/>
          <w:szCs w:val="20"/>
          <w:color w:val="auto"/>
        </w:rPr>
        <w:t>There have been no material changes to the procedures by which shareholders may recommend nominees to the Company’s Board.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5"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color w:val="auto"/>
        </w:rPr>
        <w:t>The information required herein is incorporated by reference from the sections captioned "Executive Compensation" and “Information with Respect to Nominees for Director and Information About Executive Officers – Corporate Governance Principles and Board Matters” and “- Director Compensation” in the Company’s 2026 Definitive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180" w:firstLine="720"/>
        <w:spacing w:after="0" w:line="263" w:lineRule="auto"/>
        <w:rPr>
          <w:sz w:val="20"/>
          <w:szCs w:val="20"/>
          <w:color w:val="auto"/>
        </w:rPr>
      </w:pPr>
      <w:r>
        <w:rPr>
          <w:rFonts w:ascii="Arial" w:cs="Arial" w:eastAsia="Arial" w:hAnsi="Arial"/>
          <w:sz w:val="20"/>
          <w:szCs w:val="20"/>
          <w:b w:val="1"/>
          <w:bCs w:val="1"/>
          <w:color w:val="auto"/>
        </w:rPr>
        <w:t>Equity compensation Plan information</w:t>
      </w:r>
      <w:r>
        <w:rPr>
          <w:rFonts w:ascii="Arial" w:cs="Arial" w:eastAsia="Arial" w:hAnsi="Arial"/>
          <w:sz w:val="20"/>
          <w:szCs w:val="20"/>
          <w:color w:val="auto"/>
        </w:rPr>
        <w:t>. The following table provide information as of December 31, 2025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shares of common stock that may be issued under our existing equity compensation plans, which consists of the 2015 Equity Incentive Plan (the “2015 Option Plan”) which was approved by our shareholders.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securities issued</w:t>
            </w:r>
          </w:p>
        </w:tc>
        <w:tc>
          <w:tcPr>
            <w:tcW w:w="40" w:type="dxa"/>
            <w:vAlign w:val="bottom"/>
          </w:tcPr>
          <w:p>
            <w:pPr>
              <w:spacing w:after="0"/>
              <w:rPr>
                <w:sz w:val="17"/>
                <w:szCs w:val="17"/>
                <w:color w:val="auto"/>
              </w:rPr>
            </w:pPr>
          </w:p>
        </w:tc>
        <w:tc>
          <w:tcPr>
            <w:tcW w:w="1740" w:type="dxa"/>
            <w:vAlign w:val="bottom"/>
            <w:gridSpan w:val="4"/>
            <w:vMerge w:val="restart"/>
          </w:tcPr>
          <w:p>
            <w:pPr>
              <w:jc w:val="center"/>
              <w:ind w:right="60"/>
              <w:spacing w:after="0"/>
              <w:rPr>
                <w:sz w:val="20"/>
                <w:szCs w:val="20"/>
                <w:color w:val="auto"/>
              </w:rPr>
            </w:pPr>
            <w:r>
              <w:rPr>
                <w:rFonts w:ascii="Arial" w:cs="Arial" w:eastAsia="Arial" w:hAnsi="Arial"/>
                <w:sz w:val="18"/>
                <w:szCs w:val="18"/>
                <w:b w:val="1"/>
                <w:bCs w:val="1"/>
                <w:color w:val="auto"/>
              </w:rPr>
              <w:t>Weighted-average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or to be upon</w:t>
            </w:r>
          </w:p>
        </w:tc>
        <w:tc>
          <w:tcPr>
            <w:tcW w:w="4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exercise price of</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outstanding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outstanding</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plans (excluding</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options, warrants</w:t>
            </w:r>
          </w:p>
        </w:tc>
        <w:tc>
          <w:tcPr>
            <w:tcW w:w="40" w:type="dxa"/>
            <w:vAlign w:val="bottom"/>
          </w:tcPr>
          <w:p>
            <w:pPr>
              <w:spacing w:after="0"/>
              <w:rPr>
                <w:sz w:val="17"/>
                <w:szCs w:val="17"/>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9"/>
              </w:rPr>
              <w:t>options, warrants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and rights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and rights</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column (a))</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i w:val="1"/>
                <w:iCs w:val="1"/>
                <w:color w:val="auto"/>
              </w:rPr>
              <w:t>Per Category</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 (1)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(b) (1)</w:t>
            </w:r>
          </w:p>
        </w:tc>
        <w:tc>
          <w:tcPr>
            <w:tcW w:w="60" w:type="dxa"/>
            <w:vAlign w:val="bottom"/>
            <w:gridSpan w:val="2"/>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232"/>
        </w:trPr>
        <w:tc>
          <w:tcPr>
            <w:tcW w:w="5100" w:type="dxa"/>
            <w:vAlign w:val="bottom"/>
            <w:gridSpan w:val="2"/>
            <w:shd w:val="clear" w:color="auto" w:fill="D1EDF5"/>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1,032,930</w:t>
            </w:r>
          </w:p>
        </w:tc>
        <w:tc>
          <w:tcPr>
            <w:tcW w:w="40" w:type="dxa"/>
            <w:vAlign w:val="bottom"/>
            <w:shd w:val="clear" w:color="auto" w:fill="D1EDF5"/>
          </w:tcPr>
          <w:p>
            <w:pPr>
              <w:spacing w:after="0"/>
              <w:rPr>
                <w:sz w:val="20"/>
                <w:szCs w:val="20"/>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12.67</w:t>
            </w:r>
          </w:p>
        </w:tc>
        <w:tc>
          <w:tcPr>
            <w:tcW w:w="20" w:type="dxa"/>
            <w:vAlign w:val="bottom"/>
            <w:shd w:val="clear" w:color="auto" w:fill="D1EDF5"/>
          </w:tcPr>
          <w:p>
            <w:pPr>
              <w:spacing w:after="0"/>
              <w:rPr>
                <w:sz w:val="20"/>
                <w:szCs w:val="20"/>
                <w:color w:val="auto"/>
              </w:rPr>
            </w:pPr>
          </w:p>
        </w:tc>
        <w:tc>
          <w:tcPr>
            <w:tcW w:w="2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872,012</w:t>
            </w:r>
          </w:p>
        </w:tc>
        <w:tc>
          <w:tcPr>
            <w:tcW w:w="0" w:type="dxa"/>
            <w:vAlign w:val="bottom"/>
          </w:tcPr>
          <w:p>
            <w:pPr>
              <w:spacing w:after="0"/>
              <w:rPr>
                <w:sz w:val="1"/>
                <w:szCs w:val="1"/>
                <w:color w:val="auto"/>
              </w:rPr>
            </w:pPr>
          </w:p>
        </w:tc>
      </w:tr>
      <w:tr>
        <w:trPr>
          <w:trHeight w:val="240"/>
        </w:trPr>
        <w:tc>
          <w:tcPr>
            <w:tcW w:w="5100" w:type="dxa"/>
            <w:vAlign w:val="bottom"/>
            <w:tcBorders>
              <w:bottom w:val="single" w:sz="8" w:color="D1EDF5"/>
            </w:tcBorders>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D1EDF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100" w:type="dxa"/>
            <w:vAlign w:val="bottom"/>
            <w:gridSpan w:val="2"/>
            <w:shd w:val="clear" w:color="auto" w:fill="D1EDF5"/>
          </w:tcPr>
          <w:p>
            <w:pPr>
              <w:ind w:left="14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D1EDF5"/>
          </w:tcPr>
          <w:p>
            <w:pPr>
              <w:jc w:val="right"/>
              <w:spacing w:after="0"/>
              <w:rPr>
                <w:sz w:val="20"/>
                <w:szCs w:val="20"/>
                <w:color w:val="auto"/>
              </w:rPr>
            </w:pPr>
            <w:r>
              <w:rPr>
                <w:rFonts w:ascii="Arial" w:cs="Arial" w:eastAsia="Arial" w:hAnsi="Arial"/>
                <w:sz w:val="18"/>
                <w:szCs w:val="18"/>
                <w:color w:val="auto"/>
              </w:rPr>
              <w:t>1,032,930</w:t>
            </w:r>
          </w:p>
        </w:tc>
        <w:tc>
          <w:tcPr>
            <w:tcW w:w="40" w:type="dxa"/>
            <w:vAlign w:val="bottom"/>
            <w:shd w:val="clear" w:color="auto" w:fill="D1EDF5"/>
          </w:tcPr>
          <w:p>
            <w:pPr>
              <w:spacing w:after="0"/>
              <w:rPr>
                <w:sz w:val="21"/>
                <w:szCs w:val="21"/>
                <w:color w:val="auto"/>
              </w:rPr>
            </w:pPr>
          </w:p>
        </w:tc>
        <w:tc>
          <w:tcPr>
            <w:tcW w:w="120" w:type="dxa"/>
            <w:vAlign w:val="bottom"/>
            <w:shd w:val="clear" w:color="auto" w:fill="D1EDF5"/>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D1EDF5"/>
          </w:tcPr>
          <w:p>
            <w:pPr>
              <w:jc w:val="right"/>
              <w:ind w:right="40"/>
              <w:spacing w:after="0"/>
              <w:rPr>
                <w:sz w:val="20"/>
                <w:szCs w:val="20"/>
                <w:color w:val="auto"/>
              </w:rPr>
            </w:pPr>
            <w:r>
              <w:rPr>
                <w:rFonts w:ascii="Arial" w:cs="Arial" w:eastAsia="Arial" w:hAnsi="Arial"/>
                <w:sz w:val="18"/>
                <w:szCs w:val="18"/>
                <w:color w:val="auto"/>
              </w:rPr>
              <w:t>12.67</w:t>
            </w:r>
          </w:p>
        </w:tc>
        <w:tc>
          <w:tcPr>
            <w:tcW w:w="20" w:type="dxa"/>
            <w:vAlign w:val="bottom"/>
            <w:shd w:val="clear" w:color="auto" w:fill="D1EDF5"/>
          </w:tcPr>
          <w:p>
            <w:pPr>
              <w:spacing w:after="0"/>
              <w:rPr>
                <w:sz w:val="21"/>
                <w:szCs w:val="21"/>
                <w:color w:val="auto"/>
              </w:rPr>
            </w:pPr>
          </w:p>
        </w:tc>
        <w:tc>
          <w:tcPr>
            <w:tcW w:w="2240" w:type="dxa"/>
            <w:vAlign w:val="bottom"/>
            <w:shd w:val="clear" w:color="auto" w:fill="D1EDF5"/>
          </w:tcPr>
          <w:p>
            <w:pPr>
              <w:jc w:val="right"/>
              <w:spacing w:after="0"/>
              <w:rPr>
                <w:sz w:val="20"/>
                <w:szCs w:val="20"/>
                <w:color w:val="auto"/>
              </w:rPr>
            </w:pPr>
            <w:r>
              <w:rPr>
                <w:rFonts w:ascii="Arial" w:cs="Arial" w:eastAsia="Arial" w:hAnsi="Arial"/>
                <w:sz w:val="18"/>
                <w:szCs w:val="18"/>
                <w:color w:val="auto"/>
              </w:rPr>
              <w:t>872,012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4305300</wp:posOffset>
                </wp:positionH>
                <wp:positionV relativeFrom="paragraph">
                  <wp:posOffset>-511810</wp:posOffset>
                </wp:positionV>
                <wp:extent cx="28575" cy="1206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D1EDF5"/>
                        </a:solidFill>
                      </wps:spPr>
                      <wps:bodyPr/>
                    </wps:wsp>
                  </a:graphicData>
                </a:graphic>
              </wp:anchor>
            </w:drawing>
          </mc:Choice>
          <mc:Fallback>
            <w:pict>
              <v:rect id="Shape 173" o:spid="_x0000_s1198" style="position:absolute;margin-left:339pt;margin-top:-40.29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5400675</wp:posOffset>
                </wp:positionH>
                <wp:positionV relativeFrom="paragraph">
                  <wp:posOffset>-511810</wp:posOffset>
                </wp:positionV>
                <wp:extent cx="29210" cy="1206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1EDF5"/>
                        </a:solidFill>
                      </wps:spPr>
                      <wps:bodyPr/>
                    </wps:wsp>
                  </a:graphicData>
                </a:graphic>
              </wp:anchor>
            </w:drawing>
          </mc:Choice>
          <mc:Fallback>
            <w:pict>
              <v:rect id="Shape 174" o:spid="_x0000_s1199" style="position:absolute;margin-left:425.25pt;margin-top:-40.29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mc:AlternateContent>
          <mc:Choice Requires="wps">
            <w:drawing>
              <wp:anchor simplePos="0" relativeHeight="251657728" behindDoc="1" locked="0" layoutInCell="0" allowOverlap="1">
                <wp:simplePos x="0" y="0"/>
                <wp:positionH relativeFrom="column">
                  <wp:posOffset>5400675</wp:posOffset>
                </wp:positionH>
                <wp:positionV relativeFrom="paragraph">
                  <wp:posOffset>-199390</wp:posOffset>
                </wp:positionV>
                <wp:extent cx="29210" cy="1206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D1EDF5"/>
                        </a:solidFill>
                      </wps:spPr>
                      <wps:bodyPr/>
                    </wps:wsp>
                  </a:graphicData>
                </a:graphic>
              </wp:anchor>
            </w:drawing>
          </mc:Choice>
          <mc:Fallback>
            <w:pict>
              <v:rect id="Shape 175" o:spid="_x0000_s1200" style="position:absolute;margin-left:425.25pt;margin-top:-15.69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5" stroked="f"/>
            </w:pict>
          </mc:Fallback>
        </mc:AlternateContent>
      </w:r>
    </w:p>
    <w:p>
      <w:pPr>
        <w:ind w:left="360" w:right="460" w:hanging="360"/>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Includes 406,263 shares subject to restricted stock awards which were not vested as of December 31, 2025. The weighted average exercise price excludes such restricted stock awards.</w:t>
      </w:r>
    </w:p>
    <w:p>
      <w:pPr>
        <w:spacing w:after="0" w:line="168" w:lineRule="exact"/>
        <w:rPr>
          <w:sz w:val="20"/>
          <w:szCs w:val="20"/>
          <w:color w:val="auto"/>
        </w:rPr>
      </w:pPr>
    </w:p>
    <w:p>
      <w:pPr>
        <w:jc w:val="both"/>
        <w:ind w:right="20" w:firstLine="720"/>
        <w:spacing w:after="0" w:line="263" w:lineRule="auto"/>
        <w:rPr>
          <w:sz w:val="20"/>
          <w:szCs w:val="20"/>
          <w:color w:val="auto"/>
        </w:rPr>
      </w:pPr>
      <w:r>
        <w:rPr>
          <w:rFonts w:ascii="Arial" w:cs="Arial" w:eastAsia="Arial" w:hAnsi="Arial"/>
          <w:sz w:val="20"/>
          <w:szCs w:val="20"/>
          <w:b w:val="1"/>
          <w:bCs w:val="1"/>
          <w:color w:val="auto"/>
        </w:rPr>
        <w:t>Security Ownership of Certain Beneficial Owners and Management</w:t>
      </w:r>
      <w:r>
        <w:rPr>
          <w:rFonts w:ascii="Arial" w:cs="Arial" w:eastAsia="Arial" w:hAnsi="Arial"/>
          <w:sz w:val="20"/>
          <w:szCs w:val="20"/>
          <w:color w:val="auto"/>
        </w:rPr>
        <w:t>. Information regarding security ownership</w:t>
      </w:r>
      <w:r>
        <w:rPr>
          <w:rFonts w:ascii="Arial" w:cs="Arial" w:eastAsia="Arial" w:hAnsi="Arial"/>
          <w:sz w:val="20"/>
          <w:szCs w:val="20"/>
          <w:b w:val="1"/>
          <w:bCs w:val="1"/>
          <w:color w:val="auto"/>
        </w:rPr>
        <w:t xml:space="preserve"> </w:t>
      </w:r>
      <w:r>
        <w:rPr>
          <w:rFonts w:ascii="Arial" w:cs="Arial" w:eastAsia="Arial" w:hAnsi="Arial"/>
          <w:sz w:val="20"/>
          <w:szCs w:val="20"/>
          <w:color w:val="auto"/>
        </w:rPr>
        <w:t>of certain beneficial owners and management is incorporated by reference to “Beneficial Ownership of Common Stock by Certain Beneficial Owners and Management” in the 2026 Definitive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20"/>
          <w:szCs w:val="20"/>
          <w:color w:val="auto"/>
        </w:rPr>
        <w:t>The information required herein is incorporated by reference from the sections captioned “Certain Relationships and Related Party Transactions” and “Information with Respect to Nominees for Director and Information About Executive Officers” in the 2026 Definitive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35" w:lineRule="exact"/>
        <w:rPr>
          <w:sz w:val="20"/>
          <w:szCs w:val="20"/>
          <w:color w:val="auto"/>
        </w:rPr>
      </w:pPr>
    </w:p>
    <w:p>
      <w:pPr>
        <w:ind w:right="20" w:firstLine="720"/>
        <w:spacing w:after="0" w:line="261" w:lineRule="auto"/>
        <w:rPr>
          <w:sz w:val="20"/>
          <w:szCs w:val="20"/>
          <w:color w:val="auto"/>
        </w:rPr>
      </w:pPr>
      <w:r>
        <w:rPr>
          <w:rFonts w:ascii="Arial" w:cs="Arial" w:eastAsia="Arial" w:hAnsi="Arial"/>
          <w:sz w:val="20"/>
          <w:szCs w:val="20"/>
          <w:color w:val="auto"/>
        </w:rPr>
        <w:t>The information required herein is incorporated by reference from the section captioned “Ratification of Appointment of Independent Registered Public Accounting Firm (Proposal Two) – Audit Fees” in the 2026 Definitive Proxy Statement.</w:t>
      </w:r>
    </w:p>
    <w:p>
      <w:pPr>
        <w:spacing w:after="0" w:line="319"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26" w:name="page127"/>
    <w:bookmarkEnd w:id="126"/>
    <w:p>
      <w:pPr>
        <w:spacing w:after="0"/>
        <w:rPr>
          <w:sz w:val="20"/>
          <w:szCs w:val="20"/>
          <w:color w:val="auto"/>
        </w:rPr>
      </w:pPr>
      <w:r>
        <w:rPr>
          <w:rFonts w:ascii="Arial" w:cs="Arial" w:eastAsia="Arial" w:hAnsi="Arial"/>
          <w:sz w:val="20"/>
          <w:szCs w:val="20"/>
          <w:u w:val="single" w:color="auto"/>
          <w:color w:val="0D248E"/>
        </w:rPr>
        <w:t>Table of Contents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35" w:lineRule="exact"/>
        <w:rPr>
          <w:sz w:val="20"/>
          <w:szCs w:val="20"/>
          <w:color w:val="auto"/>
        </w:rPr>
      </w:pPr>
    </w:p>
    <w:p>
      <w:pPr>
        <w:ind w:left="360" w:hanging="360"/>
        <w:spacing w:after="0"/>
        <w:tabs>
          <w:tab w:leader="none" w:pos="3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List of documents filed as part of this Annual Report:</w:t>
      </w:r>
    </w:p>
    <w:p>
      <w:pPr>
        <w:spacing w:after="0" w:line="26" w:lineRule="exact"/>
        <w:rPr>
          <w:rFonts w:ascii="Arial" w:cs="Arial" w:eastAsia="Arial" w:hAnsi="Arial"/>
          <w:sz w:val="20"/>
          <w:szCs w:val="20"/>
          <w:color w:val="auto"/>
        </w:rPr>
      </w:pPr>
    </w:p>
    <w:p>
      <w:pPr>
        <w:ind w:left="720" w:hanging="360"/>
        <w:spacing w:after="0"/>
        <w:tabs>
          <w:tab w:leader="none" w:pos="720" w:val="left"/>
        </w:tabs>
        <w:numPr>
          <w:ilvl w:val="1"/>
          <w:numId w:val="55"/>
        </w:numPr>
        <w:rPr>
          <w:rFonts w:ascii="Arial" w:cs="Arial" w:eastAsia="Arial" w:hAnsi="Arial"/>
          <w:sz w:val="20"/>
          <w:szCs w:val="20"/>
          <w:color w:val="auto"/>
        </w:rPr>
      </w:pPr>
      <w:r>
        <w:rPr>
          <w:rFonts w:ascii="Arial" w:cs="Arial" w:eastAsia="Arial" w:hAnsi="Arial"/>
          <w:sz w:val="20"/>
          <w:szCs w:val="20"/>
          <w:i w:val="1"/>
          <w:iCs w:val="1"/>
          <w:color w:val="auto"/>
        </w:rPr>
        <w:t>Financial Statements:</w:t>
      </w:r>
    </w:p>
    <w:p>
      <w:pPr>
        <w:spacing w:after="0" w:line="14" w:lineRule="exact"/>
        <w:rPr>
          <w:sz w:val="20"/>
          <w:szCs w:val="20"/>
          <w:color w:val="auto"/>
        </w:rPr>
      </w:pPr>
    </w:p>
    <w:p>
      <w:pPr>
        <w:ind w:left="860" w:right="4060"/>
        <w:spacing w:after="0" w:line="260" w:lineRule="auto"/>
        <w:rPr>
          <w:sz w:val="20"/>
          <w:szCs w:val="20"/>
          <w:color w:val="auto"/>
        </w:rPr>
      </w:pPr>
      <w:r>
        <w:rPr>
          <w:rFonts w:ascii="Arial" w:cs="Arial" w:eastAsia="Arial" w:hAnsi="Arial"/>
          <w:sz w:val="20"/>
          <w:szCs w:val="20"/>
          <w:color w:val="auto"/>
        </w:rPr>
        <w:t>Report of Independent Registered Public Accounting Firm Consolidated Balance Sheets as of December 31, 2025 and 2024</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Operations for the years ended December 31, 2025 and 2024</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Comprehensive Income for the years ended December 31, 2025 and 2024</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Changes in Stockholders' Equity for the years ended December 31, 2025 and 2024</w:t>
      </w:r>
    </w:p>
    <w:p>
      <w:pPr>
        <w:spacing w:after="0" w:line="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Consolidated Statements of Cash Flows for the years ended December 31, 2025 and 2024</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Notes to Consolidated Financial Statements</w:t>
      </w:r>
    </w:p>
    <w:p>
      <w:pPr>
        <w:spacing w:after="0" w:line="20" w:lineRule="exact"/>
        <w:rPr>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i w:val="1"/>
          <w:iCs w:val="1"/>
          <w:color w:val="auto"/>
        </w:rPr>
        <w:t>Financial Statement Schedules:</w:t>
      </w:r>
    </w:p>
    <w:p>
      <w:pPr>
        <w:spacing w:after="0" w:line="20" w:lineRule="exact"/>
        <w:rPr>
          <w:sz w:val="20"/>
          <w:szCs w:val="20"/>
          <w:color w:val="auto"/>
        </w:rPr>
      </w:pPr>
    </w:p>
    <w:p>
      <w:pPr>
        <w:ind w:left="860" w:right="600"/>
        <w:spacing w:after="0" w:line="250" w:lineRule="auto"/>
        <w:rPr>
          <w:sz w:val="20"/>
          <w:szCs w:val="20"/>
          <w:color w:val="auto"/>
        </w:rPr>
      </w:pPr>
      <w:r>
        <w:rPr>
          <w:rFonts w:ascii="Arial" w:cs="Arial" w:eastAsia="Arial" w:hAnsi="Arial"/>
          <w:sz w:val="20"/>
          <w:szCs w:val="20"/>
          <w:color w:val="auto"/>
        </w:rPr>
        <w:t>Financial statement schedules are omitted as not required or not applicable or because the information is included in the Consolidated Financial Statements or notes thereto.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 List of Exhibits:</w:t>
      </w:r>
    </w:p>
    <w:p>
      <w:pPr>
        <w:spacing w:after="0" w:line="20" w:lineRule="exact"/>
        <w:rPr>
          <w:sz w:val="20"/>
          <w:szCs w:val="20"/>
          <w:color w:val="auto"/>
        </w:rPr>
      </w:pPr>
    </w:p>
    <w:p>
      <w:pPr>
        <w:ind w:left="860" w:right="180"/>
        <w:spacing w:after="0" w:line="260" w:lineRule="auto"/>
        <w:rPr>
          <w:sz w:val="20"/>
          <w:szCs w:val="20"/>
          <w:color w:val="auto"/>
        </w:rPr>
      </w:pPr>
      <w:r>
        <w:rPr>
          <w:rFonts w:ascii="Arial" w:cs="Arial" w:eastAsia="Arial" w:hAnsi="Arial"/>
          <w:sz w:val="20"/>
          <w:szCs w:val="20"/>
          <w:color w:val="auto"/>
        </w:rPr>
        <w:t>The exhibit list in the Exhibit Index is incorporated herein by reference as the list of exhibits required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tabs>
          <w:tab w:leader="none" w:pos="360" w:val="left"/>
          <w:tab w:leader="none" w:pos="2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740"/>
          </w:cols>
          <w:pgMar w:left="720" w:top="355" w:right="780" w:bottom="0" w:gutter="0" w:footer="0" w:header="0"/>
        </w:sectPr>
      </w:pPr>
    </w:p>
    <w:bookmarkStart w:id="127" w:name="page128"/>
    <w:bookmarkEnd w:id="127"/>
    <w:p>
      <w:pPr>
        <w:ind w:left="500"/>
        <w:spacing w:after="0"/>
        <w:rPr>
          <w:sz w:val="20"/>
          <w:szCs w:val="20"/>
          <w:color w:val="auto"/>
        </w:rPr>
      </w:pPr>
      <w:r>
        <w:rPr>
          <w:rFonts w:ascii="Arial" w:cs="Arial" w:eastAsia="Arial" w:hAnsi="Arial"/>
          <w:sz w:val="20"/>
          <w:szCs w:val="20"/>
          <w:u w:val="single" w:color="auto"/>
          <w:color w:val="0D248E"/>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480" w:type="dxa"/>
            <w:vAlign w:val="bottom"/>
            <w:gridSpan w:val="7"/>
            <w:vMerge w:val="restart"/>
          </w:tcPr>
          <w:p>
            <w:pPr>
              <w:jc w:val="center"/>
              <w:ind w:right="400"/>
              <w:spacing w:after="0"/>
              <w:rPr>
                <w:sz w:val="20"/>
                <w:szCs w:val="20"/>
                <w:color w:val="auto"/>
              </w:rPr>
            </w:pPr>
            <w:r>
              <w:rPr>
                <w:rFonts w:ascii="Arial" w:cs="Arial" w:eastAsia="Arial" w:hAnsi="Arial"/>
                <w:sz w:val="18"/>
                <w:szCs w:val="18"/>
                <w:b w:val="1"/>
                <w:bCs w:val="1"/>
                <w:color w:val="auto"/>
                <w:w w:val="99"/>
              </w:rPr>
              <w:t>Exhibit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20" w:type="dxa"/>
            <w:vAlign w:val="bottom"/>
            <w:gridSpan w:val="17"/>
          </w:tcPr>
          <w:p>
            <w:pPr>
              <w:ind w:left="40"/>
              <w:spacing w:after="0"/>
              <w:rPr>
                <w:sz w:val="20"/>
                <w:szCs w:val="20"/>
                <w:color w:val="auto"/>
              </w:rPr>
            </w:pPr>
            <w:r>
              <w:rPr>
                <w:rFonts w:ascii="Arial" w:cs="Arial" w:eastAsia="Arial" w:hAnsi="Arial"/>
                <w:sz w:val="20"/>
                <w:szCs w:val="20"/>
                <w:b w:val="1"/>
                <w:bCs w:val="1"/>
                <w:color w:val="auto"/>
              </w:rPr>
              <w:t>EXHIBIT INDEX</w:t>
            </w:r>
          </w:p>
        </w:tc>
        <w:tc>
          <w:tcPr>
            <w:tcW w:w="0" w:type="dxa"/>
            <w:vAlign w:val="bottom"/>
          </w:tcPr>
          <w:p>
            <w:pPr>
              <w:spacing w:after="0"/>
              <w:rPr>
                <w:sz w:val="1"/>
                <w:szCs w:val="1"/>
                <w:color w:val="auto"/>
              </w:rPr>
            </w:pPr>
          </w:p>
        </w:tc>
      </w:tr>
      <w:tr>
        <w:trPr>
          <w:trHeight w:val="157"/>
        </w:trPr>
        <w:tc>
          <w:tcPr>
            <w:tcW w:w="1480" w:type="dxa"/>
            <w:vAlign w:val="bottom"/>
            <w:gridSpan w:val="7"/>
            <w:vMerge w:val="continue"/>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4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9"/>
              </w:rPr>
              <w:t>Number</w:t>
            </w:r>
          </w:p>
        </w:tc>
        <w:tc>
          <w:tcPr>
            <w:tcW w:w="2660" w:type="dxa"/>
            <w:vAlign w:val="bottom"/>
            <w:gridSpan w:val="9"/>
          </w:tcPr>
          <w:p>
            <w:pPr>
              <w:spacing w:after="0"/>
              <w:rPr>
                <w:sz w:val="20"/>
                <w:szCs w:val="20"/>
                <w:color w:val="auto"/>
              </w:rPr>
            </w:pPr>
            <w:r>
              <w:rPr>
                <w:rFonts w:ascii="Arial" w:cs="Arial" w:eastAsia="Arial" w:hAnsi="Arial"/>
                <w:sz w:val="18"/>
                <w:szCs w:val="18"/>
                <w:b w:val="1"/>
                <w:bCs w:val="1"/>
                <w:color w:val="auto"/>
              </w:rPr>
              <w:t>Description of Exhibit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20" w:type="dxa"/>
            <w:vAlign w:val="bottom"/>
            <w:tcBorders>
              <w:top w:val="single" w:sz="8" w:color="auto"/>
            </w:tcBorders>
            <w:gridSpan w:val="3"/>
          </w:tcPr>
          <w:p>
            <w:pPr>
              <w:jc w:val="center"/>
              <w:ind w:left="290"/>
              <w:spacing w:after="0" w:line="177" w:lineRule="exact"/>
              <w:rPr>
                <w:sz w:val="20"/>
                <w:szCs w:val="20"/>
                <w:color w:val="auto"/>
              </w:rPr>
            </w:pPr>
            <w:r>
              <w:rPr>
                <w:rFonts w:ascii="Arial" w:cs="Arial" w:eastAsia="Arial" w:hAnsi="Arial"/>
                <w:sz w:val="18"/>
                <w:szCs w:val="18"/>
                <w:color w:val="0D248E"/>
              </w:rPr>
              <w:t>2.</w:t>
            </w:r>
            <w:r>
              <w:rPr>
                <w:rFonts w:ascii="Arial" w:cs="Arial" w:eastAsia="Arial" w:hAnsi="Arial"/>
                <w:sz w:val="18"/>
                <w:szCs w:val="18"/>
                <w:u w:val="single" w:color="auto"/>
                <w:color w:val="0D248E"/>
              </w:rPr>
              <w:t>1</w:t>
            </w: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27"/>
          </w:tcPr>
          <w:p>
            <w:pPr>
              <w:spacing w:after="0" w:line="177" w:lineRule="exact"/>
              <w:rPr>
                <w:sz w:val="20"/>
                <w:szCs w:val="20"/>
                <w:color w:val="auto"/>
              </w:rPr>
            </w:pPr>
            <w:r>
              <w:rPr>
                <w:rFonts w:ascii="Arial" w:cs="Arial" w:eastAsia="Arial" w:hAnsi="Arial"/>
                <w:sz w:val="18"/>
                <w:szCs w:val="18"/>
                <w:color w:val="0D248E"/>
              </w:rPr>
              <w:t>Agreement and Plan of Share Exchange, dated December 27, 2021, by and between U.S. Century Bank and USCB Financial</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Holdings, Inc. (incorporated by reference to Exhibit 2.1 to the Registrant’s Current Report on Form 8-K (File No. 001-41196)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gridSpan w:val="2"/>
            <w:vMerge w:val="restart"/>
          </w:tcPr>
          <w:p>
            <w:pPr>
              <w:spacing w:after="0"/>
              <w:rPr>
                <w:sz w:val="16"/>
                <w:szCs w:val="16"/>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0D248E"/>
              </w:rPr>
              <w:t>3.</w:t>
            </w:r>
            <w:r>
              <w:rPr>
                <w:rFonts w:ascii="Arial" w:cs="Arial" w:eastAsia="Arial" w:hAnsi="Arial"/>
                <w:sz w:val="18"/>
                <w:szCs w:val="18"/>
                <w:u w:val="single" w:color="auto"/>
                <w:color w:val="0D248E"/>
              </w:rPr>
              <w:t>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80" w:type="dxa"/>
            <w:vAlign w:val="bottom"/>
            <w:tcBorders>
              <w:bottom w:val="single" w:sz="8" w:color="0D248E"/>
            </w:tcBorders>
            <w:gridSpan w:val="15"/>
          </w:tcPr>
          <w:p>
            <w:pPr>
              <w:spacing w:after="0" w:line="189" w:lineRule="exact"/>
              <w:rPr>
                <w:sz w:val="20"/>
                <w:szCs w:val="20"/>
                <w:color w:val="auto"/>
              </w:rPr>
            </w:pPr>
            <w:r>
              <w:rPr>
                <w:rFonts w:ascii="Arial" w:cs="Arial" w:eastAsia="Arial" w:hAnsi="Arial"/>
                <w:sz w:val="18"/>
                <w:szCs w:val="18"/>
                <w:color w:val="0D248E"/>
                <w:w w:val="99"/>
              </w:rPr>
              <w:t>filed with the Securities and Exchange Commission on December 30, 2021).</w:t>
            </w:r>
          </w:p>
        </w:tc>
        <w:tc>
          <w:tcPr>
            <w:tcW w:w="390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gridSpan w:val="2"/>
            <w:vMerge w:val="continue"/>
          </w:tcPr>
          <w:p>
            <w:pPr>
              <w:spacing w:after="0"/>
              <w:rPr>
                <w:sz w:val="16"/>
                <w:szCs w:val="16"/>
                <w:color w:val="auto"/>
              </w:rPr>
            </w:pPr>
          </w:p>
        </w:tc>
        <w:tc>
          <w:tcPr>
            <w:tcW w:w="300" w:type="dxa"/>
            <w:vAlign w:val="bottom"/>
            <w:tcBorders>
              <w:bottom w:val="single" w:sz="8" w:color="0D248E"/>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8"/>
              </w:rPr>
              <w:t>Articles of Incorporation of USCB Financial Holdings, Inc. (incorporated by reference to Exhibit 3.1 to the Registrant’s Quarterly</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gridSpan w:val="2"/>
            <w:vMerge w:val="restart"/>
          </w:tcPr>
          <w:p>
            <w:pPr>
              <w:spacing w:after="0"/>
              <w:rPr>
                <w:sz w:val="16"/>
                <w:szCs w:val="16"/>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0D248E"/>
              </w:rPr>
              <w:t>3.</w:t>
            </w:r>
            <w:r>
              <w:rPr>
                <w:rFonts w:ascii="Arial" w:cs="Arial" w:eastAsia="Arial" w:hAnsi="Arial"/>
                <w:sz w:val="18"/>
                <w:szCs w:val="18"/>
                <w:u w:val="single" w:color="auto"/>
                <w:color w:val="0D248E"/>
              </w:rPr>
              <w:t>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Report on Form 10-Q (File No. 001-41196) filed with the Securities and Exchange Commission on August 11, 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720" w:type="dxa"/>
            <w:vAlign w:val="bottom"/>
            <w:gridSpan w:val="2"/>
            <w:shd w:val="clear" w:color="auto" w:fill="0D248E"/>
          </w:tcPr>
          <w:p>
            <w:pPr>
              <w:spacing w:after="0" w:line="20" w:lineRule="exact"/>
              <w:rPr>
                <w:sz w:val="1"/>
                <w:szCs w:val="1"/>
                <w:color w:val="auto"/>
              </w:rPr>
            </w:pPr>
          </w:p>
        </w:tc>
        <w:tc>
          <w:tcPr>
            <w:tcW w:w="140" w:type="dxa"/>
            <w:vAlign w:val="bottom"/>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920" w:type="dxa"/>
            <w:vAlign w:val="bottom"/>
            <w:shd w:val="clear" w:color="auto" w:fill="0D248E"/>
          </w:tcPr>
          <w:p>
            <w:pPr>
              <w:spacing w:after="0" w:line="20" w:lineRule="exact"/>
              <w:rPr>
                <w:sz w:val="1"/>
                <w:szCs w:val="1"/>
                <w:color w:val="auto"/>
              </w:rPr>
            </w:pPr>
          </w:p>
        </w:tc>
        <w:tc>
          <w:tcPr>
            <w:tcW w:w="640" w:type="dxa"/>
            <w:vAlign w:val="bottom"/>
            <w:shd w:val="clear" w:color="auto" w:fill="0D248E"/>
          </w:tcPr>
          <w:p>
            <w:pPr>
              <w:spacing w:after="0" w:line="20" w:lineRule="exact"/>
              <w:rPr>
                <w:sz w:val="1"/>
                <w:szCs w:val="1"/>
                <w:color w:val="auto"/>
              </w:rPr>
            </w:pPr>
          </w:p>
        </w:tc>
        <w:tc>
          <w:tcPr>
            <w:tcW w:w="3520" w:type="dxa"/>
            <w:vAlign w:val="bottom"/>
            <w:gridSpan w:val="2"/>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20" w:type="dxa"/>
            <w:vAlign w:val="bottom"/>
            <w:gridSpan w:val="2"/>
            <w:vMerge w:val="continue"/>
          </w:tcPr>
          <w:p>
            <w:pPr>
              <w:spacing w:after="0"/>
              <w:rPr>
                <w:sz w:val="16"/>
                <w:szCs w:val="16"/>
                <w:color w:val="auto"/>
              </w:rPr>
            </w:pPr>
          </w:p>
        </w:tc>
        <w:tc>
          <w:tcPr>
            <w:tcW w:w="300" w:type="dxa"/>
            <w:vAlign w:val="bottom"/>
            <w:tcBorders>
              <w:bottom w:val="single" w:sz="8" w:color="0D248E"/>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Amended and Restated Bylaws of USCB Financial Holdings, Inc. (incorporated by reference to Exhibit 3.1 to the Registrant’s</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restart"/>
          </w:tcPr>
          <w:p>
            <w:pPr>
              <w:jc w:val="center"/>
              <w:ind w:left="290"/>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Current Report on Form 8-K (File No. 001-41196) filed with the Securities and Exchange Commission on July 26, 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60" w:type="dxa"/>
            <w:vAlign w:val="bottom"/>
            <w:tcBorders>
              <w:top w:val="single" w:sz="8" w:color="0D248E"/>
            </w:tcBorders>
            <w:gridSpan w:val="19"/>
          </w:tcPr>
          <w:p>
            <w:pPr>
              <w:spacing w:after="0" w:line="189" w:lineRule="exact"/>
              <w:rPr>
                <w:sz w:val="20"/>
                <w:szCs w:val="20"/>
                <w:color w:val="auto"/>
              </w:rPr>
            </w:pPr>
            <w:r>
              <w:rPr>
                <w:rFonts w:ascii="Arial" w:cs="Arial" w:eastAsia="Arial" w:hAnsi="Arial"/>
                <w:sz w:val="18"/>
                <w:szCs w:val="18"/>
                <w:color w:val="0D248E"/>
              </w:rPr>
              <w:t>Side Letter Agreement, dated December 30, 2021, between USCB Financial Holdings, Inc., U.S. Century Bank, Priam</w:t>
            </w:r>
          </w:p>
        </w:tc>
        <w:tc>
          <w:tcPr>
            <w:tcW w:w="520" w:type="dxa"/>
            <w:vAlign w:val="bottom"/>
            <w:gridSpan w:val="8"/>
          </w:tcPr>
          <w:p>
            <w:pPr>
              <w:jc w:val="right"/>
              <w:ind w:right="100"/>
              <w:spacing w:after="0" w:line="189" w:lineRule="exact"/>
              <w:rPr>
                <w:sz w:val="20"/>
                <w:szCs w:val="20"/>
                <w:color w:val="auto"/>
              </w:rPr>
            </w:pPr>
            <w:r>
              <w:rPr>
                <w:rFonts w:ascii="Arial" w:cs="Arial" w:eastAsia="Arial" w:hAnsi="Arial"/>
                <w:sz w:val="18"/>
                <w:szCs w:val="18"/>
                <w:color w:val="0D248E"/>
                <w:w w:val="71"/>
              </w:rPr>
              <w:t>Capital</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7"/>
              </w:rPr>
              <w:t>Fund II, LP, Patriot Financial Partners II, L.P. and Patriot Financial Partners Parallel II, L.P. (incorporated by reference to Exhibit</w:t>
            </w:r>
          </w:p>
        </w:tc>
        <w:tc>
          <w:tcPr>
            <w:tcW w:w="20" w:type="dxa"/>
            <w:vAlign w:val="bottom"/>
            <w:tcBorders>
              <w:bottom w:val="single" w:sz="8" w:color="0D248E"/>
            </w:tcBorders>
          </w:tcPr>
          <w:p>
            <w:pPr>
              <w:spacing w:after="0"/>
              <w:rPr>
                <w:sz w:val="16"/>
                <w:szCs w:val="16"/>
                <w:color w:val="auto"/>
              </w:rPr>
            </w:pPr>
          </w:p>
        </w:tc>
        <w:tc>
          <w:tcPr>
            <w:tcW w:w="20" w:type="dxa"/>
            <w:vAlign w:val="bottom"/>
            <w:tcBorders>
              <w:bottom w:val="single" w:sz="8" w:color="0D248E"/>
            </w:tcBorders>
          </w:tcPr>
          <w:p>
            <w:pPr>
              <w:spacing w:after="0"/>
              <w:rPr>
                <w:sz w:val="16"/>
                <w:szCs w:val="16"/>
                <w:color w:val="auto"/>
              </w:rPr>
            </w:pPr>
          </w:p>
        </w:tc>
        <w:tc>
          <w:tcPr>
            <w:tcW w:w="20" w:type="dxa"/>
            <w:vAlign w:val="bottom"/>
            <w:tcBorders>
              <w:bottom w:val="single" w:sz="8" w:color="0D248E"/>
            </w:tcBorders>
          </w:tcPr>
          <w:p>
            <w:pPr>
              <w:spacing w:after="0"/>
              <w:rPr>
                <w:sz w:val="16"/>
                <w:szCs w:val="16"/>
                <w:color w:val="auto"/>
              </w:rPr>
            </w:pPr>
          </w:p>
        </w:tc>
        <w:tc>
          <w:tcPr>
            <w:tcW w:w="20" w:type="dxa"/>
            <w:vAlign w:val="bottom"/>
            <w:tcBorders>
              <w:bottom w:val="single" w:sz="8" w:color="0D248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60" w:type="dxa"/>
            <w:vAlign w:val="bottom"/>
            <w:gridSpan w:val="26"/>
          </w:tcPr>
          <w:p>
            <w:pPr>
              <w:spacing w:after="0" w:line="187" w:lineRule="exact"/>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1</w:t>
            </w:r>
            <w:r>
              <w:rPr>
                <w:rFonts w:ascii="Arial" w:cs="Arial" w:eastAsia="Arial" w:hAnsi="Arial"/>
                <w:sz w:val="18"/>
                <w:szCs w:val="18"/>
                <w:color w:val="0D248E"/>
              </w:rPr>
              <w:t xml:space="preserve"> to the Registrant’s Current Report on Form 8-K (File No. 001-41196) filed with the Securities and Exchange Commission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restart"/>
          </w:tcPr>
          <w:p>
            <w:pPr>
              <w:jc w:val="center"/>
              <w:ind w:left="290"/>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top w:val="single" w:sz="8" w:color="0D248E"/>
            </w:tcBorders>
            <w:gridSpan w:val="9"/>
          </w:tcPr>
          <w:p>
            <w:pPr>
              <w:spacing w:after="0" w:line="187" w:lineRule="exact"/>
              <w:rPr>
                <w:sz w:val="20"/>
                <w:szCs w:val="20"/>
                <w:color w:val="auto"/>
              </w:rPr>
            </w:pPr>
            <w:r>
              <w:rPr>
                <w:rFonts w:ascii="Arial" w:cs="Arial" w:eastAsia="Arial" w:hAnsi="Arial"/>
                <w:sz w:val="18"/>
                <w:szCs w:val="18"/>
                <w:color w:val="0D248E"/>
              </w:rPr>
              <w:t>on December 30, 2021).</w:t>
            </w:r>
          </w:p>
        </w:tc>
        <w:tc>
          <w:tcPr>
            <w:tcW w:w="1000" w:type="dxa"/>
            <w:vAlign w:val="bottom"/>
            <w:tcBorders>
              <w:top w:val="single" w:sz="8" w:color="0D248E"/>
            </w:tcBorders>
          </w:tcPr>
          <w:p>
            <w:pPr>
              <w:spacing w:after="0"/>
              <w:rPr>
                <w:sz w:val="16"/>
                <w:szCs w:val="16"/>
                <w:color w:val="auto"/>
              </w:rPr>
            </w:pPr>
          </w:p>
        </w:tc>
        <w:tc>
          <w:tcPr>
            <w:tcW w:w="140" w:type="dxa"/>
            <w:vAlign w:val="bottom"/>
            <w:tcBorders>
              <w:top w:val="single" w:sz="8" w:color="0D248E"/>
            </w:tcBorders>
          </w:tcPr>
          <w:p>
            <w:pPr>
              <w:spacing w:after="0"/>
              <w:rPr>
                <w:sz w:val="16"/>
                <w:szCs w:val="16"/>
                <w:color w:val="auto"/>
              </w:rPr>
            </w:pPr>
          </w:p>
        </w:tc>
        <w:tc>
          <w:tcPr>
            <w:tcW w:w="40" w:type="dxa"/>
            <w:vAlign w:val="bottom"/>
            <w:tcBorders>
              <w:top w:val="single" w:sz="8" w:color="0D248E"/>
            </w:tcBorders>
          </w:tcPr>
          <w:p>
            <w:pPr>
              <w:spacing w:after="0"/>
              <w:rPr>
                <w:sz w:val="16"/>
                <w:szCs w:val="16"/>
                <w:color w:val="auto"/>
              </w:rPr>
            </w:pPr>
          </w:p>
        </w:tc>
        <w:tc>
          <w:tcPr>
            <w:tcW w:w="920" w:type="dxa"/>
            <w:vAlign w:val="bottom"/>
            <w:tcBorders>
              <w:top w:val="single" w:sz="8" w:color="0D248E"/>
            </w:tcBorders>
          </w:tcPr>
          <w:p>
            <w:pPr>
              <w:spacing w:after="0"/>
              <w:rPr>
                <w:sz w:val="16"/>
                <w:szCs w:val="16"/>
                <w:color w:val="auto"/>
              </w:rPr>
            </w:pPr>
          </w:p>
        </w:tc>
        <w:tc>
          <w:tcPr>
            <w:tcW w:w="640" w:type="dxa"/>
            <w:vAlign w:val="bottom"/>
            <w:tcBorders>
              <w:top w:val="single" w:sz="8" w:color="0D248E"/>
            </w:tcBorders>
          </w:tcPr>
          <w:p>
            <w:pPr>
              <w:spacing w:after="0"/>
              <w:rPr>
                <w:sz w:val="16"/>
                <w:szCs w:val="16"/>
                <w:color w:val="auto"/>
              </w:rPr>
            </w:pPr>
          </w:p>
        </w:tc>
        <w:tc>
          <w:tcPr>
            <w:tcW w:w="680" w:type="dxa"/>
            <w:vAlign w:val="bottom"/>
            <w:tcBorders>
              <w:top w:val="single" w:sz="8" w:color="0D248E"/>
            </w:tcBorders>
          </w:tcPr>
          <w:p>
            <w:pPr>
              <w:spacing w:after="0"/>
              <w:rPr>
                <w:sz w:val="16"/>
                <w:szCs w:val="16"/>
                <w:color w:val="auto"/>
              </w:rPr>
            </w:pPr>
          </w:p>
        </w:tc>
        <w:tc>
          <w:tcPr>
            <w:tcW w:w="2840" w:type="dxa"/>
            <w:vAlign w:val="bottom"/>
            <w:tcBorders>
              <w:top w:val="single" w:sz="8" w:color="0D248E"/>
            </w:tcBorders>
          </w:tcPr>
          <w:p>
            <w:pPr>
              <w:spacing w:after="0"/>
              <w:rPr>
                <w:sz w:val="16"/>
                <w:szCs w:val="16"/>
                <w:color w:val="auto"/>
              </w:rPr>
            </w:pPr>
          </w:p>
        </w:tc>
        <w:tc>
          <w:tcPr>
            <w:tcW w:w="180" w:type="dxa"/>
            <w:vAlign w:val="bottom"/>
            <w:tcBorders>
              <w:top w:val="single" w:sz="8" w:color="0D248E"/>
            </w:tcBorders>
          </w:tcPr>
          <w:p>
            <w:pPr>
              <w:spacing w:after="0"/>
              <w:rPr>
                <w:sz w:val="16"/>
                <w:szCs w:val="16"/>
                <w:color w:val="auto"/>
              </w:rPr>
            </w:pPr>
          </w:p>
        </w:tc>
        <w:tc>
          <w:tcPr>
            <w:tcW w:w="160" w:type="dxa"/>
            <w:vAlign w:val="bottom"/>
            <w:tcBorders>
              <w:top w:val="single" w:sz="8" w:color="0D248E"/>
            </w:tcBorders>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180" w:type="dxa"/>
            <w:vAlign w:val="bottom"/>
            <w:tcBorders>
              <w:top w:val="single" w:sz="8" w:color="0D248E"/>
            </w:tcBorders>
          </w:tcPr>
          <w:p>
            <w:pPr>
              <w:spacing w:after="0"/>
              <w:rPr>
                <w:sz w:val="16"/>
                <w:szCs w:val="16"/>
                <w:color w:val="auto"/>
              </w:rPr>
            </w:pPr>
          </w:p>
        </w:tc>
        <w:tc>
          <w:tcPr>
            <w:tcW w:w="100" w:type="dxa"/>
            <w:vAlign w:val="bottom"/>
            <w:tcBorders>
              <w:top w:val="single" w:sz="8" w:color="0D248E"/>
            </w:tcBorders>
          </w:tcPr>
          <w:p>
            <w:pPr>
              <w:spacing w:after="0"/>
              <w:rPr>
                <w:sz w:val="16"/>
                <w:szCs w:val="16"/>
                <w:color w:val="auto"/>
              </w:rPr>
            </w:pPr>
          </w:p>
        </w:tc>
        <w:tc>
          <w:tcPr>
            <w:tcW w:w="140" w:type="dxa"/>
            <w:vAlign w:val="bottom"/>
            <w:tcBorders>
              <w:top w:val="single" w:sz="8" w:color="0D248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7"/>
          </w:tcPr>
          <w:p>
            <w:pPr>
              <w:spacing w:after="0" w:line="189" w:lineRule="exact"/>
              <w:rPr>
                <w:sz w:val="20"/>
                <w:szCs w:val="20"/>
                <w:color w:val="auto"/>
              </w:rPr>
            </w:pPr>
            <w:r>
              <w:rPr>
                <w:rFonts w:ascii="Arial" w:cs="Arial" w:eastAsia="Arial" w:hAnsi="Arial"/>
                <w:sz w:val="18"/>
                <w:szCs w:val="18"/>
                <w:color w:val="0D248E"/>
                <w:w w:val="99"/>
              </w:rPr>
              <w:t>Registration Rights Agreement, dated March 17, 2015, between U.S. Century Bank, Priam Capital Fund II, LP, Patriot Financial</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9"/>
              </w:rPr>
              <w:t>Partners II, L.P., Patriot Financial Partners Parallel II, L.P., and certain other shareholders of U.S. Century Bank (incorporated</w:t>
            </w:r>
          </w:p>
        </w:tc>
        <w:tc>
          <w:tcPr>
            <w:tcW w:w="20" w:type="dxa"/>
            <w:vAlign w:val="bottom"/>
            <w:tcBorders>
              <w:bottom w:val="single" w:sz="8" w:color="0D248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23"/>
          </w:tcPr>
          <w:p>
            <w:pPr>
              <w:spacing w:after="0" w:line="187" w:lineRule="exact"/>
              <w:rPr>
                <w:sz w:val="20"/>
                <w:szCs w:val="20"/>
                <w:color w:val="auto"/>
              </w:rPr>
            </w:pPr>
            <w:r>
              <w:rPr>
                <w:rFonts w:ascii="Arial" w:cs="Arial" w:eastAsia="Arial" w:hAnsi="Arial"/>
                <w:sz w:val="18"/>
                <w:szCs w:val="18"/>
                <w:color w:val="0D248E"/>
              </w:rPr>
              <w:t>by reference to Exhibit 4.2 to the Registrant’s Current Report on Form 8-K (File No. 001-41196) filed with the Securities and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restart"/>
          </w:tcPr>
          <w:p>
            <w:pPr>
              <w:jc w:val="center"/>
              <w:ind w:left="290"/>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tcBorders>
              <w:top w:val="single" w:sz="8" w:color="0D248E"/>
              <w:bottom w:val="single" w:sz="8" w:color="0D248E"/>
            </w:tcBorders>
            <w:gridSpan w:val="12"/>
          </w:tcPr>
          <w:p>
            <w:pPr>
              <w:spacing w:after="0" w:line="187" w:lineRule="exact"/>
              <w:rPr>
                <w:sz w:val="20"/>
                <w:szCs w:val="20"/>
                <w:color w:val="auto"/>
              </w:rPr>
            </w:pPr>
            <w:r>
              <w:rPr>
                <w:rFonts w:ascii="Arial" w:cs="Arial" w:eastAsia="Arial" w:hAnsi="Arial"/>
                <w:sz w:val="18"/>
                <w:szCs w:val="18"/>
                <w:color w:val="0D248E"/>
                <w:w w:val="99"/>
              </w:rPr>
              <w:t>Exchange Commission on December 30, 2021).</w:t>
            </w:r>
          </w:p>
        </w:tc>
        <w:tc>
          <w:tcPr>
            <w:tcW w:w="6140" w:type="dxa"/>
            <w:vAlign w:val="bottom"/>
            <w:tcBorders>
              <w:top w:val="single" w:sz="8" w:color="0D248E"/>
            </w:tcBorders>
            <w:gridSpan w:val="10"/>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7"/>
          </w:tcPr>
          <w:p>
            <w:pPr>
              <w:spacing w:after="0" w:line="189" w:lineRule="exact"/>
              <w:rPr>
                <w:sz w:val="20"/>
                <w:szCs w:val="20"/>
                <w:color w:val="auto"/>
              </w:rPr>
            </w:pPr>
            <w:r>
              <w:rPr>
                <w:rFonts w:ascii="Arial" w:cs="Arial" w:eastAsia="Arial" w:hAnsi="Arial"/>
                <w:sz w:val="18"/>
                <w:szCs w:val="18"/>
                <w:color w:val="0D248E"/>
              </w:rPr>
              <w:t>Assignment and Assumption of Agreement, dated December 30, 2021, between U.S. Century Bank and USCB Financial</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Holdings, Inc. (incorporated by reference to Exhibit 4.3 to the Registrant’s Current Report on Form 8-K (File No. 001-41196)</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restart"/>
          </w:tcPr>
          <w:p>
            <w:pPr>
              <w:jc w:val="center"/>
              <w:ind w:left="290"/>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4</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filed with the Securities and Exchange Commission on December 30, 2021).</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80" w:type="dxa"/>
            <w:vAlign w:val="bottom"/>
            <w:tcBorders>
              <w:top w:val="single" w:sz="8" w:color="0D248E"/>
            </w:tcBorders>
            <w:gridSpan w:val="15"/>
          </w:tcPr>
          <w:p>
            <w:pPr>
              <w:spacing w:after="0" w:line="187" w:lineRule="exact"/>
              <w:rPr>
                <w:sz w:val="20"/>
                <w:szCs w:val="20"/>
                <w:color w:val="auto"/>
              </w:rPr>
            </w:pPr>
            <w:r>
              <w:rPr>
                <w:rFonts w:ascii="Arial" w:cs="Arial" w:eastAsia="Arial" w:hAnsi="Arial"/>
                <w:sz w:val="18"/>
                <w:szCs w:val="18"/>
                <w:color w:val="0D248E"/>
              </w:rPr>
              <w:t>Description of USCB Financial Holdings, Inc.’s securities (incorporated by</w:t>
            </w:r>
          </w:p>
        </w:tc>
        <w:tc>
          <w:tcPr>
            <w:tcW w:w="4000" w:type="dxa"/>
            <w:vAlign w:val="bottom"/>
            <w:gridSpan w:val="12"/>
          </w:tcPr>
          <w:p>
            <w:pPr>
              <w:jc w:val="right"/>
              <w:ind w:right="100"/>
              <w:spacing w:after="0" w:line="187" w:lineRule="exact"/>
              <w:rPr>
                <w:sz w:val="20"/>
                <w:szCs w:val="20"/>
                <w:color w:val="auto"/>
              </w:rPr>
            </w:pPr>
            <w:r>
              <w:rPr>
                <w:rFonts w:ascii="Arial" w:cs="Arial" w:eastAsia="Arial" w:hAnsi="Arial"/>
                <w:sz w:val="18"/>
                <w:szCs w:val="18"/>
                <w:color w:val="0D248E"/>
                <w:w w:val="97"/>
              </w:rPr>
              <w:t>reference to Exhibit 4.4 to the Registrant’s Annual</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9" w:lineRule="exact"/>
              <w:rPr>
                <w:sz w:val="20"/>
                <w:szCs w:val="20"/>
                <w:color w:val="auto"/>
              </w:rPr>
            </w:pPr>
            <w:r>
              <w:rPr>
                <w:rFonts w:ascii="Arial" w:cs="Arial" w:eastAsia="Arial" w:hAnsi="Arial"/>
                <w:sz w:val="18"/>
                <w:szCs w:val="18"/>
                <w:color w:val="0D248E"/>
              </w:rPr>
              <w:t>Report on Form 10-K for the year ended December 31, 2023 (File No. 001-41196) filed with the Securities and Exchange</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restart"/>
          </w:tcPr>
          <w:p>
            <w:pPr>
              <w:jc w:val="center"/>
              <w:ind w:left="290"/>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0D248E"/>
            </w:tcBorders>
            <w:gridSpan w:val="9"/>
          </w:tcPr>
          <w:p>
            <w:pPr>
              <w:spacing w:after="0" w:line="187" w:lineRule="exact"/>
              <w:rPr>
                <w:sz w:val="20"/>
                <w:szCs w:val="20"/>
                <w:color w:val="auto"/>
              </w:rPr>
            </w:pPr>
            <w:r>
              <w:rPr>
                <w:rFonts w:ascii="Arial" w:cs="Arial" w:eastAsia="Arial" w:hAnsi="Arial"/>
                <w:sz w:val="18"/>
                <w:szCs w:val="18"/>
                <w:color w:val="0D248E"/>
                <w:w w:val="99"/>
              </w:rPr>
              <w:t>Commission on March 22, 2024).</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7"/>
          </w:tcPr>
          <w:p>
            <w:pPr>
              <w:spacing w:after="0" w:line="187" w:lineRule="exact"/>
              <w:rPr>
                <w:sz w:val="20"/>
                <w:szCs w:val="20"/>
                <w:color w:val="auto"/>
              </w:rPr>
            </w:pPr>
            <w:r>
              <w:rPr>
                <w:rFonts w:ascii="Arial" w:cs="Arial" w:eastAsia="Arial" w:hAnsi="Arial"/>
                <w:sz w:val="18"/>
                <w:szCs w:val="18"/>
                <w:color w:val="0D248E"/>
              </w:rPr>
              <w:t>Indenture, dated August 14, 2025, by and between the Company and Wilmington Trust, National Association, as trustee</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(incorporated by reference to Exhibit 4.1 of the Registrant’s Current Report on Form 8-K (File No. 001-41196) filed with the</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gridSpan w:val="2"/>
            <w:vMerge w:val="restart"/>
          </w:tcPr>
          <w:p>
            <w:pPr>
              <w:spacing w:after="0"/>
              <w:rPr>
                <w:sz w:val="16"/>
                <w:szCs w:val="16"/>
                <w:color w:val="auto"/>
              </w:rPr>
            </w:pPr>
          </w:p>
        </w:tc>
        <w:tc>
          <w:tcPr>
            <w:tcW w:w="300" w:type="dxa"/>
            <w:vAlign w:val="bottom"/>
            <w:vMerge w:val="restart"/>
          </w:tcPr>
          <w:p>
            <w:pPr>
              <w:jc w:val="center"/>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9" w:lineRule="exact"/>
              <w:rPr>
                <w:sz w:val="20"/>
                <w:szCs w:val="20"/>
                <w:color w:val="auto"/>
              </w:rPr>
            </w:pPr>
            <w:r>
              <w:rPr>
                <w:rFonts w:ascii="Arial" w:cs="Arial" w:eastAsia="Arial" w:hAnsi="Arial"/>
                <w:sz w:val="18"/>
                <w:szCs w:val="18"/>
                <w:color w:val="0D248E"/>
              </w:rPr>
              <w:t>Securities and Exchange Commission on August 14, 2025).</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 w:type="dxa"/>
            <w:vAlign w:val="bottom"/>
            <w:gridSpan w:val="2"/>
            <w:vMerge w:val="continue"/>
          </w:tcPr>
          <w:p>
            <w:pPr>
              <w:spacing w:after="0"/>
              <w:rPr>
                <w:sz w:val="16"/>
                <w:szCs w:val="16"/>
                <w:color w:val="auto"/>
              </w:rPr>
            </w:pPr>
          </w:p>
        </w:tc>
        <w:tc>
          <w:tcPr>
            <w:tcW w:w="300" w:type="dxa"/>
            <w:vAlign w:val="bottom"/>
            <w:tcBorders>
              <w:bottom w:val="single" w:sz="8" w:color="0D248E"/>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Borders>
              <w:top w:val="single" w:sz="8" w:color="0D248E"/>
              <w:bottom w:val="single" w:sz="8" w:color="0D248E"/>
            </w:tcBorders>
            <w:gridSpan w:val="13"/>
          </w:tcPr>
          <w:p>
            <w:pPr>
              <w:spacing w:after="0" w:line="187" w:lineRule="exact"/>
              <w:rPr>
                <w:sz w:val="20"/>
                <w:szCs w:val="20"/>
                <w:color w:val="auto"/>
              </w:rPr>
            </w:pPr>
            <w:r>
              <w:rPr>
                <w:rFonts w:ascii="Arial" w:cs="Arial" w:eastAsia="Arial" w:hAnsi="Arial"/>
                <w:sz w:val="18"/>
                <w:szCs w:val="18"/>
                <w:color w:val="0D248E"/>
                <w:w w:val="99"/>
              </w:rPr>
              <w:t>Forms of 7.625% Fixed-to-Floating Rate Subordinated Note</w:t>
            </w:r>
          </w:p>
        </w:tc>
        <w:tc>
          <w:tcPr>
            <w:tcW w:w="5220" w:type="dxa"/>
            <w:vAlign w:val="bottom"/>
            <w:tcBorders>
              <w:bottom w:val="single" w:sz="8" w:color="0D248E"/>
            </w:tcBorders>
            <w:gridSpan w:val="9"/>
          </w:tcPr>
          <w:p>
            <w:pPr>
              <w:jc w:val="right"/>
              <w:spacing w:after="0" w:line="187" w:lineRule="exact"/>
              <w:rPr>
                <w:sz w:val="20"/>
                <w:szCs w:val="20"/>
                <w:color w:val="auto"/>
              </w:rPr>
            </w:pPr>
            <w:r>
              <w:rPr>
                <w:rFonts w:ascii="Arial" w:cs="Arial" w:eastAsia="Arial" w:hAnsi="Arial"/>
                <w:sz w:val="18"/>
                <w:szCs w:val="18"/>
                <w:color w:val="0D248E"/>
                <w:w w:val="98"/>
              </w:rPr>
              <w:t>due 2035 (included as Exhibit A-1 and Exhibit A-2 to the Indenture</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0" w:type="dxa"/>
            <w:vAlign w:val="bottom"/>
            <w:gridSpan w:val="3"/>
            <w:vMerge w:val="restart"/>
          </w:tcPr>
          <w:p>
            <w:pPr>
              <w:jc w:val="center"/>
              <w:ind w:left="290"/>
              <w:spacing w:after="0"/>
              <w:rPr>
                <w:sz w:val="20"/>
                <w:szCs w:val="20"/>
                <w:color w:val="auto"/>
              </w:rPr>
            </w:pPr>
            <w:r>
              <w:rPr>
                <w:rFonts w:ascii="Arial" w:cs="Arial" w:eastAsia="Arial" w:hAnsi="Arial"/>
                <w:sz w:val="18"/>
                <w:szCs w:val="18"/>
                <w:color w:val="0D248E"/>
              </w:rPr>
              <w:t>4.</w:t>
            </w:r>
            <w:r>
              <w:rPr>
                <w:rFonts w:ascii="Arial" w:cs="Arial" w:eastAsia="Arial" w:hAnsi="Arial"/>
                <w:sz w:val="18"/>
                <w:szCs w:val="18"/>
                <w:u w:val="single" w:color="auto"/>
                <w:color w:val="0D248E"/>
              </w:rPr>
              <w:t>7</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incorporated herein by reference to Exhibit 4.5).</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840" w:type="dxa"/>
            <w:vAlign w:val="bottom"/>
            <w:gridSpan w:val="3"/>
            <w:shd w:val="clear" w:color="auto" w:fill="0D248E"/>
          </w:tcPr>
          <w:p>
            <w:pPr>
              <w:spacing w:after="0" w:line="20" w:lineRule="exact"/>
              <w:rPr>
                <w:sz w:val="1"/>
                <w:szCs w:val="1"/>
                <w:color w:val="auto"/>
              </w:rPr>
            </w:pPr>
          </w:p>
        </w:tc>
        <w:tc>
          <w:tcPr>
            <w:tcW w:w="140" w:type="dxa"/>
            <w:vAlign w:val="bottom"/>
            <w:shd w:val="clear" w:color="auto" w:fill="0D248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0" w:type="dxa"/>
            <w:vAlign w:val="bottom"/>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7"/>
          </w:tcPr>
          <w:p>
            <w:pPr>
              <w:spacing w:after="0" w:line="187" w:lineRule="exact"/>
              <w:rPr>
                <w:sz w:val="20"/>
                <w:szCs w:val="20"/>
                <w:color w:val="auto"/>
              </w:rPr>
            </w:pPr>
            <w:r>
              <w:rPr>
                <w:rFonts w:ascii="Arial" w:cs="Arial" w:eastAsia="Arial" w:hAnsi="Arial"/>
                <w:sz w:val="18"/>
                <w:szCs w:val="18"/>
                <w:color w:val="0D248E"/>
                <w:w w:val="98"/>
              </w:rPr>
              <w:t>Form of Registration Rights Agreement, dated August 14, 2025, by and among the Registrant and the purchasers of the 7.625%</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9" w:lineRule="exact"/>
              <w:rPr>
                <w:sz w:val="20"/>
                <w:szCs w:val="20"/>
                <w:color w:val="auto"/>
              </w:rPr>
            </w:pPr>
            <w:r>
              <w:rPr>
                <w:rFonts w:ascii="Arial" w:cs="Arial" w:eastAsia="Arial" w:hAnsi="Arial"/>
                <w:sz w:val="18"/>
                <w:szCs w:val="18"/>
                <w:color w:val="0D248E"/>
              </w:rPr>
              <w:t>Fixed-to-Floating Rate Subordinated Notes due 2035 who were signatories thereto (incorporated by reference to Exhibit 10.2</w:t>
            </w:r>
          </w:p>
        </w:tc>
        <w:tc>
          <w:tcPr>
            <w:tcW w:w="40" w:type="dxa"/>
            <w:vAlign w:val="bottom"/>
            <w:tcBorders>
              <w:bottom w:val="single" w:sz="8" w:color="0D248E"/>
            </w:tcBorders>
            <w:gridSpan w:val="2"/>
          </w:tcPr>
          <w:p>
            <w:pPr>
              <w:spacing w:after="0"/>
              <w:rPr>
                <w:sz w:val="16"/>
                <w:szCs w:val="16"/>
                <w:color w:val="auto"/>
              </w:rPr>
            </w:pPr>
          </w:p>
        </w:tc>
        <w:tc>
          <w:tcPr>
            <w:tcW w:w="20" w:type="dxa"/>
            <w:vAlign w:val="bottom"/>
            <w:tcBorders>
              <w:bottom w:val="single" w:sz="8" w:color="0D248E"/>
            </w:tcBorders>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gridSpan w:val="25"/>
          </w:tcPr>
          <w:p>
            <w:pPr>
              <w:spacing w:after="0" w:line="187" w:lineRule="exact"/>
              <w:rPr>
                <w:sz w:val="20"/>
                <w:szCs w:val="20"/>
                <w:color w:val="auto"/>
              </w:rPr>
            </w:pPr>
            <w:r>
              <w:rPr>
                <w:rFonts w:ascii="Arial" w:cs="Arial" w:eastAsia="Arial" w:hAnsi="Arial"/>
                <w:sz w:val="18"/>
                <w:szCs w:val="18"/>
                <w:color w:val="0D248E"/>
              </w:rPr>
              <w:t>of the Registrant’s Current Report on Form 8-K (File No. 001-41196) filed with the Securities and Exchange Commission on</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top w:val="single" w:sz="8" w:color="0D248E"/>
            </w:tcBorders>
            <w:gridSpan w:val="9"/>
          </w:tcPr>
          <w:p>
            <w:pPr>
              <w:spacing w:after="0" w:line="187" w:lineRule="exact"/>
              <w:rPr>
                <w:sz w:val="20"/>
                <w:szCs w:val="20"/>
                <w:color w:val="auto"/>
              </w:rPr>
            </w:pPr>
            <w:r>
              <w:rPr>
                <w:rFonts w:ascii="Arial" w:cs="Arial" w:eastAsia="Arial" w:hAnsi="Arial"/>
                <w:sz w:val="18"/>
                <w:szCs w:val="18"/>
                <w:color w:val="0D248E"/>
              </w:rPr>
              <w:t>August 14, 2025).</w:t>
            </w:r>
          </w:p>
        </w:tc>
        <w:tc>
          <w:tcPr>
            <w:tcW w:w="1000" w:type="dxa"/>
            <w:vAlign w:val="bottom"/>
            <w:tcBorders>
              <w:top w:val="single" w:sz="8" w:color="0D248E"/>
            </w:tcBorders>
          </w:tcPr>
          <w:p>
            <w:pPr>
              <w:spacing w:after="0"/>
              <w:rPr>
                <w:sz w:val="16"/>
                <w:szCs w:val="16"/>
                <w:color w:val="auto"/>
              </w:rPr>
            </w:pPr>
          </w:p>
        </w:tc>
        <w:tc>
          <w:tcPr>
            <w:tcW w:w="140" w:type="dxa"/>
            <w:vAlign w:val="bottom"/>
            <w:tcBorders>
              <w:top w:val="single" w:sz="8" w:color="0D248E"/>
            </w:tcBorders>
          </w:tcPr>
          <w:p>
            <w:pPr>
              <w:spacing w:after="0"/>
              <w:rPr>
                <w:sz w:val="16"/>
                <w:szCs w:val="16"/>
                <w:color w:val="auto"/>
              </w:rPr>
            </w:pPr>
          </w:p>
        </w:tc>
        <w:tc>
          <w:tcPr>
            <w:tcW w:w="40" w:type="dxa"/>
            <w:vAlign w:val="bottom"/>
            <w:tcBorders>
              <w:top w:val="single" w:sz="8" w:color="0D248E"/>
            </w:tcBorders>
          </w:tcPr>
          <w:p>
            <w:pPr>
              <w:spacing w:after="0"/>
              <w:rPr>
                <w:sz w:val="16"/>
                <w:szCs w:val="16"/>
                <w:color w:val="auto"/>
              </w:rPr>
            </w:pPr>
          </w:p>
        </w:tc>
        <w:tc>
          <w:tcPr>
            <w:tcW w:w="920" w:type="dxa"/>
            <w:vAlign w:val="bottom"/>
            <w:tcBorders>
              <w:top w:val="single" w:sz="8" w:color="0D248E"/>
            </w:tcBorders>
          </w:tcPr>
          <w:p>
            <w:pPr>
              <w:spacing w:after="0"/>
              <w:rPr>
                <w:sz w:val="16"/>
                <w:szCs w:val="16"/>
                <w:color w:val="auto"/>
              </w:rPr>
            </w:pPr>
          </w:p>
        </w:tc>
        <w:tc>
          <w:tcPr>
            <w:tcW w:w="640" w:type="dxa"/>
            <w:vAlign w:val="bottom"/>
            <w:tcBorders>
              <w:top w:val="single" w:sz="8" w:color="0D248E"/>
            </w:tcBorders>
          </w:tcPr>
          <w:p>
            <w:pPr>
              <w:spacing w:after="0"/>
              <w:rPr>
                <w:sz w:val="16"/>
                <w:szCs w:val="16"/>
                <w:color w:val="auto"/>
              </w:rPr>
            </w:pPr>
          </w:p>
        </w:tc>
        <w:tc>
          <w:tcPr>
            <w:tcW w:w="680" w:type="dxa"/>
            <w:vAlign w:val="bottom"/>
            <w:tcBorders>
              <w:top w:val="single" w:sz="8" w:color="0D248E"/>
            </w:tcBorders>
          </w:tcPr>
          <w:p>
            <w:pPr>
              <w:spacing w:after="0"/>
              <w:rPr>
                <w:sz w:val="16"/>
                <w:szCs w:val="16"/>
                <w:color w:val="auto"/>
              </w:rPr>
            </w:pPr>
          </w:p>
        </w:tc>
        <w:tc>
          <w:tcPr>
            <w:tcW w:w="2840" w:type="dxa"/>
            <w:vAlign w:val="bottom"/>
            <w:tcBorders>
              <w:top w:val="single" w:sz="8" w:color="0D248E"/>
            </w:tcBorders>
          </w:tcPr>
          <w:p>
            <w:pPr>
              <w:spacing w:after="0"/>
              <w:rPr>
                <w:sz w:val="16"/>
                <w:szCs w:val="16"/>
                <w:color w:val="auto"/>
              </w:rPr>
            </w:pPr>
          </w:p>
        </w:tc>
        <w:tc>
          <w:tcPr>
            <w:tcW w:w="180" w:type="dxa"/>
            <w:vAlign w:val="bottom"/>
            <w:tcBorders>
              <w:top w:val="single" w:sz="8" w:color="0D248E"/>
            </w:tcBorders>
          </w:tcPr>
          <w:p>
            <w:pPr>
              <w:spacing w:after="0"/>
              <w:rPr>
                <w:sz w:val="16"/>
                <w:szCs w:val="16"/>
                <w:color w:val="auto"/>
              </w:rPr>
            </w:pPr>
          </w:p>
        </w:tc>
        <w:tc>
          <w:tcPr>
            <w:tcW w:w="160" w:type="dxa"/>
            <w:vAlign w:val="bottom"/>
            <w:tcBorders>
              <w:top w:val="single" w:sz="8" w:color="0D248E"/>
            </w:tcBorders>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180" w:type="dxa"/>
            <w:vAlign w:val="bottom"/>
            <w:tcBorders>
              <w:top w:val="single" w:sz="8" w:color="0D248E"/>
            </w:tcBorders>
          </w:tcPr>
          <w:p>
            <w:pPr>
              <w:spacing w:after="0"/>
              <w:rPr>
                <w:sz w:val="16"/>
                <w:szCs w:val="16"/>
                <w:color w:val="auto"/>
              </w:rPr>
            </w:pPr>
          </w:p>
        </w:tc>
        <w:tc>
          <w:tcPr>
            <w:tcW w:w="100" w:type="dxa"/>
            <w:vAlign w:val="bottom"/>
            <w:tcBorders>
              <w:top w:val="single" w:sz="8" w:color="0D248E"/>
            </w:tcBorders>
          </w:tcPr>
          <w:p>
            <w:pPr>
              <w:spacing w:after="0"/>
              <w:rPr>
                <w:sz w:val="16"/>
                <w:szCs w:val="16"/>
                <w:color w:val="auto"/>
              </w:rPr>
            </w:pPr>
          </w:p>
        </w:tc>
        <w:tc>
          <w:tcPr>
            <w:tcW w:w="140" w:type="dxa"/>
            <w:vAlign w:val="bottom"/>
            <w:tcBorders>
              <w:top w:val="single" w:sz="8" w:color="0D248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gridSpan w:val="4"/>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7"/>
          </w:tcPr>
          <w:p>
            <w:pPr>
              <w:spacing w:after="0" w:line="187" w:lineRule="exact"/>
              <w:rPr>
                <w:sz w:val="20"/>
                <w:szCs w:val="20"/>
                <w:color w:val="auto"/>
              </w:rPr>
            </w:pPr>
            <w:r>
              <w:rPr>
                <w:rFonts w:ascii="Arial" w:cs="Arial" w:eastAsia="Arial" w:hAnsi="Arial"/>
                <w:sz w:val="18"/>
                <w:szCs w:val="18"/>
                <w:color w:val="0D248E"/>
              </w:rPr>
              <w:t>U.S. Century Bank Amended and Restated 2015 Equity Incentive Plan (incorporated by reference to Exhibit 10.1 to the</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9" w:lineRule="exact"/>
              <w:rPr>
                <w:sz w:val="20"/>
                <w:szCs w:val="20"/>
                <w:color w:val="auto"/>
              </w:rPr>
            </w:pPr>
            <w:r>
              <w:rPr>
                <w:rFonts w:ascii="Arial" w:cs="Arial" w:eastAsia="Arial" w:hAnsi="Arial"/>
                <w:sz w:val="18"/>
                <w:szCs w:val="18"/>
                <w:color w:val="0D248E"/>
              </w:rPr>
              <w:t>Registrant’s Current Report on Form 8-K (File No. 001-41196) filed with the Securities and Exchange Commission on</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2</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9"/>
          </w:tcPr>
          <w:p>
            <w:pPr>
              <w:spacing w:after="0" w:line="187" w:lineRule="exact"/>
              <w:rPr>
                <w:sz w:val="20"/>
                <w:szCs w:val="20"/>
                <w:color w:val="auto"/>
              </w:rPr>
            </w:pPr>
            <w:r>
              <w:rPr>
                <w:rFonts w:ascii="Arial" w:cs="Arial" w:eastAsia="Arial" w:hAnsi="Arial"/>
                <w:sz w:val="18"/>
                <w:szCs w:val="18"/>
                <w:color w:val="0D248E"/>
              </w:rPr>
              <w:t>December 30, 2021). *</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0D248E"/>
            </w:tcBorders>
            <w:gridSpan w:val="7"/>
          </w:tcPr>
          <w:p>
            <w:pPr>
              <w:spacing w:after="0" w:line="187" w:lineRule="exact"/>
              <w:rPr>
                <w:sz w:val="20"/>
                <w:szCs w:val="20"/>
                <w:color w:val="auto"/>
              </w:rPr>
            </w:pPr>
            <w:r>
              <w:rPr>
                <w:rFonts w:ascii="Arial" w:cs="Arial" w:eastAsia="Arial" w:hAnsi="Arial"/>
                <w:sz w:val="18"/>
                <w:szCs w:val="18"/>
                <w:color w:val="0D248E"/>
                <w:w w:val="95"/>
              </w:rPr>
              <w:t>Amended and Restated</w:t>
            </w:r>
          </w:p>
        </w:tc>
        <w:tc>
          <w:tcPr>
            <w:tcW w:w="8260" w:type="dxa"/>
            <w:vAlign w:val="bottom"/>
            <w:gridSpan w:val="20"/>
          </w:tcPr>
          <w:p>
            <w:pPr>
              <w:jc w:val="right"/>
              <w:ind w:right="100"/>
              <w:spacing w:after="0" w:line="187" w:lineRule="exact"/>
              <w:rPr>
                <w:sz w:val="20"/>
                <w:szCs w:val="20"/>
                <w:color w:val="auto"/>
              </w:rPr>
            </w:pPr>
            <w:r>
              <w:rPr>
                <w:rFonts w:ascii="Arial" w:cs="Arial" w:eastAsia="Arial" w:hAnsi="Arial"/>
                <w:sz w:val="18"/>
                <w:szCs w:val="18"/>
                <w:color w:val="0D248E"/>
              </w:rPr>
              <w:t>Employment Agreement by and among USCB Financial Holdings, Inc., U.S. Century Bank and Luis</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de la Aguilera dated as of January 29, 2023 (incorporated by reference to Exhibit 10.2 to the Registrant’s Current Report on</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0D248E"/>
            </w:tcBorders>
            <w:gridSpan w:val="22"/>
          </w:tcPr>
          <w:p>
            <w:pPr>
              <w:spacing w:after="0" w:line="189" w:lineRule="exact"/>
              <w:rPr>
                <w:sz w:val="20"/>
                <w:szCs w:val="20"/>
                <w:color w:val="auto"/>
              </w:rPr>
            </w:pPr>
            <w:r>
              <w:rPr>
                <w:rFonts w:ascii="Arial" w:cs="Arial" w:eastAsia="Arial" w:hAnsi="Arial"/>
                <w:sz w:val="18"/>
                <w:szCs w:val="18"/>
                <w:color w:val="0D248E"/>
                <w:w w:val="99"/>
              </w:rPr>
              <w:t>Form 8-K dated as of January 29, 2023 (File No. 001-41196) filed with the Securities and Exchange Commission on February</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spacing w:after="0" w:line="187" w:lineRule="exact"/>
              <w:rPr>
                <w:sz w:val="20"/>
                <w:szCs w:val="20"/>
                <w:color w:val="auto"/>
              </w:rPr>
            </w:pPr>
            <w:r>
              <w:rPr>
                <w:rFonts w:ascii="Arial" w:cs="Arial" w:eastAsia="Arial" w:hAnsi="Arial"/>
                <w:sz w:val="18"/>
                <w:szCs w:val="18"/>
                <w:color w:val="0D248E"/>
                <w:w w:val="99"/>
              </w:rPr>
              <w:t>1, 2023).*</w:t>
            </w:r>
          </w:p>
        </w:tc>
        <w:tc>
          <w:tcPr>
            <w:tcW w:w="9280" w:type="dxa"/>
            <w:vAlign w:val="bottom"/>
            <w:gridSpan w:val="24"/>
            <w:vMerge w:val="restart"/>
          </w:tcPr>
          <w:p>
            <w:pPr>
              <w:jc w:val="right"/>
              <w:ind w:right="100"/>
              <w:spacing w:after="0"/>
              <w:rPr>
                <w:sz w:val="20"/>
                <w:szCs w:val="20"/>
                <w:color w:val="auto"/>
              </w:rPr>
            </w:pPr>
            <w:r>
              <w:rPr>
                <w:rFonts w:ascii="Arial" w:cs="Arial" w:eastAsia="Arial" w:hAnsi="Arial"/>
                <w:sz w:val="18"/>
                <w:szCs w:val="18"/>
                <w:color w:val="0D248E"/>
                <w:w w:val="99"/>
              </w:rPr>
              <w:t>and Restated Employment Agreement by and among USCB Financial Holdings, Inc., U.S. Century Bank and Robert</w:t>
            </w: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0D248E"/>
            </w:tcBorders>
            <w:gridSpan w:val="2"/>
          </w:tcPr>
          <w:p>
            <w:pPr>
              <w:spacing w:after="0" w:line="187" w:lineRule="exact"/>
              <w:rPr>
                <w:sz w:val="20"/>
                <w:szCs w:val="20"/>
                <w:color w:val="auto"/>
              </w:rPr>
            </w:pPr>
            <w:r>
              <w:rPr>
                <w:rFonts w:ascii="Arial" w:cs="Arial" w:eastAsia="Arial" w:hAnsi="Arial"/>
                <w:sz w:val="18"/>
                <w:szCs w:val="18"/>
                <w:color w:val="0D248E"/>
                <w:w w:val="98"/>
              </w:rPr>
              <w:t>Amended</w:t>
            </w:r>
          </w:p>
        </w:tc>
        <w:tc>
          <w:tcPr>
            <w:tcW w:w="20" w:type="dxa"/>
            <w:vAlign w:val="bottom"/>
          </w:tcPr>
          <w:p>
            <w:pPr>
              <w:spacing w:after="0"/>
              <w:rPr>
                <w:sz w:val="16"/>
                <w:szCs w:val="16"/>
                <w:color w:val="auto"/>
              </w:rPr>
            </w:pPr>
          </w:p>
        </w:tc>
        <w:tc>
          <w:tcPr>
            <w:tcW w:w="928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9"/>
              </w:rPr>
              <w:t>Anderson dated as of January 29, 2023 (incorporated by reference to Exhibit 10.1 to the Registrant’s Current Report on Form</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0D248E"/>
            </w:tcBorders>
            <w:gridSpan w:val="22"/>
          </w:tcPr>
          <w:p>
            <w:pPr>
              <w:spacing w:after="0" w:line="189" w:lineRule="exact"/>
              <w:rPr>
                <w:sz w:val="20"/>
                <w:szCs w:val="20"/>
                <w:color w:val="auto"/>
              </w:rPr>
            </w:pPr>
            <w:r>
              <w:rPr>
                <w:rFonts w:ascii="Arial" w:cs="Arial" w:eastAsia="Arial" w:hAnsi="Arial"/>
                <w:sz w:val="18"/>
                <w:szCs w:val="18"/>
                <w:color w:val="0D248E"/>
              </w:rPr>
              <w:t>8-K dated as of January 29, 2023 (File No. 001-41196) filed with the Securities and Exchange Commission on February 1,</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0D248E"/>
            </w:tcBorders>
          </w:tcPr>
          <w:p>
            <w:pPr>
              <w:spacing w:after="0" w:line="187" w:lineRule="exact"/>
              <w:rPr>
                <w:sz w:val="20"/>
                <w:szCs w:val="20"/>
                <w:color w:val="auto"/>
              </w:rPr>
            </w:pPr>
            <w:r>
              <w:rPr>
                <w:rFonts w:ascii="Arial" w:cs="Arial" w:eastAsia="Arial" w:hAnsi="Arial"/>
                <w:sz w:val="18"/>
                <w:szCs w:val="18"/>
                <w:color w:val="0D248E"/>
                <w:w w:val="96"/>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7"/>
          </w:tcPr>
          <w:p>
            <w:pPr>
              <w:spacing w:after="0" w:line="187" w:lineRule="exact"/>
              <w:rPr>
                <w:sz w:val="20"/>
                <w:szCs w:val="20"/>
                <w:color w:val="auto"/>
              </w:rPr>
            </w:pPr>
            <w:r>
              <w:rPr>
                <w:rFonts w:ascii="Arial" w:cs="Arial" w:eastAsia="Arial" w:hAnsi="Arial"/>
                <w:sz w:val="18"/>
                <w:szCs w:val="18"/>
                <w:color w:val="0D248E"/>
              </w:rPr>
              <w:t>Amendment No. 1 dated January 6, 2025 to the Employment Agreement by and among U.S. Century Bank, USCB Financial</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Holdings, Inc. and Robert Anderson dated as of January 29, 2023 (incorporated by reference to Exhibit 10.1 the Registrant’s</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Current Report on Form 8-K (File No. 001-41196) filed with the Securities and Exchange Commission on January 6, 2025).*</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40" w:type="dxa"/>
            <w:vAlign w:val="bottom"/>
            <w:tcBorders>
              <w:top w:val="single" w:sz="8" w:color="0D248E"/>
            </w:tcBorders>
            <w:gridSpan w:val="21"/>
          </w:tcPr>
          <w:p>
            <w:pPr>
              <w:spacing w:after="0" w:line="189" w:lineRule="exact"/>
              <w:rPr>
                <w:sz w:val="20"/>
                <w:szCs w:val="20"/>
                <w:color w:val="auto"/>
              </w:rPr>
            </w:pPr>
            <w:r>
              <w:rPr>
                <w:rFonts w:ascii="Arial" w:cs="Arial" w:eastAsia="Arial" w:hAnsi="Arial"/>
                <w:sz w:val="18"/>
                <w:szCs w:val="18"/>
                <w:color w:val="0D248E"/>
                <w:w w:val="97"/>
              </w:rPr>
              <w:t>Amended and Restated Change in Control Agreement between U.S. Century Bank and Nicholas Bustle dated as of December</w:t>
            </w:r>
          </w:p>
        </w:tc>
        <w:tc>
          <w:tcPr>
            <w:tcW w:w="18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8"/>
              </w:rPr>
              <w:t>19, 2025 (incorporated by reference to Exhibit 10.1 the Registrant’s Current Report on Form 8-K (File No. 001-41196) filed with</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the Securities and Exchange Commission on December 23, 2025).*</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0D248E"/>
            </w:tcBorders>
            <w:gridSpan w:val="14"/>
          </w:tcPr>
          <w:p>
            <w:pPr>
              <w:spacing w:after="0" w:line="187" w:lineRule="exact"/>
              <w:rPr>
                <w:sz w:val="20"/>
                <w:szCs w:val="20"/>
                <w:color w:val="auto"/>
              </w:rPr>
            </w:pPr>
            <w:r>
              <w:rPr>
                <w:rFonts w:ascii="Arial" w:cs="Arial" w:eastAsia="Arial" w:hAnsi="Arial"/>
                <w:sz w:val="18"/>
                <w:szCs w:val="18"/>
                <w:color w:val="0D248E"/>
                <w:w w:val="98"/>
              </w:rPr>
              <w:t>Amended and Restated Change in Control Agreement between U.S.</w:t>
            </w:r>
          </w:p>
        </w:tc>
        <w:tc>
          <w:tcPr>
            <w:tcW w:w="4680" w:type="dxa"/>
            <w:vAlign w:val="bottom"/>
            <w:gridSpan w:val="13"/>
          </w:tcPr>
          <w:p>
            <w:pPr>
              <w:jc w:val="right"/>
              <w:ind w:right="100"/>
              <w:spacing w:after="0" w:line="187" w:lineRule="exact"/>
              <w:rPr>
                <w:sz w:val="20"/>
                <w:szCs w:val="20"/>
                <w:color w:val="auto"/>
              </w:rPr>
            </w:pPr>
            <w:r>
              <w:rPr>
                <w:rFonts w:ascii="Arial" w:cs="Arial" w:eastAsia="Arial" w:hAnsi="Arial"/>
                <w:sz w:val="18"/>
                <w:szCs w:val="18"/>
                <w:color w:val="0D248E"/>
              </w:rPr>
              <w:t>Century Bank and William Turner dated as of December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Borders>
              <w:right w:val="single" w:sz="8" w:color="0D248E"/>
            </w:tcBorders>
          </w:tcPr>
          <w:p>
            <w:pPr>
              <w:spacing w:after="0" w:line="20" w:lineRule="exact"/>
              <w:rPr>
                <w:sz w:val="1"/>
                <w:szCs w:val="1"/>
                <w:color w:val="auto"/>
              </w:rPr>
            </w:pPr>
          </w:p>
        </w:tc>
        <w:tc>
          <w:tcPr>
            <w:tcW w:w="300" w:type="dxa"/>
            <w:vAlign w:val="bottom"/>
            <w:tcBorders>
              <w:right w:val="single" w:sz="8" w:color="0D248E"/>
            </w:tcBorders>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720" w:type="dxa"/>
            <w:vAlign w:val="bottom"/>
            <w:shd w:val="clear" w:color="auto" w:fill="0D248E"/>
          </w:tcPr>
          <w:p>
            <w:pPr>
              <w:spacing w:after="0" w:line="20" w:lineRule="exact"/>
              <w:rPr>
                <w:sz w:val="1"/>
                <w:szCs w:val="1"/>
                <w:color w:val="auto"/>
              </w:rPr>
            </w:pPr>
          </w:p>
        </w:tc>
        <w:tc>
          <w:tcPr>
            <w:tcW w:w="1000" w:type="dxa"/>
            <w:vAlign w:val="bottom"/>
            <w:shd w:val="clear" w:color="auto" w:fill="0D248E"/>
          </w:tcPr>
          <w:p>
            <w:pPr>
              <w:spacing w:after="0" w:line="20" w:lineRule="exact"/>
              <w:rPr>
                <w:sz w:val="1"/>
                <w:szCs w:val="1"/>
                <w:color w:val="auto"/>
              </w:rPr>
            </w:pPr>
          </w:p>
        </w:tc>
        <w:tc>
          <w:tcPr>
            <w:tcW w:w="140" w:type="dxa"/>
            <w:vAlign w:val="bottom"/>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920" w:type="dxa"/>
            <w:vAlign w:val="bottom"/>
            <w:shd w:val="clear" w:color="auto" w:fill="0D248E"/>
          </w:tcPr>
          <w:p>
            <w:pPr>
              <w:spacing w:after="0" w:line="20" w:lineRule="exact"/>
              <w:rPr>
                <w:sz w:val="1"/>
                <w:szCs w:val="1"/>
                <w:color w:val="auto"/>
              </w:rPr>
            </w:pPr>
          </w:p>
        </w:tc>
        <w:tc>
          <w:tcPr>
            <w:tcW w:w="640" w:type="dxa"/>
            <w:vAlign w:val="bottom"/>
            <w:shd w:val="clear" w:color="auto" w:fill="0D248E"/>
          </w:tcPr>
          <w:p>
            <w:pPr>
              <w:spacing w:after="0" w:line="20" w:lineRule="exact"/>
              <w:rPr>
                <w:sz w:val="1"/>
                <w:szCs w:val="1"/>
                <w:color w:val="auto"/>
              </w:rPr>
            </w:pPr>
          </w:p>
        </w:tc>
        <w:tc>
          <w:tcPr>
            <w:tcW w:w="680" w:type="dxa"/>
            <w:vAlign w:val="bottom"/>
            <w:shd w:val="clear" w:color="auto" w:fill="0D248E"/>
          </w:tcPr>
          <w:p>
            <w:pPr>
              <w:spacing w:after="0" w:line="20" w:lineRule="exact"/>
              <w:rPr>
                <w:sz w:val="1"/>
                <w:szCs w:val="1"/>
                <w:color w:val="auto"/>
              </w:rPr>
            </w:pPr>
          </w:p>
        </w:tc>
        <w:tc>
          <w:tcPr>
            <w:tcW w:w="284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140" w:type="dxa"/>
            <w:vAlign w:val="bottom"/>
            <w:shd w:val="clear" w:color="auto" w:fill="0D24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7</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6"/>
          </w:tcPr>
          <w:p>
            <w:pPr>
              <w:spacing w:after="0" w:line="189" w:lineRule="exact"/>
              <w:rPr>
                <w:sz w:val="20"/>
                <w:szCs w:val="20"/>
                <w:color w:val="auto"/>
              </w:rPr>
            </w:pPr>
            <w:r>
              <w:rPr>
                <w:rFonts w:ascii="Arial" w:cs="Arial" w:eastAsia="Arial" w:hAnsi="Arial"/>
                <w:sz w:val="18"/>
                <w:szCs w:val="18"/>
                <w:color w:val="0D248E"/>
              </w:rPr>
              <w:t>10, 2025*, **</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0D248E"/>
            </w:tcBorders>
            <w:gridSpan w:val="5"/>
          </w:tcPr>
          <w:p>
            <w:pPr>
              <w:spacing w:after="0" w:line="187" w:lineRule="exact"/>
              <w:rPr>
                <w:sz w:val="20"/>
                <w:szCs w:val="20"/>
                <w:color w:val="auto"/>
              </w:rPr>
            </w:pPr>
            <w:r>
              <w:rPr>
                <w:rFonts w:ascii="Arial" w:cs="Arial" w:eastAsia="Arial" w:hAnsi="Arial"/>
                <w:sz w:val="18"/>
                <w:szCs w:val="18"/>
                <w:color w:val="0D248E"/>
              </w:rPr>
              <w:t>Amendment</w:t>
            </w:r>
          </w:p>
        </w:tc>
        <w:tc>
          <w:tcPr>
            <w:tcW w:w="9080" w:type="dxa"/>
            <w:vAlign w:val="bottom"/>
            <w:gridSpan w:val="22"/>
          </w:tcPr>
          <w:p>
            <w:pPr>
              <w:jc w:val="right"/>
              <w:ind w:right="100"/>
              <w:spacing w:after="0" w:line="187" w:lineRule="exact"/>
              <w:rPr>
                <w:sz w:val="20"/>
                <w:szCs w:val="20"/>
                <w:color w:val="auto"/>
              </w:rPr>
            </w:pPr>
            <w:r>
              <w:rPr>
                <w:rFonts w:ascii="Arial" w:cs="Arial" w:eastAsia="Arial" w:hAnsi="Arial"/>
                <w:sz w:val="18"/>
                <w:szCs w:val="18"/>
                <w:color w:val="0D248E"/>
              </w:rPr>
              <w:t>No. 1 dated as of January 30, 2026 to the Employment Agreement by and among U.S. Century Bank, USCB</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Financial Holdings, Inc. and Luis de la Aguilera dated as of January 29, 2023 (incorporated by reference to Exhibit 10.1 the</w:t>
            </w:r>
          </w:p>
        </w:tc>
        <w:tc>
          <w:tcPr>
            <w:tcW w:w="40" w:type="dxa"/>
            <w:vAlign w:val="bottom"/>
            <w:tcBorders>
              <w:bottom w:val="single" w:sz="8" w:color="0D248E"/>
            </w:tcBorders>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8"/>
              </w:rPr>
              <w:t>Registrant’s Current Report on Form 8- K (File No. 001-41196) filed with the Securities and Exchange Commission on February</w:t>
            </w:r>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0D248E"/>
            </w:tcBorders>
            <w:gridSpan w:val="3"/>
          </w:tcPr>
          <w:p>
            <w:pPr>
              <w:spacing w:after="0" w:line="189" w:lineRule="exact"/>
              <w:rPr>
                <w:sz w:val="20"/>
                <w:szCs w:val="20"/>
                <w:color w:val="auto"/>
              </w:rPr>
            </w:pPr>
            <w:r>
              <w:rPr>
                <w:rFonts w:ascii="Arial" w:cs="Arial" w:eastAsia="Arial" w:hAnsi="Arial"/>
                <w:sz w:val="18"/>
                <w:szCs w:val="18"/>
                <w:color w:val="0D248E"/>
                <w:w w:val="99"/>
              </w:rPr>
              <w:t>4, 2026).*</w:t>
            </w:r>
          </w:p>
        </w:tc>
        <w:tc>
          <w:tcPr>
            <w:tcW w:w="80" w:type="dxa"/>
            <w:vAlign w:val="bottom"/>
          </w:tcPr>
          <w:p>
            <w:pPr>
              <w:spacing w:after="0"/>
              <w:rPr>
                <w:sz w:val="16"/>
                <w:szCs w:val="16"/>
                <w:color w:val="auto"/>
              </w:rPr>
            </w:pPr>
          </w:p>
        </w:tc>
        <w:tc>
          <w:tcPr>
            <w:tcW w:w="9200" w:type="dxa"/>
            <w:vAlign w:val="bottom"/>
            <w:gridSpan w:val="23"/>
            <w:vMerge w:val="restart"/>
          </w:tcPr>
          <w:p>
            <w:pPr>
              <w:jc w:val="right"/>
              <w:ind w:right="100"/>
              <w:spacing w:after="0"/>
              <w:rPr>
                <w:sz w:val="20"/>
                <w:szCs w:val="20"/>
                <w:color w:val="auto"/>
              </w:rPr>
            </w:pPr>
            <w:r>
              <w:rPr>
                <w:rFonts w:ascii="Arial" w:cs="Arial" w:eastAsia="Arial" w:hAnsi="Arial"/>
                <w:sz w:val="18"/>
                <w:szCs w:val="18"/>
                <w:color w:val="0D248E"/>
              </w:rPr>
              <w:t>No. 2 dated as January 28, 2026 to the Employment Agreement by and among U.S. Century Bank, USCB</w:t>
            </w: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spacing w:after="0" w:line="187" w:lineRule="exact"/>
              <w:rPr>
                <w:sz w:val="20"/>
                <w:szCs w:val="20"/>
                <w:color w:val="auto"/>
              </w:rPr>
            </w:pPr>
            <w:r>
              <w:rPr>
                <w:rFonts w:ascii="Arial" w:cs="Arial" w:eastAsia="Arial" w:hAnsi="Arial"/>
                <w:sz w:val="18"/>
                <w:szCs w:val="18"/>
                <w:color w:val="0D248E"/>
                <w:w w:val="80"/>
              </w:rPr>
              <w:t>Amendment</w:t>
            </w:r>
          </w:p>
        </w:tc>
        <w:tc>
          <w:tcPr>
            <w:tcW w:w="80" w:type="dxa"/>
            <w:vAlign w:val="bottom"/>
          </w:tcPr>
          <w:p>
            <w:pPr>
              <w:spacing w:after="0"/>
              <w:rPr>
                <w:sz w:val="16"/>
                <w:szCs w:val="16"/>
                <w:color w:val="auto"/>
              </w:rPr>
            </w:pPr>
          </w:p>
        </w:tc>
        <w:tc>
          <w:tcPr>
            <w:tcW w:w="920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Financial Holdings, Inc. and Robert Anderson dated as of January 29, 2023 (incorporated by reference to Exhibit 10.1 the</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w w:val="98"/>
              </w:rPr>
              <w:t>Registrant’s Current Report on Form 8- K (File No. 001-41196) filed with the Securities and Exchange Commission on January</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gridSpan w:val="4"/>
            <w:vMerge w:val="restart"/>
          </w:tcPr>
          <w:p>
            <w:pPr>
              <w:jc w:val="center"/>
              <w:ind w:left="230"/>
              <w:spacing w:after="0"/>
              <w:rPr>
                <w:sz w:val="20"/>
                <w:szCs w:val="20"/>
                <w:color w:val="auto"/>
              </w:rPr>
            </w:pPr>
            <w:r>
              <w:rPr>
                <w:rFonts w:ascii="Arial" w:cs="Arial" w:eastAsia="Arial" w:hAnsi="Arial"/>
                <w:sz w:val="18"/>
                <w:szCs w:val="18"/>
                <w:color w:val="0D248E"/>
                <w:w w:val="96"/>
              </w:rPr>
              <w:t>10.</w:t>
            </w:r>
            <w:r>
              <w:rPr>
                <w:rFonts w:ascii="Arial" w:cs="Arial" w:eastAsia="Arial" w:hAnsi="Arial"/>
                <w:sz w:val="18"/>
                <w:szCs w:val="18"/>
                <w:u w:val="single" w:color="auto"/>
                <w:color w:val="0D248E"/>
                <w:w w:val="96"/>
              </w:rPr>
              <w:t>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0D248E"/>
            </w:tcBorders>
            <w:gridSpan w:val="4"/>
          </w:tcPr>
          <w:p>
            <w:pPr>
              <w:spacing w:after="0" w:line="189" w:lineRule="exact"/>
              <w:rPr>
                <w:sz w:val="20"/>
                <w:szCs w:val="20"/>
                <w:color w:val="auto"/>
              </w:rPr>
            </w:pPr>
            <w:r>
              <w:rPr>
                <w:rFonts w:ascii="Arial" w:cs="Arial" w:eastAsia="Arial" w:hAnsi="Arial"/>
                <w:sz w:val="18"/>
                <w:szCs w:val="18"/>
                <w:color w:val="0D248E"/>
                <w:w w:val="97"/>
              </w:rPr>
              <w:t>30, 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spacing w:after="0" w:line="187" w:lineRule="exact"/>
              <w:rPr>
                <w:sz w:val="20"/>
                <w:szCs w:val="20"/>
                <w:color w:val="auto"/>
              </w:rPr>
            </w:pPr>
            <w:r>
              <w:rPr>
                <w:rFonts w:ascii="Arial" w:cs="Arial" w:eastAsia="Arial" w:hAnsi="Arial"/>
                <w:sz w:val="18"/>
                <w:szCs w:val="18"/>
                <w:color w:val="0D248E"/>
              </w:rPr>
              <w:t>Change in</w:t>
            </w:r>
          </w:p>
        </w:tc>
        <w:tc>
          <w:tcPr>
            <w:tcW w:w="9200" w:type="dxa"/>
            <w:vAlign w:val="bottom"/>
            <w:gridSpan w:val="23"/>
          </w:tcPr>
          <w:p>
            <w:pPr>
              <w:jc w:val="right"/>
              <w:ind w:right="100"/>
              <w:spacing w:after="0" w:line="187" w:lineRule="exact"/>
              <w:rPr>
                <w:sz w:val="20"/>
                <w:szCs w:val="20"/>
                <w:color w:val="auto"/>
              </w:rPr>
            </w:pPr>
            <w:r>
              <w:rPr>
                <w:rFonts w:ascii="Arial" w:cs="Arial" w:eastAsia="Arial" w:hAnsi="Arial"/>
                <w:sz w:val="18"/>
                <w:szCs w:val="18"/>
                <w:color w:val="0D248E"/>
                <w:w w:val="98"/>
              </w:rPr>
              <w:t>Control Agreement between U.S. Century Bank and Maricarmen Logroño dated as of March 25, 2025 (incorporated</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22"/>
          </w:tcPr>
          <w:p>
            <w:pPr>
              <w:spacing w:after="0" w:line="187" w:lineRule="exact"/>
              <w:rPr>
                <w:sz w:val="20"/>
                <w:szCs w:val="20"/>
                <w:color w:val="auto"/>
              </w:rPr>
            </w:pPr>
            <w:r>
              <w:rPr>
                <w:rFonts w:ascii="Arial" w:cs="Arial" w:eastAsia="Arial" w:hAnsi="Arial"/>
                <w:sz w:val="18"/>
                <w:szCs w:val="18"/>
                <w:color w:val="0D248E"/>
              </w:rPr>
              <w:t>by reference to Exhibit 10.1 to the Registrant’s Quarterly Report on Form 10-Q (File No. 001-41196) filed with the Securities</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vMerge w:val="restart"/>
          </w:tcPr>
          <w:p>
            <w:pPr>
              <w:spacing w:after="0"/>
              <w:rPr>
                <w:sz w:val="16"/>
                <w:szCs w:val="16"/>
                <w:color w:val="auto"/>
              </w:rPr>
            </w:pPr>
          </w:p>
        </w:tc>
        <w:tc>
          <w:tcPr>
            <w:tcW w:w="460" w:type="dxa"/>
            <w:vAlign w:val="bottom"/>
            <w:gridSpan w:val="3"/>
            <w:vMerge w:val="restart"/>
          </w:tcPr>
          <w:p>
            <w:pPr>
              <w:jc w:val="center"/>
              <w:spacing w:after="0"/>
              <w:rPr>
                <w:sz w:val="20"/>
                <w:szCs w:val="20"/>
                <w:color w:val="auto"/>
              </w:rPr>
            </w:pPr>
            <w:r>
              <w:rPr>
                <w:rFonts w:ascii="Arial" w:cs="Arial" w:eastAsia="Arial" w:hAnsi="Arial"/>
                <w:sz w:val="18"/>
                <w:szCs w:val="18"/>
                <w:color w:val="0D248E"/>
              </w:rPr>
              <w:t>10.</w:t>
            </w:r>
            <w:r>
              <w:rPr>
                <w:rFonts w:ascii="Arial" w:cs="Arial" w:eastAsia="Arial" w:hAnsi="Arial"/>
                <w:sz w:val="18"/>
                <w:szCs w:val="18"/>
                <w:u w:val="single" w:color="auto"/>
                <w:color w:val="0D248E"/>
              </w:rPr>
              <w:t>10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80" w:type="dxa"/>
            <w:vAlign w:val="bottom"/>
            <w:gridSpan w:val="22"/>
          </w:tcPr>
          <w:p>
            <w:pPr>
              <w:spacing w:after="0" w:line="187" w:lineRule="exact"/>
              <w:rPr>
                <w:sz w:val="20"/>
                <w:szCs w:val="20"/>
                <w:color w:val="auto"/>
              </w:rPr>
            </w:pPr>
            <w:r>
              <w:rPr>
                <w:rFonts w:ascii="Arial" w:cs="Arial" w:eastAsia="Arial" w:hAnsi="Arial"/>
                <w:sz w:val="18"/>
                <w:szCs w:val="18"/>
                <w:color w:val="0D248E"/>
              </w:rPr>
              <w:t>and Exchange Commission on May 9, 2025).*</w:t>
            </w:r>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vMerge w:val="continue"/>
          </w:tcPr>
          <w:p>
            <w:pPr>
              <w:spacing w:after="0"/>
              <w:rPr>
                <w:sz w:val="16"/>
                <w:szCs w:val="16"/>
                <w:color w:val="auto"/>
              </w:rPr>
            </w:pPr>
          </w:p>
        </w:tc>
        <w:tc>
          <w:tcPr>
            <w:tcW w:w="460" w:type="dxa"/>
            <w:vAlign w:val="bottom"/>
            <w:tcBorders>
              <w:bottom w:val="single" w:sz="8" w:color="0D248E"/>
            </w:tcBorders>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top w:val="single" w:sz="8" w:color="0D248E"/>
              <w:bottom w:val="single" w:sz="8" w:color="0D248E"/>
            </w:tcBorders>
            <w:gridSpan w:val="10"/>
          </w:tcPr>
          <w:p>
            <w:pPr>
              <w:spacing w:after="0" w:line="189" w:lineRule="exact"/>
              <w:rPr>
                <w:sz w:val="20"/>
                <w:szCs w:val="20"/>
                <w:color w:val="auto"/>
              </w:rPr>
            </w:pPr>
            <w:r>
              <w:rPr>
                <w:rFonts w:ascii="Arial" w:cs="Arial" w:eastAsia="Arial" w:hAnsi="Arial"/>
                <w:sz w:val="18"/>
                <w:szCs w:val="18"/>
                <w:color w:val="0D248E"/>
              </w:rPr>
              <w:t>Change in Control Agreement between U.S.</w:t>
            </w:r>
          </w:p>
        </w:tc>
        <w:tc>
          <w:tcPr>
            <w:tcW w:w="5260" w:type="dxa"/>
            <w:vAlign w:val="bottom"/>
            <w:tcBorders>
              <w:bottom w:val="single" w:sz="8" w:color="0D248E"/>
            </w:tcBorders>
            <w:gridSpan w:val="6"/>
          </w:tcPr>
          <w:p>
            <w:pPr>
              <w:spacing w:after="0" w:line="189" w:lineRule="exact"/>
              <w:rPr>
                <w:sz w:val="20"/>
                <w:szCs w:val="20"/>
                <w:color w:val="auto"/>
              </w:rPr>
            </w:pPr>
            <w:r>
              <w:rPr>
                <w:rFonts w:ascii="Arial" w:cs="Arial" w:eastAsia="Arial" w:hAnsi="Arial"/>
                <w:sz w:val="18"/>
                <w:szCs w:val="18"/>
                <w:color w:val="0D248E"/>
                <w:w w:val="97"/>
              </w:rPr>
              <w:t>Century Bank and Andres Collazo dated as of January 2, 2026. *,**</w:t>
            </w:r>
          </w:p>
        </w:tc>
        <w:tc>
          <w:tcPr>
            <w:tcW w:w="11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60" w:type="dxa"/>
            <w:vAlign w:val="bottom"/>
            <w:tcBorders>
              <w:bottom w:val="single" w:sz="8" w:color="0D248E"/>
            </w:tcBorders>
            <w:gridSpan w:val="3"/>
          </w:tcPr>
          <w:p>
            <w:pPr>
              <w:jc w:val="center"/>
              <w:spacing w:after="0"/>
              <w:rPr>
                <w:sz w:val="20"/>
                <w:szCs w:val="20"/>
                <w:color w:val="auto"/>
              </w:rPr>
            </w:pPr>
            <w:r>
              <w:rPr>
                <w:rFonts w:ascii="Arial" w:cs="Arial" w:eastAsia="Arial" w:hAnsi="Arial"/>
                <w:sz w:val="18"/>
                <w:szCs w:val="18"/>
                <w:color w:val="0D248E"/>
              </w:rPr>
              <w:t>10.</w:t>
            </w:r>
            <w:r>
              <w:rPr>
                <w:rFonts w:ascii="Arial" w:cs="Arial" w:eastAsia="Arial" w:hAnsi="Arial"/>
                <w:sz w:val="18"/>
                <w:szCs w:val="18"/>
                <w:u w:val="single" w:color="auto"/>
                <w:color w:val="0D248E"/>
              </w:rPr>
              <w:t>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00" w:type="dxa"/>
            <w:vAlign w:val="bottom"/>
            <w:tcBorders>
              <w:bottom w:val="single" w:sz="8" w:color="0D248E"/>
            </w:tcBorders>
            <w:gridSpan w:val="17"/>
          </w:tcPr>
          <w:p>
            <w:pPr>
              <w:spacing w:after="0"/>
              <w:rPr>
                <w:sz w:val="20"/>
                <w:szCs w:val="20"/>
                <w:color w:val="auto"/>
              </w:rPr>
            </w:pPr>
            <w:r>
              <w:rPr>
                <w:rFonts w:ascii="Arial" w:cs="Arial" w:eastAsia="Arial" w:hAnsi="Arial"/>
                <w:sz w:val="18"/>
                <w:szCs w:val="18"/>
                <w:color w:val="0D248E"/>
                <w:w w:val="99"/>
              </w:rPr>
              <w:t>Change in Control Agreement between U.S. Century Bank and Oscar Gomez dated as of December 29, 2025. *,**</w:t>
            </w:r>
          </w:p>
        </w:tc>
        <w:tc>
          <w:tcPr>
            <w:tcW w:w="9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Borders>
              <w:bottom w:val="single" w:sz="8" w:color="0D248E"/>
            </w:tcBorders>
            <w:gridSpan w:val="3"/>
          </w:tcPr>
          <w:p>
            <w:pPr>
              <w:jc w:val="center"/>
              <w:spacing w:after="0"/>
              <w:rPr>
                <w:sz w:val="20"/>
                <w:szCs w:val="20"/>
                <w:color w:val="auto"/>
              </w:rPr>
            </w:pPr>
            <w:r>
              <w:rPr>
                <w:rFonts w:ascii="Arial" w:cs="Arial" w:eastAsia="Arial" w:hAnsi="Arial"/>
                <w:sz w:val="18"/>
                <w:szCs w:val="18"/>
                <w:color w:val="0D248E"/>
              </w:rPr>
              <w:t>10.</w:t>
            </w:r>
            <w:r>
              <w:rPr>
                <w:rFonts w:ascii="Arial" w:cs="Arial" w:eastAsia="Arial" w:hAnsi="Arial"/>
                <w:sz w:val="18"/>
                <w:szCs w:val="18"/>
                <w:u w:val="single" w:color="auto"/>
                <w:color w:val="0D248E"/>
              </w:rPr>
              <w:t>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Borders>
              <w:bottom w:val="single" w:sz="8" w:color="0D248E"/>
            </w:tcBorders>
            <w:gridSpan w:val="20"/>
          </w:tcPr>
          <w:p>
            <w:pPr>
              <w:spacing w:after="0"/>
              <w:rPr>
                <w:sz w:val="20"/>
                <w:szCs w:val="20"/>
                <w:color w:val="auto"/>
              </w:rPr>
            </w:pPr>
            <w:r>
              <w:rPr>
                <w:rFonts w:ascii="Arial" w:cs="Arial" w:eastAsia="Arial" w:hAnsi="Arial"/>
                <w:sz w:val="18"/>
                <w:szCs w:val="18"/>
                <w:color w:val="0D248E"/>
                <w:w w:val="99"/>
              </w:rPr>
              <w:t>Change in Control Agreement between U.S. Century Bank and Martha Guerra-Kattou dated as of December 29, 2025. *,**</w:t>
            </w:r>
          </w:p>
        </w:tc>
        <w:tc>
          <w:tcPr>
            <w:tcW w:w="3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896"/>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ind w:left="2140"/>
              <w:spacing w:after="0"/>
              <w:rPr>
                <w:sz w:val="20"/>
                <w:szCs w:val="20"/>
                <w:color w:val="auto"/>
              </w:rPr>
            </w:pPr>
            <w:r>
              <w:rPr>
                <w:rFonts w:ascii="Arial" w:cs="Arial" w:eastAsia="Arial" w:hAnsi="Arial"/>
                <w:sz w:val="20"/>
                <w:szCs w:val="20"/>
                <w:color w:val="auto"/>
              </w:rPr>
              <w:t>128</w:t>
            </w:r>
          </w:p>
        </w:tc>
        <w:tc>
          <w:tcPr>
            <w:tcW w:w="7420" w:type="dxa"/>
            <w:vAlign w:val="bottom"/>
            <w:gridSpan w:val="18"/>
          </w:tcPr>
          <w:p>
            <w:pPr>
              <w:ind w:left="200"/>
              <w:spacing w:after="0"/>
              <w:rPr>
                <w:sz w:val="20"/>
                <w:szCs w:val="20"/>
                <w:color w:val="auto"/>
              </w:rPr>
            </w:pPr>
            <w:r>
              <w:rPr>
                <w:rFonts w:ascii="Arial" w:cs="Arial" w:eastAsia="Arial" w:hAnsi="Arial"/>
                <w:sz w:val="20"/>
                <w:szCs w:val="20"/>
                <w:color w:val="auto"/>
              </w:rPr>
              <w:t>USCB Financial Holdings, Inc.  2025 10-K</w:t>
            </w:r>
          </w:p>
        </w:tc>
        <w:tc>
          <w:tcPr>
            <w:tcW w:w="0" w:type="dxa"/>
            <w:vAlign w:val="bottom"/>
          </w:tcPr>
          <w:p>
            <w:pPr>
              <w:spacing w:after="0"/>
              <w:rPr>
                <w:sz w:val="1"/>
                <w:szCs w:val="1"/>
                <w:color w:val="auto"/>
              </w:rPr>
            </w:pPr>
          </w:p>
        </w:tc>
      </w:tr>
    </w:tbl>
    <w:p>
      <w:pPr>
        <w:sectPr>
          <w:pgSz w:w="12240" w:h="15840" w:orient="portrait"/>
          <w:cols w:equalWidth="0" w:num="1">
            <w:col w:w="11560"/>
          </w:cols>
          <w:pgMar w:left="220" w:top="355" w:right="460" w:bottom="0" w:gutter="0" w:footer="0" w:header="0"/>
        </w:sectPr>
      </w:pPr>
    </w:p>
    <w:bookmarkStart w:id="128" w:name="page129"/>
    <w:bookmarkEnd w:id="128"/>
    <w:p>
      <w:pPr>
        <w:ind w:left="180"/>
        <w:spacing w:after="0"/>
        <w:rPr>
          <w:sz w:val="20"/>
          <w:szCs w:val="20"/>
          <w:color w:val="auto"/>
        </w:rPr>
      </w:pPr>
      <w:r>
        <w:rPr>
          <w:rFonts w:ascii="Arial" w:cs="Arial" w:eastAsia="Arial" w:hAnsi="Arial"/>
          <w:sz w:val="20"/>
          <w:szCs w:val="20"/>
          <w:u w:val="single" w:color="auto"/>
          <w:color w:val="0D248E"/>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jc w:val="center"/>
              <w:ind w:right="700"/>
              <w:spacing w:after="0"/>
              <w:rPr>
                <w:sz w:val="20"/>
                <w:szCs w:val="20"/>
                <w:color w:val="auto"/>
              </w:rPr>
            </w:pPr>
            <w:r>
              <w:rPr>
                <w:rFonts w:ascii="Arial" w:cs="Arial" w:eastAsia="Arial" w:hAnsi="Arial"/>
                <w:sz w:val="18"/>
                <w:szCs w:val="18"/>
                <w:color w:val="0D248E"/>
              </w:rPr>
              <w:t>10.</w:t>
            </w:r>
            <w:r>
              <w:rPr>
                <w:rFonts w:ascii="Arial" w:cs="Arial" w:eastAsia="Arial" w:hAnsi="Arial"/>
                <w:sz w:val="18"/>
                <w:szCs w:val="18"/>
                <w:u w:val="single" w:color="auto"/>
                <w:color w:val="0D248E"/>
              </w:rPr>
              <w:t>13</w:t>
            </w:r>
          </w:p>
        </w:tc>
        <w:tc>
          <w:tcPr>
            <w:tcW w:w="10000" w:type="dxa"/>
            <w:vAlign w:val="bottom"/>
            <w:gridSpan w:val="9"/>
          </w:tcPr>
          <w:p>
            <w:pPr>
              <w:spacing w:after="0"/>
              <w:rPr>
                <w:sz w:val="20"/>
                <w:szCs w:val="20"/>
                <w:color w:val="auto"/>
              </w:rPr>
            </w:pPr>
            <w:r>
              <w:rPr>
                <w:rFonts w:ascii="Arial" w:cs="Arial" w:eastAsia="Arial" w:hAnsi="Arial"/>
                <w:sz w:val="18"/>
                <w:szCs w:val="18"/>
                <w:color w:val="0D248E"/>
              </w:rPr>
              <w:t>Form of Subordinated Note Purchase Agreement, dated August 14, 2025, by and among the Company and the purchasers of</w:t>
            </w:r>
          </w:p>
        </w:tc>
        <w:tc>
          <w:tcPr>
            <w:tcW w:w="0" w:type="dxa"/>
            <w:vAlign w:val="bottom"/>
          </w:tcPr>
          <w:p>
            <w:pPr>
              <w:spacing w:after="0"/>
              <w:rPr>
                <w:sz w:val="1"/>
                <w:szCs w:val="1"/>
                <w:color w:val="auto"/>
              </w:rPr>
            </w:pPr>
          </w:p>
        </w:tc>
      </w:tr>
      <w:tr>
        <w:trPr>
          <w:trHeight w:val="186"/>
        </w:trPr>
        <w:tc>
          <w:tcPr>
            <w:tcW w:w="60" w:type="dxa"/>
            <w:vAlign w:val="bottom"/>
            <w:tcBorders>
              <w:top w:val="single" w:sz="8" w:color="0D248E"/>
            </w:tcBorders>
          </w:tcPr>
          <w:p>
            <w:pPr>
              <w:spacing w:after="0"/>
              <w:rPr>
                <w:sz w:val="16"/>
                <w:szCs w:val="16"/>
                <w:color w:val="auto"/>
              </w:rPr>
            </w:pPr>
          </w:p>
        </w:tc>
        <w:tc>
          <w:tcPr>
            <w:tcW w:w="340" w:type="dxa"/>
            <w:vAlign w:val="bottom"/>
            <w:tcBorders>
              <w:top w:val="single" w:sz="8" w:color="0D248E"/>
            </w:tcBorders>
          </w:tcPr>
          <w:p>
            <w:pPr>
              <w:spacing w:after="0"/>
              <w:rPr>
                <w:sz w:val="16"/>
                <w:szCs w:val="16"/>
                <w:color w:val="auto"/>
              </w:rPr>
            </w:pPr>
          </w:p>
        </w:tc>
        <w:tc>
          <w:tcPr>
            <w:tcW w:w="60" w:type="dxa"/>
            <w:vAlign w:val="bottom"/>
            <w:tcBorders>
              <w:top w:val="single" w:sz="8" w:color="0D248E"/>
            </w:tcBorders>
          </w:tcPr>
          <w:p>
            <w:pPr>
              <w:spacing w:after="0"/>
              <w:rPr>
                <w:sz w:val="16"/>
                <w:szCs w:val="16"/>
                <w:color w:val="auto"/>
              </w:rPr>
            </w:pPr>
          </w:p>
        </w:tc>
        <w:tc>
          <w:tcPr>
            <w:tcW w:w="7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8"/>
          </w:tcPr>
          <w:p>
            <w:pPr>
              <w:spacing w:after="0" w:line="187" w:lineRule="exact"/>
              <w:rPr>
                <w:sz w:val="20"/>
                <w:szCs w:val="20"/>
                <w:color w:val="auto"/>
              </w:rPr>
            </w:pPr>
            <w:r>
              <w:rPr>
                <w:rFonts w:ascii="Arial" w:cs="Arial" w:eastAsia="Arial" w:hAnsi="Arial"/>
                <w:sz w:val="18"/>
                <w:szCs w:val="18"/>
                <w:color w:val="0D248E"/>
              </w:rPr>
              <w:t>the 7.625% Fixed-to-Floating Rate Subordinated Notes due 2035 who were signatories thereto (incorporated by reference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80" w:type="dxa"/>
            <w:vAlign w:val="bottom"/>
            <w:tcBorders>
              <w:bottom w:val="single" w:sz="8" w:color="0D248E"/>
            </w:tcBorders>
            <w:gridSpan w:val="8"/>
          </w:tcPr>
          <w:p>
            <w:pPr>
              <w:spacing w:after="0" w:line="187" w:lineRule="exact"/>
              <w:rPr>
                <w:sz w:val="20"/>
                <w:szCs w:val="20"/>
                <w:color w:val="auto"/>
              </w:rPr>
            </w:pPr>
            <w:r>
              <w:rPr>
                <w:rFonts w:ascii="Arial" w:cs="Arial" w:eastAsia="Arial" w:hAnsi="Arial"/>
                <w:sz w:val="18"/>
                <w:szCs w:val="18"/>
                <w:color w:val="0D248E"/>
              </w:rPr>
              <w:t>Exhibit 10.1 of the Registrant’s Current Report on Form 8-K (File No. 001-41196) filed with the Securities and Exchange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 w:type="dxa"/>
            <w:vAlign w:val="bottom"/>
            <w:gridSpan w:val="2"/>
            <w:vMerge w:val="restart"/>
          </w:tcPr>
          <w:p>
            <w:pPr>
              <w:jc w:val="center"/>
              <w:spacing w:after="0"/>
              <w:rPr>
                <w:sz w:val="20"/>
                <w:szCs w:val="20"/>
                <w:color w:val="auto"/>
              </w:rPr>
            </w:pPr>
            <w:r>
              <w:rPr>
                <w:rFonts w:ascii="Arial" w:cs="Arial" w:eastAsia="Arial" w:hAnsi="Arial"/>
                <w:sz w:val="18"/>
                <w:szCs w:val="18"/>
                <w:color w:val="0D248E"/>
                <w:w w:val="96"/>
              </w:rPr>
              <w:t>19.</w:t>
            </w:r>
            <w:r>
              <w:rPr>
                <w:rFonts w:ascii="Arial" w:cs="Arial" w:eastAsia="Arial" w:hAnsi="Arial"/>
                <w:sz w:val="18"/>
                <w:szCs w:val="18"/>
                <w:u w:val="single" w:color="auto"/>
                <w:color w:val="0D248E"/>
                <w:w w:val="96"/>
              </w:rPr>
              <w:t>1</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tcBorders>
              <w:bottom w:val="single" w:sz="8" w:color="0D248E"/>
            </w:tcBorders>
            <w:gridSpan w:val="3"/>
          </w:tcPr>
          <w:p>
            <w:pPr>
              <w:spacing w:after="0" w:line="187" w:lineRule="exact"/>
              <w:rPr>
                <w:sz w:val="20"/>
                <w:szCs w:val="20"/>
                <w:color w:val="auto"/>
              </w:rPr>
            </w:pPr>
            <w:r>
              <w:rPr>
                <w:rFonts w:ascii="Arial" w:cs="Arial" w:eastAsia="Arial" w:hAnsi="Arial"/>
                <w:sz w:val="18"/>
                <w:szCs w:val="18"/>
                <w:color w:val="0D248E"/>
                <w:w w:val="99"/>
              </w:rPr>
              <w:t>Commission on August 14, 2025).</w:t>
            </w:r>
          </w:p>
        </w:tc>
        <w:tc>
          <w:tcPr>
            <w:tcW w:w="726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Arial" w:cs="Arial" w:eastAsia="Arial" w:hAnsi="Arial"/>
                <w:sz w:val="18"/>
                <w:szCs w:val="18"/>
                <w:color w:val="0D248E"/>
                <w:w w:val="99"/>
              </w:rPr>
              <w:t>Insider Trading and Disclosure Policy (incorporated by reference to Exhibit 19.1 to the Registrant’s Annual Report on Form 10-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4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8"/>
          </w:tcPr>
          <w:p>
            <w:pPr>
              <w:spacing w:after="0" w:line="187" w:lineRule="exact"/>
              <w:rPr>
                <w:sz w:val="20"/>
                <w:szCs w:val="20"/>
                <w:color w:val="auto"/>
              </w:rPr>
            </w:pPr>
            <w:r>
              <w:rPr>
                <w:rFonts w:ascii="Arial" w:cs="Arial" w:eastAsia="Arial" w:hAnsi="Arial"/>
                <w:sz w:val="18"/>
                <w:szCs w:val="18"/>
                <w:color w:val="0D248E"/>
              </w:rPr>
              <w:t>K for the year ended December 31, 2024 (File No. 001-41196) filed with the Securities and Exchange Commission on March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 w:type="dxa"/>
            <w:vAlign w:val="bottom"/>
            <w:gridSpan w:val="2"/>
            <w:vMerge w:val="restart"/>
          </w:tcPr>
          <w:p>
            <w:pPr>
              <w:jc w:val="center"/>
              <w:spacing w:after="0"/>
              <w:rPr>
                <w:sz w:val="20"/>
                <w:szCs w:val="20"/>
                <w:color w:val="auto"/>
              </w:rPr>
            </w:pPr>
            <w:r>
              <w:rPr>
                <w:rFonts w:ascii="Arial" w:cs="Arial" w:eastAsia="Arial" w:hAnsi="Arial"/>
                <w:sz w:val="18"/>
                <w:szCs w:val="18"/>
                <w:color w:val="0D248E"/>
                <w:w w:val="96"/>
              </w:rPr>
              <w:t>21.</w:t>
            </w:r>
            <w:r>
              <w:rPr>
                <w:rFonts w:ascii="Arial" w:cs="Arial" w:eastAsia="Arial" w:hAnsi="Arial"/>
                <w:sz w:val="18"/>
                <w:szCs w:val="18"/>
                <w:u w:val="single" w:color="auto"/>
                <w:color w:val="0D248E"/>
                <w:w w:val="96"/>
              </w:rPr>
              <w:t>1</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Borders>
              <w:bottom w:val="single" w:sz="8" w:color="0D248E"/>
            </w:tcBorders>
            <w:gridSpan w:val="2"/>
          </w:tcPr>
          <w:p>
            <w:pPr>
              <w:spacing w:after="0" w:line="187" w:lineRule="exact"/>
              <w:rPr>
                <w:sz w:val="20"/>
                <w:szCs w:val="20"/>
                <w:color w:val="auto"/>
              </w:rPr>
            </w:pPr>
            <w:r>
              <w:rPr>
                <w:rFonts w:ascii="Arial" w:cs="Arial" w:eastAsia="Arial" w:hAnsi="Arial"/>
                <w:sz w:val="18"/>
                <w:szCs w:val="18"/>
                <w:color w:val="0D248E"/>
                <w:w w:val="98"/>
              </w:rPr>
              <w:t>14, 2025).</w:t>
            </w:r>
          </w:p>
        </w:tc>
        <w:tc>
          <w:tcPr>
            <w:tcW w:w="1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spacing w:after="0" w:line="187" w:lineRule="exact"/>
              <w:rPr>
                <w:sz w:val="20"/>
                <w:szCs w:val="20"/>
                <w:color w:val="auto"/>
              </w:rPr>
            </w:pPr>
            <w:r>
              <w:rPr>
                <w:rFonts w:ascii="Arial" w:cs="Arial" w:eastAsia="Arial" w:hAnsi="Arial"/>
                <w:sz w:val="18"/>
                <w:szCs w:val="18"/>
                <w:color w:val="0D248E"/>
                <w:w w:val="81"/>
              </w:rPr>
              <w:t>Subsidiaries</w:t>
            </w:r>
          </w:p>
        </w:tc>
        <w:tc>
          <w:tcPr>
            <w:tcW w:w="9180" w:type="dxa"/>
            <w:vAlign w:val="bottom"/>
            <w:gridSpan w:val="7"/>
          </w:tcPr>
          <w:p>
            <w:pPr>
              <w:ind w:left="220"/>
              <w:spacing w:after="0" w:line="187" w:lineRule="exact"/>
              <w:rPr>
                <w:sz w:val="20"/>
                <w:szCs w:val="20"/>
                <w:color w:val="auto"/>
              </w:rPr>
            </w:pPr>
            <w:r>
              <w:rPr>
                <w:rFonts w:ascii="Arial" w:cs="Arial" w:eastAsia="Arial" w:hAnsi="Arial"/>
                <w:sz w:val="18"/>
                <w:szCs w:val="18"/>
                <w:color w:val="0D248E"/>
              </w:rPr>
              <w:t>of USCB Financial Holdings, Inc.</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D248E"/>
          </w:tcPr>
          <w:p>
            <w:pPr>
              <w:spacing w:after="0" w:line="20" w:lineRule="exact"/>
              <w:rPr>
                <w:sz w:val="1"/>
                <w:szCs w:val="1"/>
                <w:color w:val="auto"/>
              </w:rPr>
            </w:pPr>
          </w:p>
        </w:tc>
        <w:tc>
          <w:tcPr>
            <w:tcW w:w="3120" w:type="dxa"/>
            <w:vAlign w:val="bottom"/>
            <w:gridSpan w:val="3"/>
            <w:shd w:val="clear" w:color="auto" w:fill="0D248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jc w:val="center"/>
              <w:spacing w:after="0"/>
              <w:rPr>
                <w:sz w:val="20"/>
                <w:szCs w:val="20"/>
                <w:color w:val="auto"/>
              </w:rPr>
            </w:pPr>
            <w:r>
              <w:rPr>
                <w:rFonts w:ascii="Arial" w:cs="Arial" w:eastAsia="Arial" w:hAnsi="Arial"/>
                <w:sz w:val="18"/>
                <w:szCs w:val="18"/>
                <w:color w:val="0D248E"/>
                <w:w w:val="96"/>
              </w:rPr>
              <w:t>23.</w:t>
            </w:r>
            <w:r>
              <w:rPr>
                <w:rFonts w:ascii="Arial" w:cs="Arial" w:eastAsia="Arial" w:hAnsi="Arial"/>
                <w:sz w:val="18"/>
                <w:szCs w:val="18"/>
                <w:u w:val="single" w:color="auto"/>
                <w:color w:val="0D248E"/>
                <w:w w:val="96"/>
              </w:rPr>
              <w:t>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D248E"/>
              </w:rPr>
              <w:t>Consent of Crowe LLP, Independent Registered Public Accounting Firm.</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D248E"/>
          </w:tcPr>
          <w:p>
            <w:pPr>
              <w:spacing w:after="0" w:line="20" w:lineRule="exact"/>
              <w:rPr>
                <w:sz w:val="1"/>
                <w:szCs w:val="1"/>
                <w:color w:val="auto"/>
              </w:rPr>
            </w:pPr>
          </w:p>
        </w:tc>
        <w:tc>
          <w:tcPr>
            <w:tcW w:w="5260" w:type="dxa"/>
            <w:vAlign w:val="bottom"/>
            <w:gridSpan w:val="4"/>
            <w:shd w:val="clear" w:color="auto" w:fill="0D248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jc w:val="center"/>
              <w:spacing w:after="0"/>
              <w:rPr>
                <w:sz w:val="20"/>
                <w:szCs w:val="20"/>
                <w:color w:val="auto"/>
              </w:rPr>
            </w:pPr>
            <w:r>
              <w:rPr>
                <w:rFonts w:ascii="Arial" w:cs="Arial" w:eastAsia="Arial" w:hAnsi="Arial"/>
                <w:sz w:val="18"/>
                <w:szCs w:val="18"/>
                <w:color w:val="0D248E"/>
                <w:w w:val="96"/>
              </w:rPr>
              <w:t>31.</w:t>
            </w:r>
            <w:r>
              <w:rPr>
                <w:rFonts w:ascii="Arial" w:cs="Arial" w:eastAsia="Arial" w:hAnsi="Arial"/>
                <w:sz w:val="18"/>
                <w:szCs w:val="18"/>
                <w:u w:val="single" w:color="auto"/>
                <w:color w:val="0D248E"/>
                <w:w w:val="96"/>
              </w:rPr>
              <w:t>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D248E"/>
              </w:rPr>
              <w:t>Certification of Chief Executive Officer pursuant to Rule 13a-14(a) of the Securities Exchange Act of 1934.</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D248E"/>
          </w:tcPr>
          <w:p>
            <w:pPr>
              <w:spacing w:after="0" w:line="20" w:lineRule="exact"/>
              <w:rPr>
                <w:sz w:val="1"/>
                <w:szCs w:val="1"/>
                <w:color w:val="auto"/>
              </w:rPr>
            </w:pPr>
          </w:p>
        </w:tc>
        <w:tc>
          <w:tcPr>
            <w:tcW w:w="5380" w:type="dxa"/>
            <w:vAlign w:val="bottom"/>
            <w:gridSpan w:val="5"/>
            <w:shd w:val="clear" w:color="auto" w:fill="0D248E"/>
          </w:tcPr>
          <w:p>
            <w:pPr>
              <w:spacing w:after="0" w:line="20" w:lineRule="exact"/>
              <w:rPr>
                <w:sz w:val="1"/>
                <w:szCs w:val="1"/>
                <w:color w:val="auto"/>
              </w:rPr>
            </w:pPr>
          </w:p>
        </w:tc>
        <w:tc>
          <w:tcPr>
            <w:tcW w:w="2480" w:type="dxa"/>
            <w:vAlign w:val="bottom"/>
            <w:tcBorders>
              <w:left w:val="single" w:sz="8" w:color="0D248E"/>
            </w:tcBorders>
            <w:shd w:val="clear" w:color="auto" w:fill="0D248E"/>
          </w:tcPr>
          <w:p>
            <w:pPr>
              <w:spacing w:after="0" w:line="20" w:lineRule="exact"/>
              <w:rPr>
                <w:sz w:val="1"/>
                <w:szCs w:val="1"/>
                <w:color w:val="auto"/>
              </w:rPr>
            </w:pPr>
          </w:p>
        </w:tc>
        <w:tc>
          <w:tcPr>
            <w:tcW w:w="1620" w:type="dxa"/>
            <w:vAlign w:val="bottom"/>
            <w:tcBorders>
              <w:left w:val="single" w:sz="8" w:color="0D248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jc w:val="center"/>
              <w:spacing w:after="0"/>
              <w:rPr>
                <w:sz w:val="20"/>
                <w:szCs w:val="20"/>
                <w:color w:val="auto"/>
              </w:rPr>
            </w:pPr>
            <w:r>
              <w:rPr>
                <w:rFonts w:ascii="Arial" w:cs="Arial" w:eastAsia="Arial" w:hAnsi="Arial"/>
                <w:sz w:val="18"/>
                <w:szCs w:val="18"/>
                <w:color w:val="0D248E"/>
                <w:w w:val="96"/>
              </w:rPr>
              <w:t>31.</w:t>
            </w:r>
            <w:r>
              <w:rPr>
                <w:rFonts w:ascii="Arial" w:cs="Arial" w:eastAsia="Arial" w:hAnsi="Arial"/>
                <w:sz w:val="18"/>
                <w:szCs w:val="18"/>
                <w:u w:val="single" w:color="auto"/>
                <w:color w:val="0D248E"/>
                <w:w w:val="96"/>
              </w:rPr>
              <w:t>2</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D248E"/>
              </w:rPr>
              <w:t>Certification of Chief Financial Officer pursuant to Rule 13a-14(a) of the Securities Exchange Act of 1934.</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D248E"/>
          </w:tcPr>
          <w:p>
            <w:pPr>
              <w:spacing w:after="0" w:line="20" w:lineRule="exact"/>
              <w:rPr>
                <w:sz w:val="1"/>
                <w:szCs w:val="1"/>
                <w:color w:val="auto"/>
              </w:rPr>
            </w:pPr>
          </w:p>
        </w:tc>
        <w:tc>
          <w:tcPr>
            <w:tcW w:w="5380" w:type="dxa"/>
            <w:vAlign w:val="bottom"/>
            <w:gridSpan w:val="5"/>
            <w:shd w:val="clear" w:color="auto" w:fill="0D248E"/>
          </w:tcPr>
          <w:p>
            <w:pPr>
              <w:spacing w:after="0" w:line="20" w:lineRule="exact"/>
              <w:rPr>
                <w:sz w:val="1"/>
                <w:szCs w:val="1"/>
                <w:color w:val="auto"/>
              </w:rPr>
            </w:pPr>
          </w:p>
        </w:tc>
        <w:tc>
          <w:tcPr>
            <w:tcW w:w="2480" w:type="dxa"/>
            <w:vAlign w:val="bottom"/>
            <w:tcBorders>
              <w:left w:val="single" w:sz="8" w:color="0D248E"/>
            </w:tcBorders>
            <w:shd w:val="clear" w:color="auto" w:fill="0D248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jc w:val="center"/>
              <w:spacing w:after="0"/>
              <w:rPr>
                <w:sz w:val="20"/>
                <w:szCs w:val="20"/>
                <w:color w:val="auto"/>
              </w:rPr>
            </w:pPr>
            <w:r>
              <w:rPr>
                <w:rFonts w:ascii="Arial" w:cs="Arial" w:eastAsia="Arial" w:hAnsi="Arial"/>
                <w:sz w:val="18"/>
                <w:szCs w:val="18"/>
                <w:color w:val="0D248E"/>
                <w:w w:val="96"/>
              </w:rPr>
              <w:t>32.</w:t>
            </w:r>
            <w:r>
              <w:rPr>
                <w:rFonts w:ascii="Arial" w:cs="Arial" w:eastAsia="Arial" w:hAnsi="Arial"/>
                <w:sz w:val="18"/>
                <w:szCs w:val="18"/>
                <w:u w:val="single" w:color="auto"/>
                <w:color w:val="0D248E"/>
                <w:w w:val="96"/>
              </w:rPr>
              <w:t>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D248E"/>
              </w:rPr>
              <w:t>Certification of Chief Executive Officer pursuant to 18 U.S.C. Section 1350.</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D248E"/>
          </w:tcPr>
          <w:p>
            <w:pPr>
              <w:spacing w:after="0" w:line="20" w:lineRule="exact"/>
              <w:rPr>
                <w:sz w:val="1"/>
                <w:szCs w:val="1"/>
                <w:color w:val="auto"/>
              </w:rPr>
            </w:pPr>
          </w:p>
        </w:tc>
        <w:tc>
          <w:tcPr>
            <w:tcW w:w="5380" w:type="dxa"/>
            <w:vAlign w:val="bottom"/>
            <w:gridSpan w:val="5"/>
            <w:shd w:val="clear" w:color="auto" w:fill="0D248E"/>
          </w:tcPr>
          <w:p>
            <w:pPr>
              <w:spacing w:after="0" w:line="20" w:lineRule="exact"/>
              <w:rPr>
                <w:sz w:val="1"/>
                <w:szCs w:val="1"/>
                <w:color w:val="auto"/>
              </w:rPr>
            </w:pPr>
          </w:p>
        </w:tc>
        <w:tc>
          <w:tcPr>
            <w:tcW w:w="4100" w:type="dxa"/>
            <w:vAlign w:val="bottom"/>
            <w:tcBorders>
              <w:left w:val="single" w:sz="8" w:color="0D248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 w:type="dxa"/>
            <w:vAlign w:val="bottom"/>
            <w:gridSpan w:val="2"/>
          </w:tcPr>
          <w:p>
            <w:pPr>
              <w:jc w:val="center"/>
              <w:spacing w:after="0"/>
              <w:rPr>
                <w:sz w:val="20"/>
                <w:szCs w:val="20"/>
                <w:color w:val="auto"/>
              </w:rPr>
            </w:pPr>
            <w:r>
              <w:rPr>
                <w:rFonts w:ascii="Arial" w:cs="Arial" w:eastAsia="Arial" w:hAnsi="Arial"/>
                <w:sz w:val="18"/>
                <w:szCs w:val="18"/>
                <w:color w:val="0D248E"/>
                <w:w w:val="96"/>
              </w:rPr>
              <w:t>32.</w:t>
            </w:r>
            <w:r>
              <w:rPr>
                <w:rFonts w:ascii="Arial" w:cs="Arial" w:eastAsia="Arial" w:hAnsi="Arial"/>
                <w:sz w:val="18"/>
                <w:szCs w:val="18"/>
                <w:u w:val="single" w:color="auto"/>
                <w:color w:val="0D248E"/>
                <w:w w:val="96"/>
              </w:rPr>
              <w:t>2</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D248E"/>
              </w:rPr>
              <w:t>Certification of Chief Financial Officer pursuant to 18 U.S.C. Section 1350.</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D248E"/>
          </w:tcPr>
          <w:p>
            <w:pPr>
              <w:spacing w:after="0" w:line="20" w:lineRule="exact"/>
              <w:rPr>
                <w:sz w:val="1"/>
                <w:szCs w:val="1"/>
                <w:color w:val="auto"/>
              </w:rPr>
            </w:pPr>
          </w:p>
        </w:tc>
        <w:tc>
          <w:tcPr>
            <w:tcW w:w="5380" w:type="dxa"/>
            <w:vAlign w:val="bottom"/>
            <w:gridSpan w:val="5"/>
            <w:shd w:val="clear" w:color="auto" w:fill="0D248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gridSpan w:val="2"/>
          </w:tcPr>
          <w:p>
            <w:pPr>
              <w:jc w:val="center"/>
              <w:spacing w:after="0"/>
              <w:rPr>
                <w:sz w:val="20"/>
                <w:szCs w:val="20"/>
                <w:color w:val="auto"/>
              </w:rPr>
            </w:pPr>
            <w:r>
              <w:rPr>
                <w:rFonts w:ascii="Arial" w:cs="Arial" w:eastAsia="Arial" w:hAnsi="Arial"/>
                <w:sz w:val="18"/>
                <w:szCs w:val="18"/>
                <w:color w:val="0D248E"/>
                <w:w w:val="96"/>
              </w:rPr>
              <w:t>97.</w:t>
            </w:r>
            <w:r>
              <w:rPr>
                <w:rFonts w:ascii="Arial" w:cs="Arial" w:eastAsia="Arial" w:hAnsi="Arial"/>
                <w:sz w:val="18"/>
                <w:szCs w:val="18"/>
                <w:u w:val="single" w:color="auto"/>
                <w:color w:val="0D248E"/>
                <w:w w:val="96"/>
              </w:rPr>
              <w:t>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Arial" w:cs="Arial" w:eastAsia="Arial" w:hAnsi="Arial"/>
                <w:sz w:val="18"/>
                <w:szCs w:val="18"/>
                <w:color w:val="0D248E"/>
              </w:rPr>
              <w:t>Compensation Recovery Policy (incorporated by reference to Exhibit 97.1 to the Registrant’s Annual Report on Form 10-K for</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40" w:type="dxa"/>
            <w:vAlign w:val="bottom"/>
            <w:tcBorders>
              <w:top w:val="single" w:sz="8" w:color="0D248E"/>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80" w:type="dxa"/>
            <w:vAlign w:val="bottom"/>
            <w:tcBorders>
              <w:top w:val="single" w:sz="8" w:color="0D248E"/>
              <w:bottom w:val="single" w:sz="8" w:color="0D248E"/>
            </w:tcBorders>
            <w:gridSpan w:val="8"/>
          </w:tcPr>
          <w:p>
            <w:pPr>
              <w:spacing w:after="0" w:line="187" w:lineRule="exact"/>
              <w:rPr>
                <w:sz w:val="20"/>
                <w:szCs w:val="20"/>
                <w:color w:val="auto"/>
              </w:rPr>
            </w:pPr>
            <w:r>
              <w:rPr>
                <w:rFonts w:ascii="Arial" w:cs="Arial" w:eastAsia="Arial" w:hAnsi="Arial"/>
                <w:sz w:val="18"/>
                <w:szCs w:val="18"/>
                <w:color w:val="0D248E"/>
              </w:rPr>
              <w:t>the year ended December 31, 2023 (File No. 001-41196) filed with the Securities and Exchange Commission on March 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Borders>
              <w:bottom w:val="single" w:sz="8" w:color="0D248E"/>
            </w:tcBorders>
          </w:tcPr>
          <w:p>
            <w:pPr>
              <w:spacing w:after="0" w:line="189" w:lineRule="exact"/>
              <w:rPr>
                <w:sz w:val="20"/>
                <w:szCs w:val="20"/>
                <w:color w:val="auto"/>
              </w:rPr>
            </w:pPr>
            <w:r>
              <w:rPr>
                <w:rFonts w:ascii="Arial" w:cs="Arial" w:eastAsia="Arial" w:hAnsi="Arial"/>
                <w:sz w:val="18"/>
                <w:szCs w:val="18"/>
                <w:color w:val="0D248E"/>
                <w:w w:val="97"/>
              </w:rPr>
              <w:t>2024).</w:t>
            </w: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160" w:hanging="1083"/>
        <w:spacing w:after="0" w:line="254"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Annual Report on Form 10-K for the year ended December 31, 2021, formatted in Inline XBRL: (i) Consolidated Balance Sheets, (ii) Consolidated Statements of Operations, (iii) Consolidated Statements of Comprehensive Income, (iv) Consolidated Statements of Changes in Stockholders’ Equity, (v) Consolidated</w:t>
      </w:r>
    </w:p>
    <w:p>
      <w:pPr>
        <w:spacing w:after="0" w:line="159" w:lineRule="exact"/>
        <w:rPr>
          <w:sz w:val="20"/>
          <w:szCs w:val="20"/>
          <w:color w:val="auto"/>
        </w:rPr>
      </w:pPr>
    </w:p>
    <w:p>
      <w:pPr>
        <w:ind w:left="1160" w:hanging="1083"/>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53" w:lineRule="exact"/>
        <w:rPr>
          <w:rFonts w:ascii="Arial" w:cs="Arial" w:eastAsia="Arial" w:hAnsi="Arial"/>
          <w:sz w:val="18"/>
          <w:szCs w:val="18"/>
          <w:color w:val="auto"/>
        </w:rPr>
      </w:pPr>
    </w:p>
    <w:p>
      <w:pPr>
        <w:ind w:left="1160" w:hanging="274"/>
        <w:spacing w:after="0"/>
        <w:tabs>
          <w:tab w:leader="none" w:pos="11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7" w:lineRule="exact"/>
        <w:rPr>
          <w:rFonts w:ascii="Arial" w:cs="Arial" w:eastAsia="Arial" w:hAnsi="Arial"/>
          <w:sz w:val="18"/>
          <w:szCs w:val="18"/>
          <w:color w:val="auto"/>
        </w:rPr>
      </w:pPr>
    </w:p>
    <w:p>
      <w:pPr>
        <w:ind w:left="1160" w:hanging="356"/>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 w:lineRule="exact"/>
        <w:rPr>
          <w:rFonts w:ascii="Arial" w:cs="Arial" w:eastAsia="Arial" w:hAnsi="Arial"/>
          <w:sz w:val="18"/>
          <w:szCs w:val="18"/>
          <w:color w:val="auto"/>
        </w:rPr>
      </w:pPr>
    </w:p>
    <w:p>
      <w:pPr>
        <w:ind w:left="1160" w:hanging="428"/>
        <w:spacing w:after="0"/>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16. Form 10-K Summary</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tabs>
          <w:tab w:leader="none" w:pos="360" w:val="left"/>
          <w:tab w:leader="none" w:pos="20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1140"/>
          </w:cols>
          <w:pgMar w:left="540" w:top="355" w:right="560" w:bottom="0" w:gutter="0" w:footer="0" w:header="0"/>
        </w:sectPr>
      </w:pPr>
    </w:p>
    <w:bookmarkStart w:id="129" w:name="page130"/>
    <w:bookmarkEnd w:id="129"/>
    <w:p>
      <w:pPr>
        <w:spacing w:after="0"/>
        <w:rPr>
          <w:sz w:val="20"/>
          <w:szCs w:val="20"/>
          <w:color w:val="auto"/>
        </w:rPr>
      </w:pPr>
      <w:r>
        <w:rPr>
          <w:rFonts w:ascii="Arial" w:cs="Arial" w:eastAsia="Arial" w:hAnsi="Arial"/>
          <w:sz w:val="20"/>
          <w:szCs w:val="20"/>
          <w:u w:val="single" w:color="auto"/>
          <w:color w:val="0D248E"/>
        </w:rPr>
        <w:t>Table of Contents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Pursuant to the requirements of the Exchange Act, the registrant has duly caused this report to be signed on its behalf by the undersigned thereunto duly authorized.</w:t>
      </w:r>
    </w:p>
    <w:p>
      <w:pPr>
        <w:spacing w:after="0" w:line="146" w:lineRule="exact"/>
        <w:rPr>
          <w:sz w:val="20"/>
          <w:szCs w:val="20"/>
          <w:color w:val="auto"/>
        </w:rPr>
      </w:pPr>
    </w:p>
    <w:tbl>
      <w:tblPr>
        <w:tblLayout w:type="fixed"/>
        <w:tblInd w:w="280" w:type="dxa"/>
        <w:tblCellMar>
          <w:top w:w="0" w:type="dxa"/>
          <w:left w:w="0" w:type="dxa"/>
          <w:bottom w:w="0" w:type="dxa"/>
          <w:right w:w="0" w:type="dxa"/>
        </w:tblCellMar>
      </w:tblPr>
      <w:tr>
        <w:trPr>
          <w:trHeight w:val="284"/>
        </w:trPr>
        <w:tc>
          <w:tcPr>
            <w:tcW w:w="3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00" w:type="dxa"/>
            <w:vAlign w:val="bottom"/>
          </w:tcPr>
          <w:p>
            <w:pPr>
              <w:ind w:left="100"/>
              <w:spacing w:after="0"/>
              <w:rPr>
                <w:sz w:val="20"/>
                <w:szCs w:val="20"/>
                <w:color w:val="auto"/>
              </w:rPr>
            </w:pPr>
            <w:r>
              <w:rPr>
                <w:rFonts w:ascii="Arial" w:cs="Arial" w:eastAsia="Arial" w:hAnsi="Arial"/>
                <w:sz w:val="20"/>
                <w:szCs w:val="20"/>
                <w:b w:val="1"/>
                <w:bCs w:val="1"/>
                <w:color w:val="auto"/>
              </w:rPr>
              <w:t>USCB FINANCIAL HOLDINGS, INC.</w:t>
            </w:r>
          </w:p>
        </w:tc>
      </w:tr>
      <w:tr>
        <w:trPr>
          <w:trHeight w:val="480"/>
        </w:trPr>
        <w:tc>
          <w:tcPr>
            <w:tcW w:w="3480" w:type="dxa"/>
            <w:vAlign w:val="bottom"/>
          </w:tcPr>
          <w:p>
            <w:pPr>
              <w:spacing w:after="0"/>
              <w:rPr>
                <w:sz w:val="20"/>
                <w:szCs w:val="20"/>
                <w:color w:val="auto"/>
              </w:rPr>
            </w:pPr>
            <w:r>
              <w:rPr>
                <w:rFonts w:ascii="Arial" w:cs="Arial" w:eastAsia="Arial" w:hAnsi="Arial"/>
                <w:sz w:val="20"/>
                <w:szCs w:val="20"/>
                <w:color w:val="auto"/>
              </w:rPr>
              <w:t>Date: March 13, 2026</w:t>
            </w:r>
          </w:p>
        </w:tc>
        <w:tc>
          <w:tcPr>
            <w:tcW w:w="6860" w:type="dxa"/>
            <w:vAlign w:val="bottom"/>
            <w:gridSpan w:val="2"/>
          </w:tcPr>
          <w:p>
            <w:pPr>
              <w:ind w:left="1560"/>
              <w:spacing w:after="0"/>
              <w:rPr>
                <w:sz w:val="20"/>
                <w:szCs w:val="20"/>
                <w:color w:val="auto"/>
              </w:rPr>
            </w:pPr>
            <w:r>
              <w:rPr>
                <w:rFonts w:ascii="Arial" w:cs="Arial" w:eastAsia="Arial" w:hAnsi="Arial"/>
                <w:sz w:val="20"/>
                <w:szCs w:val="20"/>
                <w:color w:val="auto"/>
              </w:rPr>
              <w:t>By:  /s/ Luis de la Aguilera</w:t>
            </w:r>
          </w:p>
        </w:tc>
      </w:tr>
      <w:tr>
        <w:trPr>
          <w:trHeight w:val="201"/>
        </w:trPr>
        <w:tc>
          <w:tcPr>
            <w:tcW w:w="3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20"/>
                <w:szCs w:val="20"/>
                <w:color w:val="auto"/>
              </w:rPr>
              <w:t>Luis de la Aguilera</w:t>
            </w:r>
          </w:p>
        </w:tc>
      </w:tr>
      <w:tr>
        <w:trPr>
          <w:trHeight w:val="270"/>
        </w:trPr>
        <w:tc>
          <w:tcPr>
            <w:tcW w:w="3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900" w:type="dxa"/>
            <w:vAlign w:val="bottom"/>
          </w:tcPr>
          <w:p>
            <w:pPr>
              <w:ind w:left="100"/>
              <w:spacing w:after="0"/>
              <w:rPr>
                <w:sz w:val="20"/>
                <w:szCs w:val="20"/>
                <w:color w:val="auto"/>
              </w:rPr>
            </w:pPr>
            <w:r>
              <w:rPr>
                <w:rFonts w:ascii="Arial" w:cs="Arial" w:eastAsia="Arial" w:hAnsi="Arial"/>
                <w:sz w:val="20"/>
                <w:szCs w:val="20"/>
                <w:color w:val="auto"/>
              </w:rPr>
              <w:t>President, Chief Executive Officer, and Chairman</w:t>
            </w:r>
          </w:p>
        </w:tc>
      </w:tr>
    </w:tbl>
    <w:p>
      <w:pPr>
        <w:spacing w:after="0" w:line="191" w:lineRule="exact"/>
        <w:rPr>
          <w:sz w:val="20"/>
          <w:szCs w:val="20"/>
          <w:color w:val="auto"/>
        </w:rPr>
      </w:pPr>
    </w:p>
    <w:p>
      <w:pPr>
        <w:ind w:firstLine="360"/>
        <w:spacing w:after="0" w:line="282" w:lineRule="auto"/>
        <w:rPr>
          <w:sz w:val="20"/>
          <w:szCs w:val="20"/>
          <w:color w:val="auto"/>
        </w:rPr>
      </w:pPr>
      <w:r>
        <w:rPr>
          <w:rFonts w:ascii="Arial" w:cs="Arial" w:eastAsia="Arial" w:hAnsi="Arial"/>
          <w:sz w:val="20"/>
          <w:szCs w:val="20"/>
          <w:color w:val="auto"/>
        </w:rPr>
        <w:t>Pursuant to the requirements of the Exchange Ac, this report has been signed by the following persons in the capacities and on the dates indicated.</w:t>
      </w: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284"/>
        </w:trPr>
        <w:tc>
          <w:tcPr>
            <w:tcW w:w="334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Signature</w:t>
            </w:r>
          </w:p>
        </w:tc>
        <w:tc>
          <w:tcPr>
            <w:tcW w:w="260" w:type="dxa"/>
            <w:vAlign w:val="bottom"/>
          </w:tcPr>
          <w:p>
            <w:pPr>
              <w:spacing w:after="0"/>
              <w:rPr>
                <w:sz w:val="24"/>
                <w:szCs w:val="24"/>
                <w:color w:val="auto"/>
              </w:rPr>
            </w:pPr>
          </w:p>
        </w:tc>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20"/>
                <w:szCs w:val="20"/>
                <w:b w:val="1"/>
                <w:bCs w:val="1"/>
                <w:color w:val="auto"/>
              </w:rPr>
              <w:t>Title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r>
      <w:tr>
        <w:trPr>
          <w:trHeight w:val="499"/>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Chairman, President, and Chief Executive</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4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Luis de la Aguilera</w:t>
            </w:r>
          </w:p>
        </w:tc>
        <w:tc>
          <w:tcPr>
            <w:tcW w:w="260" w:type="dxa"/>
            <w:vAlign w:val="bottom"/>
          </w:tcPr>
          <w:p>
            <w:pPr>
              <w:spacing w:after="0"/>
              <w:rPr>
                <w:sz w:val="21"/>
                <w:szCs w:val="21"/>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Officer (Principal Executive Officer)</w:t>
            </w: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Luis de la Aguilera</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57"/>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Chief Financial Officer (Principal Financial</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4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Anderson</w:t>
            </w:r>
          </w:p>
        </w:tc>
        <w:tc>
          <w:tcPr>
            <w:tcW w:w="260" w:type="dxa"/>
            <w:vAlign w:val="bottom"/>
          </w:tcPr>
          <w:p>
            <w:pPr>
              <w:spacing w:after="0"/>
              <w:rPr>
                <w:sz w:val="21"/>
                <w:szCs w:val="21"/>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Officer and Principal Accounting Officer)</w:t>
            </w: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Robert Anderson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Aida Levitan</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Aida Levitan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Howard Feinglass</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Howard Feinglass</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Kirk Wycoff</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Kirk Wycoff</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Ramon A. Abadin</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Ramon A. Abadin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6"/>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Bernardo B. Fernandez</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Bernardo B. Fernandez</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79"/>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Ramon A. Rodriguez</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Ramon A. Rodriguez</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21"/>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Maria C. Alonso</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Maria C. Alonso</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21"/>
        </w:trPr>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E. Kafafian</w:t>
            </w:r>
          </w:p>
        </w:tc>
        <w:tc>
          <w:tcPr>
            <w:tcW w:w="26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20"/>
                <w:szCs w:val="20"/>
                <w:color w:val="auto"/>
              </w:rPr>
              <w:t>Director</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rPr>
              <w:t>March 13, 2026</w:t>
            </w:r>
          </w:p>
        </w:tc>
      </w:tr>
      <w:tr>
        <w:trPr>
          <w:trHeight w:val="260"/>
        </w:trPr>
        <w:tc>
          <w:tcPr>
            <w:tcW w:w="3340" w:type="dxa"/>
            <w:vAlign w:val="bottom"/>
          </w:tcPr>
          <w:p>
            <w:pPr>
              <w:ind w:left="100"/>
              <w:spacing w:after="0"/>
              <w:rPr>
                <w:sz w:val="20"/>
                <w:szCs w:val="20"/>
                <w:color w:val="auto"/>
              </w:rPr>
            </w:pPr>
            <w:r>
              <w:rPr>
                <w:rFonts w:ascii="Arial" w:cs="Arial" w:eastAsia="Arial" w:hAnsi="Arial"/>
                <w:sz w:val="20"/>
                <w:szCs w:val="20"/>
                <w:color w:val="auto"/>
              </w:rPr>
              <w:t>Robert E. Kafafian</w:t>
            </w:r>
          </w:p>
        </w:tc>
        <w:tc>
          <w:tcPr>
            <w:tcW w:w="2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tabs>
          <w:tab w:leader="none" w:pos="360" w:val="left"/>
          <w:tab w:leader="none" w:pos="20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color w:val="auto"/>
        </w:rPr>
        <w:t>USCB Financial Holdings, Inc.</w:t>
        <w:tab/>
        <w:t>2025 10-K</w:t>
      </w:r>
    </w:p>
    <w:p>
      <w:pPr>
        <w:sectPr>
          <w:pgSz w:w="12240" w:h="15840" w:orient="portrait"/>
          <w:cols w:equalWidth="0" w:num="1">
            <w:col w:w="10800"/>
          </w:cols>
          <w:pgMar w:left="720" w:top="355" w:right="720" w:bottom="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31.1</w:t>
      </w: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3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 Luis de la Aguilera, certify that:</w:t>
      </w:r>
    </w:p>
    <w:p>
      <w:pPr>
        <w:spacing w:after="0" w:line="231" w:lineRule="exact"/>
        <w:rPr>
          <w:sz w:val="20"/>
          <w:szCs w:val="20"/>
          <w:color w:val="auto"/>
        </w:rPr>
      </w:pPr>
    </w:p>
    <w:p>
      <w:pPr>
        <w:ind w:left="340" w:hanging="340"/>
        <w:spacing w:after="0"/>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USCB Financial Holdings, Inc.;</w:t>
      </w:r>
    </w:p>
    <w:p>
      <w:pPr>
        <w:spacing w:after="0" w:line="228" w:lineRule="exact"/>
        <w:rPr>
          <w:rFonts w:ascii="Arial" w:cs="Arial" w:eastAsia="Arial" w:hAnsi="Arial"/>
          <w:sz w:val="20"/>
          <w:szCs w:val="20"/>
          <w:color w:val="auto"/>
        </w:rPr>
      </w:pPr>
    </w:p>
    <w:p>
      <w:pPr>
        <w:jc w:val="both"/>
        <w:ind w:left="360" w:hanging="360"/>
        <w:spacing w:after="0" w:line="261" w:lineRule="auto"/>
        <w:tabs>
          <w:tab w:leader="none" w:pos="333"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20"/>
          <w:szCs w:val="20"/>
          <w:color w:val="auto"/>
        </w:rPr>
      </w:pPr>
    </w:p>
    <w:p>
      <w:pPr>
        <w:jc w:val="both"/>
        <w:ind w:left="360" w:hanging="360"/>
        <w:spacing w:after="0" w:line="260" w:lineRule="auto"/>
        <w:tabs>
          <w:tab w:leader="none" w:pos="333" w:val="left"/>
        </w:tabs>
        <w:numPr>
          <w:ilvl w:val="0"/>
          <w:numId w:val="6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20"/>
          <w:szCs w:val="20"/>
          <w:color w:val="auto"/>
        </w:rPr>
      </w:pPr>
    </w:p>
    <w:p>
      <w:pPr>
        <w:jc w:val="both"/>
        <w:ind w:left="360" w:hanging="360"/>
        <w:spacing w:after="0" w:line="261" w:lineRule="auto"/>
        <w:tabs>
          <w:tab w:leader="none" w:pos="3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20"/>
          <w:szCs w:val="20"/>
          <w:color w:val="auto"/>
        </w:rPr>
      </w:pPr>
    </w:p>
    <w:p>
      <w:pPr>
        <w:jc w:val="both"/>
        <w:ind w:left="1080" w:hanging="360"/>
        <w:spacing w:after="0" w:line="254"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0"/>
          <w:szCs w:val="20"/>
          <w:color w:val="auto"/>
        </w:rPr>
      </w:pPr>
    </w:p>
    <w:p>
      <w:pPr>
        <w:jc w:val="both"/>
        <w:ind w:left="1080" w:hanging="360"/>
        <w:spacing w:after="0" w:line="254"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0"/>
          <w:szCs w:val="20"/>
          <w:color w:val="auto"/>
        </w:rPr>
      </w:pPr>
    </w:p>
    <w:p>
      <w:pPr>
        <w:jc w:val="both"/>
        <w:ind w:left="1080" w:hanging="360"/>
        <w:spacing w:after="0" w:line="261"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20"/>
          <w:szCs w:val="20"/>
          <w:color w:val="auto"/>
        </w:rPr>
      </w:pPr>
    </w:p>
    <w:p>
      <w:pPr>
        <w:jc w:val="both"/>
        <w:ind w:left="1080" w:hanging="360"/>
        <w:spacing w:after="0" w:line="253"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20"/>
          <w:szCs w:val="20"/>
          <w:color w:val="auto"/>
        </w:rPr>
      </w:pPr>
    </w:p>
    <w:p>
      <w:pPr>
        <w:jc w:val="both"/>
        <w:ind w:left="360" w:hanging="360"/>
        <w:spacing w:after="0" w:line="260" w:lineRule="auto"/>
        <w:tabs>
          <w:tab w:leader="none" w:pos="3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20"/>
          <w:szCs w:val="20"/>
          <w:color w:val="auto"/>
        </w:rPr>
      </w:pPr>
    </w:p>
    <w:p>
      <w:pPr>
        <w:jc w:val="both"/>
        <w:ind w:left="1080" w:hanging="360"/>
        <w:spacing w:after="0" w:line="261" w:lineRule="auto"/>
        <w:tabs>
          <w:tab w:leader="none" w:pos="1063" w:val="left"/>
        </w:tabs>
        <w:numPr>
          <w:ilvl w:val="1"/>
          <w:numId w:val="6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1080" w:hanging="360"/>
        <w:spacing w:after="0" w:line="282"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 Luis de la Aguilera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36195</wp:posOffset>
                </wp:positionV>
                <wp:extent cx="344424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424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85pt" to="289.2pt,2.85pt" o:allowincell="f" strokecolor="#000000" strokeweight="0.96pt"/>
            </w:pict>
          </mc:Fallback>
        </mc:AlternateConten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Luis de la Aguilera</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Chairman, President, and Chief Executive Officer</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3/13/2026</w:t>
      </w:r>
    </w:p>
    <w:p>
      <w:pPr>
        <w:sectPr>
          <w:pgSz w:w="12240" w:h="15840" w:orient="portrait"/>
          <w:cols w:equalWidth="0" w:num="1">
            <w:col w:w="11160"/>
          </w:cols>
          <w:pgMar w:left="360" w:top="697" w:right="720"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b w:val="1"/>
          <w:bCs w:val="1"/>
          <w:color w:val="auto"/>
        </w:rPr>
        <w:t>Exhibit 31.2</w:t>
      </w: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3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 Robert Anderson, certify that:</w:t>
      </w:r>
    </w:p>
    <w:p>
      <w:pPr>
        <w:spacing w:after="0" w:line="231" w:lineRule="exact"/>
        <w:rPr>
          <w:sz w:val="20"/>
          <w:szCs w:val="20"/>
          <w:color w:val="auto"/>
        </w:rPr>
      </w:pPr>
    </w:p>
    <w:p>
      <w:pPr>
        <w:ind w:left="340" w:hanging="340"/>
        <w:spacing w:after="0"/>
        <w:tabs>
          <w:tab w:leader="none" w:pos="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USCB Financial Holdings, Inc.;</w:t>
      </w:r>
    </w:p>
    <w:p>
      <w:pPr>
        <w:spacing w:after="0" w:line="228" w:lineRule="exact"/>
        <w:rPr>
          <w:rFonts w:ascii="Arial" w:cs="Arial" w:eastAsia="Arial" w:hAnsi="Arial"/>
          <w:sz w:val="20"/>
          <w:szCs w:val="20"/>
          <w:color w:val="auto"/>
        </w:rPr>
      </w:pPr>
    </w:p>
    <w:p>
      <w:pPr>
        <w:jc w:val="both"/>
        <w:ind w:left="360" w:hanging="360"/>
        <w:spacing w:after="0" w:line="261" w:lineRule="auto"/>
        <w:tabs>
          <w:tab w:leader="none" w:pos="333" w:val="left"/>
        </w:tabs>
        <w:numPr>
          <w:ilvl w:val="0"/>
          <w:numId w:val="6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20"/>
          <w:szCs w:val="20"/>
          <w:color w:val="auto"/>
        </w:rPr>
      </w:pPr>
    </w:p>
    <w:p>
      <w:pPr>
        <w:jc w:val="both"/>
        <w:ind w:left="360" w:hanging="360"/>
        <w:spacing w:after="0" w:line="260" w:lineRule="auto"/>
        <w:tabs>
          <w:tab w:leader="none" w:pos="333" w:val="left"/>
        </w:tabs>
        <w:numPr>
          <w:ilvl w:val="0"/>
          <w:numId w:val="6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20"/>
          <w:szCs w:val="20"/>
          <w:color w:val="auto"/>
        </w:rPr>
      </w:pPr>
    </w:p>
    <w:p>
      <w:pPr>
        <w:jc w:val="both"/>
        <w:ind w:left="360" w:hanging="360"/>
        <w:spacing w:after="0" w:line="261" w:lineRule="auto"/>
        <w:tabs>
          <w:tab w:leader="none" w:pos="331"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20"/>
          <w:szCs w:val="20"/>
          <w:color w:val="auto"/>
        </w:rPr>
      </w:pPr>
    </w:p>
    <w:p>
      <w:pPr>
        <w:jc w:val="both"/>
        <w:ind w:left="1080" w:hanging="360"/>
        <w:spacing w:after="0" w:line="254" w:lineRule="auto"/>
        <w:tabs>
          <w:tab w:leader="none" w:pos="10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7" w:lineRule="exact"/>
        <w:rPr>
          <w:rFonts w:ascii="Arial" w:cs="Arial" w:eastAsia="Arial" w:hAnsi="Arial"/>
          <w:sz w:val="20"/>
          <w:szCs w:val="20"/>
          <w:color w:val="auto"/>
        </w:rPr>
      </w:pPr>
    </w:p>
    <w:p>
      <w:pPr>
        <w:jc w:val="both"/>
        <w:ind w:left="1080" w:hanging="360"/>
        <w:spacing w:after="0" w:line="253" w:lineRule="auto"/>
        <w:tabs>
          <w:tab w:leader="none" w:pos="10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20"/>
          <w:szCs w:val="20"/>
          <w:color w:val="auto"/>
        </w:rPr>
      </w:pPr>
    </w:p>
    <w:p>
      <w:pPr>
        <w:jc w:val="both"/>
        <w:ind w:left="1080" w:hanging="360"/>
        <w:spacing w:after="0" w:line="261" w:lineRule="auto"/>
        <w:tabs>
          <w:tab w:leader="none" w:pos="10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1080" w:hanging="360"/>
        <w:spacing w:after="0" w:line="254" w:lineRule="auto"/>
        <w:tabs>
          <w:tab w:leader="none" w:pos="10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20"/>
          <w:szCs w:val="20"/>
          <w:color w:val="auto"/>
        </w:rPr>
      </w:pPr>
    </w:p>
    <w:p>
      <w:pPr>
        <w:jc w:val="both"/>
        <w:ind w:left="360" w:hanging="360"/>
        <w:spacing w:after="0" w:line="261" w:lineRule="auto"/>
        <w:tabs>
          <w:tab w:leader="none" w:pos="331"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20"/>
          <w:szCs w:val="20"/>
          <w:color w:val="auto"/>
        </w:rPr>
      </w:pPr>
    </w:p>
    <w:p>
      <w:pPr>
        <w:jc w:val="both"/>
        <w:ind w:left="1080" w:hanging="360"/>
        <w:spacing w:after="0" w:line="260" w:lineRule="auto"/>
        <w:tabs>
          <w:tab w:leader="none" w:pos="1063" w:val="left"/>
        </w:tabs>
        <w:numPr>
          <w:ilvl w:val="1"/>
          <w:numId w:val="6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20"/>
          <w:szCs w:val="20"/>
          <w:color w:val="auto"/>
        </w:rPr>
      </w:pPr>
    </w:p>
    <w:p>
      <w:pPr>
        <w:ind w:left="1080" w:hanging="360"/>
        <w:spacing w:after="0" w:line="282" w:lineRule="auto"/>
        <w:tabs>
          <w:tab w:leader="none" w:pos="1063" w:val="left"/>
        </w:tabs>
        <w:numPr>
          <w:ilvl w:val="1"/>
          <w:numId w:val="6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 Robert Anderson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38100</wp:posOffset>
                </wp:positionV>
                <wp:extent cx="344424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4240" cy="4763"/>
                        </a:xfrm>
                        <a:prstGeom prst="line">
                          <a:avLst/>
                        </a:prstGeom>
                        <a:solidFill>
                          <a:srgbClr val="FFFFFF"/>
                        </a:solidFill>
                        <a:ln w="12179">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3pt" to="289.2pt,3pt" o:allowincell="f" strokecolor="#000000" strokeweight="0.959pt"/>
            </w:pict>
          </mc:Fallback>
        </mc:AlternateConten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Robert Anderson</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Chief Financial Officer</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3/13/2026</w:t>
      </w:r>
    </w:p>
    <w:p>
      <w:pPr>
        <w:sectPr>
          <w:pgSz w:w="12240" w:h="15840" w:orient="portrait"/>
          <w:cols w:equalWidth="0" w:num="1">
            <w:col w:w="11160"/>
          </w:cols>
          <w:pgMar w:left="360" w:top="697" w:right="720" w:bottom="1440" w:gutter="0" w:footer="0" w:header="0"/>
        </w:sectPr>
      </w:pPr>
    </w:p>
    <w:bookmarkStart w:id="132" w:name="page133"/>
    <w:bookmarkEnd w:id="132"/>
    <w:p>
      <w:pPr>
        <w:ind w:left="9680"/>
        <w:spacing w:after="0"/>
        <w:rPr>
          <w:sz w:val="20"/>
          <w:szCs w:val="20"/>
          <w:color w:val="auto"/>
        </w:rPr>
      </w:pPr>
      <w:r>
        <w:rPr>
          <w:rFonts w:ascii="Arial" w:cs="Arial" w:eastAsia="Arial" w:hAnsi="Arial"/>
          <w:sz w:val="20"/>
          <w:szCs w:val="20"/>
          <w:b w:val="1"/>
          <w:bCs w:val="1"/>
          <w:color w:val="auto"/>
        </w:rPr>
        <w:t>Exhibit 32.1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connection with the Annual Report of USCB Financial Holdings, Inc. (the “Company”) on Form 10-K for the year ended December 31, 2025 (the “Report”), as filed with the Securities and Exchange Commission on the date hereof (the “Report”), I, Luis de la Aguilera, as President and Chief Executive Officer of the Company, certify, to the best of my knowledge, pursuant to 18 U.S.C. §1350, as adopted pursuant to Section 906 of the Sarbanes-Oxley Act of 2002, that:</w:t>
      </w:r>
    </w:p>
    <w:p>
      <w:pPr>
        <w:spacing w:after="0" w:line="180" w:lineRule="exact"/>
        <w:rPr>
          <w:sz w:val="20"/>
          <w:szCs w:val="20"/>
          <w:color w:val="auto"/>
        </w:rPr>
      </w:pPr>
    </w:p>
    <w:p>
      <w:pPr>
        <w:ind w:left="1080" w:hanging="360"/>
        <w:spacing w:after="0" w:line="282" w:lineRule="auto"/>
        <w:tabs>
          <w:tab w:leader="none" w:pos="1063"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as applicable, of the Securities Exchange Act of 1934; and</w:t>
      </w:r>
    </w:p>
    <w:p>
      <w:pPr>
        <w:spacing w:after="0" w:line="150" w:lineRule="exact"/>
        <w:rPr>
          <w:rFonts w:ascii="Arial" w:cs="Arial" w:eastAsia="Arial" w:hAnsi="Arial"/>
          <w:sz w:val="20"/>
          <w:szCs w:val="20"/>
          <w:color w:val="auto"/>
        </w:rPr>
      </w:pPr>
    </w:p>
    <w:p>
      <w:pPr>
        <w:ind w:left="1080" w:hanging="360"/>
        <w:spacing w:after="0" w:line="280" w:lineRule="auto"/>
        <w:tabs>
          <w:tab w:leader="none" w:pos="1063"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Luis de la Aguilera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36195</wp:posOffset>
                </wp:positionV>
                <wp:extent cx="344106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0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5pt" to="270.95pt,2.85pt" o:allowincell="f" strokecolor="#000000" strokeweight="0.96pt"/>
            </w:pict>
          </mc:Fallback>
        </mc:AlternateConten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Luis de la Aguilera</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Chairman, President, and Chief Executive Officer</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Date: 3/13/2026</w:t>
      </w:r>
    </w:p>
    <w:p>
      <w:pPr>
        <w:sectPr>
          <w:pgSz w:w="12240" w:h="15840" w:orient="portrait"/>
          <w:cols w:equalWidth="0" w:num="1">
            <w:col w:w="10800"/>
          </w:cols>
          <w:pgMar w:left="720" w:top="697" w:right="720" w:bottom="1440" w:gutter="0" w:footer="0" w:header="0"/>
        </w:sectPr>
      </w:pPr>
    </w:p>
    <w:bookmarkStart w:id="133" w:name="page134"/>
    <w:bookmarkEnd w:id="133"/>
    <w:p>
      <w:pPr>
        <w:ind w:left="9680"/>
        <w:spacing w:after="0"/>
        <w:rPr>
          <w:sz w:val="20"/>
          <w:szCs w:val="20"/>
          <w:color w:val="auto"/>
        </w:rPr>
      </w:pPr>
      <w:r>
        <w:rPr>
          <w:rFonts w:ascii="Arial" w:cs="Arial" w:eastAsia="Arial" w:hAnsi="Arial"/>
          <w:sz w:val="20"/>
          <w:szCs w:val="20"/>
          <w:b w:val="1"/>
          <w:bCs w:val="1"/>
          <w:color w:val="auto"/>
        </w:rPr>
        <w:t>Exhibit 32.2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Financial Officer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0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In connection with the Annual Report of USCB Financial Holdings, Inc. (the “Company”) on Form 10-K for the year ended December 31, 2025 (the “Report”),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80" w:lineRule="exact"/>
        <w:rPr>
          <w:sz w:val="20"/>
          <w:szCs w:val="20"/>
          <w:color w:val="auto"/>
        </w:rPr>
      </w:pPr>
    </w:p>
    <w:p>
      <w:pPr>
        <w:ind w:left="1080" w:hanging="360"/>
        <w:spacing w:after="0" w:line="282" w:lineRule="auto"/>
        <w:tabs>
          <w:tab w:leader="none" w:pos="106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as applicable, of the Securities Exchange Act of 1934; and</w:t>
      </w:r>
    </w:p>
    <w:p>
      <w:pPr>
        <w:spacing w:after="0" w:line="150" w:lineRule="exact"/>
        <w:rPr>
          <w:rFonts w:ascii="Arial" w:cs="Arial" w:eastAsia="Arial" w:hAnsi="Arial"/>
          <w:sz w:val="20"/>
          <w:szCs w:val="20"/>
          <w:color w:val="auto"/>
        </w:rPr>
      </w:pPr>
    </w:p>
    <w:p>
      <w:pPr>
        <w:ind w:left="1080" w:hanging="360"/>
        <w:spacing w:after="0" w:line="280" w:lineRule="auto"/>
        <w:tabs>
          <w:tab w:leader="none" w:pos="106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Robert Anderson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36195</wp:posOffset>
                </wp:positionV>
                <wp:extent cx="344106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10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5pt" to="270.95pt,2.85pt" o:allowincell="f" strokecolor="#000000" strokeweight="0.96pt"/>
            </w:pict>
          </mc:Fallback>
        </mc:AlternateConten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Robert Anderson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Date: 3/13/2026</w:t>
      </w:r>
    </w:p>
    <w:sectPr>
      <w:pgSz w:w="12240" w:h="15840" w:orient="portrait"/>
      <w:cols w:equalWidth="0" w:num="1">
        <w:col w:w="10800"/>
      </w:cols>
      <w:pgMar w:left="720" w:top="697" w:right="7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Cambria Math">
    <w:panose1 w:val="02040503050406030204"/>
    <w:charset w:val="00"/>
    <w:family w:val="roman"/>
    <w:pitch w:val="variable"/>
    <w:sig w:usb0="E00002FF" w:usb1="420024FF" w:usb2="00000000" w:usb3="00000000" w:csb0="2000019F"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ց"/>
      <w:numFmt w:val="bullet"/>
      <w:start w:val="1"/>
    </w:lvl>
  </w:abstractNum>
  <w:abstractNum w:abstractNumId="1">
    <w:nsid w:val="22221A70"/>
    <w:multiLevelType w:val="hybridMultilevel"/>
    <w:lvl w:ilvl="0">
      <w:lvlJc w:val="left"/>
      <w:lvlText w:val="տ"/>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x"/>
      <w:numFmt w:val="bullet"/>
      <w:start w:val="1"/>
    </w:lvl>
  </w:abstractNum>
  <w:abstractNum w:abstractNumId="19">
    <w:nsid w:val="3855585C"/>
    <w:multiLevelType w:val="hybridMultilevel"/>
    <w:lvl w:ilvl="0">
      <w:lvlJc w:val="left"/>
      <w:lvlText w:val="x"/>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2"/>
    </w:lvl>
  </w:abstractNum>
  <w:abstractNum w:abstractNumId="31">
    <w:nsid w:val="38437FDB"/>
    <w:multiLevelType w:val="hybridMultilevel"/>
    <w:lvl w:ilvl="0">
      <w:lvlJc w:val="left"/>
      <w:lvlText w:val="%1."/>
      <w:numFmt w:val="decimal"/>
      <w:start w:val="3"/>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4"/>
    </w:lvl>
  </w:abstractNum>
  <w:abstractNum w:abstractNumId="34">
    <w:nsid w:val="684A481A"/>
    <w:multiLevelType w:val="hybridMultilevel"/>
    <w:lvl w:ilvl="0">
      <w:lvlJc w:val="left"/>
      <w:lvlText w:val="%1."/>
      <w:numFmt w:val="decimal"/>
      <w:start w:val="5"/>
    </w:lvl>
  </w:abstractNum>
  <w:abstractNum w:abstractNumId="35">
    <w:nsid w:val="579478FE"/>
    <w:multiLevelType w:val="hybridMultilevel"/>
    <w:lvl w:ilvl="0">
      <w:lvlJc w:val="left"/>
      <w:lvlText w:val="%1."/>
      <w:numFmt w:val="decimal"/>
      <w:start w:val="6"/>
    </w:lvl>
  </w:abstractNum>
  <w:abstractNum w:abstractNumId="36">
    <w:nsid w:val="749ABB43"/>
    <w:multiLevelType w:val="hybridMultilevel"/>
    <w:lvl w:ilvl="0">
      <w:lvlJc w:val="left"/>
      <w:lvlText w:val="%1."/>
      <w:numFmt w:val="decimal"/>
      <w:start w:val="7"/>
    </w:lvl>
  </w:abstractNum>
  <w:abstractNum w:abstractNumId="37">
    <w:nsid w:val="3DC240FB"/>
    <w:multiLevelType w:val="hybridMultilevel"/>
    <w:lvl w:ilvl="0">
      <w:lvlJc w:val="left"/>
      <w:lvlText w:val="%1."/>
      <w:numFmt w:val="decimal"/>
      <w:start w:val="8"/>
    </w:lvl>
  </w:abstractNum>
  <w:abstractNum w:abstractNumId="38">
    <w:nsid w:val="1BA026FA"/>
    <w:multiLevelType w:val="hybridMultilevel"/>
    <w:lvl w:ilvl="0">
      <w:lvlJc w:val="left"/>
      <w:lvlText w:val="%1."/>
      <w:numFmt w:val="decimal"/>
      <w:start w:val="9"/>
    </w:lvl>
  </w:abstractNum>
  <w:abstractNum w:abstractNumId="39">
    <w:nsid w:val="79A1DEAA"/>
    <w:multiLevelType w:val="hybridMultilevel"/>
    <w:lvl w:ilvl="0">
      <w:lvlJc w:val="left"/>
      <w:lvlText w:val="%1."/>
      <w:numFmt w:val="decimal"/>
      <w:start w:val="10"/>
    </w:lvl>
  </w:abstractNum>
  <w:abstractNum w:abstractNumId="40">
    <w:nsid w:val="75C6C33A"/>
    <w:multiLevelType w:val="hybridMultilevel"/>
    <w:lvl w:ilvl="0">
      <w:lvlJc w:val="left"/>
      <w:lvlText w:val="%1."/>
      <w:numFmt w:val="decimal"/>
      <w:start w:val="11"/>
    </w:lvl>
  </w:abstractNum>
  <w:abstractNum w:abstractNumId="41">
    <w:nsid w:val="12E685FB"/>
    <w:multiLevelType w:val="hybridMultilevel"/>
    <w:lvl w:ilvl="0">
      <w:lvlJc w:val="left"/>
      <w:lvlText w:val="%1."/>
      <w:numFmt w:val="decimal"/>
      <w:start w:val="12"/>
    </w:lvl>
  </w:abstractNum>
  <w:abstractNum w:abstractNumId="42">
    <w:nsid w:val="70C6A529"/>
    <w:multiLevelType w:val="hybridMultilevel"/>
    <w:lvl w:ilvl="0">
      <w:lvlJc w:val="left"/>
      <w:lvlText w:val="%1."/>
      <w:numFmt w:val="decimal"/>
      <w:start w:val="13"/>
    </w:lvl>
  </w:abstractNum>
  <w:abstractNum w:abstractNumId="43">
    <w:nsid w:val="520EEDD1"/>
    <w:multiLevelType w:val="hybridMultilevel"/>
    <w:lvl w:ilvl="0">
      <w:lvlJc w:val="left"/>
      <w:lvlText w:val="%1."/>
      <w:numFmt w:val="decimal"/>
      <w:start w:val="14"/>
    </w:lvl>
  </w:abstractNum>
  <w:abstractNum w:abstractNumId="44">
    <w:nsid w:val="374A3FE6"/>
    <w:multiLevelType w:val="hybridMultilevel"/>
    <w:lvl w:ilvl="0">
      <w:lvlJc w:val="left"/>
      <w:lvlText w:val="%1."/>
      <w:numFmt w:val="decimal"/>
      <w:start w:val="15"/>
    </w:lvl>
  </w:abstractNum>
  <w:abstractNum w:abstractNumId="45">
    <w:nsid w:val="4F4EF005"/>
    <w:multiLevelType w:val="hybridMultilevel"/>
    <w:lvl w:ilvl="0">
      <w:lvlJc w:val="left"/>
      <w:lvlText w:val="%1."/>
      <w:numFmt w:val="decimal"/>
      <w:start w:val="16"/>
    </w:lvl>
  </w:abstractNum>
  <w:abstractNum w:abstractNumId="46">
    <w:nsid w:val="23F9C13C"/>
    <w:multiLevelType w:val="hybridMultilevel"/>
    <w:lvl w:ilvl="0">
      <w:lvlJc w:val="left"/>
      <w:lvlText w:val="%1."/>
      <w:numFmt w:val="decimal"/>
      <w:start w:val="17"/>
    </w:lvl>
  </w:abstractNum>
  <w:abstractNum w:abstractNumId="47">
    <w:nsid w:val="649BB77C"/>
    <w:multiLevelType w:val="hybridMultilevel"/>
    <w:lvl w:ilvl="0">
      <w:lvlJc w:val="left"/>
      <w:lvlText w:val="%1."/>
      <w:numFmt w:val="decimal"/>
      <w:start w:val="18"/>
    </w:lvl>
  </w:abstractNum>
  <w:abstractNum w:abstractNumId="48">
    <w:nsid w:val="275AC794"/>
    <w:multiLevelType w:val="hybridMultilevel"/>
    <w:lvl w:ilvl="0">
      <w:lvlJc w:val="left"/>
      <w:lvlText w:val="%1."/>
      <w:numFmt w:val="decimal"/>
      <w:start w:val="19"/>
    </w:lvl>
  </w:abstractNum>
  <w:abstractNum w:abstractNumId="49">
    <w:nsid w:val="39386575"/>
    <w:multiLevelType w:val="hybridMultilevel"/>
    <w:lvl w:ilvl="0">
      <w:lvlJc w:val="left"/>
      <w:lvlText w:val="%1."/>
      <w:numFmt w:val="decimal"/>
      <w:start w:val="20"/>
    </w:lvl>
  </w:abstractNum>
  <w:abstractNum w:abstractNumId="50">
    <w:nsid w:val="1CF10FD8"/>
    <w:multiLevelType w:val="hybridMultilevel"/>
    <w:lvl w:ilvl="0">
      <w:lvlJc w:val="left"/>
      <w:lvlText w:val="%1."/>
      <w:numFmt w:val="decimal"/>
      <w:start w:val="2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lowerLetter"/>
      <w:start w:val="2"/>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lvl w:ilvl="1">
      <w:lvlJc w:val="left"/>
      <w:lvlText w:val="%2)"/>
      <w:numFmt w:val="decimal"/>
      <w:start w:val="1"/>
    </w:lvl>
  </w:abstractNum>
  <w:abstractNum w:abstractNumId="55">
    <w:nsid w:val="15B5AF5C"/>
    <w:multiLevelType w:val="hybridMultilevel"/>
    <w:lvl w:ilvl="0">
      <w:lvlJc w:val="left"/>
      <w:lvlText w:val="%1)"/>
      <w:numFmt w:val="decimal"/>
      <w:start w:val="2"/>
    </w:lvl>
  </w:abstractNum>
  <w:abstractNum w:abstractNumId="56">
    <w:nsid w:val="741226BB"/>
    <w:multiLevelType w:val="hybridMultilevel"/>
    <w:lvl w:ilvl="0">
      <w:lvlJc w:val="left"/>
      <w:lvlText w:val="%1"/>
      <w:numFmt w:val="decimal"/>
      <w:start w:val="101"/>
    </w:lvl>
  </w:abstractNum>
  <w:abstractNum w:abstractNumId="57">
    <w:nsid w:val="D34B6A8"/>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58">
    <w:nsid w:val="10233C99"/>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2026-04-21T12:35:04Z</dcterms:created>
  <dcterms:modified xsi:type="dcterms:W3CDTF">2026-04-21T12:35:04Z</dcterms:modified>
</cp:coreProperties>
</file>