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451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45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01/22/2024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3,261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16,628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3,261 shares of restricted stock which vest at a rate of one-third per year commencing on the first anniversary of the date of grant, which was 1/22/2024.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6,117 shares of restricted stock which vest at a rate of one-third per year commencing on the first anniversary of the date of grant, which was 3/8/2023.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16674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2024-01-24T15:40:38Z</dcterms:created>
  <dcterms:modified xsi:type="dcterms:W3CDTF">2024-01-24T15:40:38Z</dcterms:modified>
</cp:coreProperties>
</file>