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Howard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330"/>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7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02/13/2024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Priam</w:t>
            </w:r>
          </w:p>
        </w:tc>
      </w:tr>
      <w:tr>
        <w:trPr>
          <w:trHeight w:val="213"/>
        </w:trPr>
        <w:tc>
          <w:tcPr>
            <w:tcW w:w="2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02/13/2024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10,000</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960" w:type="dxa"/>
            <w:vAlign w:val="bottom"/>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11.1841</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0000FF"/>
              </w:rPr>
              <w:t>4,508,309</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Capital</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Fund II,</w:t>
            </w: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w:t>
            </w: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60" w:type="dxa"/>
            <w:vAlign w:val="bottom"/>
            <w:gridSpan w:val="16"/>
          </w:tcPr>
          <w:p>
            <w:pPr>
              <w:jc w:val="right"/>
              <w:ind w:righ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2"/>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2"/>
          </w:tcPr>
          <w:p>
            <w:pPr>
              <w:ind w:left="12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Feinglass Howard</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10151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Priam Capital Fund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USCB FINANCIAL HOLDINGS,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2301 N.W. 87TH AVENUE</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76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33172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Priam Capital Associates II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330"/>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c>
          <w:tcPr>
            <w:tcW w:w="152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10151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9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2395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Priam Capital Fund II, L.P. ("Priam Capital II") directly holds the indicated number of shares of the Issuer's Class A Voting Common Stock. Priam Capital Associates II LLC ("Priam Capital Associates") is the general partner of Priam Capital II. Howard P. Feinglass is the managing member of Priam Capital Associates. By virtue of such relationships, Priam Capital Associates and Mr. Feinglass may be deemed to have voting and dispositive power over securities held by Priam Capital II and, as a result, may be deemed to have beneficial ownership of such securities. Priam Capital Associates and Mr. Feinglass disclaim beneficial ownership of the reported securities, except to the extent of their respective pecuniary interest therein, and this report shall not be deemed an admission that they are beneficial owners of such securities for the purposes of Section 16.</w:t>
      </w:r>
    </w:p>
    <w:p>
      <w:pPr>
        <w:sectPr>
          <w:pgSz w:w="11900" w:h="16838" w:orient="portrait"/>
          <w:cols w:equalWidth="0" w:num="1">
            <w:col w:w="10700"/>
          </w:cols>
          <w:pgMar w:left="500" w:top="300" w:right="699" w:bottom="144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Robert Anderson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Howard P.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7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Priam Capital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Robert Anderson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P.O.A. for Howard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Feinglass,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6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Priam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3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Priam 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Robert Anderson by P.O.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for Howard P. Feinglass,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1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18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98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960"/>
          </w:cols>
          <w:pgMar w:left="500" w:top="300" w:right="6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00"/>
          </w:cols>
          <w:pgMar w:left="500" w:top="300" w:right="69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33" w:lineRule="exact"/>
        <w:rPr>
          <w:sz w:val="20"/>
          <w:szCs w:val="20"/>
          <w:color w:val="auto"/>
        </w:rPr>
      </w:pPr>
    </w:p>
    <w:p>
      <w:pPr>
        <w:ind w:right="2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Luis de la Aguilera, Robert Anderson and Roberto Diaz, signing singly, the undersigned's true and lawful attorney-in-fact to:</w:t>
      </w:r>
    </w:p>
    <w:p>
      <w:pPr>
        <w:spacing w:after="0" w:line="164" w:lineRule="exact"/>
        <w:rPr>
          <w:sz w:val="20"/>
          <w:szCs w:val="20"/>
          <w:color w:val="auto"/>
        </w:rPr>
      </w:pPr>
    </w:p>
    <w:p>
      <w:pPr>
        <w:jc w:val="both"/>
        <w:ind w:firstLine="646"/>
        <w:spacing w:after="0" w:line="261" w:lineRule="auto"/>
        <w:tabs>
          <w:tab w:leader="none" w:pos="9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individual capacity and in his capacity as managing member of Priam Capital Associates II, LLC, on its own behalf and as the general partner of Priam Capital Fund II, LP, Forms 3, 4, and 5 in accordance with Section 16(a) of the Securities Exchange Act of 1934, and the rules and regulations promulgated thereunder (the “Exchange Act”);</w:t>
      </w:r>
    </w:p>
    <w:p>
      <w:pPr>
        <w:spacing w:after="0" w:line="177" w:lineRule="exact"/>
        <w:rPr>
          <w:rFonts w:ascii="Times New Roman" w:cs="Times New Roman" w:eastAsia="Times New Roman" w:hAnsi="Times New Roman"/>
          <w:sz w:val="18"/>
          <w:szCs w:val="18"/>
          <w:color w:val="auto"/>
        </w:rPr>
      </w:pPr>
    </w:p>
    <w:p>
      <w:pPr>
        <w:jc w:val="both"/>
        <w:ind w:right="20" w:firstLine="646"/>
        <w:spacing w:after="0" w:line="261" w:lineRule="auto"/>
        <w:tabs>
          <w:tab w:leader="none" w:pos="8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firstLine="646"/>
        <w:spacing w:after="0" w:line="256" w:lineRule="auto"/>
        <w:tabs>
          <w:tab w:leader="none" w:pos="9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January 2024.</w:t>
      </w:r>
    </w:p>
    <w:p>
      <w:pPr>
        <w:spacing w:after="0" w:line="30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By:/s/ Howard P.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37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Howard P. Feinglass</w:t>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2" Type="http://schemas.openxmlformats.org/officeDocument/2006/relationships/hyperlink" Target="http://www.sec.gov/cgi-bin/browse-edgar?action=getcompany&amp;CIK=0001732866" TargetMode="External"/><Relationship Id="rId13" Type="http://schemas.openxmlformats.org/officeDocument/2006/relationships/hyperlink" Target="http://www.sec.gov/cgi-bin/browse-edgar?action=getcompany&amp;CIK=0001901637" TargetMode="External"/><Relationship Id="rId14" Type="http://schemas.openxmlformats.org/officeDocument/2006/relationships/hyperlink" Target="http://www.sec.gov/cgi-bin/browse-edgar?action=getcompany&amp;CIK=0001874961" TargetMode="External"/><Relationship Id="rId16" Type="http://schemas.openxmlformats.org/officeDocument/2006/relationships/hyperlink" Target="http://www.sec.gov/cgi-bin/browse-edgar?action=getcompany&amp;CIK=00018751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2024-02-14T15:11:56Z</dcterms:created>
  <dcterms:modified xsi:type="dcterms:W3CDTF">2024-02-14T15:11:56Z</dcterms:modified>
</cp:coreProperties>
</file>