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 SECURITIES AND EXCHANGE COMMISSION</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94" w:lineRule="exact"/>
        <w:rPr>
          <w:sz w:val="24"/>
          <w:szCs w:val="24"/>
          <w:color w:val="auto"/>
        </w:rPr>
      </w:pPr>
    </w:p>
    <w:p>
      <w:pPr>
        <w:ind w:left="1660" w:hanging="559"/>
        <w:spacing w:after="0"/>
        <w:tabs>
          <w:tab w:leader="none" w:pos="16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September 30, 2025</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92" w:lineRule="exact"/>
        <w:rPr>
          <w:sz w:val="24"/>
          <w:szCs w:val="24"/>
          <w:color w:val="auto"/>
        </w:rPr>
      </w:pPr>
    </w:p>
    <w:p>
      <w:pPr>
        <w:ind w:left="1600" w:hanging="542"/>
        <w:spacing w:after="0"/>
        <w:tabs>
          <w:tab w:leader="none" w:pos="160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60" w:lineRule="exact"/>
        <w:rPr>
          <w:sz w:val="24"/>
          <w:szCs w:val="24"/>
          <w:color w:val="auto"/>
        </w:rPr>
      </w:pPr>
    </w:p>
    <w:p>
      <w:pPr>
        <w:ind w:left="3180"/>
        <w:spacing w:after="0"/>
        <w:rPr>
          <w:sz w:val="20"/>
          <w:szCs w:val="20"/>
          <w:color w:val="auto"/>
        </w:rPr>
      </w:pPr>
      <w:r>
        <w:rPr>
          <w:rFonts w:ascii="Arial" w:cs="Arial" w:eastAsia="Arial" w:hAnsi="Arial"/>
          <w:sz w:val="13"/>
          <w:szCs w:val="13"/>
          <w:b w:val="1"/>
          <w:bCs w:val="1"/>
          <w:color w:val="auto"/>
        </w:rPr>
        <w:t>For the transition period from _____to_____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001-41196</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USCB Financial Holdings, Inc.</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9019"/>
          </w:cols>
          <w:pgMar w:left="1440" w:top="799" w:right="1440" w:bottom="1440" w:gutter="0" w:footer="0" w:header="0"/>
        </w:sectPr>
      </w:pPr>
    </w:p>
    <w:p>
      <w:pPr>
        <w:spacing w:after="0" w:line="244" w:lineRule="exact"/>
        <w:rPr>
          <w:sz w:val="24"/>
          <w:szCs w:val="24"/>
          <w:color w:val="auto"/>
        </w:rPr>
      </w:pPr>
    </w:p>
    <w:p>
      <w:pPr>
        <w:ind w:left="1720"/>
        <w:spacing w:after="0"/>
        <w:rPr>
          <w:sz w:val="20"/>
          <w:szCs w:val="20"/>
          <w:color w:val="auto"/>
        </w:rPr>
      </w:pPr>
      <w:r>
        <w:rPr>
          <w:rFonts w:ascii="Arial" w:cs="Arial" w:eastAsia="Arial" w:hAnsi="Arial"/>
          <w:sz w:val="12"/>
          <w:szCs w:val="12"/>
          <w:b w:val="1"/>
          <w:bCs w:val="1"/>
          <w:color w:val="auto"/>
        </w:rPr>
        <w:t>Florida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87-4070846</w:t>
      </w:r>
    </w:p>
    <w:p>
      <w:pPr>
        <w:spacing w:after="0" w:line="56" w:lineRule="exact"/>
        <w:rPr>
          <w:sz w:val="24"/>
          <w:szCs w:val="24"/>
          <w:color w:val="auto"/>
        </w:rPr>
      </w:pPr>
    </w:p>
    <w:p>
      <w:pPr>
        <w:sectPr>
          <w:pgSz w:w="11900" w:h="16838" w:orient="portrait"/>
          <w:cols w:equalWidth="0" w:num="2">
            <w:col w:w="6020" w:space="720"/>
            <w:col w:w="2279"/>
          </w:cols>
          <w:pgMar w:left="1440" w:top="799" w:right="1440" w:bottom="1440" w:gutter="0" w:footer="0" w:header="0"/>
          <w:type w:val="continuous"/>
        </w:sectPr>
      </w:pPr>
    </w:p>
    <w:p>
      <w:pPr>
        <w:ind w:left="1140"/>
        <w:spacing w:after="0"/>
        <w:rPr>
          <w:sz w:val="20"/>
          <w:szCs w:val="20"/>
          <w:color w:val="auto"/>
        </w:rPr>
      </w:pPr>
      <w:r>
        <w:rPr>
          <w:rFonts w:ascii="Arial" w:cs="Arial" w:eastAsia="Arial" w:hAnsi="Arial"/>
          <w:sz w:val="12"/>
          <w:szCs w:val="12"/>
          <w:i w:val="1"/>
          <w:iCs w:val="1"/>
          <w:color w:val="auto"/>
        </w:rPr>
        <w:t>(State or other jurisdiction of</w:t>
      </w:r>
    </w:p>
    <w:p>
      <w:pPr>
        <w:spacing w:after="0" w:line="21" w:lineRule="exact"/>
        <w:rPr>
          <w:sz w:val="24"/>
          <w:szCs w:val="24"/>
          <w:color w:val="auto"/>
        </w:rPr>
      </w:pPr>
    </w:p>
    <w:p>
      <w:pPr>
        <w:ind w:left="110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i w:val="1"/>
          <w:iCs w:val="1"/>
          <w:color w:val="auto"/>
        </w:rPr>
        <w:t>(I.R.S. Employer</w:t>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Identification No.)</w:t>
      </w:r>
    </w:p>
    <w:p>
      <w:pPr>
        <w:spacing w:after="0" w:line="106" w:lineRule="exact"/>
        <w:rPr>
          <w:sz w:val="24"/>
          <w:szCs w:val="24"/>
          <w:color w:val="auto"/>
        </w:rPr>
      </w:pPr>
    </w:p>
    <w:p>
      <w:pPr>
        <w:sectPr>
          <w:pgSz w:w="11900" w:h="16838" w:orient="portrait"/>
          <w:cols w:equalWidth="0" w:num="2">
            <w:col w:w="5860" w:space="720"/>
            <w:col w:w="2439"/>
          </w:cols>
          <w:pgMar w:left="1440" w:top="799"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2301 N.W. 87th Avenue, Doral, FL 33172</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(Address of principal executive offices) (zip code)</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3"/>
          <w:szCs w:val="13"/>
          <w:b w:val="1"/>
          <w:bCs w:val="1"/>
          <w:color w:val="auto"/>
        </w:rPr>
        <w:t>(305) 715-5200</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60" w:lineRule="exact"/>
        <w:rPr>
          <w:sz w:val="24"/>
          <w:szCs w:val="24"/>
          <w:color w:val="auto"/>
        </w:rPr>
      </w:pPr>
    </w:p>
    <w:tbl>
      <w:tblPr>
        <w:tblLayout w:type="fixed"/>
        <w:tblInd w:w="680" w:type="dxa"/>
        <w:tblCellMar>
          <w:top w:w="0" w:type="dxa"/>
          <w:left w:w="0" w:type="dxa"/>
          <w:bottom w:w="0" w:type="dxa"/>
          <w:right w:w="0" w:type="dxa"/>
        </w:tblCellMar>
      </w:tblPr>
      <w:tr>
        <w:trPr>
          <w:trHeight w:val="149"/>
        </w:trPr>
        <w:tc>
          <w:tcPr>
            <w:tcW w:w="86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8"/>
              </w:rPr>
              <w:t>Title of each class</w:t>
            </w:r>
          </w:p>
        </w:tc>
        <w:tc>
          <w:tcPr>
            <w:tcW w:w="1080" w:type="dxa"/>
            <w:vAlign w:val="bottom"/>
          </w:tcPr>
          <w:p>
            <w:pPr>
              <w:spacing w:after="0"/>
              <w:rPr>
                <w:sz w:val="12"/>
                <w:szCs w:val="12"/>
                <w:color w:val="auto"/>
              </w:rPr>
            </w:pPr>
          </w:p>
        </w:tc>
        <w:tc>
          <w:tcPr>
            <w:tcW w:w="1360" w:type="dxa"/>
            <w:vAlign w:val="bottom"/>
            <w:gridSpan w:val="2"/>
          </w:tcPr>
          <w:p>
            <w:pPr>
              <w:jc w:val="center"/>
              <w:ind w:left="156"/>
              <w:spacing w:after="0"/>
              <w:rPr>
                <w:sz w:val="20"/>
                <w:szCs w:val="20"/>
                <w:color w:val="auto"/>
              </w:rPr>
            </w:pPr>
            <w:r>
              <w:rPr>
                <w:rFonts w:ascii="Arial" w:cs="Arial" w:eastAsia="Arial" w:hAnsi="Arial"/>
                <w:sz w:val="13"/>
                <w:szCs w:val="13"/>
                <w:b w:val="1"/>
                <w:bCs w:val="1"/>
                <w:color w:val="auto"/>
                <w:w w:val="96"/>
              </w:rPr>
              <w:t>Trading Symbol(s)</w:t>
            </w:r>
          </w:p>
        </w:tc>
        <w:tc>
          <w:tcPr>
            <w:tcW w:w="3180" w:type="dxa"/>
            <w:vAlign w:val="bottom"/>
            <w:gridSpan w:val="2"/>
          </w:tcPr>
          <w:p>
            <w:pPr>
              <w:jc w:val="center"/>
              <w:ind w:left="416"/>
              <w:spacing w:after="0"/>
              <w:rPr>
                <w:sz w:val="20"/>
                <w:szCs w:val="20"/>
                <w:color w:val="auto"/>
              </w:rPr>
            </w:pPr>
            <w:r>
              <w:rPr>
                <w:rFonts w:ascii="Arial" w:cs="Arial" w:eastAsia="Arial" w:hAnsi="Arial"/>
                <w:sz w:val="13"/>
                <w:szCs w:val="13"/>
                <w:b w:val="1"/>
                <w:bCs w:val="1"/>
                <w:color w:val="auto"/>
                <w:w w:val="98"/>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r>
        <w:trPr>
          <w:trHeight w:val="191"/>
        </w:trPr>
        <w:tc>
          <w:tcPr>
            <w:tcW w:w="3060" w:type="dxa"/>
            <w:vAlign w:val="bottom"/>
            <w:gridSpan w:val="3"/>
          </w:tcPr>
          <w:p>
            <w:pPr>
              <w:jc w:val="center"/>
              <w:ind w:right="220"/>
              <w:spacing w:after="0"/>
              <w:rPr>
                <w:sz w:val="20"/>
                <w:szCs w:val="20"/>
                <w:color w:val="auto"/>
              </w:rPr>
            </w:pPr>
            <w:r>
              <w:rPr>
                <w:rFonts w:ascii="Arial" w:cs="Arial" w:eastAsia="Arial" w:hAnsi="Arial"/>
                <w:sz w:val="13"/>
                <w:szCs w:val="13"/>
                <w:color w:val="auto"/>
                <w:w w:val="98"/>
              </w:rPr>
              <w:t>Class A common stock, $1.00 par value per share</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99"/>
              </w:rPr>
              <w:t>USCB</w:t>
            </w:r>
          </w:p>
        </w:tc>
        <w:tc>
          <w:tcPr>
            <w:tcW w:w="48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3"/>
                <w:szCs w:val="13"/>
                <w:color w:val="auto"/>
                <w:w w:val="98"/>
              </w:rPr>
              <w:t>The Nasdaq Stock Market LLC</w:t>
            </w:r>
          </w:p>
        </w:tc>
      </w:tr>
    </w:tbl>
    <w:p>
      <w:pPr>
        <w:spacing w:after="0" w:line="259" w:lineRule="exact"/>
        <w:rPr>
          <w:sz w:val="24"/>
          <w:szCs w:val="24"/>
          <w:color w:val="auto"/>
        </w:rPr>
      </w:pPr>
    </w:p>
    <w:p>
      <w:pPr>
        <w:jc w:val="both"/>
        <w:ind w:left="660" w:right="659"/>
        <w:spacing w:after="0" w:line="159" w:lineRule="exact"/>
        <w:rPr>
          <w:sz w:val="20"/>
          <w:szCs w:val="20"/>
          <w:color w:val="auto"/>
        </w:rPr>
      </w:pPr>
      <w:r>
        <w:rPr>
          <w:rFonts w:ascii="Arial" w:cs="Arial" w:eastAsia="Arial" w:hAnsi="Arial"/>
          <w:sz w:val="13"/>
          <w:szCs w:val="13"/>
          <w:color w:val="auto"/>
        </w:rPr>
        <w:t xml:space="preserve">Indicate by check mark whether the registrant (1) has filed all reportsrequired to be filed by Section13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2" w:lineRule="exact"/>
        <w:rPr>
          <w:sz w:val="24"/>
          <w:szCs w:val="24"/>
          <w:color w:val="auto"/>
        </w:rPr>
      </w:pPr>
    </w:p>
    <w:p>
      <w:pPr>
        <w:jc w:val="both"/>
        <w:ind w:left="660" w:right="679"/>
        <w:spacing w:after="0" w:line="267"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w:t>
      </w:r>
    </w:p>
    <w:p>
      <w:pPr>
        <w:spacing w:after="0" w:line="1"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2" w:lineRule="exact"/>
        <w:rPr>
          <w:sz w:val="24"/>
          <w:szCs w:val="24"/>
          <w:color w:val="auto"/>
        </w:rPr>
      </w:pPr>
    </w:p>
    <w:p>
      <w:pPr>
        <w:jc w:val="both"/>
        <w:ind w:left="660" w:right="659"/>
        <w:spacing w:after="0" w:line="24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111" w:lineRule="exact"/>
        <w:rPr>
          <w:sz w:val="24"/>
          <w:szCs w:val="24"/>
          <w:color w:val="auto"/>
        </w:rPr>
      </w:pPr>
    </w:p>
    <w:p>
      <w:pPr>
        <w:ind w:left="660"/>
        <w:spacing w:after="0" w:line="150" w:lineRule="exact"/>
        <w:tabs>
          <w:tab w:leader="none" w:pos="22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Non-accelerated filer </w:t>
      </w:r>
      <w:r>
        <w:rPr>
          <w:rFonts w:ascii="MS PGothic" w:cs="MS PGothic" w:eastAsia="MS PGothic" w:hAnsi="MS PGothic"/>
          <w:sz w:val="12"/>
          <w:szCs w:val="12"/>
          <w:color w:val="auto"/>
        </w:rPr>
        <w:t>☐</w:t>
      </w:r>
      <w:r>
        <w:rPr>
          <w:rFonts w:ascii="Arial" w:cs="Arial" w:eastAsia="Arial" w:hAnsi="Arial"/>
          <w:sz w:val="12"/>
          <w:szCs w:val="12"/>
          <w:color w:val="auto"/>
        </w:rPr>
        <w:t xml:space="preserve"> Smaller reporting company </w:t>
      </w:r>
      <w:r>
        <w:rPr>
          <w:rFonts w:ascii="MS PGothic" w:cs="MS PGothic" w:eastAsia="MS PGothic" w:hAnsi="MS PGothic"/>
          <w:sz w:val="12"/>
          <w:szCs w:val="12"/>
          <w:color w:val="auto"/>
        </w:rPr>
        <w:t>☒</w:t>
      </w:r>
      <w:r>
        <w:rPr>
          <w:rFonts w:ascii="Arial" w:cs="Arial" w:eastAsia="Arial" w:hAnsi="Arial"/>
          <w:sz w:val="12"/>
          <w:szCs w:val="12"/>
          <w:color w:val="auto"/>
        </w:rPr>
        <w:t xml:space="preserve"> Emerging growth company </w:t>
      </w:r>
      <w:r>
        <w:rPr>
          <w:rFonts w:ascii="MS PGothic" w:cs="MS PGothic" w:eastAsia="MS PGothic" w:hAnsi="MS PGothic"/>
          <w:sz w:val="12"/>
          <w:szCs w:val="12"/>
          <w:color w:val="auto"/>
        </w:rPr>
        <w:t>☒</w:t>
      </w:r>
    </w:p>
    <w:p>
      <w:pPr>
        <w:spacing w:after="0" w:line="232" w:lineRule="exact"/>
        <w:rPr>
          <w:sz w:val="24"/>
          <w:szCs w:val="24"/>
          <w:color w:val="auto"/>
        </w:rPr>
      </w:pPr>
    </w:p>
    <w:p>
      <w:pPr>
        <w:jc w:val="both"/>
        <w:ind w:left="660" w:right="659"/>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14"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12"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As of October 31, 2025, the registrant had 18,110,385 shares of Class A common stock outstanding.</w:t>
      </w:r>
    </w:p>
    <w:p>
      <w:pPr>
        <w:sectPr>
          <w:pgSz w:w="11900" w:h="16838" w:orient="portrait"/>
          <w:cols w:equalWidth="0" w:num="1">
            <w:col w:w="9019"/>
          </w:cols>
          <w:pgMar w:left="1440" w:top="799" w:right="1440" w:bottom="1440" w:gutter="0" w:footer="0" w:header="0"/>
          <w:type w:val="continuous"/>
        </w:sectPr>
      </w:pPr>
    </w:p>
    <w:bookmarkStart w:id="1" w:name="page2"/>
    <w:bookmarkEnd w:id="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jc w:val="center"/>
        <w:ind w:right="-240"/>
        <w:spacing w:after="0"/>
        <w:rPr>
          <w:sz w:val="20"/>
          <w:szCs w:val="20"/>
          <w:color w:val="auto"/>
        </w:rPr>
      </w:pPr>
      <w:r>
        <w:rPr>
          <w:rFonts w:ascii="Arial" w:cs="Arial" w:eastAsia="Arial" w:hAnsi="Arial"/>
          <w:sz w:val="14"/>
          <w:szCs w:val="14"/>
          <w:b w:val="1"/>
          <w:bCs w:val="1"/>
          <w:color w:val="auto"/>
        </w:rPr>
        <w:t>FORM 10-Q</w:t>
      </w:r>
    </w:p>
    <w:p>
      <w:pPr>
        <w:spacing w:after="0" w:line="24"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September 30, 2025</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00" w:type="dxa"/>
            <w:vAlign w:val="bottom"/>
          </w:tcPr>
          <w:p>
            <w:pPr>
              <w:spacing w:after="0"/>
              <w:rPr>
                <w:sz w:val="20"/>
                <w:szCs w:val="20"/>
                <w:color w:val="auto"/>
              </w:rPr>
            </w:pPr>
            <w:r>
              <w:rPr>
                <w:rFonts w:ascii="Arial" w:cs="Arial" w:eastAsia="Arial" w:hAnsi="Arial"/>
                <w:sz w:val="13"/>
                <w:szCs w:val="13"/>
                <w:color w:val="0000FF"/>
                <w:w w:val="85"/>
              </w:rPr>
              <w:t>PART I</w:t>
            </w:r>
          </w:p>
        </w:tc>
        <w:tc>
          <w:tcPr>
            <w:tcW w:w="1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3"/>
                <w:szCs w:val="13"/>
                <w:color w:val="0000FF"/>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160" w:type="dxa"/>
            <w:vAlign w:val="bottom"/>
            <w:gridSpan w:val="3"/>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6"/>
          </w:tcPr>
          <w:p>
            <w:pPr>
              <w:spacing w:after="0"/>
              <w:rPr>
                <w:sz w:val="20"/>
                <w:szCs w:val="20"/>
                <w:color w:val="auto"/>
              </w:rPr>
            </w:pPr>
            <w:r>
              <w:rPr>
                <w:rFonts w:ascii="Arial" w:cs="Arial" w:eastAsia="Arial" w:hAnsi="Arial"/>
                <w:sz w:val="13"/>
                <w:szCs w:val="13"/>
                <w:color w:val="0000FF"/>
                <w:w w:val="97"/>
              </w:rPr>
              <w:t>Financial Statements</w:t>
            </w:r>
          </w:p>
        </w:tc>
        <w:tc>
          <w:tcPr>
            <w:tcW w:w="5220" w:type="dxa"/>
            <w:vAlign w:val="bottom"/>
            <w:gridSpan w:val="13"/>
          </w:tcPr>
          <w:p>
            <w:pPr>
              <w:spacing w:after="0"/>
              <w:rPr>
                <w:sz w:val="23"/>
                <w:szCs w:val="23"/>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3"/>
                <w:szCs w:val="13"/>
                <w:color w:val="0000FF"/>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300" w:type="dxa"/>
            <w:vAlign w:val="bottom"/>
            <w:gridSpan w:val="14"/>
          </w:tcPr>
          <w:p>
            <w:pPr>
              <w:spacing w:after="0" w:line="129" w:lineRule="exact"/>
              <w:rPr>
                <w:sz w:val="20"/>
                <w:szCs w:val="20"/>
                <w:color w:val="auto"/>
              </w:rPr>
            </w:pPr>
            <w:r>
              <w:rPr>
                <w:rFonts w:ascii="Arial" w:cs="Arial" w:eastAsia="Arial" w:hAnsi="Arial"/>
                <w:sz w:val="13"/>
                <w:szCs w:val="13"/>
                <w:color w:val="0000FF"/>
                <w:w w:val="98"/>
              </w:rPr>
              <w:t>Consolidated Balance Sheets as of September 30, 2025 (Unaudited) and December 31, 2024</w:t>
            </w:r>
          </w:p>
        </w:tc>
        <w:tc>
          <w:tcPr>
            <w:tcW w:w="800" w:type="dxa"/>
            <w:vAlign w:val="bottom"/>
            <w:gridSpan w:val="4"/>
          </w:tcPr>
          <w:p>
            <w:pPr>
              <w:spacing w:after="0"/>
              <w:rPr>
                <w:sz w:val="11"/>
                <w:szCs w:val="11"/>
                <w:color w:val="auto"/>
              </w:rPr>
            </w:pPr>
          </w:p>
        </w:tc>
        <w:tc>
          <w:tcPr>
            <w:tcW w:w="640" w:type="dxa"/>
            <w:vAlign w:val="bottom"/>
            <w:gridSpan w:val="4"/>
          </w:tcPr>
          <w:p>
            <w:pPr>
              <w:jc w:val="right"/>
              <w:ind w:right="20"/>
              <w:spacing w:after="0" w:line="129" w:lineRule="exact"/>
              <w:rPr>
                <w:sz w:val="20"/>
                <w:szCs w:val="20"/>
                <w:color w:val="auto"/>
              </w:rPr>
            </w:pPr>
            <w:r>
              <w:rPr>
                <w:rFonts w:ascii="Arial" w:cs="Arial" w:eastAsia="Arial" w:hAnsi="Arial"/>
                <w:sz w:val="13"/>
                <w:szCs w:val="13"/>
                <w:color w:val="0000FF"/>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100" w:type="dxa"/>
            <w:vAlign w:val="bottom"/>
            <w:tcBorders>
              <w:bottom w:val="single" w:sz="8" w:color="0000FF"/>
            </w:tcBorders>
            <w:gridSpan w:val="18"/>
          </w:tcPr>
          <w:p>
            <w:pPr>
              <w:spacing w:after="0" w:line="129" w:lineRule="exact"/>
              <w:rPr>
                <w:sz w:val="20"/>
                <w:szCs w:val="20"/>
                <w:color w:val="auto"/>
              </w:rPr>
            </w:pPr>
            <w:r>
              <w:rPr>
                <w:rFonts w:ascii="Arial" w:cs="Arial" w:eastAsia="Arial" w:hAnsi="Arial"/>
                <w:sz w:val="13"/>
                <w:szCs w:val="13"/>
                <w:color w:val="0000FF"/>
                <w:w w:val="98"/>
              </w:rPr>
              <w:t>Consolidated Statements of Operations for the three and nine months ended September 30, 2025 and 2024</w:t>
            </w:r>
          </w:p>
        </w:tc>
        <w:tc>
          <w:tcPr>
            <w:tcW w:w="640" w:type="dxa"/>
            <w:vAlign w:val="bottom"/>
            <w:gridSpan w:val="4"/>
            <w:vMerge w:val="restart"/>
          </w:tcPr>
          <w:p>
            <w:pPr>
              <w:jc w:val="right"/>
              <w:ind w:right="20"/>
              <w:spacing w:after="0"/>
              <w:rPr>
                <w:sz w:val="20"/>
                <w:szCs w:val="20"/>
                <w:color w:val="auto"/>
              </w:rPr>
            </w:pPr>
            <w:r>
              <w:rPr>
                <w:rFonts w:ascii="Arial" w:cs="Arial" w:eastAsia="Arial" w:hAnsi="Arial"/>
                <w:sz w:val="13"/>
                <w:szCs w:val="13"/>
                <w:color w:val="0000FF"/>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100" w:type="dxa"/>
            <w:vAlign w:val="bottom"/>
            <w:gridSpan w:val="18"/>
          </w:tcPr>
          <w:p>
            <w:pPr>
              <w:spacing w:after="0" w:line="129" w:lineRule="exact"/>
              <w:rPr>
                <w:sz w:val="20"/>
                <w:szCs w:val="20"/>
                <w:color w:val="auto"/>
              </w:rPr>
            </w:pPr>
            <w:r>
              <w:rPr>
                <w:rFonts w:ascii="Arial" w:cs="Arial" w:eastAsia="Arial" w:hAnsi="Arial"/>
                <w:sz w:val="13"/>
                <w:szCs w:val="13"/>
                <w:color w:val="0000FF"/>
              </w:rPr>
              <w:t>(Unaudited)</w:t>
            </w:r>
          </w:p>
        </w:tc>
        <w:tc>
          <w:tcPr>
            <w:tcW w:w="6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100" w:type="dxa"/>
            <w:vAlign w:val="bottom"/>
            <w:gridSpan w:val="18"/>
          </w:tcPr>
          <w:p>
            <w:pPr>
              <w:spacing w:after="0" w:line="129" w:lineRule="exact"/>
              <w:rPr>
                <w:sz w:val="20"/>
                <w:szCs w:val="20"/>
                <w:color w:val="auto"/>
              </w:rPr>
            </w:pPr>
            <w:r>
              <w:rPr>
                <w:rFonts w:ascii="Arial" w:cs="Arial" w:eastAsia="Arial" w:hAnsi="Arial"/>
                <w:sz w:val="13"/>
                <w:szCs w:val="13"/>
                <w:color w:val="0000FF"/>
              </w:rPr>
              <w:t>Consolidated Statements of Comprehensive Income for the three and nine months ended September 30,</w:t>
            </w:r>
          </w:p>
        </w:tc>
        <w:tc>
          <w:tcPr>
            <w:tcW w:w="640" w:type="dxa"/>
            <w:vAlign w:val="bottom"/>
            <w:gridSpan w:val="4"/>
            <w:vMerge w:val="restart"/>
          </w:tcPr>
          <w:p>
            <w:pPr>
              <w:jc w:val="right"/>
              <w:ind w:right="20"/>
              <w:spacing w:after="0"/>
              <w:rPr>
                <w:sz w:val="20"/>
                <w:szCs w:val="20"/>
                <w:color w:val="auto"/>
              </w:rPr>
            </w:pPr>
            <w:r>
              <w:rPr>
                <w:rFonts w:ascii="Arial" w:cs="Arial" w:eastAsia="Arial" w:hAnsi="Arial"/>
                <w:sz w:val="13"/>
                <w:szCs w:val="13"/>
                <w:color w:val="0000FF"/>
              </w:rPr>
              <w:t>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60" w:type="dxa"/>
            <w:vAlign w:val="bottom"/>
            <w:tcBorders>
              <w:top w:val="single" w:sz="8" w:color="0000FF"/>
            </w:tcBorders>
            <w:gridSpan w:val="8"/>
          </w:tcPr>
          <w:p>
            <w:pPr>
              <w:spacing w:after="0" w:line="119" w:lineRule="exact"/>
              <w:rPr>
                <w:sz w:val="20"/>
                <w:szCs w:val="20"/>
                <w:color w:val="auto"/>
              </w:rPr>
            </w:pPr>
            <w:r>
              <w:rPr>
                <w:rFonts w:ascii="Arial" w:cs="Arial" w:eastAsia="Arial" w:hAnsi="Arial"/>
                <w:sz w:val="13"/>
                <w:szCs w:val="13"/>
                <w:color w:val="0000FF"/>
                <w:w w:val="96"/>
              </w:rPr>
              <w:t>2025 and 2024 (Unaudited)</w:t>
            </w:r>
          </w:p>
        </w:tc>
        <w:tc>
          <w:tcPr>
            <w:tcW w:w="4360" w:type="dxa"/>
            <w:vAlign w:val="bottom"/>
            <w:tcBorders>
              <w:top w:val="single" w:sz="8" w:color="0000FF"/>
            </w:tcBorders>
            <w:gridSpan w:val="9"/>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100" w:type="dxa"/>
            <w:vAlign w:val="bottom"/>
            <w:gridSpan w:val="18"/>
          </w:tcPr>
          <w:p>
            <w:pPr>
              <w:spacing w:after="0" w:line="129" w:lineRule="exact"/>
              <w:rPr>
                <w:sz w:val="20"/>
                <w:szCs w:val="20"/>
                <w:color w:val="auto"/>
              </w:rPr>
            </w:pPr>
            <w:r>
              <w:rPr>
                <w:rFonts w:ascii="Arial" w:cs="Arial" w:eastAsia="Arial" w:hAnsi="Arial"/>
                <w:sz w:val="13"/>
                <w:szCs w:val="13"/>
                <w:color w:val="0000FF"/>
              </w:rPr>
              <w:t>Consolidated Statements of Changes in Stockholders’ Equity for the three and nine months ended</w:t>
            </w:r>
          </w:p>
        </w:tc>
        <w:tc>
          <w:tcPr>
            <w:tcW w:w="640" w:type="dxa"/>
            <w:vAlign w:val="bottom"/>
            <w:gridSpan w:val="4"/>
            <w:vMerge w:val="restart"/>
          </w:tcPr>
          <w:p>
            <w:pPr>
              <w:jc w:val="right"/>
              <w:ind w:right="20"/>
              <w:spacing w:after="0"/>
              <w:rPr>
                <w:sz w:val="20"/>
                <w:szCs w:val="20"/>
                <w:color w:val="auto"/>
              </w:rPr>
            </w:pPr>
            <w:r>
              <w:rPr>
                <w:rFonts w:ascii="Arial" w:cs="Arial" w:eastAsia="Arial" w:hAnsi="Arial"/>
                <w:sz w:val="13"/>
                <w:szCs w:val="13"/>
                <w:color w:val="0000FF"/>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540" w:type="dxa"/>
            <w:vAlign w:val="bottom"/>
            <w:tcBorders>
              <w:top w:val="single" w:sz="8" w:color="0000FF"/>
            </w:tcBorders>
            <w:gridSpan w:val="15"/>
          </w:tcPr>
          <w:p>
            <w:pPr>
              <w:spacing w:after="0" w:line="129" w:lineRule="exact"/>
              <w:rPr>
                <w:sz w:val="20"/>
                <w:szCs w:val="20"/>
                <w:color w:val="auto"/>
              </w:rPr>
            </w:pPr>
            <w:r>
              <w:rPr>
                <w:rFonts w:ascii="Arial" w:cs="Arial" w:eastAsia="Arial" w:hAnsi="Arial"/>
                <w:sz w:val="13"/>
                <w:szCs w:val="13"/>
                <w:color w:val="0000FF"/>
              </w:rPr>
              <w:t>September 30, 2025 and 2024 (Unaudited)</w:t>
            </w:r>
          </w:p>
        </w:tc>
        <w:tc>
          <w:tcPr>
            <w:tcW w:w="560" w:type="dxa"/>
            <w:vAlign w:val="bottom"/>
            <w:gridSpan w:val="3"/>
          </w:tcPr>
          <w:p>
            <w:pPr>
              <w:spacing w:after="0"/>
              <w:rPr>
                <w:sz w:val="11"/>
                <w:szCs w:val="11"/>
                <w:color w:val="auto"/>
              </w:rPr>
            </w:pPr>
          </w:p>
        </w:tc>
        <w:tc>
          <w:tcPr>
            <w:tcW w:w="6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560" w:type="dxa"/>
            <w:vAlign w:val="bottom"/>
            <w:tcBorders>
              <w:bottom w:val="single" w:sz="8" w:color="0000FF"/>
            </w:tcBorders>
            <w:gridSpan w:val="16"/>
          </w:tcPr>
          <w:p>
            <w:pPr>
              <w:spacing w:after="0" w:line="129" w:lineRule="exact"/>
              <w:rPr>
                <w:sz w:val="20"/>
                <w:szCs w:val="20"/>
                <w:color w:val="auto"/>
              </w:rPr>
            </w:pPr>
            <w:r>
              <w:rPr>
                <w:rFonts w:ascii="Arial" w:cs="Arial" w:eastAsia="Arial" w:hAnsi="Arial"/>
                <w:sz w:val="13"/>
                <w:szCs w:val="13"/>
                <w:color w:val="0000FF"/>
                <w:w w:val="98"/>
              </w:rPr>
              <w:t>Consolidated Statements of Cash Flows for the nine months ended September 30, 2025 and 2024</w:t>
            </w:r>
          </w:p>
        </w:tc>
        <w:tc>
          <w:tcPr>
            <w:tcW w:w="540" w:type="dxa"/>
            <w:vAlign w:val="bottom"/>
            <w:gridSpan w:val="2"/>
          </w:tcPr>
          <w:p>
            <w:pPr>
              <w:spacing w:after="0"/>
              <w:rPr>
                <w:sz w:val="11"/>
                <w:szCs w:val="11"/>
                <w:color w:val="auto"/>
              </w:rPr>
            </w:pPr>
          </w:p>
        </w:tc>
        <w:tc>
          <w:tcPr>
            <w:tcW w:w="640" w:type="dxa"/>
            <w:vAlign w:val="bottom"/>
            <w:gridSpan w:val="4"/>
            <w:vMerge w:val="restart"/>
          </w:tcPr>
          <w:p>
            <w:pPr>
              <w:jc w:val="right"/>
              <w:ind w:right="20"/>
              <w:spacing w:after="0"/>
              <w:rPr>
                <w:sz w:val="20"/>
                <w:szCs w:val="20"/>
                <w:color w:val="auto"/>
              </w:rPr>
            </w:pPr>
            <w:r>
              <w:rPr>
                <w:rFonts w:ascii="Arial" w:cs="Arial" w:eastAsia="Arial" w:hAnsi="Arial"/>
                <w:sz w:val="13"/>
                <w:szCs w:val="13"/>
                <w:color w:val="0000FF"/>
              </w:rPr>
              <w:t>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100" w:type="dxa"/>
            <w:vAlign w:val="bottom"/>
            <w:gridSpan w:val="18"/>
          </w:tcPr>
          <w:p>
            <w:pPr>
              <w:spacing w:after="0" w:line="129" w:lineRule="exact"/>
              <w:rPr>
                <w:sz w:val="20"/>
                <w:szCs w:val="20"/>
                <w:color w:val="auto"/>
              </w:rPr>
            </w:pPr>
            <w:r>
              <w:rPr>
                <w:rFonts w:ascii="Arial" w:cs="Arial" w:eastAsia="Arial" w:hAnsi="Arial"/>
                <w:sz w:val="13"/>
                <w:szCs w:val="13"/>
                <w:color w:val="0000FF"/>
              </w:rPr>
              <w:t>(Unaudited)</w:t>
            </w:r>
          </w:p>
        </w:tc>
        <w:tc>
          <w:tcPr>
            <w:tcW w:w="6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0" w:type="dxa"/>
            <w:vAlign w:val="bottom"/>
            <w:vMerge w:val="restart"/>
          </w:tcPr>
          <w:p>
            <w:pPr>
              <w:spacing w:after="0"/>
              <w:rPr>
                <w:sz w:val="20"/>
                <w:szCs w:val="20"/>
                <w:color w:val="auto"/>
              </w:rPr>
            </w:pPr>
            <w:r>
              <w:rPr>
                <w:rFonts w:ascii="Arial" w:cs="Arial" w:eastAsia="Arial" w:hAnsi="Arial"/>
                <w:sz w:val="13"/>
                <w:szCs w:val="13"/>
                <w:color w:val="0000FF"/>
                <w:w w:val="90"/>
              </w:rPr>
              <w:t>Item 2.</w:t>
            </w:r>
          </w:p>
        </w:tc>
        <w:tc>
          <w:tcPr>
            <w:tcW w:w="160" w:type="dxa"/>
            <w:vAlign w:val="bottom"/>
            <w:gridSpan w:val="3"/>
            <w:vMerge w:val="restart"/>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Borders>
              <w:top w:val="single" w:sz="8" w:color="0000FF"/>
            </w:tcBorders>
            <w:gridSpan w:val="3"/>
          </w:tcPr>
          <w:p>
            <w:pPr>
              <w:spacing w:after="0" w:line="119" w:lineRule="exact"/>
              <w:rPr>
                <w:sz w:val="20"/>
                <w:szCs w:val="20"/>
                <w:color w:val="auto"/>
              </w:rPr>
            </w:pPr>
            <w:r>
              <w:rPr>
                <w:rFonts w:ascii="Arial" w:cs="Arial" w:eastAsia="Arial" w:hAnsi="Arial"/>
                <w:sz w:val="13"/>
                <w:szCs w:val="13"/>
                <w:color w:val="0000FF"/>
                <w:w w:val="91"/>
              </w:rPr>
              <w:t>Notes to the</w:t>
            </w:r>
          </w:p>
        </w:tc>
        <w:tc>
          <w:tcPr>
            <w:tcW w:w="80" w:type="dxa"/>
            <w:vAlign w:val="bottom"/>
          </w:tcPr>
          <w:p>
            <w:pPr>
              <w:spacing w:after="0"/>
              <w:rPr>
                <w:sz w:val="10"/>
                <w:szCs w:val="10"/>
                <w:color w:val="auto"/>
              </w:rPr>
            </w:pPr>
          </w:p>
        </w:tc>
        <w:tc>
          <w:tcPr>
            <w:tcW w:w="5360" w:type="dxa"/>
            <w:vAlign w:val="bottom"/>
            <w:gridSpan w:val="14"/>
          </w:tcPr>
          <w:p>
            <w:pPr>
              <w:spacing w:after="0" w:line="119" w:lineRule="exact"/>
              <w:rPr>
                <w:sz w:val="20"/>
                <w:szCs w:val="20"/>
                <w:color w:val="auto"/>
              </w:rPr>
            </w:pPr>
            <w:r>
              <w:rPr>
                <w:rFonts w:ascii="Arial" w:cs="Arial" w:eastAsia="Arial" w:hAnsi="Arial"/>
                <w:sz w:val="13"/>
                <w:szCs w:val="13"/>
                <w:color w:val="0000FF"/>
              </w:rPr>
              <w:t>Consolidated Financial Statements (Unaudited)</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0000FF"/>
            </w:tcBorders>
          </w:tcPr>
          <w:p>
            <w:pPr>
              <w:jc w:val="right"/>
              <w:spacing w:after="0"/>
              <w:rPr>
                <w:sz w:val="20"/>
                <w:szCs w:val="20"/>
                <w:color w:val="auto"/>
              </w:rPr>
            </w:pPr>
            <w:r>
              <w:rPr>
                <w:rFonts w:ascii="Arial" w:cs="Arial" w:eastAsia="Arial" w:hAnsi="Arial"/>
                <w:sz w:val="10"/>
                <w:szCs w:val="10"/>
                <w:color w:val="0000FF"/>
                <w:w w:val="71"/>
              </w:rPr>
              <w:t>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vMerge w:val="continue"/>
          </w:tcPr>
          <w:p>
            <w:pPr>
              <w:spacing w:after="0" w:line="20" w:lineRule="exact"/>
              <w:rPr>
                <w:sz w:val="1"/>
                <w:szCs w:val="1"/>
                <w:color w:val="auto"/>
              </w:rPr>
            </w:pPr>
          </w:p>
        </w:tc>
        <w:tc>
          <w:tcPr>
            <w:tcW w:w="160" w:type="dxa"/>
            <w:vAlign w:val="bottom"/>
            <w:gridSpan w:val="3"/>
            <w:vMerge w:val="continu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Borders>
              <w:bottom w:val="single" w:sz="8" w:color="0000FF"/>
            </w:tcBorders>
            <w:vMerge w:val="continue"/>
          </w:tcPr>
          <w:p>
            <w:pPr>
              <w:spacing w:after="0"/>
              <w:rPr>
                <w:sz w:val="11"/>
                <w:szCs w:val="11"/>
                <w:color w:val="auto"/>
              </w:rPr>
            </w:pPr>
          </w:p>
        </w:tc>
        <w:tc>
          <w:tcPr>
            <w:tcW w:w="1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040" w:type="dxa"/>
            <w:vAlign w:val="bottom"/>
            <w:tcBorders>
              <w:bottom w:val="single" w:sz="8" w:color="0000FF"/>
            </w:tcBorders>
            <w:gridSpan w:val="14"/>
          </w:tcPr>
          <w:p>
            <w:pPr>
              <w:spacing w:after="0" w:line="129" w:lineRule="exact"/>
              <w:rPr>
                <w:sz w:val="20"/>
                <w:szCs w:val="20"/>
                <w:color w:val="auto"/>
              </w:rPr>
            </w:pPr>
            <w:r>
              <w:rPr>
                <w:rFonts w:ascii="Arial" w:cs="Arial" w:eastAsia="Arial" w:hAnsi="Arial"/>
                <w:sz w:val="13"/>
                <w:szCs w:val="13"/>
                <w:color w:val="0000FF"/>
                <w:w w:val="98"/>
              </w:rPr>
              <w:t>Management's Discussion and Analysis of Financial Condition and Results of Operations</w:t>
            </w:r>
          </w:p>
        </w:tc>
        <w:tc>
          <w:tcPr>
            <w:tcW w:w="1380" w:type="dxa"/>
            <w:vAlign w:val="bottom"/>
            <w:gridSpan w:val="5"/>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0000FF"/>
            </w:tcBorders>
            <w:gridSpan w:val="3"/>
          </w:tcPr>
          <w:p>
            <w:pPr>
              <w:jc w:val="right"/>
              <w:ind w:right="20"/>
              <w:spacing w:after="0" w:line="129" w:lineRule="exact"/>
              <w:rPr>
                <w:sz w:val="20"/>
                <w:szCs w:val="20"/>
                <w:color w:val="auto"/>
              </w:rPr>
            </w:pPr>
            <w:r>
              <w:rPr>
                <w:rFonts w:ascii="Arial" w:cs="Arial" w:eastAsia="Arial" w:hAnsi="Arial"/>
                <w:sz w:val="13"/>
                <w:szCs w:val="13"/>
                <w:color w:val="0000FF"/>
                <w:w w:val="82"/>
              </w:rPr>
              <w:t>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3.</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tcBorders>
              <w:bottom w:val="single" w:sz="8" w:color="0000FF"/>
            </w:tcBorders>
            <w:gridSpan w:val="11"/>
          </w:tcPr>
          <w:p>
            <w:pPr>
              <w:spacing w:after="0" w:line="129" w:lineRule="exact"/>
              <w:rPr>
                <w:sz w:val="20"/>
                <w:szCs w:val="20"/>
                <w:color w:val="auto"/>
              </w:rPr>
            </w:pPr>
            <w:r>
              <w:rPr>
                <w:rFonts w:ascii="Arial" w:cs="Arial" w:eastAsia="Arial" w:hAnsi="Arial"/>
                <w:sz w:val="13"/>
                <w:szCs w:val="13"/>
                <w:color w:val="0000FF"/>
                <w:w w:val="98"/>
              </w:rPr>
              <w:t>Quantitative and Qualitative Disclosures About Market Risk</w:t>
            </w:r>
          </w:p>
        </w:tc>
        <w:tc>
          <w:tcPr>
            <w:tcW w:w="3060" w:type="dxa"/>
            <w:vAlign w:val="bottom"/>
            <w:gridSpan w:val="8"/>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0000FF"/>
            </w:tcBorders>
            <w:gridSpan w:val="3"/>
          </w:tcPr>
          <w:p>
            <w:pPr>
              <w:jc w:val="right"/>
              <w:ind w:right="20"/>
              <w:spacing w:after="0" w:line="129" w:lineRule="exact"/>
              <w:rPr>
                <w:sz w:val="20"/>
                <w:szCs w:val="20"/>
                <w:color w:val="auto"/>
              </w:rPr>
            </w:pPr>
            <w:r>
              <w:rPr>
                <w:rFonts w:ascii="Arial" w:cs="Arial" w:eastAsia="Arial" w:hAnsi="Arial"/>
                <w:sz w:val="13"/>
                <w:szCs w:val="13"/>
                <w:color w:val="0000FF"/>
                <w:w w:val="82"/>
              </w:rPr>
              <w:t>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4.</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Borders>
              <w:bottom w:val="single" w:sz="8" w:color="0000FF"/>
            </w:tcBorders>
            <w:gridSpan w:val="8"/>
          </w:tcPr>
          <w:p>
            <w:pPr>
              <w:spacing w:after="0" w:line="129" w:lineRule="exact"/>
              <w:rPr>
                <w:sz w:val="20"/>
                <w:szCs w:val="20"/>
                <w:color w:val="auto"/>
              </w:rPr>
            </w:pPr>
            <w:r>
              <w:rPr>
                <w:rFonts w:ascii="Arial" w:cs="Arial" w:eastAsia="Arial" w:hAnsi="Arial"/>
                <w:sz w:val="13"/>
                <w:szCs w:val="13"/>
                <w:color w:val="0000FF"/>
                <w:w w:val="97"/>
              </w:rPr>
              <w:t>Controls and Procedures</w:t>
            </w:r>
          </w:p>
        </w:tc>
        <w:tc>
          <w:tcPr>
            <w:tcW w:w="5000" w:type="dxa"/>
            <w:vAlign w:val="bottom"/>
            <w:gridSpan w:val="11"/>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0000FF"/>
            </w:tcBorders>
            <w:gridSpan w:val="3"/>
          </w:tcPr>
          <w:p>
            <w:pPr>
              <w:jc w:val="right"/>
              <w:ind w:right="20"/>
              <w:spacing w:after="0" w:line="129" w:lineRule="exact"/>
              <w:rPr>
                <w:sz w:val="20"/>
                <w:szCs w:val="20"/>
                <w:color w:val="auto"/>
              </w:rPr>
            </w:pPr>
            <w:r>
              <w:rPr>
                <w:rFonts w:ascii="Arial" w:cs="Arial" w:eastAsia="Arial" w:hAnsi="Arial"/>
                <w:sz w:val="13"/>
                <w:szCs w:val="13"/>
                <w:color w:val="0000FF"/>
                <w:w w:val="82"/>
              </w:rPr>
              <w:t>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2"/>
              </w:rPr>
              <w:t>PART II</w:t>
            </w: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Borders>
              <w:bottom w:val="single" w:sz="8" w:color="0000FF"/>
            </w:tcBorders>
            <w:gridSpan w:val="3"/>
          </w:tcPr>
          <w:p>
            <w:pPr>
              <w:jc w:val="right"/>
              <w:ind w:right="20"/>
              <w:spacing w:after="0"/>
              <w:rPr>
                <w:sz w:val="20"/>
                <w:szCs w:val="20"/>
                <w:color w:val="auto"/>
              </w:rPr>
            </w:pPr>
            <w:r>
              <w:rPr>
                <w:rFonts w:ascii="Arial" w:cs="Arial" w:eastAsia="Arial" w:hAnsi="Arial"/>
                <w:sz w:val="13"/>
                <w:szCs w:val="13"/>
                <w:color w:val="0000FF"/>
                <w:w w:val="82"/>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3"/>
                <w:szCs w:val="13"/>
                <w:color w:val="0000FF"/>
                <w:w w:val="90"/>
              </w:rPr>
              <w:t>Item 1.</w:t>
            </w:r>
          </w:p>
        </w:tc>
        <w:tc>
          <w:tcPr>
            <w:tcW w:w="160" w:type="dxa"/>
            <w:vAlign w:val="bottom"/>
            <w:gridSpan w:val="3"/>
          </w:tcPr>
          <w:p>
            <w:pPr>
              <w:spacing w:after="0"/>
              <w:rPr>
                <w:sz w:val="23"/>
                <w:szCs w:val="23"/>
                <w:color w:val="auto"/>
              </w:rPr>
            </w:pPr>
          </w:p>
        </w:tc>
        <w:tc>
          <w:tcPr>
            <w:tcW w:w="80" w:type="dxa"/>
            <w:vAlign w:val="bottom"/>
          </w:tcPr>
          <w:p>
            <w:pPr>
              <w:spacing w:after="0"/>
              <w:rPr>
                <w:sz w:val="23"/>
                <w:szCs w:val="23"/>
                <w:color w:val="auto"/>
              </w:rPr>
            </w:pPr>
          </w:p>
        </w:tc>
        <w:tc>
          <w:tcPr>
            <w:tcW w:w="6420" w:type="dxa"/>
            <w:vAlign w:val="bottom"/>
            <w:gridSpan w:val="19"/>
          </w:tcPr>
          <w:p>
            <w:pPr>
              <w:spacing w:after="0"/>
              <w:rPr>
                <w:sz w:val="20"/>
                <w:szCs w:val="20"/>
                <w:color w:val="auto"/>
              </w:rPr>
            </w:pPr>
            <w:r>
              <w:rPr>
                <w:rFonts w:ascii="Arial" w:cs="Arial" w:eastAsia="Arial" w:hAnsi="Arial"/>
                <w:sz w:val="13"/>
                <w:szCs w:val="13"/>
                <w:color w:val="0000FF"/>
              </w:rPr>
              <w:t>Legal Proceedings</w:t>
            </w:r>
          </w:p>
        </w:tc>
        <w:tc>
          <w:tcPr>
            <w:tcW w:w="660" w:type="dxa"/>
            <w:vAlign w:val="bottom"/>
            <w:gridSpan w:val="5"/>
          </w:tcPr>
          <w:p>
            <w:pPr>
              <w:jc w:val="right"/>
              <w:ind w:right="40"/>
              <w:spacing w:after="0"/>
              <w:rPr>
                <w:sz w:val="20"/>
                <w:szCs w:val="20"/>
                <w:color w:val="auto"/>
              </w:rPr>
            </w:pPr>
            <w:r>
              <w:rPr>
                <w:rFonts w:ascii="Arial" w:cs="Arial" w:eastAsia="Arial" w:hAnsi="Arial"/>
                <w:sz w:val="13"/>
                <w:szCs w:val="13"/>
                <w:color w:val="0000FF"/>
              </w:rPr>
              <w:t>53</w:t>
            </w: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8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4"/>
              </w:rPr>
              <w:t>Item 1A.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0000FF"/>
            </w:tcBorders>
            <w:gridSpan w:val="2"/>
          </w:tcPr>
          <w:p>
            <w:pPr>
              <w:spacing w:after="0" w:line="129" w:lineRule="exact"/>
              <w:rPr>
                <w:sz w:val="20"/>
                <w:szCs w:val="20"/>
                <w:color w:val="auto"/>
              </w:rPr>
            </w:pPr>
            <w:r>
              <w:rPr>
                <w:rFonts w:ascii="Arial" w:cs="Arial" w:eastAsia="Arial" w:hAnsi="Arial"/>
                <w:sz w:val="13"/>
                <w:szCs w:val="13"/>
                <w:color w:val="0000FF"/>
                <w:w w:val="96"/>
              </w:rPr>
              <w:t>Risk Factors</w:t>
            </w:r>
          </w:p>
        </w:tc>
        <w:tc>
          <w:tcPr>
            <w:tcW w:w="5700" w:type="dxa"/>
            <w:vAlign w:val="bottom"/>
            <w:gridSpan w:val="17"/>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0000FF"/>
            </w:tcBorders>
            <w:gridSpan w:val="3"/>
          </w:tcPr>
          <w:p>
            <w:pPr>
              <w:jc w:val="right"/>
              <w:ind w:right="20"/>
              <w:spacing w:after="0" w:line="129" w:lineRule="exact"/>
              <w:rPr>
                <w:sz w:val="20"/>
                <w:szCs w:val="20"/>
                <w:color w:val="auto"/>
              </w:rPr>
            </w:pPr>
            <w:r>
              <w:rPr>
                <w:rFonts w:ascii="Arial" w:cs="Arial" w:eastAsia="Arial" w:hAnsi="Arial"/>
                <w:sz w:val="13"/>
                <w:szCs w:val="13"/>
                <w:color w:val="0000FF"/>
                <w:w w:val="82"/>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00" w:type="dxa"/>
            <w:vAlign w:val="bottom"/>
            <w:tcBorders>
              <w:bottom w:val="single" w:sz="8" w:color="0000FF"/>
            </w:tcBorders>
          </w:tcPr>
          <w:p>
            <w:pPr>
              <w:spacing w:after="0" w:line="140" w:lineRule="exact"/>
              <w:rPr>
                <w:sz w:val="20"/>
                <w:szCs w:val="20"/>
                <w:color w:val="auto"/>
              </w:rPr>
            </w:pPr>
            <w:r>
              <w:rPr>
                <w:rFonts w:ascii="Arial" w:cs="Arial" w:eastAsia="Arial" w:hAnsi="Arial"/>
                <w:sz w:val="13"/>
                <w:szCs w:val="13"/>
                <w:color w:val="0000FF"/>
                <w:w w:val="90"/>
              </w:rPr>
              <w:t>Item 2.</w:t>
            </w:r>
          </w:p>
        </w:tc>
        <w:tc>
          <w:tcPr>
            <w:tcW w:w="1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3460" w:type="dxa"/>
            <w:vAlign w:val="bottom"/>
            <w:tcBorders>
              <w:bottom w:val="single" w:sz="8" w:color="0000FF"/>
            </w:tcBorders>
            <w:gridSpan w:val="12"/>
          </w:tcPr>
          <w:p>
            <w:pPr>
              <w:spacing w:after="0" w:line="140" w:lineRule="exact"/>
              <w:rPr>
                <w:sz w:val="20"/>
                <w:szCs w:val="20"/>
                <w:color w:val="auto"/>
              </w:rPr>
            </w:pPr>
            <w:r>
              <w:rPr>
                <w:rFonts w:ascii="Arial" w:cs="Arial" w:eastAsia="Arial" w:hAnsi="Arial"/>
                <w:sz w:val="13"/>
                <w:szCs w:val="13"/>
                <w:color w:val="0000FF"/>
                <w:w w:val="98"/>
              </w:rPr>
              <w:t>Unregistered Sales of Equity Securities and Use of Proceeds</w:t>
            </w:r>
          </w:p>
        </w:tc>
        <w:tc>
          <w:tcPr>
            <w:tcW w:w="2960" w:type="dxa"/>
            <w:vAlign w:val="bottom"/>
            <w:gridSpan w:val="7"/>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bottom w:val="single" w:sz="8" w:color="0000FF"/>
            </w:tcBorders>
            <w:gridSpan w:val="3"/>
          </w:tcPr>
          <w:p>
            <w:pPr>
              <w:jc w:val="right"/>
              <w:ind w:right="20"/>
              <w:spacing w:after="0" w:line="140" w:lineRule="exact"/>
              <w:rPr>
                <w:sz w:val="20"/>
                <w:szCs w:val="20"/>
                <w:color w:val="auto"/>
              </w:rPr>
            </w:pPr>
            <w:r>
              <w:rPr>
                <w:rFonts w:ascii="Arial" w:cs="Arial" w:eastAsia="Arial" w:hAnsi="Arial"/>
                <w:sz w:val="13"/>
                <w:szCs w:val="13"/>
                <w:color w:val="0000FF"/>
                <w:w w:val="82"/>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3.</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tcBorders>
              <w:bottom w:val="single" w:sz="8" w:color="0000FF"/>
            </w:tcBorders>
            <w:gridSpan w:val="9"/>
          </w:tcPr>
          <w:p>
            <w:pPr>
              <w:spacing w:after="0" w:line="129" w:lineRule="exact"/>
              <w:rPr>
                <w:sz w:val="20"/>
                <w:szCs w:val="20"/>
                <w:color w:val="auto"/>
              </w:rPr>
            </w:pPr>
            <w:r>
              <w:rPr>
                <w:rFonts w:ascii="Arial" w:cs="Arial" w:eastAsia="Arial" w:hAnsi="Arial"/>
                <w:sz w:val="13"/>
                <w:szCs w:val="13"/>
                <w:color w:val="0000FF"/>
                <w:w w:val="99"/>
              </w:rPr>
              <w:t>Defaults Upon Senior Securities</w:t>
            </w:r>
          </w:p>
        </w:tc>
        <w:tc>
          <w:tcPr>
            <w:tcW w:w="4540" w:type="dxa"/>
            <w:vAlign w:val="bottom"/>
            <w:gridSpan w:val="10"/>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0000FF"/>
            </w:tcBorders>
            <w:gridSpan w:val="3"/>
          </w:tcPr>
          <w:p>
            <w:pPr>
              <w:jc w:val="right"/>
              <w:ind w:right="20"/>
              <w:spacing w:after="0" w:line="129" w:lineRule="exact"/>
              <w:rPr>
                <w:sz w:val="20"/>
                <w:szCs w:val="20"/>
                <w:color w:val="auto"/>
              </w:rPr>
            </w:pPr>
            <w:r>
              <w:rPr>
                <w:rFonts w:ascii="Arial" w:cs="Arial" w:eastAsia="Arial" w:hAnsi="Arial"/>
                <w:sz w:val="13"/>
                <w:szCs w:val="13"/>
                <w:color w:val="0000FF"/>
                <w:w w:val="82"/>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60" w:type="dxa"/>
            <w:vAlign w:val="bottom"/>
            <w:gridSpan w:val="4"/>
          </w:tcPr>
          <w:p>
            <w:pPr>
              <w:spacing w:after="0" w:line="129" w:lineRule="exact"/>
              <w:rPr>
                <w:sz w:val="20"/>
                <w:szCs w:val="20"/>
                <w:color w:val="auto"/>
              </w:rPr>
            </w:pPr>
            <w:r>
              <w:rPr>
                <w:rFonts w:ascii="Arial" w:cs="Arial" w:eastAsia="Arial" w:hAnsi="Arial"/>
                <w:sz w:val="13"/>
                <w:szCs w:val="13"/>
                <w:color w:val="0000FF"/>
              </w:rPr>
              <w:t>Item 4.</w:t>
            </w:r>
          </w:p>
        </w:tc>
        <w:tc>
          <w:tcPr>
            <w:tcW w:w="6500" w:type="dxa"/>
            <w:vAlign w:val="bottom"/>
            <w:gridSpan w:val="20"/>
          </w:tcPr>
          <w:p>
            <w:pPr>
              <w:ind w:left="80"/>
              <w:spacing w:after="0" w:line="129" w:lineRule="exact"/>
              <w:rPr>
                <w:sz w:val="20"/>
                <w:szCs w:val="20"/>
                <w:color w:val="auto"/>
              </w:rPr>
            </w:pPr>
            <w:r>
              <w:rPr>
                <w:rFonts w:ascii="Arial" w:cs="Arial" w:eastAsia="Arial" w:hAnsi="Arial"/>
                <w:sz w:val="13"/>
                <w:szCs w:val="13"/>
                <w:color w:val="0000FF"/>
              </w:rPr>
              <w:t>Mine Safety Disclosures</w:t>
            </w:r>
          </w:p>
        </w:tc>
        <w:tc>
          <w:tcPr>
            <w:tcW w:w="660" w:type="dxa"/>
            <w:vAlign w:val="bottom"/>
            <w:gridSpan w:val="5"/>
          </w:tcPr>
          <w:p>
            <w:pPr>
              <w:jc w:val="right"/>
              <w:ind w:right="40"/>
              <w:spacing w:after="0" w:line="129" w:lineRule="exact"/>
              <w:rPr>
                <w:sz w:val="20"/>
                <w:szCs w:val="20"/>
                <w:color w:val="auto"/>
              </w:rPr>
            </w:pPr>
            <w:r>
              <w:rPr>
                <w:rFonts w:ascii="Arial" w:cs="Arial" w:eastAsia="Arial" w:hAnsi="Arial"/>
                <w:sz w:val="13"/>
                <w:szCs w:val="13"/>
                <w:color w:val="0000FF"/>
              </w:rPr>
              <w:t>53</w:t>
            </w:r>
          </w:p>
        </w:tc>
        <w:tc>
          <w:tcPr>
            <w:tcW w:w="0" w:type="dxa"/>
            <w:vAlign w:val="bottom"/>
          </w:tcPr>
          <w:p>
            <w:pPr>
              <w:spacing w:after="0"/>
              <w:rPr>
                <w:sz w:val="1"/>
                <w:szCs w:val="1"/>
                <w:color w:val="auto"/>
              </w:rPr>
            </w:pPr>
          </w:p>
        </w:tc>
      </w:tr>
      <w:tr>
        <w:trPr>
          <w:trHeight w:val="119"/>
        </w:trPr>
        <w:tc>
          <w:tcPr>
            <w:tcW w:w="400" w:type="dxa"/>
            <w:vAlign w:val="bottom"/>
            <w:tcBorders>
              <w:top w:val="single" w:sz="8" w:color="0000FF"/>
              <w:bottom w:val="single" w:sz="8" w:color="0000FF"/>
            </w:tcBorders>
          </w:tcPr>
          <w:p>
            <w:pPr>
              <w:spacing w:after="0" w:line="119" w:lineRule="exact"/>
              <w:rPr>
                <w:sz w:val="20"/>
                <w:szCs w:val="20"/>
                <w:color w:val="auto"/>
              </w:rPr>
            </w:pPr>
            <w:r>
              <w:rPr>
                <w:rFonts w:ascii="Arial" w:cs="Arial" w:eastAsia="Arial" w:hAnsi="Arial"/>
                <w:sz w:val="13"/>
                <w:szCs w:val="13"/>
                <w:color w:val="0000FF"/>
                <w:w w:val="90"/>
              </w:rPr>
              <w:t>Item 5.</w:t>
            </w:r>
          </w:p>
        </w:tc>
        <w:tc>
          <w:tcPr>
            <w:tcW w:w="16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top w:val="single" w:sz="8" w:color="0000FF"/>
              <w:bottom w:val="single" w:sz="8" w:color="0000FF"/>
            </w:tcBorders>
            <w:gridSpan w:val="5"/>
          </w:tcPr>
          <w:p>
            <w:pPr>
              <w:spacing w:after="0" w:line="119" w:lineRule="exact"/>
              <w:rPr>
                <w:sz w:val="20"/>
                <w:szCs w:val="20"/>
                <w:color w:val="auto"/>
              </w:rPr>
            </w:pPr>
            <w:r>
              <w:rPr>
                <w:rFonts w:ascii="Arial" w:cs="Arial" w:eastAsia="Arial" w:hAnsi="Arial"/>
                <w:sz w:val="13"/>
                <w:szCs w:val="13"/>
                <w:color w:val="0000FF"/>
              </w:rPr>
              <w:t>Other Information</w:t>
            </w:r>
          </w:p>
        </w:tc>
        <w:tc>
          <w:tcPr>
            <w:tcW w:w="320" w:type="dxa"/>
            <w:vAlign w:val="bottom"/>
            <w:tcBorders>
              <w:top w:val="single" w:sz="8" w:color="0000FF"/>
            </w:tcBorders>
            <w:gridSpan w:val="2"/>
          </w:tcPr>
          <w:p>
            <w:pPr>
              <w:spacing w:after="0"/>
              <w:rPr>
                <w:sz w:val="10"/>
                <w:szCs w:val="10"/>
                <w:color w:val="auto"/>
              </w:rPr>
            </w:pPr>
          </w:p>
        </w:tc>
        <w:tc>
          <w:tcPr>
            <w:tcW w:w="5040" w:type="dxa"/>
            <w:vAlign w:val="bottom"/>
            <w:gridSpan w:val="12"/>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top w:val="single" w:sz="8" w:color="0000FF"/>
              <w:bottom w:val="single" w:sz="8" w:color="0000FF"/>
            </w:tcBorders>
            <w:gridSpan w:val="3"/>
          </w:tcPr>
          <w:p>
            <w:pPr>
              <w:jc w:val="right"/>
              <w:ind w:right="20"/>
              <w:spacing w:after="0" w:line="119" w:lineRule="exact"/>
              <w:rPr>
                <w:sz w:val="20"/>
                <w:szCs w:val="20"/>
                <w:color w:val="auto"/>
              </w:rPr>
            </w:pPr>
            <w:r>
              <w:rPr>
                <w:rFonts w:ascii="Arial" w:cs="Arial" w:eastAsia="Arial" w:hAnsi="Arial"/>
                <w:sz w:val="13"/>
                <w:szCs w:val="13"/>
                <w:color w:val="0000FF"/>
                <w:w w:val="82"/>
              </w:rPr>
              <w:t>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Borders>
              <w:bottom w:val="single" w:sz="8" w:color="0000FF"/>
            </w:tcBorders>
          </w:tcPr>
          <w:p>
            <w:pPr>
              <w:spacing w:after="0" w:line="129" w:lineRule="exact"/>
              <w:rPr>
                <w:sz w:val="20"/>
                <w:szCs w:val="20"/>
                <w:color w:val="auto"/>
              </w:rPr>
            </w:pPr>
            <w:r>
              <w:rPr>
                <w:rFonts w:ascii="Arial" w:cs="Arial" w:eastAsia="Arial" w:hAnsi="Arial"/>
                <w:sz w:val="13"/>
                <w:szCs w:val="13"/>
                <w:color w:val="0000FF"/>
                <w:w w:val="90"/>
              </w:rPr>
              <w:t>Item 6.</w:t>
            </w:r>
          </w:p>
        </w:tc>
        <w:tc>
          <w:tcPr>
            <w:tcW w:w="16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bottom w:val="single" w:sz="8" w:color="0000FF"/>
            </w:tcBorders>
            <w:gridSpan w:val="3"/>
          </w:tcPr>
          <w:p>
            <w:pPr>
              <w:spacing w:after="0" w:line="129" w:lineRule="exact"/>
              <w:rPr>
                <w:sz w:val="20"/>
                <w:szCs w:val="20"/>
                <w:color w:val="auto"/>
              </w:rPr>
            </w:pPr>
            <w:r>
              <w:rPr>
                <w:rFonts w:ascii="Arial" w:cs="Arial" w:eastAsia="Arial" w:hAnsi="Arial"/>
                <w:sz w:val="13"/>
                <w:szCs w:val="13"/>
                <w:color w:val="0000FF"/>
                <w:w w:val="96"/>
              </w:rPr>
              <w:t>Exhibit Index</w:t>
            </w:r>
          </w:p>
        </w:tc>
        <w:tc>
          <w:tcPr>
            <w:tcW w:w="5680" w:type="dxa"/>
            <w:vAlign w:val="bottom"/>
            <w:gridSpan w:val="16"/>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0000FF"/>
            </w:tcBorders>
            <w:gridSpan w:val="3"/>
          </w:tcPr>
          <w:p>
            <w:pPr>
              <w:jc w:val="right"/>
              <w:ind w:right="20"/>
              <w:spacing w:after="0" w:line="129" w:lineRule="exact"/>
              <w:rPr>
                <w:sz w:val="20"/>
                <w:szCs w:val="20"/>
                <w:color w:val="auto"/>
              </w:rPr>
            </w:pPr>
            <w:r>
              <w:rPr>
                <w:rFonts w:ascii="Arial" w:cs="Arial" w:eastAsia="Arial" w:hAnsi="Arial"/>
                <w:sz w:val="13"/>
                <w:szCs w:val="13"/>
                <w:color w:val="0000FF"/>
                <w:w w:val="82"/>
              </w:rPr>
              <w:t>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300"/>
        <w:spacing w:after="0"/>
        <w:rPr>
          <w:sz w:val="20"/>
          <w:szCs w:val="20"/>
          <w:color w:val="auto"/>
        </w:rPr>
      </w:pPr>
      <w:r>
        <w:rPr>
          <w:rFonts w:ascii="Arial" w:cs="Arial" w:eastAsia="Arial" w:hAnsi="Arial"/>
          <w:sz w:val="13"/>
          <w:szCs w:val="13"/>
          <w:u w:val="single" w:color="auto"/>
          <w:color w:val="0000FF"/>
        </w:rPr>
        <w:t>Signatures</w:t>
      </w:r>
    </w:p>
    <w:p>
      <w:pPr>
        <w:sectPr>
          <w:pgSz w:w="11900" w:h="16838" w:orient="portrait"/>
          <w:cols w:equalWidth="0" w:num="1">
            <w:col w:w="9019"/>
          </w:cols>
          <w:pgMar w:left="1440" w:top="1440" w:right="1440" w:bottom="1440" w:gutter="0" w:footer="0" w:header="0"/>
        </w:sectPr>
      </w:pPr>
    </w:p>
    <w:bookmarkStart w:id="2" w:name="page3"/>
    <w:bookmarkEnd w:id="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PART I</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USCB FINANCIAL HOLDINGS, INC</w:t>
      </w:r>
    </w:p>
    <w:p>
      <w:pPr>
        <w:ind w:left="3180"/>
        <w:spacing w:after="0"/>
        <w:rPr>
          <w:sz w:val="20"/>
          <w:szCs w:val="20"/>
          <w:color w:val="auto"/>
        </w:rPr>
      </w:pPr>
      <w:r>
        <w:rPr>
          <w:rFonts w:ascii="Arial" w:cs="Arial" w:eastAsia="Arial" w:hAnsi="Arial"/>
          <w:sz w:val="14"/>
          <w:szCs w:val="14"/>
          <w:color w:val="auto"/>
        </w:rPr>
        <w:t>Consolidated Balance Sheets – Unaudited</w:t>
      </w:r>
    </w:p>
    <w:p>
      <w:pPr>
        <w:ind w:left="3200"/>
        <w:spacing w:after="0"/>
        <w:rPr>
          <w:sz w:val="20"/>
          <w:szCs w:val="20"/>
          <w:color w:val="auto"/>
        </w:rPr>
      </w:pPr>
      <w:r>
        <w:rPr>
          <w:rFonts w:ascii="Arial" w:cs="Arial" w:eastAsia="Arial" w:hAnsi="Arial"/>
          <w:sz w:val="14"/>
          <w:szCs w:val="14"/>
          <w:color w:val="auto"/>
        </w:rPr>
        <w:t>(Dollars in thousands, except share data)</w:t>
      </w:r>
    </w:p>
    <w:p>
      <w:pPr>
        <w:spacing w:after="0" w:line="11" w:lineRule="exact"/>
        <w:rPr>
          <w:sz w:val="20"/>
          <w:szCs w:val="20"/>
          <w:color w:val="auto"/>
        </w:rPr>
      </w:pPr>
    </w:p>
    <w:tbl>
      <w:tblPr>
        <w:tblLayout w:type="fixed"/>
        <w:tblInd w:w="660" w:type="dxa"/>
        <w:tblCellMar>
          <w:top w:w="0" w:type="dxa"/>
          <w:left w:w="0" w:type="dxa"/>
          <w:bottom w:w="0" w:type="dxa"/>
          <w:right w:w="0" w:type="dxa"/>
        </w:tblCellMar>
      </w:tblPr>
      <w:tr>
        <w:trPr>
          <w:trHeight w:val="127"/>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September 30, 2025</w:t>
            </w:r>
          </w:p>
        </w:tc>
        <w:tc>
          <w:tcPr>
            <w:tcW w:w="100" w:type="dxa"/>
            <w:vAlign w:val="bottom"/>
          </w:tcPr>
          <w:p>
            <w:pPr>
              <w:spacing w:after="0"/>
              <w:rPr>
                <w:sz w:val="11"/>
                <w:szCs w:val="11"/>
                <w:color w:val="auto"/>
              </w:rPr>
            </w:pPr>
          </w:p>
        </w:tc>
        <w:tc>
          <w:tcPr>
            <w:tcW w:w="1180" w:type="dxa"/>
            <w:vAlign w:val="bottom"/>
          </w:tcPr>
          <w:p>
            <w:pPr>
              <w:jc w:val="right"/>
              <w:ind w:right="63"/>
              <w:spacing w:after="0"/>
              <w:rPr>
                <w:sz w:val="20"/>
                <w:szCs w:val="20"/>
                <w:color w:val="auto"/>
              </w:rPr>
            </w:pPr>
            <w:r>
              <w:rPr>
                <w:rFonts w:ascii="Arial" w:cs="Arial" w:eastAsia="Arial" w:hAnsi="Arial"/>
                <w:sz w:val="11"/>
                <w:szCs w:val="11"/>
                <w:b w:val="1"/>
                <w:bCs w:val="1"/>
                <w:color w:val="auto"/>
              </w:rPr>
              <w:t>December 31, 2024</w:t>
            </w:r>
          </w:p>
        </w:tc>
      </w:tr>
      <w:tr>
        <w:trPr>
          <w:trHeight w:val="14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1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9,988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6,986</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1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46,823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70,049</w:t>
            </w:r>
          </w:p>
        </w:tc>
      </w:tr>
      <w:tr>
        <w:trPr>
          <w:trHeight w:val="140"/>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56,811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77,035</w:t>
            </w:r>
          </w:p>
        </w:tc>
      </w:tr>
      <w:tr>
        <w:trPr>
          <w:trHeight w:val="17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net of allowance of $5 and $6, respectively (fair value of</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$143,299 and $145,540, respectively)</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156,365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164,694</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324,179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260,221</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9,379</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$24,964 and $24,070, respectively</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2,106,002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1,948,778</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12,126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10,945</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4,315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4,563</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58,923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53,472</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assets, net</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19,457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29,646</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8,451</w:t>
            </w: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assets</w:t>
            </w: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21,157</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14,032</w:t>
            </w:r>
          </w:p>
        </w:tc>
      </w:tr>
      <w:tr>
        <w:trPr>
          <w:trHeight w:val="15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2,767,945</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2,581,216</w:t>
            </w:r>
          </w:p>
        </w:tc>
      </w:tr>
      <w:tr>
        <w:trPr>
          <w:trHeight w:val="20"/>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 bearing demand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584,240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575,159</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Savings and money market deposits</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1,291,283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1,180,809</w:t>
            </w: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demand deposits</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60,016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50,648</w:t>
            </w:r>
          </w:p>
        </w:tc>
      </w:tr>
      <w:tr>
        <w:trPr>
          <w:trHeight w:val="160"/>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Time deposits</w:t>
            </w: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520,075</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367,388</w:t>
            </w:r>
          </w:p>
        </w:tc>
      </w:tr>
      <w:tr>
        <w:trPr>
          <w:trHeight w:val="14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deposits</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2,455,614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2,174,004</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Federal Home Loan Bank advances</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11,000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163,000</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Subordinated notes</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39,262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Lease liability</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6,282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8,451</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and other liabilities</w:t>
            </w:r>
          </w:p>
        </w:tc>
        <w:tc>
          <w:tcPr>
            <w:tcW w:w="1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46,692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20,373</w:t>
            </w:r>
          </w:p>
        </w:tc>
      </w:tr>
      <w:tr>
        <w:trPr>
          <w:trHeight w:val="140"/>
        </w:trPr>
        <w:tc>
          <w:tcPr>
            <w:tcW w:w="5240" w:type="dxa"/>
            <w:vAlign w:val="bottom"/>
          </w:tcPr>
          <w:p>
            <w:pPr>
              <w:ind w:left="100"/>
              <w:spacing w:after="0"/>
              <w:rPr>
                <w:sz w:val="20"/>
                <w:szCs w:val="20"/>
                <w:color w:val="auto"/>
              </w:rPr>
            </w:pPr>
            <w:r>
              <w:rPr>
                <w:rFonts w:ascii="Arial" w:cs="Arial" w:eastAsia="Arial" w:hAnsi="Arial"/>
                <w:sz w:val="11"/>
                <w:szCs w:val="11"/>
                <w:color w:val="auto"/>
              </w:rPr>
              <w:t>Total liabilities</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2,558,850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2,365,828</w:t>
            </w:r>
          </w:p>
        </w:tc>
      </w:tr>
      <w:tr>
        <w:trPr>
          <w:trHeight w:val="96"/>
        </w:trPr>
        <w:tc>
          <w:tcPr>
            <w:tcW w:w="5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b w:val="1"/>
                <w:bCs w:val="1"/>
                <w:color w:val="auto"/>
              </w:rPr>
              <w:t>Commitments and contingencies (See Notes 5 and 10)</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85"/>
        </w:trPr>
        <w:tc>
          <w:tcPr>
            <w:tcW w:w="5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b w:val="1"/>
                <w:bCs w:val="1"/>
                <w:color w:val="auto"/>
              </w:rPr>
              <w:t>STOCKHOLDERS' EQUITY:</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35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and 0 issued and outstanding as of September 30, 2025and December 31, 2024</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345"/>
        </w:trPr>
        <w:tc>
          <w:tcPr>
            <w:tcW w:w="5240" w:type="dxa"/>
            <w:vAlign w:val="bottom"/>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authorized; 0 and 0 issued and outstanding as of September 30, 2025and December 31, 2024</w:t>
            </w:r>
          </w:p>
        </w:tc>
        <w:tc>
          <w:tcPr>
            <w:tcW w:w="1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5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and 0 issued and outstanding as of September 30, 2025and December 31, 2024</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85"/>
        </w:trPr>
        <w:tc>
          <w:tcPr>
            <w:tcW w:w="5340" w:type="dxa"/>
            <w:vAlign w:val="bottom"/>
            <w:gridSpan w:val="2"/>
          </w:tcPr>
          <w:p>
            <w:pPr>
              <w:spacing w:after="0"/>
              <w:rPr>
                <w:sz w:val="20"/>
                <w:szCs w:val="20"/>
                <w:color w:val="auto"/>
              </w:rPr>
            </w:pPr>
            <w:r>
              <w:rPr>
                <w:rFonts w:ascii="Arial" w:cs="Arial" w:eastAsia="Arial" w:hAnsi="Arial"/>
                <w:sz w:val="11"/>
                <w:szCs w:val="11"/>
                <w:color w:val="auto"/>
              </w:rPr>
              <w:t>Common stock - Class A Voting; $1.00 par value; 45,000,000 shares authorized; 18,107,385 issued and</w:t>
            </w: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46"/>
        </w:trPr>
        <w:tc>
          <w:tcPr>
            <w:tcW w:w="5240" w:type="dxa"/>
            <w:vAlign w:val="bottom"/>
          </w:tcPr>
          <w:p>
            <w:pPr>
              <w:spacing w:after="0"/>
              <w:rPr>
                <w:sz w:val="20"/>
                <w:szCs w:val="20"/>
                <w:color w:val="auto"/>
              </w:rPr>
            </w:pPr>
            <w:r>
              <w:rPr>
                <w:rFonts w:ascii="Arial" w:cs="Arial" w:eastAsia="Arial" w:hAnsi="Arial"/>
                <w:sz w:val="11"/>
                <w:szCs w:val="11"/>
                <w:color w:val="auto"/>
              </w:rPr>
              <w:t>outstanding as of September 30, 2025, 19,924,632 issued and outstanding as of December 31, 2024</w:t>
            </w: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18,107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19,925</w:t>
            </w:r>
          </w:p>
        </w:tc>
      </w:tr>
      <w:tr>
        <w:trPr>
          <w:trHeight w:val="181"/>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Common stock - Class B Non-voting; $1.00 par value; 8,000,000 shares authorized; 0 and 0 issued and</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outstanding as of September 30, 2025 and December 31, 2024</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Additional paid-in capital on common stock</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277,888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307,810</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deficit</w:t>
            </w:r>
          </w:p>
        </w:tc>
        <w:tc>
          <w:tcPr>
            <w:tcW w:w="10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(49,094)</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(67,813)</w:t>
            </w: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Accumulated other comprehensive loss</w:t>
            </w:r>
          </w:p>
        </w:tc>
        <w:tc>
          <w:tcPr>
            <w:tcW w:w="100" w:type="dxa"/>
            <w:vAlign w:val="bottom"/>
          </w:tcPr>
          <w:p>
            <w:pPr>
              <w:spacing w:after="0"/>
              <w:rPr>
                <w:sz w:val="13"/>
                <w:szCs w:val="13"/>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1"/>
                <w:szCs w:val="11"/>
                <w:color w:val="auto"/>
              </w:rPr>
              <w:t>(37,806)</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(44,534)</w:t>
            </w:r>
          </w:p>
        </w:tc>
      </w:tr>
      <w:tr>
        <w:trPr>
          <w:trHeight w:val="140"/>
        </w:trPr>
        <w:tc>
          <w:tcPr>
            <w:tcW w:w="5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209,095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215,388</w:t>
            </w:r>
          </w:p>
        </w:tc>
      </w:tr>
      <w:tr>
        <w:trPr>
          <w:trHeight w:val="151"/>
        </w:trPr>
        <w:tc>
          <w:tcPr>
            <w:tcW w:w="5240" w:type="dxa"/>
            <w:vAlign w:val="bottom"/>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2,767,945</w:t>
            </w: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2,581,216</w:t>
            </w:r>
          </w:p>
        </w:tc>
      </w:tr>
      <w:tr>
        <w:trPr>
          <w:trHeight w:val="20"/>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Operations - Unaudited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80" w:type="dxa"/>
            <w:vAlign w:val="bottom"/>
            <w:gridSpan w:val="9"/>
          </w:tcPr>
          <w:p>
            <w:pPr>
              <w:spacing w:after="0"/>
              <w:rPr>
                <w:sz w:val="20"/>
                <w:szCs w:val="20"/>
                <w:color w:val="auto"/>
              </w:rPr>
            </w:pPr>
            <w:r>
              <w:rPr>
                <w:rFonts w:ascii="Arial" w:cs="Arial" w:eastAsia="Arial" w:hAnsi="Arial"/>
                <w:sz w:val="11"/>
                <w:szCs w:val="11"/>
                <w:b w:val="1"/>
                <w:bCs w:val="1"/>
                <w:color w:val="auto"/>
              </w:rPr>
              <w:t>Three Months Ended September 30,</w:t>
            </w:r>
          </w:p>
        </w:tc>
        <w:tc>
          <w:tcPr>
            <w:tcW w:w="20" w:type="dxa"/>
            <w:vAlign w:val="bottom"/>
          </w:tcPr>
          <w:p>
            <w:pPr>
              <w:spacing w:after="0"/>
              <w:rPr>
                <w:sz w:val="11"/>
                <w:szCs w:val="11"/>
                <w:color w:val="auto"/>
              </w:rPr>
            </w:pPr>
          </w:p>
        </w:tc>
        <w:tc>
          <w:tcPr>
            <w:tcW w:w="1940" w:type="dxa"/>
            <w:vAlign w:val="bottom"/>
            <w:gridSpan w:val="6"/>
          </w:tcPr>
          <w:p>
            <w:pPr>
              <w:jc w:val="right"/>
              <w:spacing w:after="0"/>
              <w:rPr>
                <w:sz w:val="20"/>
                <w:szCs w:val="20"/>
                <w:color w:val="auto"/>
              </w:rPr>
            </w:pPr>
            <w:r>
              <w:rPr>
                <w:rFonts w:ascii="Arial" w:cs="Arial" w:eastAsia="Arial" w:hAnsi="Arial"/>
                <w:sz w:val="11"/>
                <w:szCs w:val="11"/>
                <w:b w:val="1"/>
                <w:bCs w:val="1"/>
                <w:color w:val="auto"/>
              </w:rPr>
              <w:t>Nine Months Ended September 30,</w:t>
            </w:r>
          </w:p>
        </w:tc>
      </w:tr>
      <w:tr>
        <w:trPr>
          <w:trHeight w:val="151"/>
        </w:trPr>
        <w:tc>
          <w:tcPr>
            <w:tcW w:w="33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2025</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2024</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2024</w:t>
            </w:r>
          </w:p>
        </w:tc>
      </w:tr>
      <w:tr>
        <w:trPr>
          <w:trHeight w:val="151"/>
        </w:trPr>
        <w:tc>
          <w:tcPr>
            <w:tcW w:w="33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1"/>
        </w:trPr>
        <w:tc>
          <w:tcPr>
            <w:tcW w:w="334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180" w:type="dxa"/>
            <w:vAlign w:val="bottom"/>
            <w:gridSpan w:val="2"/>
          </w:tcPr>
          <w:p>
            <w:pPr>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32,866</w:t>
            </w:r>
          </w:p>
        </w:tc>
        <w:tc>
          <w:tcPr>
            <w:tcW w:w="20" w:type="dxa"/>
            <w:vAlign w:val="bottom"/>
          </w:tcPr>
          <w:p>
            <w:pPr>
              <w:spacing w:after="0"/>
              <w:rPr>
                <w:sz w:val="14"/>
                <w:szCs w:val="14"/>
                <w:color w:val="auto"/>
              </w:rPr>
            </w:pP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29,819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jc w:val="right"/>
              <w:ind w:right="4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95,057</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84,479</w:t>
            </w:r>
          </w:p>
        </w:tc>
      </w:tr>
      <w:tr>
        <w:trPr>
          <w:trHeight w:val="171"/>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3,522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9,978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8,634</w:t>
            </w:r>
          </w:p>
        </w:tc>
      </w:tr>
      <w:tr>
        <w:trPr>
          <w:trHeight w:val="171"/>
        </w:trPr>
        <w:tc>
          <w:tcPr>
            <w:tcW w:w="33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1,332</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989</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3,953</w:t>
            </w:r>
          </w:p>
        </w:tc>
      </w:tr>
      <w:tr>
        <w:trPr>
          <w:trHeight w:val="151"/>
        </w:trPr>
        <w:tc>
          <w:tcPr>
            <w:tcW w:w="3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income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37,720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33,562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107,852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97,066</w:t>
            </w:r>
          </w:p>
        </w:tc>
      </w:tr>
      <w:tr>
        <w:trPr>
          <w:trHeight w:val="171"/>
        </w:trPr>
        <w:tc>
          <w:tcPr>
            <w:tcW w:w="334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demand deposits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1,171</w:t>
            </w:r>
          </w:p>
        </w:tc>
      </w:tr>
      <w:tr>
        <w:trPr>
          <w:trHeight w:val="171"/>
        </w:trPr>
        <w:tc>
          <w:tcPr>
            <w:tcW w:w="3340" w:type="dxa"/>
            <w:vAlign w:val="bottom"/>
          </w:tcPr>
          <w:p>
            <w:pPr>
              <w:ind w:left="100"/>
              <w:spacing w:after="0"/>
              <w:rPr>
                <w:sz w:val="20"/>
                <w:szCs w:val="20"/>
                <w:color w:val="auto"/>
              </w:rPr>
            </w:pPr>
            <w:r>
              <w:rPr>
                <w:rFonts w:ascii="Arial" w:cs="Arial" w:eastAsia="Arial" w:hAnsi="Arial"/>
                <w:sz w:val="11"/>
                <w:szCs w:val="11"/>
                <w:color w:val="auto"/>
              </w:rPr>
              <w:t>Savings and money market deposits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10,343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10,064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29,088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30,529</w:t>
            </w:r>
          </w:p>
        </w:tc>
      </w:tr>
      <w:tr>
        <w:trPr>
          <w:trHeight w:val="171"/>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13,297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9,907</w:t>
            </w:r>
          </w:p>
        </w:tc>
      </w:tr>
      <w:tr>
        <w:trPr>
          <w:trHeight w:val="171"/>
        </w:trPr>
        <w:tc>
          <w:tcPr>
            <w:tcW w:w="3340" w:type="dxa"/>
            <w:vAlign w:val="bottom"/>
          </w:tcPr>
          <w:p>
            <w:pPr>
              <w:ind w:left="100"/>
              <w:spacing w:after="0"/>
              <w:rPr>
                <w:sz w:val="20"/>
                <w:szCs w:val="20"/>
                <w:color w:val="auto"/>
              </w:rPr>
            </w:pPr>
            <w:r>
              <w:rPr>
                <w:rFonts w:ascii="Arial" w:cs="Arial" w:eastAsia="Arial" w:hAnsi="Arial"/>
                <w:sz w:val="11"/>
                <w:szCs w:val="11"/>
                <w:color w:val="auto"/>
              </w:rPr>
              <w:t>Federal Home Loan Bank advances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377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1,587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2,731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4,881</w:t>
            </w:r>
          </w:p>
        </w:tc>
      </w:tr>
      <w:tr>
        <w:trPr>
          <w:trHeight w:val="171"/>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Subordinated notes</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404</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1"/>
        </w:trPr>
        <w:tc>
          <w:tcPr>
            <w:tcW w:w="33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Total interest expense</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16,446</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15,453</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46,429</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46,488</w:t>
            </w:r>
          </w:p>
        </w:tc>
      </w:tr>
      <w:tr>
        <w:trPr>
          <w:trHeight w:val="151"/>
        </w:trPr>
        <w:tc>
          <w:tcPr>
            <w:tcW w:w="3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interest income before provision for credit losses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21,274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18,109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61,423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50,578</w:t>
            </w:r>
          </w:p>
        </w:tc>
      </w:tr>
      <w:tr>
        <w:trPr>
          <w:trHeight w:val="171"/>
        </w:trPr>
        <w:tc>
          <w:tcPr>
            <w:tcW w:w="33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931</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1,817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2,127</w:t>
            </w:r>
          </w:p>
        </w:tc>
      </w:tr>
      <w:tr>
        <w:trPr>
          <w:trHeight w:val="151"/>
        </w:trPr>
        <w:tc>
          <w:tcPr>
            <w:tcW w:w="3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21,169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17,178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59,606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48,451</w:t>
            </w:r>
          </w:p>
        </w:tc>
      </w:tr>
      <w:tr>
        <w:trPr>
          <w:trHeight w:val="171"/>
        </w:trPr>
        <w:tc>
          <w:tcPr>
            <w:tcW w:w="3340" w:type="dxa"/>
            <w:vAlign w:val="bottom"/>
          </w:tcPr>
          <w:p>
            <w:pPr>
              <w:spacing w:after="0"/>
              <w:rPr>
                <w:sz w:val="20"/>
                <w:szCs w:val="20"/>
                <w:color w:val="auto"/>
              </w:rPr>
            </w:pPr>
            <w:r>
              <w:rPr>
                <w:rFonts w:ascii="Arial" w:cs="Arial" w:eastAsia="Arial" w:hAnsi="Arial"/>
                <w:sz w:val="11"/>
                <w:szCs w:val="11"/>
                <w:b w:val="1"/>
                <w:bCs w:val="1"/>
                <w:color w:val="auto"/>
              </w:rPr>
              <w:t>Non-interest income: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7,394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6,172</w:t>
            </w:r>
          </w:p>
        </w:tc>
      </w:tr>
      <w:tr>
        <w:trPr>
          <w:trHeight w:val="171"/>
        </w:trPr>
        <w:tc>
          <w:tcPr>
            <w:tcW w:w="3340" w:type="dxa"/>
            <w:vAlign w:val="bottom"/>
          </w:tcPr>
          <w:p>
            <w:pPr>
              <w:ind w:left="100"/>
              <w:spacing w:after="0"/>
              <w:rPr>
                <w:sz w:val="20"/>
                <w:szCs w:val="20"/>
                <w:color w:val="auto"/>
              </w:rPr>
            </w:pPr>
            <w:r>
              <w:rPr>
                <w:rFonts w:ascii="Arial" w:cs="Arial" w:eastAsia="Arial" w:hAnsi="Arial"/>
                <w:sz w:val="11"/>
                <w:szCs w:val="11"/>
                <w:color w:val="auto"/>
              </w:rPr>
              <w:t>(Loss) gain on sale of securities available for sale, net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71"/>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593</w:t>
            </w:r>
          </w:p>
        </w:tc>
      </w:tr>
      <w:tr>
        <w:trPr>
          <w:trHeight w:val="171"/>
        </w:trPr>
        <w:tc>
          <w:tcPr>
            <w:tcW w:w="33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non-interest income</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923</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785</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2,334</w:t>
            </w:r>
          </w:p>
        </w:tc>
      </w:tr>
      <w:tr>
        <w:trPr>
          <w:trHeight w:val="151"/>
        </w:trPr>
        <w:tc>
          <w:tcPr>
            <w:tcW w:w="3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non-interest income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10,770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9,113</w:t>
            </w:r>
          </w:p>
        </w:tc>
      </w:tr>
      <w:tr>
        <w:trPr>
          <w:trHeight w:val="171"/>
        </w:trPr>
        <w:tc>
          <w:tcPr>
            <w:tcW w:w="3340" w:type="dxa"/>
            <w:vAlign w:val="bottom"/>
          </w:tcPr>
          <w:p>
            <w:pPr>
              <w:spacing w:after="0"/>
              <w:rPr>
                <w:sz w:val="20"/>
                <w:szCs w:val="20"/>
                <w:color w:val="auto"/>
              </w:rPr>
            </w:pPr>
            <w:r>
              <w:rPr>
                <w:rFonts w:ascii="Arial" w:cs="Arial" w:eastAsia="Arial" w:hAnsi="Arial"/>
                <w:sz w:val="11"/>
                <w:szCs w:val="11"/>
                <w:b w:val="1"/>
                <w:bCs w:val="1"/>
                <w:color w:val="auto"/>
              </w:rPr>
              <w:t>Non-interest expense: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7,909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23,499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20,863</w:t>
            </w:r>
          </w:p>
        </w:tc>
      </w:tr>
      <w:tr>
        <w:trPr>
          <w:trHeight w:val="171"/>
        </w:trPr>
        <w:tc>
          <w:tcPr>
            <w:tcW w:w="3340" w:type="dxa"/>
            <w:vAlign w:val="bottom"/>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1,382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1,341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4,003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3,921</w:t>
            </w:r>
          </w:p>
        </w:tc>
      </w:tr>
      <w:tr>
        <w:trPr>
          <w:trHeight w:val="171"/>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Regulatory assessments and fees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1,361</w:t>
            </w:r>
          </w:p>
        </w:tc>
      </w:tr>
      <w:tr>
        <w:trPr>
          <w:trHeight w:val="171"/>
        </w:trPr>
        <w:tc>
          <w:tcPr>
            <w:tcW w:w="3340" w:type="dxa"/>
            <w:vAlign w:val="bottom"/>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585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1,041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1,016</w:t>
            </w:r>
          </w:p>
        </w:tc>
      </w:tr>
      <w:tr>
        <w:trPr>
          <w:trHeight w:val="171"/>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1,499</w:t>
            </w:r>
          </w:p>
        </w:tc>
      </w:tr>
      <w:tr>
        <w:trPr>
          <w:trHeight w:val="171"/>
        </w:trPr>
        <w:tc>
          <w:tcPr>
            <w:tcW w:w="33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operating expense</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2,139</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1,787</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6,272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5,528</w:t>
            </w:r>
          </w:p>
        </w:tc>
      </w:tr>
      <w:tr>
        <w:trPr>
          <w:trHeight w:val="151"/>
        </w:trPr>
        <w:tc>
          <w:tcPr>
            <w:tcW w:w="33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non-interest expense</w:t>
            </w: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13,048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11,454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37,734</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34,188</w:t>
            </w:r>
          </w:p>
        </w:tc>
      </w:tr>
      <w:tr>
        <w:trPr>
          <w:trHeight w:val="151"/>
        </w:trPr>
        <w:tc>
          <w:tcPr>
            <w:tcW w:w="3340" w:type="dxa"/>
            <w:vAlign w:val="bottom"/>
          </w:tcPr>
          <w:p>
            <w:pPr>
              <w:ind w:left="300"/>
              <w:spacing w:after="0"/>
              <w:rPr>
                <w:sz w:val="20"/>
                <w:szCs w:val="20"/>
                <w:color w:val="auto"/>
              </w:rPr>
            </w:pPr>
            <w:r>
              <w:rPr>
                <w:rFonts w:ascii="Arial" w:cs="Arial" w:eastAsia="Arial" w:hAnsi="Arial"/>
                <w:sz w:val="11"/>
                <w:szCs w:val="11"/>
                <w:color w:val="auto"/>
              </w:rPr>
              <w:t>Income before income tax expense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11,805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9,162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32,642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23,376</w:t>
            </w:r>
          </w:p>
        </w:tc>
      </w:tr>
      <w:tr>
        <w:trPr>
          <w:trHeight w:val="171"/>
        </w:trPr>
        <w:tc>
          <w:tcPr>
            <w:tcW w:w="3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2,866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7,905</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5,606</w:t>
            </w:r>
          </w:p>
        </w:tc>
      </w:tr>
      <w:tr>
        <w:trPr>
          <w:trHeight w:val="201"/>
        </w:trPr>
        <w:tc>
          <w:tcPr>
            <w:tcW w:w="3340" w:type="dxa"/>
            <w:vAlign w:val="bottom"/>
          </w:tcPr>
          <w:p>
            <w:pPr>
              <w:ind w:left="300"/>
              <w:spacing w:after="0"/>
              <w:rPr>
                <w:sz w:val="20"/>
                <w:szCs w:val="20"/>
                <w:color w:val="auto"/>
              </w:rPr>
            </w:pPr>
            <w:r>
              <w:rPr>
                <w:rFonts w:ascii="Arial" w:cs="Arial" w:eastAsia="Arial" w:hAnsi="Arial"/>
                <w:sz w:val="11"/>
                <w:szCs w:val="11"/>
                <w:color w:val="auto"/>
              </w:rPr>
              <w:t>Net income</w:t>
            </w:r>
          </w:p>
        </w:tc>
        <w:tc>
          <w:tcPr>
            <w:tcW w:w="180" w:type="dxa"/>
            <w:vAlign w:val="bottom"/>
            <w:gridSpan w:val="2"/>
          </w:tcPr>
          <w:p>
            <w:pPr>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8,939</w:t>
            </w:r>
          </w:p>
        </w:tc>
        <w:tc>
          <w:tcPr>
            <w:tcW w:w="20" w:type="dxa"/>
            <w:vAlign w:val="bottom"/>
          </w:tcPr>
          <w:p>
            <w:pPr>
              <w:spacing w:after="0"/>
              <w:rPr>
                <w:sz w:val="17"/>
                <w:szCs w:val="17"/>
                <w:color w:val="auto"/>
              </w:rPr>
            </w:pP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6,949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gridSpan w:val="2"/>
          </w:tcPr>
          <w:p>
            <w:pPr>
              <w:jc w:val="right"/>
              <w:ind w:right="4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24,737</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17,770</w:t>
            </w:r>
          </w:p>
        </w:tc>
      </w:tr>
      <w:tr>
        <w:trPr>
          <w:trHeight w:val="111"/>
        </w:trPr>
        <w:tc>
          <w:tcPr>
            <w:tcW w:w="334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Per share information:</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r>
      <w:tr>
        <w:trPr>
          <w:trHeight w:val="171"/>
        </w:trPr>
        <w:tc>
          <w:tcPr>
            <w:tcW w:w="3340" w:type="dxa"/>
            <w:vAlign w:val="bottom"/>
          </w:tcPr>
          <w:p>
            <w:pPr>
              <w:ind w:left="200"/>
              <w:spacing w:after="0"/>
              <w:rPr>
                <w:sz w:val="20"/>
                <w:szCs w:val="20"/>
                <w:color w:val="auto"/>
              </w:rPr>
            </w:pPr>
            <w:r>
              <w:rPr>
                <w:rFonts w:ascii="Arial" w:cs="Arial" w:eastAsia="Arial" w:hAnsi="Arial"/>
                <w:sz w:val="11"/>
                <w:szCs w:val="11"/>
                <w:color w:val="auto"/>
              </w:rPr>
              <w:t>Net income per share, basic</w:t>
            </w:r>
          </w:p>
        </w:tc>
        <w:tc>
          <w:tcPr>
            <w:tcW w:w="180" w:type="dxa"/>
            <w:vAlign w:val="bottom"/>
            <w:gridSpan w:val="2"/>
          </w:tcPr>
          <w:p>
            <w:pPr>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0.46</w:t>
            </w:r>
          </w:p>
        </w:tc>
        <w:tc>
          <w:tcPr>
            <w:tcW w:w="20" w:type="dxa"/>
            <w:vAlign w:val="bottom"/>
          </w:tcPr>
          <w:p>
            <w:pPr>
              <w:spacing w:after="0"/>
              <w:rPr>
                <w:sz w:val="14"/>
                <w:szCs w:val="14"/>
                <w:color w:val="auto"/>
              </w:rPr>
            </w:pP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0.35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jc w:val="right"/>
              <w:ind w:right="4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1.25</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0.90</w:t>
            </w:r>
          </w:p>
        </w:tc>
      </w:tr>
      <w:tr>
        <w:trPr>
          <w:trHeight w:val="171"/>
        </w:trPr>
        <w:tc>
          <w:tcPr>
            <w:tcW w:w="33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diluted</w:t>
            </w:r>
          </w:p>
        </w:tc>
        <w:tc>
          <w:tcPr>
            <w:tcW w:w="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0.45</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0.90</w:t>
            </w:r>
          </w:p>
        </w:tc>
      </w:tr>
      <w:tr>
        <w:trPr>
          <w:trHeight w:val="185"/>
        </w:trPr>
        <w:tc>
          <w:tcPr>
            <w:tcW w:w="3340" w:type="dxa"/>
            <w:vAlign w:val="bottom"/>
          </w:tcPr>
          <w:p>
            <w:pPr>
              <w:ind w:left="200"/>
              <w:spacing w:after="0"/>
              <w:rPr>
                <w:sz w:val="20"/>
                <w:szCs w:val="20"/>
                <w:color w:val="auto"/>
              </w:rPr>
            </w:pPr>
            <w:r>
              <w:rPr>
                <w:rFonts w:ascii="Arial" w:cs="Arial" w:eastAsia="Arial" w:hAnsi="Arial"/>
                <w:sz w:val="11"/>
                <w:szCs w:val="11"/>
                <w:color w:val="auto"/>
              </w:rPr>
              <w:t>Cash dividends declared</w:t>
            </w:r>
          </w:p>
        </w:tc>
        <w:tc>
          <w:tcPr>
            <w:tcW w:w="180" w:type="dxa"/>
            <w:vAlign w:val="bottom"/>
            <w:gridSpan w:val="2"/>
          </w:tcPr>
          <w:p>
            <w:pPr>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0.10</w:t>
            </w:r>
          </w:p>
        </w:tc>
        <w:tc>
          <w:tcPr>
            <w:tcW w:w="20" w:type="dxa"/>
            <w:vAlign w:val="bottom"/>
          </w:tcPr>
          <w:p>
            <w:pPr>
              <w:spacing w:after="0"/>
              <w:rPr>
                <w:sz w:val="16"/>
                <w:szCs w:val="16"/>
                <w:color w:val="auto"/>
              </w:rPr>
            </w:pP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0.05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gridSpan w:val="2"/>
          </w:tcPr>
          <w:p>
            <w:pPr>
              <w:jc w:val="right"/>
              <w:ind w:right="4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0.30</w:t>
            </w:r>
          </w:p>
        </w:tc>
        <w:tc>
          <w:tcPr>
            <w:tcW w:w="180" w:type="dxa"/>
            <w:vAlign w:val="bottom"/>
            <w:gridSpan w:val="3"/>
          </w:tcPr>
          <w:p>
            <w:pPr>
              <w:jc w:val="right"/>
              <w:ind w:right="9"/>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0.15</w:t>
            </w:r>
          </w:p>
        </w:tc>
      </w:tr>
      <w:tr>
        <w:trPr>
          <w:trHeight w:val="156"/>
        </w:trPr>
        <w:tc>
          <w:tcPr>
            <w:tcW w:w="33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r>
    </w:tbl>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Comprehensive Income - Unaudited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236"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70" w:type="dxa"/>
            <w:vAlign w:val="bottom"/>
            <w:gridSpan w:val="5"/>
          </w:tcPr>
          <w:p>
            <w:pPr>
              <w:jc w:val="right"/>
              <w:ind w:right="333"/>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Pr>
          <w:p>
            <w:pPr>
              <w:spacing w:after="0"/>
              <w:rPr>
                <w:sz w:val="11"/>
                <w:szCs w:val="11"/>
                <w:color w:val="auto"/>
              </w:rPr>
            </w:pPr>
          </w:p>
        </w:tc>
        <w:tc>
          <w:tcPr>
            <w:tcW w:w="1730" w:type="dxa"/>
            <w:vAlign w:val="bottom"/>
            <w:gridSpan w:val="5"/>
          </w:tcPr>
          <w:p>
            <w:pPr>
              <w:jc w:val="right"/>
              <w:ind w:right="400"/>
              <w:spacing w:after="0"/>
              <w:rPr>
                <w:sz w:val="20"/>
                <w:szCs w:val="20"/>
                <w:color w:val="auto"/>
              </w:rPr>
            </w:pPr>
            <w:r>
              <w:rPr>
                <w:rFonts w:ascii="Arial" w:cs="Arial" w:eastAsia="Arial" w:hAnsi="Arial"/>
                <w:sz w:val="11"/>
                <w:szCs w:val="11"/>
                <w:b w:val="1"/>
                <w:bCs w:val="1"/>
                <w:color w:val="auto"/>
              </w:rPr>
              <w:t>Nine Months Ended</w:t>
            </w:r>
          </w:p>
        </w:tc>
      </w:tr>
      <w:tr>
        <w:trPr>
          <w:trHeight w:val="126"/>
        </w:trPr>
        <w:tc>
          <w:tcPr>
            <w:tcW w:w="3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70" w:type="dxa"/>
            <w:vAlign w:val="bottom"/>
            <w:gridSpan w:val="5"/>
          </w:tcPr>
          <w:p>
            <w:pPr>
              <w:jc w:val="right"/>
              <w:ind w:right="513"/>
              <w:spacing w:after="0"/>
              <w:rPr>
                <w:sz w:val="20"/>
                <w:szCs w:val="20"/>
                <w:color w:val="auto"/>
              </w:rPr>
            </w:pPr>
            <w:r>
              <w:rPr>
                <w:rFonts w:ascii="Arial" w:cs="Arial" w:eastAsia="Arial" w:hAnsi="Arial"/>
                <w:sz w:val="11"/>
                <w:szCs w:val="11"/>
                <w:b w:val="1"/>
                <w:bCs w:val="1"/>
                <w:color w:val="auto"/>
              </w:rPr>
              <w:t>September 30,</w:t>
            </w:r>
          </w:p>
        </w:tc>
        <w:tc>
          <w:tcPr>
            <w:tcW w:w="120" w:type="dxa"/>
            <w:vAlign w:val="bottom"/>
          </w:tcPr>
          <w:p>
            <w:pPr>
              <w:spacing w:after="0"/>
              <w:rPr>
                <w:sz w:val="10"/>
                <w:szCs w:val="10"/>
                <w:color w:val="auto"/>
              </w:rPr>
            </w:pPr>
          </w:p>
        </w:tc>
        <w:tc>
          <w:tcPr>
            <w:tcW w:w="1730" w:type="dxa"/>
            <w:vAlign w:val="bottom"/>
            <w:gridSpan w:val="5"/>
          </w:tcPr>
          <w:p>
            <w:pPr>
              <w:jc w:val="right"/>
              <w:ind w:right="540"/>
              <w:spacing w:after="0"/>
              <w:rPr>
                <w:sz w:val="20"/>
                <w:szCs w:val="20"/>
                <w:color w:val="auto"/>
              </w:rPr>
            </w:pPr>
            <w:r>
              <w:rPr>
                <w:rFonts w:ascii="Arial" w:cs="Arial" w:eastAsia="Arial" w:hAnsi="Arial"/>
                <w:sz w:val="11"/>
                <w:szCs w:val="11"/>
                <w:b w:val="1"/>
                <w:bCs w:val="1"/>
                <w:color w:val="auto"/>
              </w:rPr>
              <w:t>September 30,</w:t>
            </w:r>
          </w:p>
        </w:tc>
      </w:tr>
      <w:tr>
        <w:trPr>
          <w:trHeight w:val="151"/>
        </w:trPr>
        <w:tc>
          <w:tcPr>
            <w:tcW w:w="39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2025</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3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top w:val="single" w:sz="8" w:color="auto"/>
              <w:bottom w:val="single" w:sz="8" w:color="auto"/>
            </w:tcBorders>
          </w:tcPr>
          <w:p>
            <w:pPr>
              <w:spacing w:after="0"/>
              <w:rPr>
                <w:sz w:val="13"/>
                <w:szCs w:val="13"/>
                <w:color w:val="auto"/>
              </w:rPr>
            </w:pPr>
          </w:p>
        </w:tc>
        <w:tc>
          <w:tcPr>
            <w:tcW w:w="73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2024</w:t>
            </w:r>
          </w:p>
        </w:tc>
        <w:tc>
          <w:tcPr>
            <w:tcW w:w="20" w:type="dxa"/>
            <w:vAlign w:val="bottom"/>
          </w:tcPr>
          <w:p>
            <w:pPr>
              <w:spacing w:after="0"/>
              <w:rPr>
                <w:sz w:val="13"/>
                <w:szCs w:val="13"/>
                <w:color w:val="auto"/>
              </w:rPr>
            </w:pPr>
          </w:p>
        </w:tc>
      </w:tr>
      <w:tr>
        <w:trPr>
          <w:trHeight w:val="140"/>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8,939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6,949</w:t>
            </w:r>
          </w:p>
        </w:tc>
        <w:tc>
          <w:tcPr>
            <w:tcW w:w="120" w:type="dxa"/>
            <w:vAlign w:val="bottom"/>
            <w:shd w:val="clear" w:color="auto" w:fill="CCEEFF"/>
          </w:tcPr>
          <w:p>
            <w:pPr>
              <w:jc w:val="right"/>
              <w:ind w:right="47"/>
              <w:spacing w:after="0"/>
              <w:rPr>
                <w:sz w:val="20"/>
                <w:szCs w:val="20"/>
                <w:color w:val="auto"/>
              </w:rPr>
            </w:pPr>
            <w:r>
              <w:rPr>
                <w:rFonts w:ascii="Arial" w:cs="Arial" w:eastAsia="Arial" w:hAnsi="Arial"/>
                <w:sz w:val="5"/>
                <w:szCs w:val="5"/>
                <w:color w:val="auto"/>
                <w:w w:val="70"/>
                <w:shd w:val="clear" w:color="auto" w:fill="CCEEFF"/>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24,737</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17,770</w:t>
            </w:r>
          </w:p>
        </w:tc>
        <w:tc>
          <w:tcPr>
            <w:tcW w:w="20" w:type="dxa"/>
            <w:vAlign w:val="bottom"/>
            <w:shd w:val="clear" w:color="auto" w:fill="CCEEFF"/>
          </w:tcPr>
          <w:p>
            <w:pPr>
              <w:spacing w:after="0"/>
              <w:rPr>
                <w:sz w:val="12"/>
                <w:szCs w:val="12"/>
                <w:color w:val="auto"/>
              </w:rPr>
            </w:pPr>
          </w:p>
        </w:tc>
      </w:tr>
      <w:tr>
        <w:trPr>
          <w:trHeight w:val="160"/>
        </w:trPr>
        <w:tc>
          <w:tcPr>
            <w:tcW w:w="394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3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Unrealized gain on investment securities</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9,848</w:t>
            </w:r>
          </w:p>
        </w:tc>
        <w:tc>
          <w:tcPr>
            <w:tcW w:w="120" w:type="dxa"/>
            <w:vAlign w:val="bottom"/>
            <w:shd w:val="clear" w:color="auto" w:fill="CCEEFF"/>
          </w:tcPr>
          <w:p>
            <w:pPr>
              <w:spacing w:after="0"/>
              <w:rPr>
                <w:sz w:val="13"/>
                <w:szCs w:val="13"/>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9,093</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8,624</w:t>
            </w:r>
          </w:p>
        </w:tc>
        <w:tc>
          <w:tcPr>
            <w:tcW w:w="20" w:type="dxa"/>
            <w:vAlign w:val="bottom"/>
            <w:shd w:val="clear" w:color="auto" w:fill="CCEEFF"/>
          </w:tcPr>
          <w:p>
            <w:pPr>
              <w:spacing w:after="0"/>
              <w:rPr>
                <w:sz w:val="13"/>
                <w:szCs w:val="13"/>
                <w:color w:val="auto"/>
              </w:rPr>
            </w:pPr>
          </w:p>
        </w:tc>
      </w:tr>
      <w:tr>
        <w:trPr>
          <w:trHeight w:val="185"/>
        </w:trPr>
        <w:tc>
          <w:tcPr>
            <w:tcW w:w="3940" w:type="dxa"/>
            <w:vAlign w:val="bottom"/>
          </w:tcPr>
          <w:p>
            <w:pPr>
              <w:ind w:left="100"/>
              <w:spacing w:after="0"/>
              <w:rPr>
                <w:sz w:val="20"/>
                <w:szCs w:val="20"/>
                <w:color w:val="auto"/>
              </w:rPr>
            </w:pPr>
            <w:r>
              <w:rPr>
                <w:rFonts w:ascii="Arial" w:cs="Arial" w:eastAsia="Arial" w:hAnsi="Arial"/>
                <w:sz w:val="11"/>
                <w:szCs w:val="11"/>
                <w:color w:val="auto"/>
              </w:rPr>
              <w:t>Reclassification adjustment for amortization of net unrealized losses on</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5"/>
        </w:trPr>
        <w:tc>
          <w:tcPr>
            <w:tcW w:w="3940" w:type="dxa"/>
            <w:vAlign w:val="bottom"/>
          </w:tcPr>
          <w:p>
            <w:pPr>
              <w:ind w:left="100"/>
              <w:spacing w:after="0"/>
              <w:rPr>
                <w:sz w:val="20"/>
                <w:szCs w:val="20"/>
                <w:color w:val="auto"/>
              </w:rPr>
            </w:pPr>
            <w:r>
              <w:rPr>
                <w:rFonts w:ascii="Arial" w:cs="Arial" w:eastAsia="Arial" w:hAnsi="Arial"/>
                <w:sz w:val="11"/>
                <w:szCs w:val="11"/>
                <w:color w:val="auto"/>
              </w:rPr>
              <w:t>securities transferred from available-for-sale to held-to-maturity</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30" w:type="dxa"/>
            <w:vAlign w:val="bottom"/>
          </w:tcPr>
          <w:p>
            <w:pPr>
              <w:jc w:val="right"/>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11"/>
                <w:szCs w:val="11"/>
                <w:color w:val="auto"/>
              </w:rPr>
            </w:pPr>
          </w:p>
        </w:tc>
        <w:tc>
          <w:tcPr>
            <w:tcW w:w="730" w:type="dxa"/>
            <w:vAlign w:val="bottom"/>
          </w:tcPr>
          <w:p>
            <w:pPr>
              <w:jc w:val="right"/>
              <w:spacing w:after="0"/>
              <w:rPr>
                <w:sz w:val="20"/>
                <w:szCs w:val="20"/>
                <w:color w:val="auto"/>
              </w:rPr>
            </w:pPr>
            <w:r>
              <w:rPr>
                <w:rFonts w:ascii="Arial" w:cs="Arial" w:eastAsia="Arial" w:hAnsi="Arial"/>
                <w:sz w:val="11"/>
                <w:szCs w:val="11"/>
                <w:color w:val="auto"/>
              </w:rPr>
              <w:t>200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200</w:t>
            </w:r>
          </w:p>
        </w:tc>
        <w:tc>
          <w:tcPr>
            <w:tcW w:w="20" w:type="dxa"/>
            <w:vAlign w:val="bottom"/>
          </w:tcPr>
          <w:p>
            <w:pPr>
              <w:spacing w:after="0"/>
              <w:rPr>
                <w:sz w:val="11"/>
                <w:szCs w:val="11"/>
                <w:color w:val="auto"/>
              </w:rPr>
            </w:pPr>
          </w:p>
        </w:tc>
      </w:tr>
      <w:tr>
        <w:trPr>
          <w:trHeight w:val="192"/>
        </w:trPr>
        <w:tc>
          <w:tcPr>
            <w:tcW w:w="3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Reclassification adjustment for realized losses (gains) included in net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3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3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3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income</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w:t>
            </w:r>
          </w:p>
        </w:tc>
      </w:tr>
      <w:tr>
        <w:trPr>
          <w:trHeight w:val="160"/>
        </w:trPr>
        <w:tc>
          <w:tcPr>
            <w:tcW w:w="3940" w:type="dxa"/>
            <w:vAlign w:val="bottom"/>
          </w:tcPr>
          <w:p>
            <w:pPr>
              <w:ind w:left="100"/>
              <w:spacing w:after="0"/>
              <w:rPr>
                <w:sz w:val="20"/>
                <w:szCs w:val="20"/>
                <w:color w:val="auto"/>
              </w:rPr>
            </w:pPr>
            <w:r>
              <w:rPr>
                <w:rFonts w:ascii="Arial" w:cs="Arial" w:eastAsia="Arial" w:hAnsi="Arial"/>
                <w:sz w:val="11"/>
                <w:szCs w:val="11"/>
                <w:color w:val="auto"/>
              </w:rPr>
              <w:t>Unrealized loss on cash flow hedge</w:t>
            </w:r>
          </w:p>
        </w:tc>
        <w:tc>
          <w:tcPr>
            <w:tcW w:w="14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1"/>
                <w:szCs w:val="11"/>
                <w:color w:val="auto"/>
              </w:rPr>
              <w:t>(123)</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30" w:type="dxa"/>
            <w:vAlign w:val="bottom"/>
          </w:tcPr>
          <w:p>
            <w:pPr>
              <w:jc w:val="right"/>
              <w:spacing w:after="0"/>
              <w:rPr>
                <w:sz w:val="20"/>
                <w:szCs w:val="20"/>
                <w:color w:val="auto"/>
              </w:rPr>
            </w:pPr>
            <w:r>
              <w:rPr>
                <w:rFonts w:ascii="Arial" w:cs="Arial" w:eastAsia="Arial" w:hAnsi="Arial"/>
                <w:sz w:val="11"/>
                <w:szCs w:val="11"/>
                <w:color w:val="auto"/>
              </w:rPr>
              <w:t>(930)</w:t>
            </w:r>
          </w:p>
        </w:tc>
        <w:tc>
          <w:tcPr>
            <w:tcW w:w="120" w:type="dxa"/>
            <w:vAlign w:val="bottom"/>
          </w:tcPr>
          <w:p>
            <w:pPr>
              <w:spacing w:after="0"/>
              <w:rPr>
                <w:sz w:val="13"/>
                <w:szCs w:val="13"/>
                <w:color w:val="auto"/>
              </w:rPr>
            </w:pPr>
          </w:p>
        </w:tc>
        <w:tc>
          <w:tcPr>
            <w:tcW w:w="730" w:type="dxa"/>
            <w:vAlign w:val="bottom"/>
          </w:tcPr>
          <w:p>
            <w:pPr>
              <w:jc w:val="right"/>
              <w:spacing w:after="0"/>
              <w:rPr>
                <w:sz w:val="20"/>
                <w:szCs w:val="20"/>
                <w:color w:val="auto"/>
              </w:rPr>
            </w:pPr>
            <w:r>
              <w:rPr>
                <w:rFonts w:ascii="Arial" w:cs="Arial" w:eastAsia="Arial" w:hAnsi="Arial"/>
                <w:sz w:val="11"/>
                <w:szCs w:val="11"/>
                <w:color w:val="auto"/>
              </w:rPr>
              <w:t>(309)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(381)</w:t>
            </w:r>
          </w:p>
        </w:tc>
      </w:tr>
      <w:tr>
        <w:trPr>
          <w:trHeight w:val="160"/>
        </w:trPr>
        <w:tc>
          <w:tcPr>
            <w:tcW w:w="3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Tax expense</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(1,340)</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(2,277)</w:t>
            </w:r>
          </w:p>
        </w:tc>
        <w:tc>
          <w:tcPr>
            <w:tcW w:w="120" w:type="dxa"/>
            <w:vAlign w:val="bottom"/>
            <w:shd w:val="clear" w:color="auto" w:fill="CCEEFF"/>
          </w:tcPr>
          <w:p>
            <w:pPr>
              <w:spacing w:after="0"/>
              <w:rPr>
                <w:sz w:val="13"/>
                <w:szCs w:val="13"/>
                <w:color w:val="auto"/>
              </w:rPr>
            </w:pPr>
          </w:p>
        </w:tc>
        <w:tc>
          <w:tcPr>
            <w:tcW w:w="73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(2,284)</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(2,136)</w:t>
            </w:r>
          </w:p>
        </w:tc>
      </w:tr>
      <w:tr>
        <w:trPr>
          <w:trHeight w:val="140"/>
        </w:trPr>
        <w:tc>
          <w:tcPr>
            <w:tcW w:w="39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Total other comprehensive income, net of tax</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3,946</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3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6,708</w:t>
            </w:r>
          </w:p>
        </w:tc>
        <w:tc>
          <w:tcPr>
            <w:tcW w:w="120" w:type="dxa"/>
            <w:vAlign w:val="bottom"/>
            <w:tcBorders>
              <w:top w:val="single" w:sz="8" w:color="auto"/>
              <w:bottom w:val="single" w:sz="8" w:color="auto"/>
            </w:tcBorders>
          </w:tcPr>
          <w:p>
            <w:pPr>
              <w:spacing w:after="0"/>
              <w:rPr>
                <w:sz w:val="12"/>
                <w:szCs w:val="12"/>
                <w:color w:val="auto"/>
              </w:rPr>
            </w:pPr>
          </w:p>
        </w:tc>
        <w:tc>
          <w:tcPr>
            <w:tcW w:w="73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6,728</w:t>
            </w: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6,293</w:t>
            </w:r>
          </w:p>
        </w:tc>
        <w:tc>
          <w:tcPr>
            <w:tcW w:w="20" w:type="dxa"/>
            <w:vAlign w:val="bottom"/>
          </w:tcPr>
          <w:p>
            <w:pPr>
              <w:spacing w:after="0"/>
              <w:rPr>
                <w:sz w:val="12"/>
                <w:szCs w:val="12"/>
                <w:color w:val="auto"/>
              </w:rPr>
            </w:pPr>
          </w:p>
        </w:tc>
      </w:tr>
      <w:tr>
        <w:trPr>
          <w:trHeight w:val="151"/>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Total comprehensive income</w:t>
            </w: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12,885</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13,657</w:t>
            </w:r>
          </w:p>
        </w:tc>
        <w:tc>
          <w:tcPr>
            <w:tcW w:w="1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5"/>
                <w:szCs w:val="5"/>
                <w:color w:val="auto"/>
                <w:w w:val="70"/>
                <w:shd w:val="clear" w:color="auto" w:fill="CCEEFF"/>
              </w:rPr>
              <w:t>$</w:t>
            </w:r>
          </w:p>
        </w:tc>
        <w:tc>
          <w:tcPr>
            <w:tcW w:w="7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31,465</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24,063</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Changes in Stockholders’ Equity - Unaudited</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(Dollars 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0" w:type="dxa"/>
            <w:vAlign w:val="bottom"/>
            <w:tcBorders>
              <w:bottom w:val="single" w:sz="8" w:color="auto"/>
            </w:tcBorders>
            <w:gridSpan w:val="8"/>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5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8"/>
              </w:rPr>
              <w:t>Additional Paid-in</w:t>
            </w:r>
          </w:p>
        </w:tc>
        <w:tc>
          <w:tcPr>
            <w:tcW w:w="120" w:type="dxa"/>
            <w:vAlign w:val="bottom"/>
          </w:tcPr>
          <w:p>
            <w:pPr>
              <w:spacing w:after="0"/>
              <w:rPr>
                <w:sz w:val="13"/>
                <w:szCs w:val="13"/>
                <w:color w:val="auto"/>
              </w:rPr>
            </w:pPr>
          </w:p>
        </w:tc>
        <w:tc>
          <w:tcPr>
            <w:tcW w:w="960" w:type="dxa"/>
            <w:vAlign w:val="bottom"/>
            <w:gridSpan w:val="4"/>
            <w:vMerge w:val="restart"/>
          </w:tcPr>
          <w:p>
            <w:pPr>
              <w:jc w:val="center"/>
              <w:ind w:right="180"/>
              <w:spacing w:after="0"/>
              <w:rPr>
                <w:sz w:val="20"/>
                <w:szCs w:val="20"/>
                <w:color w:val="auto"/>
              </w:rPr>
            </w:pPr>
            <w:r>
              <w:rPr>
                <w:rFonts w:ascii="Arial" w:cs="Arial" w:eastAsia="Arial" w:hAnsi="Arial"/>
                <w:sz w:val="11"/>
                <w:szCs w:val="11"/>
                <w:b w:val="1"/>
                <w:bCs w:val="1"/>
                <w:color w:val="auto"/>
                <w:w w:val="95"/>
              </w:rPr>
              <w:t>Accumulated</w:t>
            </w:r>
          </w:p>
        </w:tc>
        <w:tc>
          <w:tcPr>
            <w:tcW w:w="10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6"/>
              </w:rPr>
              <w:t>Accumulated Other</w:t>
            </w:r>
          </w:p>
        </w:tc>
        <w:tc>
          <w:tcPr>
            <w:tcW w:w="110" w:type="dxa"/>
            <w:vAlign w:val="bottom"/>
          </w:tcPr>
          <w:p>
            <w:pPr>
              <w:spacing w:after="0"/>
              <w:rPr>
                <w:sz w:val="13"/>
                <w:szCs w:val="13"/>
                <w:color w:val="auto"/>
              </w:rPr>
            </w:pPr>
          </w:p>
        </w:tc>
        <w:tc>
          <w:tcPr>
            <w:tcW w:w="50" w:type="dxa"/>
            <w:vAlign w:val="bottom"/>
          </w:tcPr>
          <w:p>
            <w:pPr>
              <w:spacing w:after="0"/>
              <w:rPr>
                <w:sz w:val="13"/>
                <w:szCs w:val="13"/>
                <w:color w:val="auto"/>
              </w:rPr>
            </w:pPr>
          </w:p>
        </w:tc>
        <w:tc>
          <w:tcPr>
            <w:tcW w:w="880" w:type="dxa"/>
            <w:vAlign w:val="bottom"/>
          </w:tcPr>
          <w:p>
            <w:pPr>
              <w:jc w:val="center"/>
              <w:ind w:right="10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auto"/>
                <w:w w:val="98"/>
              </w:rPr>
              <w:t>Capital on Common</w:t>
            </w:r>
          </w:p>
        </w:tc>
        <w:tc>
          <w:tcPr>
            <w:tcW w:w="12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9"/>
              </w:rPr>
              <w:t>Comprehensive</w:t>
            </w:r>
          </w:p>
        </w:tc>
        <w:tc>
          <w:tcPr>
            <w:tcW w:w="110" w:type="dxa"/>
            <w:vAlign w:val="bottom"/>
          </w:tcPr>
          <w:p>
            <w:pPr>
              <w:spacing w:after="0"/>
              <w:rPr>
                <w:sz w:val="11"/>
                <w:szCs w:val="11"/>
                <w:color w:val="auto"/>
              </w:rPr>
            </w:pPr>
          </w:p>
        </w:tc>
        <w:tc>
          <w:tcPr>
            <w:tcW w:w="50" w:type="dxa"/>
            <w:vAlign w:val="bottom"/>
          </w:tcPr>
          <w:p>
            <w:pPr>
              <w:spacing w:after="0"/>
              <w:rPr>
                <w:sz w:val="11"/>
                <w:szCs w:val="11"/>
                <w:color w:val="auto"/>
              </w:rPr>
            </w:pPr>
          </w:p>
        </w:tc>
        <w:tc>
          <w:tcPr>
            <w:tcW w:w="880" w:type="dxa"/>
            <w:vAlign w:val="bottom"/>
          </w:tcPr>
          <w:p>
            <w:pPr>
              <w:jc w:val="center"/>
              <w:ind w:right="106"/>
              <w:spacing w:after="0"/>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99"/>
              </w:rPr>
              <w:t>Stock</w:t>
            </w:r>
          </w:p>
        </w:tc>
        <w:tc>
          <w:tcPr>
            <w:tcW w:w="120" w:type="dxa"/>
            <w:vAlign w:val="bottom"/>
          </w:tcPr>
          <w:p>
            <w:pPr>
              <w:spacing w:after="0"/>
              <w:rPr>
                <w:sz w:val="11"/>
                <w:szCs w:val="11"/>
                <w:color w:val="auto"/>
              </w:rPr>
            </w:pPr>
          </w:p>
        </w:tc>
        <w:tc>
          <w:tcPr>
            <w:tcW w:w="96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Loss</w:t>
            </w:r>
          </w:p>
        </w:tc>
        <w:tc>
          <w:tcPr>
            <w:tcW w:w="110" w:type="dxa"/>
            <w:vAlign w:val="bottom"/>
          </w:tcPr>
          <w:p>
            <w:pPr>
              <w:spacing w:after="0"/>
              <w:rPr>
                <w:sz w:val="11"/>
                <w:szCs w:val="11"/>
                <w:color w:val="auto"/>
              </w:rPr>
            </w:pPr>
          </w:p>
        </w:tc>
        <w:tc>
          <w:tcPr>
            <w:tcW w:w="50" w:type="dxa"/>
            <w:vAlign w:val="bottom"/>
          </w:tcPr>
          <w:p>
            <w:pPr>
              <w:spacing w:after="0"/>
              <w:rPr>
                <w:sz w:val="11"/>
                <w:szCs w:val="11"/>
                <w:color w:val="auto"/>
              </w:rPr>
            </w:pPr>
          </w:p>
        </w:tc>
        <w:tc>
          <w:tcPr>
            <w:tcW w:w="880" w:type="dxa"/>
            <w:vAlign w:val="bottom"/>
          </w:tcPr>
          <w:p>
            <w:pPr>
              <w:jc w:val="center"/>
              <w:ind w:right="12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9"/>
        </w:trPr>
        <w:tc>
          <w:tcPr>
            <w:tcW w:w="3860" w:type="dxa"/>
            <w:vAlign w:val="bottom"/>
            <w:tcBorders>
              <w:top w:val="single" w:sz="8" w:color="CCEEFF"/>
            </w:tcBorders>
            <w:gridSpan w:val="4"/>
            <w:shd w:val="clear" w:color="auto" w:fill="CCEEFF"/>
          </w:tcPr>
          <w:p>
            <w:pPr>
              <w:spacing w:after="0" w:line="119" w:lineRule="exact"/>
              <w:rPr>
                <w:sz w:val="20"/>
                <w:szCs w:val="20"/>
                <w:color w:val="auto"/>
              </w:rPr>
            </w:pPr>
            <w:r>
              <w:rPr>
                <w:rFonts w:ascii="Arial" w:cs="Arial" w:eastAsia="Arial" w:hAnsi="Arial"/>
                <w:sz w:val="11"/>
                <w:szCs w:val="11"/>
                <w:color w:val="auto"/>
              </w:rPr>
              <w:t>Balance at June 30, 2025</w:t>
            </w:r>
          </w:p>
        </w:tc>
        <w:tc>
          <w:tcPr>
            <w:tcW w:w="900" w:type="dxa"/>
            <w:vAlign w:val="bottom"/>
            <w:tcBorders>
              <w:top w:val="single" w:sz="8" w:color="auto"/>
            </w:tcBorders>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20,078,385</w:t>
            </w: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center"/>
              <w:ind w:right="6"/>
              <w:spacing w:after="0" w:line="119" w:lineRule="exact"/>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20,078</w:t>
            </w: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gridSpan w:val="2"/>
            <w:shd w:val="clear" w:color="auto" w:fill="CCEEFF"/>
          </w:tcPr>
          <w:p>
            <w:pPr>
              <w:jc w:val="right"/>
              <w:ind w:right="20"/>
              <w:spacing w:after="0" w:line="119" w:lineRule="exact"/>
              <w:rPr>
                <w:sz w:val="20"/>
                <w:szCs w:val="20"/>
                <w:color w:val="auto"/>
              </w:rPr>
            </w:pPr>
            <w:r>
              <w:rPr>
                <w:rFonts w:ascii="Arial" w:cs="Arial" w:eastAsia="Arial" w:hAnsi="Arial"/>
                <w:sz w:val="11"/>
                <w:szCs w:val="11"/>
                <w:color w:val="auto"/>
              </w:rPr>
              <w:t>309,282</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(56,025)</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(41,752)</w:t>
            </w:r>
          </w:p>
        </w:tc>
        <w:tc>
          <w:tcPr>
            <w:tcW w:w="60" w:type="dxa"/>
            <w:vAlign w:val="bottom"/>
            <w:tcBorders>
              <w:top w:val="single" w:sz="8" w:color="CCEEFF"/>
            </w:tcBorders>
            <w:shd w:val="clear" w:color="auto" w:fill="CCEEFF"/>
          </w:tcPr>
          <w:p>
            <w:pPr>
              <w:spacing w:after="0"/>
              <w:rPr>
                <w:sz w:val="10"/>
                <w:szCs w:val="10"/>
                <w:color w:val="auto"/>
              </w:rPr>
            </w:pPr>
          </w:p>
        </w:tc>
        <w:tc>
          <w:tcPr>
            <w:tcW w:w="11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30" w:type="dxa"/>
            <w:vAlign w:val="bottom"/>
            <w:tcBorders>
              <w:top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rPr>
              <w:t>231,583</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20" w:type="dxa"/>
            <w:vAlign w:val="bottom"/>
            <w:gridSpan w:val="3"/>
          </w:tcPr>
          <w:p>
            <w:pPr>
              <w:ind w:left="60"/>
              <w:spacing w:after="0"/>
              <w:rPr>
                <w:sz w:val="20"/>
                <w:szCs w:val="20"/>
                <w:color w:val="auto"/>
              </w:rPr>
            </w:pPr>
            <w:r>
              <w:rPr>
                <w:rFonts w:ascii="Arial" w:cs="Arial" w:eastAsia="Arial" w:hAnsi="Arial"/>
                <w:sz w:val="11"/>
                <w:szCs w:val="11"/>
                <w:color w:val="auto"/>
              </w:rPr>
              <w:t>Net income</w:t>
            </w:r>
          </w:p>
        </w:tc>
        <w:tc>
          <w:tcPr>
            <w:tcW w:w="9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8,939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8,939</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382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Other comprehensive income</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3,946</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3,946</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20" w:type="dxa"/>
            <w:vAlign w:val="bottom"/>
            <w:gridSpan w:val="3"/>
          </w:tcPr>
          <w:p>
            <w:pPr>
              <w:ind w:left="60"/>
              <w:spacing w:after="0"/>
              <w:rPr>
                <w:sz w:val="20"/>
                <w:szCs w:val="20"/>
                <w:color w:val="auto"/>
              </w:rPr>
            </w:pPr>
            <w:r>
              <w:rPr>
                <w:rFonts w:ascii="Arial" w:cs="Arial" w:eastAsia="Arial" w:hAnsi="Arial"/>
                <w:sz w:val="11"/>
                <w:szCs w:val="11"/>
                <w:color w:val="auto"/>
              </w:rPr>
              <w:t>Repurchase of Class A common stock</w:t>
            </w:r>
          </w:p>
        </w:tc>
        <w:tc>
          <w:tcPr>
            <w:tcW w:w="920" w:type="dxa"/>
            <w:vAlign w:val="bottom"/>
            <w:gridSpan w:val="3"/>
          </w:tcPr>
          <w:p>
            <w:pPr>
              <w:jc w:val="right"/>
              <w:spacing w:after="0"/>
              <w:rPr>
                <w:sz w:val="20"/>
                <w:szCs w:val="20"/>
                <w:color w:val="auto"/>
              </w:rPr>
            </w:pPr>
            <w:r>
              <w:rPr>
                <w:rFonts w:ascii="Arial" w:cs="Arial" w:eastAsia="Arial" w:hAnsi="Arial"/>
                <w:sz w:val="11"/>
                <w:szCs w:val="11"/>
                <w:color w:val="auto"/>
              </w:rPr>
              <w:t>(2,000,000)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spacing w:after="0"/>
              <w:rPr>
                <w:sz w:val="20"/>
                <w:szCs w:val="20"/>
                <w:color w:val="auto"/>
              </w:rPr>
            </w:pPr>
            <w:r>
              <w:rPr>
                <w:rFonts w:ascii="Arial" w:cs="Arial" w:eastAsia="Arial" w:hAnsi="Arial"/>
                <w:sz w:val="11"/>
                <w:szCs w:val="11"/>
                <w:color w:val="auto"/>
              </w:rPr>
              <w:t>(2,000)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color w:val="auto"/>
              </w:rPr>
              <w:t>(32,380)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(34,380)</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382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Exercise of stock options</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29,000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241</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20" w:type="dxa"/>
            <w:vAlign w:val="bottom"/>
            <w:gridSpan w:val="3"/>
          </w:tcPr>
          <w:p>
            <w:pPr>
              <w:ind w:left="60"/>
              <w:spacing w:after="0"/>
              <w:rPr>
                <w:sz w:val="20"/>
                <w:szCs w:val="20"/>
                <w:color w:val="auto"/>
              </w:rPr>
            </w:pPr>
            <w:r>
              <w:rPr>
                <w:rFonts w:ascii="Arial" w:cs="Arial" w:eastAsia="Arial" w:hAnsi="Arial"/>
                <w:sz w:val="11"/>
                <w:szCs w:val="11"/>
                <w:color w:val="auto"/>
              </w:rPr>
              <w:t>Dividend payment</w:t>
            </w:r>
          </w:p>
        </w:tc>
        <w:tc>
          <w:tcPr>
            <w:tcW w:w="9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(2,008)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(2,008)</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382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Stock-based compensation</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774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spacing w:after="0"/>
              <w:rPr>
                <w:sz w:val="12"/>
                <w:szCs w:val="12"/>
                <w:color w:val="auto"/>
              </w:rPr>
            </w:pPr>
          </w:p>
        </w:tc>
        <w:tc>
          <w:tcPr>
            <w:tcW w:w="93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774</w:t>
            </w:r>
          </w:p>
        </w:tc>
        <w:tc>
          <w:tcPr>
            <w:tcW w:w="0" w:type="dxa"/>
            <w:vAlign w:val="bottom"/>
          </w:tcPr>
          <w:p>
            <w:pPr>
              <w:spacing w:after="0"/>
              <w:rPr>
                <w:sz w:val="1"/>
                <w:szCs w:val="1"/>
                <w:color w:val="auto"/>
              </w:rPr>
            </w:pPr>
          </w:p>
        </w:tc>
      </w:tr>
      <w:tr>
        <w:trPr>
          <w:trHeight w:val="169"/>
        </w:trPr>
        <w:tc>
          <w:tcPr>
            <w:tcW w:w="3860" w:type="dxa"/>
            <w:vAlign w:val="bottom"/>
            <w:gridSpan w:val="4"/>
          </w:tcPr>
          <w:p>
            <w:pPr>
              <w:jc w:val="right"/>
              <w:ind w:right="2340"/>
              <w:spacing w:after="0"/>
              <w:rPr>
                <w:sz w:val="20"/>
                <w:szCs w:val="20"/>
                <w:color w:val="auto"/>
              </w:rPr>
            </w:pPr>
            <w:r>
              <w:rPr>
                <w:rFonts w:ascii="Arial" w:cs="Arial" w:eastAsia="Arial" w:hAnsi="Arial"/>
                <w:sz w:val="11"/>
                <w:szCs w:val="11"/>
                <w:color w:val="auto"/>
                <w:w w:val="96"/>
              </w:rPr>
              <w:t>Balance at September 30, 2025</w:t>
            </w:r>
          </w:p>
        </w:tc>
        <w:tc>
          <w:tcPr>
            <w:tcW w:w="900" w:type="dxa"/>
            <w:vAlign w:val="bottom"/>
            <w:gridSpan w:val="2"/>
          </w:tcPr>
          <w:p>
            <w:pPr>
              <w:jc w:val="right"/>
              <w:ind w:right="20"/>
              <w:spacing w:after="0"/>
              <w:rPr>
                <w:sz w:val="20"/>
                <w:szCs w:val="20"/>
                <w:color w:val="auto"/>
              </w:rPr>
            </w:pPr>
            <w:r>
              <w:rPr>
                <w:rFonts w:ascii="Arial" w:cs="Arial" w:eastAsia="Arial" w:hAnsi="Arial"/>
                <w:sz w:val="11"/>
                <w:szCs w:val="11"/>
                <w:color w:val="auto"/>
              </w:rPr>
              <w:t>18,107,385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jc w:val="center"/>
              <w:ind w:right="6"/>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18,107</w:t>
            </w:r>
          </w:p>
        </w:tc>
        <w:tc>
          <w:tcPr>
            <w:tcW w:w="2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277,888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40"/>
              <w:spacing w:after="0"/>
              <w:rPr>
                <w:sz w:val="20"/>
                <w:szCs w:val="20"/>
                <w:color w:val="auto"/>
              </w:rPr>
            </w:pPr>
            <w:r>
              <w:rPr>
                <w:rFonts w:ascii="Arial" w:cs="Arial" w:eastAsia="Arial" w:hAnsi="Arial"/>
                <w:sz w:val="11"/>
                <w:szCs w:val="11"/>
                <w:color w:val="auto"/>
              </w:rPr>
              <w:t>(49,094)</w:t>
            </w: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60"/>
              <w:spacing w:after="0"/>
              <w:rPr>
                <w:sz w:val="20"/>
                <w:szCs w:val="20"/>
                <w:color w:val="auto"/>
              </w:rPr>
            </w:pPr>
            <w:r>
              <w:rPr>
                <w:rFonts w:ascii="Arial" w:cs="Arial" w:eastAsia="Arial" w:hAnsi="Arial"/>
                <w:sz w:val="11"/>
                <w:szCs w:val="11"/>
                <w:color w:val="auto"/>
              </w:rPr>
              <w:t>(37,806)</w:t>
            </w:r>
          </w:p>
        </w:tc>
        <w:tc>
          <w:tcPr>
            <w:tcW w:w="11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209,095</w:t>
            </w:r>
          </w:p>
        </w:tc>
        <w:tc>
          <w:tcPr>
            <w:tcW w:w="0" w:type="dxa"/>
            <w:vAlign w:val="bottom"/>
          </w:tcPr>
          <w:p>
            <w:pPr>
              <w:spacing w:after="0"/>
              <w:rPr>
                <w:sz w:val="1"/>
                <w:szCs w:val="1"/>
                <w:color w:val="auto"/>
              </w:rPr>
            </w:pPr>
          </w:p>
        </w:tc>
      </w:tr>
      <w:tr>
        <w:trPr>
          <w:trHeight w:val="57"/>
        </w:trPr>
        <w:tc>
          <w:tcPr>
            <w:tcW w:w="40" w:type="dxa"/>
            <w:vAlign w:val="bottom"/>
            <w:tcBorders>
              <w:top w:val="single" w:sz="8" w:color="CCEE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9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9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10" w:type="dxa"/>
            <w:vAlign w:val="bottom"/>
            <w:tcBorders>
              <w:top w:val="single" w:sz="8" w:color="auto"/>
            </w:tcBorders>
            <w:shd w:val="clear" w:color="auto" w:fill="CCEEFF"/>
          </w:tcPr>
          <w:p>
            <w:pPr>
              <w:spacing w:after="0"/>
              <w:rPr>
                <w:sz w:val="4"/>
                <w:szCs w:val="4"/>
                <w:color w:val="auto"/>
              </w:rPr>
            </w:pPr>
          </w:p>
        </w:tc>
        <w:tc>
          <w:tcPr>
            <w:tcW w:w="50" w:type="dxa"/>
            <w:vAlign w:val="bottom"/>
            <w:tcBorders>
              <w:top w:val="single" w:sz="8" w:color="auto"/>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3860" w:type="dxa"/>
            <w:vAlign w:val="bottom"/>
            <w:gridSpan w:val="4"/>
          </w:tcPr>
          <w:p>
            <w:pPr>
              <w:spacing w:after="0"/>
              <w:rPr>
                <w:sz w:val="20"/>
                <w:szCs w:val="20"/>
                <w:color w:val="auto"/>
              </w:rPr>
            </w:pPr>
            <w:r>
              <w:rPr>
                <w:rFonts w:ascii="Arial" w:cs="Arial" w:eastAsia="Arial" w:hAnsi="Arial"/>
                <w:sz w:val="11"/>
                <w:szCs w:val="11"/>
                <w:color w:val="auto"/>
              </w:rPr>
              <w:t>Balance at June 30, 2024</w:t>
            </w:r>
          </w:p>
        </w:tc>
        <w:tc>
          <w:tcPr>
            <w:tcW w:w="900" w:type="dxa"/>
            <w:vAlign w:val="bottom"/>
            <w:gridSpan w:val="2"/>
          </w:tcPr>
          <w:p>
            <w:pPr>
              <w:jc w:val="right"/>
              <w:ind w:right="20"/>
              <w:spacing w:after="0"/>
              <w:rPr>
                <w:sz w:val="20"/>
                <w:szCs w:val="20"/>
                <w:color w:val="auto"/>
              </w:rPr>
            </w:pPr>
            <w:r>
              <w:rPr>
                <w:rFonts w:ascii="Arial" w:cs="Arial" w:eastAsia="Arial" w:hAnsi="Arial"/>
                <w:sz w:val="11"/>
                <w:szCs w:val="11"/>
                <w:color w:val="auto"/>
              </w:rPr>
              <w:t>19,630,632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jc w:val="center"/>
              <w:ind w:right="6"/>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19,631</w:t>
            </w:r>
          </w:p>
        </w:tc>
        <w:tc>
          <w:tcPr>
            <w:tcW w:w="2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305,835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40"/>
              <w:spacing w:after="0"/>
              <w:rPr>
                <w:sz w:val="20"/>
                <w:szCs w:val="20"/>
                <w:color w:val="auto"/>
              </w:rPr>
            </w:pPr>
            <w:r>
              <w:rPr>
                <w:rFonts w:ascii="Arial" w:cs="Arial" w:eastAsia="Arial" w:hAnsi="Arial"/>
                <w:sz w:val="11"/>
                <w:szCs w:val="11"/>
                <w:color w:val="auto"/>
              </w:rPr>
              <w:t>(79,760)</w:t>
            </w: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60"/>
              <w:spacing w:after="0"/>
              <w:rPr>
                <w:sz w:val="20"/>
                <w:szCs w:val="20"/>
                <w:color w:val="auto"/>
              </w:rPr>
            </w:pPr>
            <w:r>
              <w:rPr>
                <w:rFonts w:ascii="Arial" w:cs="Arial" w:eastAsia="Arial" w:hAnsi="Arial"/>
                <w:sz w:val="11"/>
                <w:szCs w:val="11"/>
                <w:color w:val="auto"/>
              </w:rPr>
              <w:t>(44,686)</w:t>
            </w:r>
          </w:p>
        </w:tc>
        <w:tc>
          <w:tcPr>
            <w:tcW w:w="11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201,020</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382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Net income</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6,949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6,949</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20" w:type="dxa"/>
            <w:vAlign w:val="bottom"/>
            <w:gridSpan w:val="3"/>
          </w:tcPr>
          <w:p>
            <w:pPr>
              <w:ind w:left="60"/>
              <w:spacing w:after="0"/>
              <w:rPr>
                <w:sz w:val="20"/>
                <w:szCs w:val="20"/>
                <w:color w:val="auto"/>
              </w:rPr>
            </w:pPr>
            <w:r>
              <w:rPr>
                <w:rFonts w:ascii="Arial" w:cs="Arial" w:eastAsia="Arial" w:hAnsi="Arial"/>
                <w:sz w:val="11"/>
                <w:szCs w:val="11"/>
                <w:color w:val="auto"/>
              </w:rPr>
              <w:t>Other comprehensive income</w:t>
            </w:r>
          </w:p>
        </w:tc>
        <w:tc>
          <w:tcPr>
            <w:tcW w:w="9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6,708</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6,708</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382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Repurchase of Class A common stock</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(10,000)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20" w:type="dxa"/>
            <w:vAlign w:val="bottom"/>
            <w:gridSpan w:val="3"/>
          </w:tcPr>
          <w:p>
            <w:pPr>
              <w:ind w:left="60"/>
              <w:spacing w:after="0"/>
              <w:rPr>
                <w:sz w:val="20"/>
                <w:szCs w:val="20"/>
                <w:color w:val="auto"/>
              </w:rPr>
            </w:pPr>
            <w:r>
              <w:rPr>
                <w:rFonts w:ascii="Arial" w:cs="Arial" w:eastAsia="Arial" w:hAnsi="Arial"/>
                <w:sz w:val="11"/>
                <w:szCs w:val="11"/>
                <w:color w:val="auto"/>
              </w:rPr>
              <w:t>Dividend payment</w:t>
            </w:r>
          </w:p>
        </w:tc>
        <w:tc>
          <w:tcPr>
            <w:tcW w:w="9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(1,016)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(1,016)</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382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Stock-based compensation</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376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spacing w:after="0"/>
              <w:rPr>
                <w:sz w:val="12"/>
                <w:szCs w:val="12"/>
                <w:color w:val="auto"/>
              </w:rPr>
            </w:pPr>
          </w:p>
        </w:tc>
        <w:tc>
          <w:tcPr>
            <w:tcW w:w="93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376</w:t>
            </w:r>
          </w:p>
        </w:tc>
        <w:tc>
          <w:tcPr>
            <w:tcW w:w="0" w:type="dxa"/>
            <w:vAlign w:val="bottom"/>
          </w:tcPr>
          <w:p>
            <w:pPr>
              <w:spacing w:after="0"/>
              <w:rPr>
                <w:sz w:val="1"/>
                <w:szCs w:val="1"/>
                <w:color w:val="auto"/>
              </w:rPr>
            </w:pPr>
          </w:p>
        </w:tc>
      </w:tr>
      <w:tr>
        <w:trPr>
          <w:trHeight w:val="129"/>
        </w:trPr>
        <w:tc>
          <w:tcPr>
            <w:tcW w:w="3860" w:type="dxa"/>
            <w:vAlign w:val="bottom"/>
            <w:gridSpan w:val="4"/>
          </w:tcPr>
          <w:p>
            <w:pPr>
              <w:jc w:val="right"/>
              <w:ind w:right="2340"/>
              <w:spacing w:after="0"/>
              <w:rPr>
                <w:sz w:val="20"/>
                <w:szCs w:val="20"/>
                <w:color w:val="auto"/>
              </w:rPr>
            </w:pPr>
            <w:r>
              <w:rPr>
                <w:rFonts w:ascii="Arial" w:cs="Arial" w:eastAsia="Arial" w:hAnsi="Arial"/>
                <w:sz w:val="11"/>
                <w:szCs w:val="11"/>
                <w:color w:val="auto"/>
                <w:w w:val="96"/>
              </w:rPr>
              <w:t>Balance at September 30, 2024</w:t>
            </w:r>
          </w:p>
        </w:tc>
        <w:tc>
          <w:tcPr>
            <w:tcW w:w="900" w:type="dxa"/>
            <w:vAlign w:val="bottom"/>
            <w:gridSpan w:val="2"/>
          </w:tcPr>
          <w:p>
            <w:pPr>
              <w:jc w:val="right"/>
              <w:ind w:right="20"/>
              <w:spacing w:after="0"/>
              <w:rPr>
                <w:sz w:val="20"/>
                <w:szCs w:val="20"/>
                <w:color w:val="auto"/>
              </w:rPr>
            </w:pPr>
            <w:r>
              <w:rPr>
                <w:rFonts w:ascii="Arial" w:cs="Arial" w:eastAsia="Arial" w:hAnsi="Arial"/>
                <w:sz w:val="11"/>
                <w:szCs w:val="11"/>
                <w:color w:val="auto"/>
              </w:rPr>
              <w:t>19,620,632</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jc w:val="center"/>
              <w:ind w:right="6"/>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19,621</w:t>
            </w:r>
          </w:p>
        </w:tc>
        <w:tc>
          <w:tcPr>
            <w:tcW w:w="20" w:type="dxa"/>
            <w:vAlign w:val="bottom"/>
          </w:tcPr>
          <w:p>
            <w:pPr>
              <w:spacing w:after="0"/>
              <w:rPr>
                <w:sz w:val="11"/>
                <w:szCs w:val="11"/>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1"/>
                <w:szCs w:val="11"/>
                <w:color w:val="auto"/>
              </w:rPr>
              <w:t>306,100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40"/>
              <w:spacing w:after="0"/>
              <w:rPr>
                <w:sz w:val="20"/>
                <w:szCs w:val="20"/>
                <w:color w:val="auto"/>
              </w:rPr>
            </w:pPr>
            <w:r>
              <w:rPr>
                <w:rFonts w:ascii="Arial" w:cs="Arial" w:eastAsia="Arial" w:hAnsi="Arial"/>
                <w:sz w:val="11"/>
                <w:szCs w:val="11"/>
                <w:color w:val="auto"/>
              </w:rPr>
              <w:t>(73,827)</w:t>
            </w:r>
          </w:p>
        </w:tc>
        <w:tc>
          <w:tcPr>
            <w:tcW w:w="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00" w:type="dxa"/>
            <w:vAlign w:val="bottom"/>
            <w:gridSpan w:val="2"/>
          </w:tcPr>
          <w:p>
            <w:pPr>
              <w:jc w:val="right"/>
              <w:ind w:right="60"/>
              <w:spacing w:after="0"/>
              <w:rPr>
                <w:sz w:val="20"/>
                <w:szCs w:val="20"/>
                <w:color w:val="auto"/>
              </w:rPr>
            </w:pPr>
            <w:r>
              <w:rPr>
                <w:rFonts w:ascii="Arial" w:cs="Arial" w:eastAsia="Arial" w:hAnsi="Arial"/>
                <w:sz w:val="11"/>
                <w:szCs w:val="11"/>
                <w:color w:val="auto"/>
              </w:rPr>
              <w:t>(37,978)</w:t>
            </w:r>
          </w:p>
        </w:tc>
        <w:tc>
          <w:tcPr>
            <w:tcW w:w="11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213,916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5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40" w:type="dxa"/>
            <w:vAlign w:val="bottom"/>
            <w:tcBorders>
              <w:bottom w:val="single" w:sz="8" w:color="auto"/>
            </w:tcBorders>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0" w:type="dxa"/>
            <w:vAlign w:val="bottom"/>
            <w:gridSpan w:val="8"/>
            <w:vMerge w:val="restart"/>
          </w:tcPr>
          <w:p>
            <w:pPr>
              <w:jc w:val="right"/>
              <w:ind w:right="680"/>
              <w:spacing w:after="0"/>
              <w:rPr>
                <w:sz w:val="20"/>
                <w:szCs w:val="20"/>
                <w:color w:val="auto"/>
              </w:rPr>
            </w:pPr>
            <w:r>
              <w:rPr>
                <w:rFonts w:ascii="Arial" w:cs="Arial" w:eastAsia="Arial" w:hAnsi="Arial"/>
                <w:sz w:val="11"/>
                <w:szCs w:val="11"/>
                <w:b w:val="1"/>
                <w:bCs w:val="1"/>
                <w:color w:val="auto"/>
              </w:rPr>
              <w:t>Common Stock</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 w:type="dxa"/>
            <w:vAlign w:val="bottom"/>
          </w:tcPr>
          <w:p>
            <w:pPr>
              <w:spacing w:after="0"/>
              <w:rPr>
                <w:sz w:val="4"/>
                <w:szCs w:val="4"/>
                <w:color w:val="auto"/>
              </w:rPr>
            </w:pPr>
          </w:p>
        </w:tc>
        <w:tc>
          <w:tcPr>
            <w:tcW w:w="5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gridSpan w:val="8"/>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98"/>
              </w:rPr>
              <w:t>Additional Paid-in</w:t>
            </w:r>
          </w:p>
        </w:tc>
        <w:tc>
          <w:tcPr>
            <w:tcW w:w="120" w:type="dxa"/>
            <w:vAlign w:val="bottom"/>
          </w:tcPr>
          <w:p>
            <w:pPr>
              <w:spacing w:after="0"/>
              <w:rPr>
                <w:sz w:val="18"/>
                <w:szCs w:val="18"/>
                <w:color w:val="auto"/>
              </w:rPr>
            </w:pPr>
          </w:p>
        </w:tc>
        <w:tc>
          <w:tcPr>
            <w:tcW w:w="960" w:type="dxa"/>
            <w:vAlign w:val="bottom"/>
            <w:gridSpan w:val="4"/>
            <w:vMerge w:val="restart"/>
          </w:tcPr>
          <w:p>
            <w:pPr>
              <w:jc w:val="center"/>
              <w:ind w:right="220"/>
              <w:spacing w:after="0"/>
              <w:rPr>
                <w:sz w:val="20"/>
                <w:szCs w:val="20"/>
                <w:color w:val="auto"/>
              </w:rPr>
            </w:pPr>
            <w:r>
              <w:rPr>
                <w:rFonts w:ascii="Arial" w:cs="Arial" w:eastAsia="Arial" w:hAnsi="Arial"/>
                <w:sz w:val="11"/>
                <w:szCs w:val="11"/>
                <w:b w:val="1"/>
                <w:bCs w:val="1"/>
                <w:color w:val="auto"/>
                <w:w w:val="95"/>
              </w:rPr>
              <w:t>Accumulated</w:t>
            </w:r>
          </w:p>
        </w:tc>
        <w:tc>
          <w:tcPr>
            <w:tcW w:w="108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6"/>
              </w:rPr>
              <w:t>Accumulated Other</w:t>
            </w:r>
          </w:p>
        </w:tc>
        <w:tc>
          <w:tcPr>
            <w:tcW w:w="110" w:type="dxa"/>
            <w:vAlign w:val="bottom"/>
          </w:tcPr>
          <w:p>
            <w:pPr>
              <w:spacing w:after="0"/>
              <w:rPr>
                <w:sz w:val="18"/>
                <w:szCs w:val="18"/>
                <w:color w:val="auto"/>
              </w:rPr>
            </w:pPr>
          </w:p>
        </w:tc>
        <w:tc>
          <w:tcPr>
            <w:tcW w:w="50" w:type="dxa"/>
            <w:vAlign w:val="bottom"/>
          </w:tcPr>
          <w:p>
            <w:pPr>
              <w:spacing w:after="0"/>
              <w:rPr>
                <w:sz w:val="18"/>
                <w:szCs w:val="18"/>
                <w:color w:val="auto"/>
              </w:rPr>
            </w:pPr>
          </w:p>
        </w:tc>
        <w:tc>
          <w:tcPr>
            <w:tcW w:w="880" w:type="dxa"/>
            <w:vAlign w:val="bottom"/>
          </w:tcPr>
          <w:p>
            <w:pPr>
              <w:jc w:val="center"/>
              <w:ind w:right="10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6"/>
          </w:tcPr>
          <w:p>
            <w:pPr>
              <w:jc w:val="center"/>
              <w:ind w:right="100"/>
              <w:spacing w:after="0"/>
              <w:rPr>
                <w:sz w:val="20"/>
                <w:szCs w:val="20"/>
                <w:color w:val="auto"/>
              </w:rPr>
            </w:pPr>
            <w:r>
              <w:rPr>
                <w:rFonts w:ascii="Arial" w:cs="Arial" w:eastAsia="Arial" w:hAnsi="Arial"/>
                <w:sz w:val="11"/>
                <w:szCs w:val="11"/>
                <w:b w:val="1"/>
                <w:bCs w:val="1"/>
                <w:color w:val="auto"/>
                <w:w w:val="96"/>
              </w:rPr>
              <w:t>Capital on Common</w:t>
            </w:r>
          </w:p>
        </w:tc>
        <w:tc>
          <w:tcPr>
            <w:tcW w:w="12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6"/>
              </w:rPr>
              <w:t>Comprehensive</w:t>
            </w:r>
          </w:p>
        </w:tc>
        <w:tc>
          <w:tcPr>
            <w:tcW w:w="110" w:type="dxa"/>
            <w:vAlign w:val="bottom"/>
          </w:tcPr>
          <w:p>
            <w:pPr>
              <w:spacing w:after="0"/>
              <w:rPr>
                <w:sz w:val="11"/>
                <w:szCs w:val="11"/>
                <w:color w:val="auto"/>
              </w:rPr>
            </w:pPr>
          </w:p>
        </w:tc>
        <w:tc>
          <w:tcPr>
            <w:tcW w:w="50" w:type="dxa"/>
            <w:vAlign w:val="bottom"/>
          </w:tcPr>
          <w:p>
            <w:pPr>
              <w:spacing w:after="0"/>
              <w:rPr>
                <w:sz w:val="11"/>
                <w:szCs w:val="11"/>
                <w:color w:val="auto"/>
              </w:rPr>
            </w:pPr>
          </w:p>
        </w:tc>
        <w:tc>
          <w:tcPr>
            <w:tcW w:w="880" w:type="dxa"/>
            <w:vAlign w:val="bottom"/>
          </w:tcPr>
          <w:p>
            <w:pPr>
              <w:jc w:val="center"/>
              <w:ind w:right="106"/>
              <w:spacing w:after="0"/>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3"/>
              </w:rPr>
              <w:t>Stock</w:t>
            </w:r>
          </w:p>
        </w:tc>
        <w:tc>
          <w:tcPr>
            <w:tcW w:w="120" w:type="dxa"/>
            <w:vAlign w:val="bottom"/>
          </w:tcPr>
          <w:p>
            <w:pPr>
              <w:spacing w:after="0"/>
              <w:rPr>
                <w:sz w:val="11"/>
                <w:szCs w:val="11"/>
                <w:color w:val="auto"/>
              </w:rPr>
            </w:pPr>
          </w:p>
        </w:tc>
        <w:tc>
          <w:tcPr>
            <w:tcW w:w="96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1"/>
                <w:szCs w:val="11"/>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Loss</w:t>
            </w:r>
          </w:p>
        </w:tc>
        <w:tc>
          <w:tcPr>
            <w:tcW w:w="110" w:type="dxa"/>
            <w:vAlign w:val="bottom"/>
          </w:tcPr>
          <w:p>
            <w:pPr>
              <w:spacing w:after="0"/>
              <w:rPr>
                <w:sz w:val="11"/>
                <w:szCs w:val="11"/>
                <w:color w:val="auto"/>
              </w:rPr>
            </w:pPr>
          </w:p>
        </w:tc>
        <w:tc>
          <w:tcPr>
            <w:tcW w:w="50" w:type="dxa"/>
            <w:vAlign w:val="bottom"/>
          </w:tcPr>
          <w:p>
            <w:pPr>
              <w:spacing w:after="0"/>
              <w:rPr>
                <w:sz w:val="11"/>
                <w:szCs w:val="11"/>
                <w:color w:val="auto"/>
              </w:rPr>
            </w:pPr>
          </w:p>
        </w:tc>
        <w:tc>
          <w:tcPr>
            <w:tcW w:w="880" w:type="dxa"/>
            <w:vAlign w:val="bottom"/>
          </w:tcPr>
          <w:p>
            <w:pPr>
              <w:jc w:val="center"/>
              <w:ind w:right="12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9"/>
        </w:trPr>
        <w:tc>
          <w:tcPr>
            <w:tcW w:w="40" w:type="dxa"/>
            <w:vAlign w:val="bottom"/>
            <w:tcBorders>
              <w:top w:val="single" w:sz="8" w:color="CCEEFF"/>
            </w:tcBorders>
            <w:shd w:val="clear" w:color="auto" w:fill="CCEEFF"/>
          </w:tcPr>
          <w:p>
            <w:pPr>
              <w:spacing w:after="0"/>
              <w:rPr>
                <w:sz w:val="10"/>
                <w:szCs w:val="10"/>
                <w:color w:val="auto"/>
              </w:rPr>
            </w:pPr>
          </w:p>
        </w:tc>
        <w:tc>
          <w:tcPr>
            <w:tcW w:w="3720" w:type="dxa"/>
            <w:vAlign w:val="bottom"/>
            <w:tcBorders>
              <w:top w:val="single" w:sz="8" w:color="CCEEFF"/>
            </w:tcBorders>
            <w:shd w:val="clear" w:color="auto" w:fill="CCEEFF"/>
          </w:tcPr>
          <w:p>
            <w:pPr>
              <w:jc w:val="right"/>
              <w:ind w:right="2186"/>
              <w:spacing w:after="0" w:line="119" w:lineRule="exact"/>
              <w:rPr>
                <w:sz w:val="20"/>
                <w:szCs w:val="20"/>
                <w:color w:val="auto"/>
              </w:rPr>
            </w:pPr>
            <w:r>
              <w:rPr>
                <w:rFonts w:ascii="Arial" w:cs="Arial" w:eastAsia="Arial" w:hAnsi="Arial"/>
                <w:sz w:val="11"/>
                <w:szCs w:val="11"/>
                <w:color w:val="auto"/>
                <w:w w:val="96"/>
              </w:rPr>
              <w:t>Balance at December 31, 2024</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19,924,632</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19,925</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gridSpan w:val="2"/>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307,810</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(67,813)</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(44,534)</w:t>
            </w:r>
          </w:p>
        </w:tc>
        <w:tc>
          <w:tcPr>
            <w:tcW w:w="60" w:type="dxa"/>
            <w:vAlign w:val="bottom"/>
            <w:tcBorders>
              <w:top w:val="single" w:sz="8" w:color="CCEEFF"/>
            </w:tcBorders>
            <w:shd w:val="clear" w:color="auto" w:fill="CCEEFF"/>
          </w:tcPr>
          <w:p>
            <w:pPr>
              <w:spacing w:after="0"/>
              <w:rPr>
                <w:sz w:val="10"/>
                <w:szCs w:val="10"/>
                <w:color w:val="auto"/>
              </w:rPr>
            </w:pPr>
          </w:p>
        </w:tc>
        <w:tc>
          <w:tcPr>
            <w:tcW w:w="11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w w:val="97"/>
              </w:rPr>
              <w:t>$</w:t>
            </w:r>
          </w:p>
        </w:tc>
        <w:tc>
          <w:tcPr>
            <w:tcW w:w="930" w:type="dxa"/>
            <w:vAlign w:val="bottom"/>
            <w:tcBorders>
              <w:top w:val="single" w:sz="8" w:color="auto"/>
            </w:tcBorders>
            <w:gridSpan w:val="2"/>
            <w:shd w:val="clear" w:color="auto" w:fill="CCEEFF"/>
          </w:tcPr>
          <w:p>
            <w:pPr>
              <w:jc w:val="right"/>
              <w:ind w:right="6"/>
              <w:spacing w:after="0" w:line="119" w:lineRule="exact"/>
              <w:rPr>
                <w:sz w:val="20"/>
                <w:szCs w:val="20"/>
                <w:color w:val="auto"/>
              </w:rPr>
            </w:pPr>
            <w:r>
              <w:rPr>
                <w:rFonts w:ascii="Arial" w:cs="Arial" w:eastAsia="Arial" w:hAnsi="Arial"/>
                <w:sz w:val="11"/>
                <w:szCs w:val="11"/>
                <w:color w:val="auto"/>
              </w:rPr>
              <w:t>215,388</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20" w:type="dxa"/>
            <w:vAlign w:val="bottom"/>
            <w:gridSpan w:val="3"/>
          </w:tcPr>
          <w:p>
            <w:pPr>
              <w:ind w:left="100"/>
              <w:spacing w:after="0"/>
              <w:rPr>
                <w:sz w:val="20"/>
                <w:szCs w:val="20"/>
                <w:color w:val="auto"/>
              </w:rPr>
            </w:pPr>
            <w:r>
              <w:rPr>
                <w:rFonts w:ascii="Arial" w:cs="Arial" w:eastAsia="Arial" w:hAnsi="Arial"/>
                <w:sz w:val="11"/>
                <w:szCs w:val="11"/>
                <w:color w:val="auto"/>
              </w:rPr>
              <w:t>Net income</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24,737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ind w:right="6"/>
              <w:spacing w:after="0"/>
              <w:rPr>
                <w:sz w:val="20"/>
                <w:szCs w:val="20"/>
                <w:color w:val="auto"/>
              </w:rPr>
            </w:pPr>
            <w:r>
              <w:rPr>
                <w:rFonts w:ascii="Arial" w:cs="Arial" w:eastAsia="Arial" w:hAnsi="Arial"/>
                <w:sz w:val="11"/>
                <w:szCs w:val="11"/>
                <w:color w:val="auto"/>
              </w:rPr>
              <w:t>24,737</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3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income</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6,728</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6,728</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20" w:type="dxa"/>
            <w:vAlign w:val="bottom"/>
            <w:gridSpan w:val="3"/>
          </w:tcPr>
          <w:p>
            <w:pPr>
              <w:ind w:left="100"/>
              <w:spacing w:after="0"/>
              <w:rPr>
                <w:sz w:val="20"/>
                <w:szCs w:val="20"/>
                <w:color w:val="auto"/>
              </w:rPr>
            </w:pPr>
            <w:r>
              <w:rPr>
                <w:rFonts w:ascii="Arial" w:cs="Arial" w:eastAsia="Arial" w:hAnsi="Arial"/>
                <w:sz w:val="11"/>
                <w:szCs w:val="11"/>
                <w:color w:val="auto"/>
              </w:rPr>
              <w:t>Repurchase of Class A common stock</w:t>
            </w:r>
          </w:p>
        </w:tc>
        <w:tc>
          <w:tcPr>
            <w:tcW w:w="840" w:type="dxa"/>
            <w:vAlign w:val="bottom"/>
          </w:tcPr>
          <w:p>
            <w:pPr>
              <w:jc w:val="right"/>
              <w:spacing w:after="0"/>
              <w:rPr>
                <w:sz w:val="20"/>
                <w:szCs w:val="20"/>
                <w:color w:val="auto"/>
              </w:rPr>
            </w:pPr>
            <w:r>
              <w:rPr>
                <w:rFonts w:ascii="Arial" w:cs="Arial" w:eastAsia="Arial" w:hAnsi="Arial"/>
                <w:sz w:val="11"/>
                <w:szCs w:val="11"/>
                <w:color w:val="auto"/>
              </w:rPr>
              <w:t>(2,009,671)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(2,010)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(32,544)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(34,554)</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3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Restricted stock issued</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124,424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20" w:type="dxa"/>
            <w:vAlign w:val="bottom"/>
            <w:gridSpan w:val="3"/>
          </w:tcPr>
          <w:p>
            <w:pPr>
              <w:ind w:left="100"/>
              <w:spacing w:after="0"/>
              <w:rPr>
                <w:sz w:val="20"/>
                <w:szCs w:val="20"/>
                <w:color w:val="auto"/>
              </w:rPr>
            </w:pPr>
            <w:r>
              <w:rPr>
                <w:rFonts w:ascii="Arial" w:cs="Arial" w:eastAsia="Arial" w:hAnsi="Arial"/>
                <w:sz w:val="11"/>
                <w:szCs w:val="11"/>
                <w:color w:val="auto"/>
              </w:rPr>
              <w:t>Exercise of stock options</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68,000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68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490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ind w:right="6"/>
              <w:spacing w:after="0"/>
              <w:rPr>
                <w:sz w:val="20"/>
                <w:szCs w:val="20"/>
                <w:color w:val="auto"/>
              </w:rPr>
            </w:pPr>
            <w:r>
              <w:rPr>
                <w:rFonts w:ascii="Arial" w:cs="Arial" w:eastAsia="Arial" w:hAnsi="Arial"/>
                <w:sz w:val="11"/>
                <w:szCs w:val="11"/>
                <w:color w:val="auto"/>
              </w:rPr>
              <w:t>558</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3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Dividend payment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(6,018)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(6,018)</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20" w:type="dxa"/>
            <w:vAlign w:val="bottom"/>
            <w:gridSpan w:val="3"/>
          </w:tcPr>
          <w:p>
            <w:pPr>
              <w:ind w:left="100"/>
              <w:spacing w:after="0"/>
              <w:rPr>
                <w:sz w:val="20"/>
                <w:szCs w:val="20"/>
                <w:color w:val="auto"/>
              </w:rPr>
            </w:pPr>
            <w:r>
              <w:rPr>
                <w:rFonts w:ascii="Arial" w:cs="Arial" w:eastAsia="Arial" w:hAnsi="Arial"/>
                <w:sz w:val="11"/>
                <w:szCs w:val="11"/>
                <w:color w:val="auto"/>
              </w:rPr>
              <w:t>Stock-based compensation</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2,256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ind w:right="6"/>
              <w:spacing w:after="0"/>
              <w:rPr>
                <w:sz w:val="20"/>
                <w:szCs w:val="20"/>
                <w:color w:val="auto"/>
              </w:rPr>
            </w:pPr>
            <w:r>
              <w:rPr>
                <w:rFonts w:ascii="Arial" w:cs="Arial" w:eastAsia="Arial" w:hAnsi="Arial"/>
                <w:sz w:val="11"/>
                <w:szCs w:val="11"/>
                <w:color w:val="auto"/>
              </w:rPr>
              <w:t>2,256</w:t>
            </w:r>
          </w:p>
        </w:tc>
        <w:tc>
          <w:tcPr>
            <w:tcW w:w="0" w:type="dxa"/>
            <w:vAlign w:val="bottom"/>
          </w:tcPr>
          <w:p>
            <w:pPr>
              <w:spacing w:after="0"/>
              <w:rPr>
                <w:sz w:val="1"/>
                <w:szCs w:val="1"/>
                <w:color w:val="auto"/>
              </w:rPr>
            </w:pPr>
          </w:p>
        </w:tc>
      </w:tr>
      <w:tr>
        <w:trPr>
          <w:trHeight w:val="129"/>
        </w:trPr>
        <w:tc>
          <w:tcPr>
            <w:tcW w:w="40" w:type="dxa"/>
            <w:vAlign w:val="bottom"/>
            <w:tcBorders>
              <w:top w:val="single" w:sz="8" w:color="CCEEFF"/>
            </w:tcBorders>
            <w:shd w:val="clear" w:color="auto" w:fill="CCEEFF"/>
          </w:tcPr>
          <w:p>
            <w:pPr>
              <w:spacing w:after="0"/>
              <w:rPr>
                <w:sz w:val="11"/>
                <w:szCs w:val="11"/>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at September 30, 2025</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18,107,385</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0"/>
                <w:szCs w:val="10"/>
                <w:color w:val="auto"/>
                <w:w w:val="71"/>
                <w:shd w:val="clear" w:color="auto" w:fill="CCEEFF"/>
              </w:rPr>
              <w:t>$</w:t>
            </w:r>
          </w:p>
        </w:tc>
        <w:tc>
          <w:tcPr>
            <w:tcW w:w="8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18,107</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9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277,888</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shd w:val="clear" w:color="auto" w:fill="CCEEFF"/>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(49,094)</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(37,806)</w:t>
            </w:r>
          </w:p>
        </w:tc>
        <w:tc>
          <w:tcPr>
            <w:tcW w:w="60" w:type="dxa"/>
            <w:vAlign w:val="bottom"/>
            <w:tcBorders>
              <w:top w:val="single" w:sz="8" w:color="CCEEFF"/>
            </w:tcBorders>
            <w:shd w:val="clear" w:color="auto" w:fill="CCEEFF"/>
          </w:tcPr>
          <w:p>
            <w:pPr>
              <w:spacing w:after="0"/>
              <w:rPr>
                <w:sz w:val="11"/>
                <w:szCs w:val="11"/>
                <w:color w:val="auto"/>
              </w:rPr>
            </w:pPr>
          </w:p>
        </w:tc>
        <w:tc>
          <w:tcPr>
            <w:tcW w:w="11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5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209,095</w:t>
            </w:r>
          </w:p>
        </w:tc>
        <w:tc>
          <w:tcPr>
            <w:tcW w:w="0" w:type="dxa"/>
            <w:vAlign w:val="bottom"/>
          </w:tcPr>
          <w:p>
            <w:pPr>
              <w:spacing w:after="0"/>
              <w:rPr>
                <w:sz w:val="1"/>
                <w:szCs w:val="1"/>
                <w:color w:val="auto"/>
              </w:rPr>
            </w:pPr>
          </w:p>
        </w:tc>
      </w:tr>
      <w:tr>
        <w:trPr>
          <w:trHeight w:val="20"/>
        </w:trPr>
        <w:tc>
          <w:tcPr>
            <w:tcW w:w="3800" w:type="dxa"/>
            <w:vAlign w:val="bottom"/>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93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860" w:type="dxa"/>
            <w:vAlign w:val="bottom"/>
            <w:gridSpan w:val="4"/>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 w:type="dxa"/>
            <w:vAlign w:val="bottom"/>
          </w:tcPr>
          <w:p>
            <w:pPr>
              <w:spacing w:after="0"/>
              <w:rPr>
                <w:sz w:val="7"/>
                <w:szCs w:val="7"/>
                <w:color w:val="auto"/>
              </w:rPr>
            </w:pPr>
          </w:p>
        </w:tc>
        <w:tc>
          <w:tcPr>
            <w:tcW w:w="93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3720" w:type="dxa"/>
            <w:vAlign w:val="bottom"/>
            <w:shd w:val="clear" w:color="auto" w:fill="CCEEFF"/>
          </w:tcPr>
          <w:p>
            <w:pPr>
              <w:jc w:val="right"/>
              <w:ind w:right="2186"/>
              <w:spacing w:after="0"/>
              <w:rPr>
                <w:sz w:val="20"/>
                <w:szCs w:val="20"/>
                <w:color w:val="auto"/>
              </w:rPr>
            </w:pPr>
            <w:r>
              <w:rPr>
                <w:rFonts w:ascii="Arial" w:cs="Arial" w:eastAsia="Arial" w:hAnsi="Arial"/>
                <w:sz w:val="11"/>
                <w:szCs w:val="11"/>
                <w:color w:val="auto"/>
                <w:w w:val="96"/>
              </w:rPr>
              <w:t>Balance at December 31, 2023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19,575,435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19,575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305,212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(88,548)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(44,271)</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191,968</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20" w:type="dxa"/>
            <w:vAlign w:val="bottom"/>
            <w:gridSpan w:val="3"/>
          </w:tcPr>
          <w:p>
            <w:pPr>
              <w:ind w:left="100"/>
              <w:spacing w:after="0"/>
              <w:rPr>
                <w:sz w:val="20"/>
                <w:szCs w:val="20"/>
                <w:color w:val="auto"/>
              </w:rPr>
            </w:pPr>
            <w:r>
              <w:rPr>
                <w:rFonts w:ascii="Arial" w:cs="Arial" w:eastAsia="Arial" w:hAnsi="Arial"/>
                <w:sz w:val="11"/>
                <w:szCs w:val="11"/>
                <w:color w:val="auto"/>
              </w:rPr>
              <w:t>Net income</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17,770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ind w:right="6"/>
              <w:spacing w:after="0"/>
              <w:rPr>
                <w:sz w:val="20"/>
                <w:szCs w:val="20"/>
                <w:color w:val="auto"/>
              </w:rPr>
            </w:pPr>
            <w:r>
              <w:rPr>
                <w:rFonts w:ascii="Arial" w:cs="Arial" w:eastAsia="Arial" w:hAnsi="Arial"/>
                <w:sz w:val="11"/>
                <w:szCs w:val="11"/>
                <w:color w:val="auto"/>
              </w:rPr>
              <w:t>17,770</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3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income</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6,293</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6,293</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20" w:type="dxa"/>
            <w:vAlign w:val="bottom"/>
            <w:gridSpan w:val="3"/>
          </w:tcPr>
          <w:p>
            <w:pPr>
              <w:ind w:left="100"/>
              <w:spacing w:after="0"/>
              <w:rPr>
                <w:sz w:val="20"/>
                <w:szCs w:val="20"/>
                <w:color w:val="auto"/>
              </w:rPr>
            </w:pPr>
            <w:r>
              <w:rPr>
                <w:rFonts w:ascii="Arial" w:cs="Arial" w:eastAsia="Arial" w:hAnsi="Arial"/>
                <w:sz w:val="11"/>
                <w:szCs w:val="11"/>
                <w:color w:val="auto"/>
              </w:rPr>
              <w:t>Repurchase of Class A common stock</w:t>
            </w:r>
          </w:p>
        </w:tc>
        <w:tc>
          <w:tcPr>
            <w:tcW w:w="840" w:type="dxa"/>
            <w:vAlign w:val="bottom"/>
          </w:tcPr>
          <w:p>
            <w:pPr>
              <w:jc w:val="right"/>
              <w:spacing w:after="0"/>
              <w:rPr>
                <w:sz w:val="20"/>
                <w:szCs w:val="20"/>
                <w:color w:val="auto"/>
              </w:rPr>
            </w:pPr>
            <w:r>
              <w:rPr>
                <w:rFonts w:ascii="Arial" w:cs="Arial" w:eastAsia="Arial" w:hAnsi="Arial"/>
                <w:sz w:val="11"/>
                <w:szCs w:val="11"/>
                <w:color w:val="auto"/>
              </w:rPr>
              <w:t>(42,100)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(459)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(501)</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3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Restricted stock issued</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57,922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20" w:type="dxa"/>
            <w:vAlign w:val="bottom"/>
            <w:gridSpan w:val="3"/>
          </w:tcPr>
          <w:p>
            <w:pPr>
              <w:ind w:left="100"/>
              <w:spacing w:after="0"/>
              <w:rPr>
                <w:sz w:val="20"/>
                <w:szCs w:val="20"/>
                <w:color w:val="auto"/>
              </w:rPr>
            </w:pPr>
            <w:r>
              <w:rPr>
                <w:rFonts w:ascii="Arial" w:cs="Arial" w:eastAsia="Arial" w:hAnsi="Arial"/>
                <w:sz w:val="11"/>
                <w:szCs w:val="11"/>
                <w:color w:val="auto"/>
              </w:rPr>
              <w:t>Restricted stock forfeiture</w:t>
            </w:r>
          </w:p>
        </w:tc>
        <w:tc>
          <w:tcPr>
            <w:tcW w:w="840" w:type="dxa"/>
            <w:vAlign w:val="bottom"/>
          </w:tcPr>
          <w:p>
            <w:pPr>
              <w:jc w:val="right"/>
              <w:spacing w:after="0"/>
              <w:rPr>
                <w:sz w:val="20"/>
                <w:szCs w:val="20"/>
                <w:color w:val="auto"/>
              </w:rPr>
            </w:pPr>
            <w:r>
              <w:rPr>
                <w:rFonts w:ascii="Arial" w:cs="Arial" w:eastAsia="Arial" w:hAnsi="Arial"/>
                <w:sz w:val="11"/>
                <w:szCs w:val="11"/>
                <w:color w:val="auto"/>
              </w:rPr>
              <w:t>(8,625)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3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Exercise of stock options</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38,000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323</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820" w:type="dxa"/>
            <w:vAlign w:val="bottom"/>
            <w:gridSpan w:val="3"/>
          </w:tcPr>
          <w:p>
            <w:pPr>
              <w:ind w:left="100"/>
              <w:spacing w:after="0"/>
              <w:rPr>
                <w:sz w:val="20"/>
                <w:szCs w:val="20"/>
                <w:color w:val="auto"/>
              </w:rPr>
            </w:pPr>
            <w:r>
              <w:rPr>
                <w:rFonts w:ascii="Arial" w:cs="Arial" w:eastAsia="Arial" w:hAnsi="Arial"/>
                <w:sz w:val="11"/>
                <w:szCs w:val="11"/>
                <w:color w:val="auto"/>
              </w:rPr>
              <w:t>Dividend payment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(3,049)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930" w:type="dxa"/>
            <w:vAlign w:val="bottom"/>
            <w:gridSpan w:val="2"/>
          </w:tcPr>
          <w:p>
            <w:pPr>
              <w:jc w:val="right"/>
              <w:spacing w:after="0"/>
              <w:rPr>
                <w:sz w:val="20"/>
                <w:szCs w:val="20"/>
                <w:color w:val="auto"/>
              </w:rPr>
            </w:pPr>
            <w:r>
              <w:rPr>
                <w:rFonts w:ascii="Arial" w:cs="Arial" w:eastAsia="Arial" w:hAnsi="Arial"/>
                <w:sz w:val="11"/>
                <w:szCs w:val="11"/>
                <w:color w:val="auto"/>
              </w:rPr>
              <w:t>(3,049)</w:t>
            </w:r>
          </w:p>
        </w:tc>
        <w:tc>
          <w:tcPr>
            <w:tcW w:w="0" w:type="dxa"/>
            <w:vAlign w:val="bottom"/>
          </w:tcPr>
          <w:p>
            <w:pPr>
              <w:spacing w:after="0"/>
              <w:rPr>
                <w:sz w:val="1"/>
                <w:szCs w:val="1"/>
                <w:color w:val="auto"/>
              </w:rPr>
            </w:pPr>
          </w:p>
        </w:tc>
      </w:tr>
      <w:tr>
        <w:trPr>
          <w:trHeight w:val="139"/>
        </w:trPr>
        <w:tc>
          <w:tcPr>
            <w:tcW w:w="40" w:type="dxa"/>
            <w:vAlign w:val="bottom"/>
            <w:shd w:val="clear" w:color="auto" w:fill="CCEEFF"/>
          </w:tcPr>
          <w:p>
            <w:pPr>
              <w:spacing w:after="0"/>
              <w:rPr>
                <w:sz w:val="12"/>
                <w:szCs w:val="12"/>
                <w:color w:val="auto"/>
              </w:rPr>
            </w:pPr>
          </w:p>
        </w:tc>
        <w:tc>
          <w:tcPr>
            <w:tcW w:w="37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1,112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spacing w:after="0"/>
              <w:rPr>
                <w:sz w:val="12"/>
                <w:szCs w:val="12"/>
                <w:color w:val="auto"/>
              </w:rPr>
            </w:pPr>
          </w:p>
        </w:tc>
        <w:tc>
          <w:tcPr>
            <w:tcW w:w="5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1,112</w:t>
            </w:r>
          </w:p>
        </w:tc>
        <w:tc>
          <w:tcPr>
            <w:tcW w:w="0" w:type="dxa"/>
            <w:vAlign w:val="bottom"/>
          </w:tcPr>
          <w:p>
            <w:pPr>
              <w:spacing w:after="0"/>
              <w:rPr>
                <w:sz w:val="1"/>
                <w:szCs w:val="1"/>
                <w:color w:val="auto"/>
              </w:rPr>
            </w:pPr>
          </w:p>
        </w:tc>
      </w:tr>
      <w:tr>
        <w:trPr>
          <w:trHeight w:val="129"/>
        </w:trPr>
        <w:tc>
          <w:tcPr>
            <w:tcW w:w="3860" w:type="dxa"/>
            <w:vAlign w:val="bottom"/>
            <w:gridSpan w:val="4"/>
          </w:tcPr>
          <w:p>
            <w:pPr>
              <w:ind w:left="40"/>
              <w:spacing w:after="0"/>
              <w:rPr>
                <w:sz w:val="20"/>
                <w:szCs w:val="20"/>
                <w:color w:val="auto"/>
              </w:rPr>
            </w:pPr>
            <w:r>
              <w:rPr>
                <w:rFonts w:ascii="Arial" w:cs="Arial" w:eastAsia="Arial" w:hAnsi="Arial"/>
                <w:sz w:val="11"/>
                <w:szCs w:val="11"/>
                <w:color w:val="auto"/>
              </w:rPr>
              <w:t>Balance at September 30, 2024</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19,620,632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jc w:val="right"/>
              <w:ind w:right="46"/>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19,621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306,100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(73,827)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(37,978)</w:t>
            </w:r>
          </w:p>
        </w:tc>
        <w:tc>
          <w:tcPr>
            <w:tcW w:w="60" w:type="dxa"/>
            <w:vAlign w:val="bottom"/>
          </w:tcPr>
          <w:p>
            <w:pPr>
              <w:spacing w:after="0"/>
              <w:rPr>
                <w:sz w:val="11"/>
                <w:szCs w:val="11"/>
                <w:color w:val="auto"/>
              </w:rPr>
            </w:pPr>
          </w:p>
        </w:tc>
        <w:tc>
          <w:tcPr>
            <w:tcW w:w="11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30" w:type="dxa"/>
            <w:vAlign w:val="bottom"/>
            <w:gridSpan w:val="2"/>
          </w:tcPr>
          <w:p>
            <w:pPr>
              <w:jc w:val="right"/>
              <w:ind w:right="6"/>
              <w:spacing w:after="0"/>
              <w:rPr>
                <w:sz w:val="20"/>
                <w:szCs w:val="20"/>
                <w:color w:val="auto"/>
              </w:rPr>
            </w:pPr>
            <w:r>
              <w:rPr>
                <w:rFonts w:ascii="Arial" w:cs="Arial" w:eastAsia="Arial" w:hAnsi="Arial"/>
                <w:sz w:val="11"/>
                <w:szCs w:val="11"/>
                <w:color w:val="auto"/>
              </w:rPr>
              <w:t>213,916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5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The accompanying notes are an integralpart of these consolidated financial statements.</w:t>
      </w:r>
    </w:p>
    <w:p>
      <w:pPr>
        <w:spacing w:after="0" w:line="308" w:lineRule="exact"/>
        <w:rPr>
          <w:sz w:val="20"/>
          <w:szCs w:val="20"/>
          <w:color w:val="auto"/>
        </w:rPr>
      </w:pPr>
    </w:p>
    <w:p>
      <w:pPr>
        <w:jc w:val="center"/>
        <w:ind w:right="-39"/>
        <w:spacing w:after="0"/>
        <w:tabs>
          <w:tab w:leader="none" w:pos="260" w:val="left"/>
          <w:tab w:leader="none" w:pos="10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10200"/>
          </w:cols>
          <w:pgMar w:left="900" w:top="477" w:right="799" w:bottom="1440" w:gutter="0" w:footer="0" w:header="0"/>
        </w:sectPr>
      </w:pPr>
    </w:p>
    <w:bookmarkStart w:id="6" w:name="page7"/>
    <w:bookmarkEnd w:id="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 - Unaudited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gridSpan w:val="8"/>
          </w:tcPr>
          <w:p>
            <w:pPr>
              <w:jc w:val="right"/>
              <w:ind w:right="340"/>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4840" w:type="dxa"/>
            <w:vAlign w:val="bottom"/>
            <w:tcBorders>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gridSpan w:val="3"/>
          </w:tcPr>
          <w:p>
            <w:pPr>
              <w:jc w:val="right"/>
              <w:spacing w:after="0" w:line="119" w:lineRule="exact"/>
              <w:rPr>
                <w:sz w:val="20"/>
                <w:szCs w:val="20"/>
                <w:color w:val="auto"/>
              </w:rPr>
            </w:pPr>
            <w:r>
              <w:rPr>
                <w:rFonts w:ascii="Arial" w:cs="Arial" w:eastAsia="Arial" w:hAnsi="Arial"/>
                <w:sz w:val="11"/>
                <w:szCs w:val="11"/>
                <w:b w:val="1"/>
                <w:bCs w:val="1"/>
                <w:color w:val="auto"/>
              </w:rPr>
              <w:t>2025</w:t>
            </w:r>
          </w:p>
        </w:tc>
        <w:tc>
          <w:tcPr>
            <w:tcW w:w="480" w:type="dxa"/>
            <w:vAlign w:val="bottom"/>
            <w:tcBorders>
              <w:top w:val="single" w:sz="8" w:color="auto"/>
              <w:bottom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bottom w:val="single" w:sz="8" w:color="CCEEFF"/>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60" w:type="dxa"/>
            <w:vAlign w:val="bottom"/>
            <w:tcBorders>
              <w:top w:val="single" w:sz="8" w:color="auto"/>
              <w:bottom w:val="single" w:sz="8" w:color="auto"/>
            </w:tcBorders>
          </w:tcPr>
          <w:p>
            <w:pPr>
              <w:jc w:val="right"/>
              <w:ind w:right="426"/>
              <w:spacing w:after="0" w:line="119" w:lineRule="exact"/>
              <w:rPr>
                <w:sz w:val="20"/>
                <w:szCs w:val="20"/>
                <w:color w:val="auto"/>
              </w:rPr>
            </w:pPr>
            <w:r>
              <w:rPr>
                <w:rFonts w:ascii="Arial" w:cs="Arial" w:eastAsia="Arial" w:hAnsi="Arial"/>
                <w:sz w:val="11"/>
                <w:szCs w:val="11"/>
                <w:b w:val="1"/>
                <w:bCs w:val="1"/>
                <w:color w:val="auto"/>
              </w:rPr>
              <w:t>2024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20" w:type="dxa"/>
            <w:vAlign w:val="bottom"/>
            <w:gridSpan w:val="4"/>
            <w:shd w:val="clear" w:color="auto" w:fill="CCEEFF"/>
          </w:tcPr>
          <w:p>
            <w:pPr>
              <w:spacing w:after="0" w:line="119" w:lineRule="exact"/>
              <w:rPr>
                <w:sz w:val="20"/>
                <w:szCs w:val="20"/>
                <w:color w:val="auto"/>
              </w:rPr>
            </w:pPr>
            <w:r>
              <w:rPr>
                <w:rFonts w:ascii="Arial" w:cs="Arial" w:eastAsia="Arial" w:hAnsi="Arial"/>
                <w:sz w:val="11"/>
                <w:szCs w:val="11"/>
                <w:b w:val="1"/>
                <w:bCs w:val="1"/>
                <w:color w:val="auto"/>
              </w:rPr>
              <w:t>Cash flows from operating activities:</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4"/>
          </w:tcPr>
          <w:p>
            <w:pPr>
              <w:ind w:left="80"/>
              <w:spacing w:after="0"/>
              <w:rPr>
                <w:sz w:val="20"/>
                <w:szCs w:val="20"/>
                <w:color w:val="auto"/>
              </w:rPr>
            </w:pPr>
            <w:r>
              <w:rPr>
                <w:rFonts w:ascii="Arial" w:cs="Arial" w:eastAsia="Arial" w:hAnsi="Arial"/>
                <w:sz w:val="11"/>
                <w:szCs w:val="11"/>
                <w:color w:val="auto"/>
              </w:rPr>
              <w:t>Net income</w:t>
            </w: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24,737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17,770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Adjustments to reconcile net incometo net cash provided by operating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140" w:type="dxa"/>
            <w:vAlign w:val="bottom"/>
            <w:gridSpan w:val="3"/>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1,817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2,127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and amortization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3"/>
          </w:tcPr>
          <w:p>
            <w:pPr>
              <w:ind w:left="100"/>
              <w:spacing w:after="0"/>
              <w:rPr>
                <w:sz w:val="20"/>
                <w:szCs w:val="20"/>
                <w:color w:val="auto"/>
              </w:rPr>
            </w:pPr>
            <w:r>
              <w:rPr>
                <w:rFonts w:ascii="Arial" w:cs="Arial" w:eastAsia="Arial" w:hAnsi="Arial"/>
                <w:sz w:val="11"/>
                <w:szCs w:val="11"/>
                <w:color w:val="auto"/>
              </w:rPr>
              <w:t>Accretion of premiums on securities,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(1,136)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(365)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Amortization of deferred loan fees, net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3"/>
          </w:tcPr>
          <w:p>
            <w:pPr>
              <w:ind w:left="100"/>
              <w:spacing w:after="0"/>
              <w:rPr>
                <w:sz w:val="20"/>
                <w:szCs w:val="20"/>
                <w:color w:val="auto"/>
              </w:rPr>
            </w:pPr>
            <w:r>
              <w:rPr>
                <w:rFonts w:ascii="Arial" w:cs="Arial" w:eastAsia="Arial" w:hAnsi="Arial"/>
                <w:sz w:val="11"/>
                <w:szCs w:val="11"/>
                <w:color w:val="auto"/>
              </w:rPr>
              <w:t>Stock-based compensation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2,256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(Loss) gain on sale of available for sale securities,net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3"/>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(804)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(593)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Proceeds from the sale of loans held for sale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11,373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3"/>
          </w:tcPr>
          <w:p>
            <w:pPr>
              <w:ind w:left="100"/>
              <w:spacing w:after="0"/>
              <w:rPr>
                <w:sz w:val="20"/>
                <w:szCs w:val="20"/>
                <w:color w:val="auto"/>
              </w:rPr>
            </w:pPr>
            <w:r>
              <w:rPr>
                <w:rFonts w:ascii="Arial" w:cs="Arial" w:eastAsia="Arial" w:hAnsi="Arial"/>
                <w:sz w:val="11"/>
                <w:szCs w:val="11"/>
                <w:color w:val="auto"/>
              </w:rPr>
              <w:t>Origination of loans held for 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(10,569)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1"/>
                <w:szCs w:val="11"/>
                <w:color w:val="auto"/>
              </w:rPr>
              <w:t>(6,815)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Increase in cash surrender value of bank ownedlife insurance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(1,451)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(1,257)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3"/>
          </w:tcPr>
          <w:p>
            <w:pPr>
              <w:ind w:left="100"/>
              <w:spacing w:after="0"/>
              <w:rPr>
                <w:sz w:val="20"/>
                <w:szCs w:val="20"/>
                <w:color w:val="auto"/>
              </w:rPr>
            </w:pPr>
            <w:r>
              <w:rPr>
                <w:rFonts w:ascii="Arial" w:cs="Arial" w:eastAsia="Arial" w:hAnsi="Arial"/>
                <w:sz w:val="11"/>
                <w:szCs w:val="11"/>
                <w:color w:val="auto"/>
              </w:rPr>
              <w:t>Decrease in deferred tax 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7,905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Net change in operating assets and liabilities: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40" w:type="dxa"/>
            <w:vAlign w:val="bottom"/>
            <w:gridSpan w:val="3"/>
          </w:tcPr>
          <w:p>
            <w:pPr>
              <w:ind w:left="100"/>
              <w:spacing w:after="0"/>
              <w:rPr>
                <w:sz w:val="20"/>
                <w:szCs w:val="20"/>
                <w:color w:val="auto"/>
              </w:rPr>
            </w:pPr>
            <w:r>
              <w:rPr>
                <w:rFonts w:ascii="Arial" w:cs="Arial" w:eastAsia="Arial" w:hAnsi="Arial"/>
                <w:sz w:val="11"/>
                <w:szCs w:val="11"/>
                <w:color w:val="auto"/>
              </w:rPr>
              <w:t>Accrued interest receivable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(1,181)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(7,389)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(8,292)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140" w:type="dxa"/>
            <w:vAlign w:val="bottom"/>
            <w:tcBorders>
              <w:bottom w:val="single" w:sz="8" w:color="CCEEFF"/>
            </w:tcBorders>
            <w:gridSpan w:val="3"/>
          </w:tcPr>
          <w:p>
            <w:pPr>
              <w:ind w:left="100"/>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26,051</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20,505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840" w:type="dxa"/>
            <w:vAlign w:val="bottom"/>
            <w:shd w:val="clear" w:color="auto" w:fill="CCEEFF"/>
          </w:tcPr>
          <w:p>
            <w:pPr>
              <w:spacing w:after="0" w:line="117" w:lineRule="exact"/>
              <w:rPr>
                <w:sz w:val="20"/>
                <w:szCs w:val="20"/>
                <w:color w:val="auto"/>
              </w:rPr>
            </w:pPr>
            <w:r>
              <w:rPr>
                <w:rFonts w:ascii="Arial" w:cs="Arial" w:eastAsia="Arial" w:hAnsi="Arial"/>
                <w:sz w:val="11"/>
                <w:szCs w:val="11"/>
                <w:color w:val="auto"/>
              </w:rPr>
              <w:t>Net cash provided by operating activities</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52,816</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37,734</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0" w:type="dxa"/>
            <w:vAlign w:val="bottom"/>
            <w:gridSpan w:val="3"/>
          </w:tcPr>
          <w:p>
            <w:pPr>
              <w:spacing w:after="0"/>
              <w:rPr>
                <w:sz w:val="12"/>
                <w:szCs w:val="12"/>
                <w:color w:val="auto"/>
              </w:rPr>
            </w:pPr>
          </w:p>
        </w:tc>
        <w:tc>
          <w:tcPr>
            <w:tcW w:w="50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4"/>
          </w:tcPr>
          <w:p>
            <w:pPr>
              <w:ind w:left="80"/>
              <w:spacing w:after="0"/>
              <w:rPr>
                <w:sz w:val="20"/>
                <w:szCs w:val="20"/>
                <w:color w:val="auto"/>
              </w:rPr>
            </w:pPr>
            <w:r>
              <w:rPr>
                <w:rFonts w:ascii="Arial" w:cs="Arial" w:eastAsia="Arial" w:hAnsi="Arial"/>
                <w:sz w:val="11"/>
                <w:szCs w:val="11"/>
                <w:color w:val="auto"/>
              </w:rPr>
              <w:t>Proceeds from maturities and pay-downs of investmentsecurities held to maturity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8,469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Purchase of investment securities availablefor sale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(101,486)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(70,996)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4"/>
          </w:tcPr>
          <w:p>
            <w:pPr>
              <w:ind w:left="80"/>
              <w:spacing w:after="0"/>
              <w:rPr>
                <w:sz w:val="20"/>
                <w:szCs w:val="20"/>
                <w:color w:val="auto"/>
              </w:rPr>
            </w:pPr>
            <w:r>
              <w:rPr>
                <w:rFonts w:ascii="Arial" w:cs="Arial" w:eastAsia="Arial" w:hAnsi="Arial"/>
                <w:sz w:val="11"/>
                <w:szCs w:val="11"/>
                <w:color w:val="auto"/>
              </w:rPr>
              <w:t>Proceeds from maturities and pay-downs of investmentsecurities available for sale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16,433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15,097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Proceeds from sales of investment securitiesavailable for sale</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31,384</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34,753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4"/>
          </w:tcPr>
          <w:p>
            <w:pPr>
              <w:ind w:left="80"/>
              <w:spacing w:after="0"/>
              <w:rPr>
                <w:sz w:val="20"/>
                <w:szCs w:val="20"/>
                <w:color w:val="auto"/>
              </w:rPr>
            </w:pPr>
            <w:r>
              <w:rPr>
                <w:rFonts w:ascii="Arial" w:cs="Arial" w:eastAsia="Arial" w:hAnsi="Arial"/>
                <w:sz w:val="11"/>
                <w:szCs w:val="11"/>
                <w:color w:val="auto"/>
              </w:rPr>
              <w:t>Net increase in loans held for investment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(78,149)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(92,812)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Purchase of loans held for investment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(81,392)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(58,368)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4"/>
          </w:tcPr>
          <w:p>
            <w:pPr>
              <w:ind w:left="80"/>
              <w:spacing w:after="0"/>
              <w:rPr>
                <w:sz w:val="20"/>
                <w:szCs w:val="20"/>
                <w:color w:val="auto"/>
              </w:rPr>
            </w:pPr>
            <w:r>
              <w:rPr>
                <w:rFonts w:ascii="Arial" w:cs="Arial" w:eastAsia="Arial" w:hAnsi="Arial"/>
                <w:sz w:val="11"/>
                <w:szCs w:val="11"/>
                <w:color w:val="auto"/>
              </w:rPr>
              <w:t>Additions to premises and equipment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(208)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(256)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Purchase of bank owned life insurance</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(4,000)</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4"/>
          </w:tcPr>
          <w:p>
            <w:pPr>
              <w:ind w:left="80"/>
              <w:spacing w:after="0"/>
              <w:rPr>
                <w:sz w:val="20"/>
                <w:szCs w:val="20"/>
                <w:color w:val="auto"/>
              </w:rPr>
            </w:pPr>
            <w:r>
              <w:rPr>
                <w:rFonts w:ascii="Arial" w:cs="Arial" w:eastAsia="Arial" w:hAnsi="Arial"/>
                <w:sz w:val="11"/>
                <w:szCs w:val="11"/>
                <w:color w:val="auto"/>
              </w:rPr>
              <w:t>Proceeds from the redemption of FederalHome Loan Bank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12,778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8,645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Purchase of Federal Home Loan Bank stock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(5,727)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(5,734)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40" w:type="dxa"/>
            <w:vAlign w:val="bottom"/>
            <w:gridSpan w:val="2"/>
          </w:tcPr>
          <w:p>
            <w:pPr>
              <w:ind w:left="100"/>
              <w:spacing w:after="0" w:line="119" w:lineRule="exact"/>
              <w:rPr>
                <w:sz w:val="20"/>
                <w:szCs w:val="20"/>
                <w:color w:val="auto"/>
              </w:rPr>
            </w:pPr>
            <w:r>
              <w:rPr>
                <w:rFonts w:ascii="Arial" w:cs="Arial" w:eastAsia="Arial" w:hAnsi="Arial"/>
                <w:sz w:val="11"/>
                <w:szCs w:val="11"/>
                <w:color w:val="auto"/>
              </w:rPr>
              <w:t>Net cash used in investment activities</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w w:val="97"/>
              </w:rPr>
              <w:t>(201,898)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(161,561)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5220" w:type="dxa"/>
            <w:vAlign w:val="bottom"/>
            <w:gridSpan w:val="4"/>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Proceeds from issuance of Class A commonstock, net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4"/>
          </w:tcPr>
          <w:p>
            <w:pPr>
              <w:ind w:left="80"/>
              <w:spacing w:after="0"/>
              <w:rPr>
                <w:sz w:val="20"/>
                <w:szCs w:val="20"/>
                <w:color w:val="auto"/>
              </w:rPr>
            </w:pPr>
            <w:r>
              <w:rPr>
                <w:rFonts w:ascii="Arial" w:cs="Arial" w:eastAsia="Arial" w:hAnsi="Arial"/>
                <w:sz w:val="11"/>
                <w:szCs w:val="11"/>
                <w:color w:val="auto"/>
              </w:rPr>
              <w:t>Cash dividends paid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(6,018)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1"/>
                <w:szCs w:val="11"/>
                <w:color w:val="auto"/>
              </w:rPr>
              <w:t>(3,049)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Repurchase of Class A common stock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(34,554)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gridSpan w:val="4"/>
          </w:tcPr>
          <w:p>
            <w:pPr>
              <w:ind w:left="80"/>
              <w:spacing w:after="0"/>
              <w:rPr>
                <w:sz w:val="20"/>
                <w:szCs w:val="20"/>
                <w:color w:val="auto"/>
              </w:rPr>
            </w:pPr>
            <w:r>
              <w:rPr>
                <w:rFonts w:ascii="Arial" w:cs="Arial" w:eastAsia="Arial" w:hAnsi="Arial"/>
                <w:sz w:val="11"/>
                <w:szCs w:val="11"/>
                <w:color w:val="auto"/>
              </w:rPr>
              <w:t>Net increase in deposits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281,610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189,478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Proceeds from subordinated notes</w:t>
            </w: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39,262</w:t>
            </w:r>
          </w:p>
        </w:tc>
        <w:tc>
          <w:tcPr>
            <w:tcW w:w="20" w:type="dxa"/>
            <w:vAlign w:val="bottom"/>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140" w:type="dxa"/>
            <w:vAlign w:val="bottom"/>
            <w:gridSpan w:val="3"/>
          </w:tcPr>
          <w:p>
            <w:pPr>
              <w:spacing w:after="0" w:line="119" w:lineRule="exact"/>
              <w:rPr>
                <w:sz w:val="20"/>
                <w:szCs w:val="20"/>
                <w:color w:val="auto"/>
              </w:rPr>
            </w:pPr>
            <w:r>
              <w:rPr>
                <w:rFonts w:ascii="Arial" w:cs="Arial" w:eastAsia="Arial" w:hAnsi="Arial"/>
                <w:sz w:val="11"/>
                <w:szCs w:val="11"/>
                <w:color w:val="auto"/>
              </w:rPr>
              <w:t>Proceeds from FHLB advances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117,000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19" w:lineRule="exact"/>
              <w:rPr>
                <w:sz w:val="20"/>
                <w:szCs w:val="20"/>
                <w:color w:val="auto"/>
              </w:rPr>
            </w:pPr>
            <w:r>
              <w:rPr>
                <w:rFonts w:ascii="Arial" w:cs="Arial" w:eastAsia="Arial" w:hAnsi="Arial"/>
                <w:sz w:val="11"/>
                <w:szCs w:val="11"/>
                <w:color w:val="auto"/>
              </w:rPr>
              <w:t>197,000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Repayments on Federal Home Loan Bank advances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7"/>
              </w:rPr>
              <w:t>(269,000)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(262,000)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40" w:type="dxa"/>
            <w:vAlign w:val="bottom"/>
            <w:gridSpan w:val="2"/>
          </w:tcPr>
          <w:p>
            <w:pPr>
              <w:ind w:left="100"/>
              <w:spacing w:after="0" w:line="119" w:lineRule="exact"/>
              <w:rPr>
                <w:sz w:val="20"/>
                <w:szCs w:val="20"/>
                <w:color w:val="auto"/>
              </w:rPr>
            </w:pPr>
            <w:r>
              <w:rPr>
                <w:rFonts w:ascii="Arial" w:cs="Arial" w:eastAsia="Arial" w:hAnsi="Arial"/>
                <w:sz w:val="11"/>
                <w:szCs w:val="11"/>
                <w:color w:val="auto"/>
              </w:rPr>
              <w:t>Net cash provided by financing activities</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128,858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121,251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5220" w:type="dxa"/>
            <w:vAlign w:val="bottom"/>
            <w:gridSpan w:val="4"/>
          </w:tcPr>
          <w:p>
            <w:pPr>
              <w:spacing w:after="0"/>
              <w:rPr>
                <w:sz w:val="20"/>
                <w:szCs w:val="20"/>
                <w:color w:val="auto"/>
              </w:rPr>
            </w:pPr>
            <w:r>
              <w:rPr>
                <w:rFonts w:ascii="Arial" w:cs="Arial" w:eastAsia="Arial" w:hAnsi="Arial"/>
                <w:sz w:val="11"/>
                <w:szCs w:val="11"/>
                <w:color w:val="auto"/>
              </w:rPr>
              <w:t>Net decrease in cash and cash equivalents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(20,224)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1"/>
                <w:szCs w:val="11"/>
                <w:color w:val="auto"/>
              </w:rPr>
              <w:t>(2,576)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2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Cash and cash equivalents at beginningof period</w:t>
            </w: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77,035</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41,062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240" w:type="dxa"/>
            <w:vAlign w:val="bottom"/>
            <w:gridSpan w:val="5"/>
          </w:tcPr>
          <w:p>
            <w:pPr>
              <w:spacing w:after="0" w:line="119" w:lineRule="exact"/>
              <w:rPr>
                <w:sz w:val="20"/>
                <w:szCs w:val="20"/>
                <w:color w:val="auto"/>
              </w:rPr>
            </w:pPr>
            <w:r>
              <w:rPr>
                <w:rFonts w:ascii="Arial" w:cs="Arial" w:eastAsia="Arial" w:hAnsi="Arial"/>
                <w:sz w:val="11"/>
                <w:szCs w:val="11"/>
                <w:color w:val="auto"/>
              </w:rPr>
              <w:t>Cash and cash equivalents at end of period</w:t>
            </w: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580" w:type="dxa"/>
            <w:vAlign w:val="bottom"/>
          </w:tcPr>
          <w:p>
            <w:pPr>
              <w:spacing w:after="0"/>
              <w:rPr>
                <w:sz w:val="13"/>
                <w:szCs w:val="13"/>
                <w:color w:val="auto"/>
              </w:rPr>
            </w:pPr>
          </w:p>
        </w:tc>
        <w:tc>
          <w:tcPr>
            <w:tcW w:w="480" w:type="dxa"/>
            <w:vAlign w:val="bottom"/>
          </w:tcPr>
          <w:p>
            <w:pPr>
              <w:jc w:val="right"/>
              <w:spacing w:after="0" w:line="119" w:lineRule="exact"/>
              <w:rPr>
                <w:sz w:val="20"/>
                <w:szCs w:val="20"/>
                <w:color w:val="auto"/>
              </w:rPr>
            </w:pPr>
            <w:r>
              <w:rPr>
                <w:rFonts w:ascii="Arial" w:cs="Arial" w:eastAsia="Arial" w:hAnsi="Arial"/>
                <w:sz w:val="11"/>
                <w:szCs w:val="11"/>
                <w:color w:val="auto"/>
              </w:rPr>
              <w:t>56,811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jc w:val="right"/>
              <w:ind w:right="53"/>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19" w:lineRule="exact"/>
              <w:rPr>
                <w:sz w:val="20"/>
                <w:szCs w:val="20"/>
                <w:color w:val="auto"/>
              </w:rPr>
            </w:pPr>
            <w:r>
              <w:rPr>
                <w:rFonts w:ascii="Arial" w:cs="Arial" w:eastAsia="Arial" w:hAnsi="Arial"/>
                <w:sz w:val="11"/>
                <w:szCs w:val="11"/>
                <w:color w:val="auto"/>
              </w:rPr>
              <w:t>38,486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5220" w:type="dxa"/>
            <w:vAlign w:val="bottom"/>
            <w:tcBorders>
              <w:top w:val="single" w:sz="8" w:color="CCEEFF"/>
            </w:tcBorders>
            <w:gridSpan w:val="4"/>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10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5220" w:type="dxa"/>
            <w:vAlign w:val="bottom"/>
            <w:gridSpan w:val="4"/>
          </w:tcPr>
          <w:p>
            <w:pPr>
              <w:spacing w:after="0"/>
              <w:rPr>
                <w:sz w:val="20"/>
                <w:szCs w:val="20"/>
                <w:color w:val="auto"/>
              </w:rPr>
            </w:pPr>
            <w:r>
              <w:rPr>
                <w:rFonts w:ascii="Arial" w:cs="Arial" w:eastAsia="Arial" w:hAnsi="Arial"/>
                <w:sz w:val="11"/>
                <w:szCs w:val="11"/>
                <w:b w:val="1"/>
                <w:bCs w:val="1"/>
                <w:color w:val="auto"/>
              </w:rPr>
              <w:t>Supplemental disclosure of cash flowinformation: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Interest paid</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45,751</w:t>
            </w: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46,058</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integralpart of these unaudited consolidated financialstatements.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1. SUMMARY OF SIGNIFICANT ACCOUNTING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direct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2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Bank owns a subsidiary, Florida Peninsula Title LLC, that offers our clients title insurance policies for real estate transactions closed at the Bank. Licensed in the State of Florida and approved by the Department of Insurance Regulation, Florida Peninsula Title LLC began operations in 2021.</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Basis of Presentation</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accompanying unaudited consolidated financial statements have been prepared in accordance with instructions to Form 10-Q and do not include all the information and footnotes required by U.S. generally accepted accounting principles (“U.S. GAAP”) for complete financial statements. All adjustments consisting of normally recurring accruals that, in the opinion of management, are necessary for a fair presentation of the financial position and results of operations for the periods presented have been included. These unaudited consolidated financial statements should be read in conjunction with the Company’s audited consolidated financial statements and related notes appearing in the Company’s Annual Report on Form 10-K for the year ended December 31, 2024.</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Principles of Consolidation</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Company consolidates entities in which it has a controlling financial interest. Intercompany transactions and balances are eliminated in consolidation.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Use of Estimates</w:t>
      </w:r>
    </w:p>
    <w:p>
      <w:pPr>
        <w:spacing w:after="0" w:line="17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To prepare financial statements in conformity with U.S. GAAP, management makes estimates and assumptions based on available information. These estimates and assumptions affect the amounts reported in the financial statements. The most significant estimate impacting the Company’s consolidated financial statements is the allowance for credit losses (“ACL”).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Reclassifications</w:t>
      </w:r>
    </w:p>
    <w:p>
      <w:pPr>
        <w:spacing w:after="0" w:line="170"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Certain amounts in prior period consolidated financial statements have been reclassified to conform to the current presentation. Reclassifications had no impact on prior period net income or stockholders’ equity.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Adoption of New Accounting Standards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u w:val="single" w:color="auto"/>
          <w:color w:val="auto"/>
        </w:rPr>
        <w:t>Improvements to Income Tax Disclosures</w:t>
      </w:r>
    </w:p>
    <w:p>
      <w:pPr>
        <w:spacing w:after="0" w:line="170"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In December 2023, the Financial Accounting Standard Board (“FASB”) issued Accounting Standards Update (ASU) 2023-09, Income Taxes (Topic 740): Improvements to Income Tax Disclosures. This ASU pertains to disclosures regarding effective tax rates and cash income taxes paid with the goal of providing stakeholders with more transparent and relevant information. This ASU is effective for public business entities for annual periods beginning after December 15, 2024. The Company adopted this ASU 2023-09 effective January 1, 2025. The adoption of this ASU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8" w:name="page9"/>
    <w:bookmarkEnd w:id="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1040" w:hanging="377"/>
        <w:spacing w:after="0"/>
        <w:tabs>
          <w:tab w:leader="none" w:pos="104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02"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5" w:type="dxa"/>
            <w:vAlign w:val="bottom"/>
            <w:tcBorders>
              <w:bottom w:val="single" w:sz="8" w:color="auto"/>
            </w:tcBorders>
          </w:tcPr>
          <w:p>
            <w:pPr>
              <w:spacing w:after="0"/>
              <w:rPr>
                <w:sz w:val="13"/>
                <w:szCs w:val="13"/>
                <w:color w:val="auto"/>
              </w:rPr>
            </w:pPr>
          </w:p>
        </w:tc>
        <w:tc>
          <w:tcPr>
            <w:tcW w:w="795"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1870" w:type="dxa"/>
            <w:vAlign w:val="bottom"/>
            <w:tcBorders>
              <w:bottom w:val="single" w:sz="8" w:color="auto"/>
            </w:tcBorders>
            <w:gridSpan w:val="9"/>
          </w:tcPr>
          <w:p>
            <w:pPr>
              <w:ind w:left="310"/>
              <w:spacing w:after="0"/>
              <w:rPr>
                <w:sz w:val="20"/>
                <w:szCs w:val="20"/>
                <w:color w:val="auto"/>
              </w:rPr>
            </w:pPr>
            <w:r>
              <w:rPr>
                <w:rFonts w:ascii="Arial" w:cs="Arial" w:eastAsia="Arial" w:hAnsi="Arial"/>
                <w:sz w:val="13"/>
                <w:szCs w:val="13"/>
                <w:b w:val="1"/>
                <w:bCs w:val="1"/>
                <w:color w:val="auto"/>
              </w:rPr>
              <w:t>September 30, 2025</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72"/>
        </w:trPr>
        <w:tc>
          <w:tcPr>
            <w:tcW w:w="3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835" w:type="dxa"/>
            <w:vAlign w:val="bottom"/>
            <w:gridSpan w:val="2"/>
          </w:tcPr>
          <w:p>
            <w:pPr>
              <w:jc w:val="center"/>
              <w:ind w:right="145"/>
              <w:spacing w:after="0"/>
              <w:rPr>
                <w:sz w:val="20"/>
                <w:szCs w:val="20"/>
                <w:color w:val="auto"/>
              </w:rPr>
            </w:pPr>
            <w:r>
              <w:rPr>
                <w:rFonts w:ascii="Arial" w:cs="Arial" w:eastAsia="Arial" w:hAnsi="Arial"/>
                <w:sz w:val="13"/>
                <w:szCs w:val="13"/>
                <w:b w:val="1"/>
                <w:bCs w:val="1"/>
                <w:color w:val="auto"/>
                <w:w w:val="97"/>
              </w:rPr>
              <w:t>Amortized</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90" w:type="dxa"/>
            <w:vAlign w:val="bottom"/>
            <w:gridSpan w:val="3"/>
          </w:tcPr>
          <w:p>
            <w:pPr>
              <w:jc w:val="center"/>
              <w:ind w:right="170"/>
              <w:spacing w:after="0"/>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4"/>
                <w:szCs w:val="14"/>
                <w:color w:val="auto"/>
              </w:rPr>
            </w:pPr>
          </w:p>
        </w:tc>
        <w:tc>
          <w:tcPr>
            <w:tcW w:w="88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0"/>
        </w:trPr>
        <w:tc>
          <w:tcPr>
            <w:tcW w:w="3820" w:type="dxa"/>
            <w:vAlign w:val="bottom"/>
            <w:gridSpan w:val="2"/>
          </w:tcPr>
          <w:p>
            <w:pPr>
              <w:ind w:left="40"/>
              <w:spacing w:after="0"/>
              <w:rPr>
                <w:sz w:val="20"/>
                <w:szCs w:val="20"/>
                <w:color w:val="auto"/>
              </w:rPr>
            </w:pPr>
            <w:r>
              <w:rPr>
                <w:rFonts w:ascii="Arial" w:cs="Arial" w:eastAsia="Arial" w:hAnsi="Arial"/>
                <w:sz w:val="13"/>
                <w:szCs w:val="13"/>
                <w:b w:val="1"/>
                <w:bCs w:val="1"/>
                <w:color w:val="auto"/>
              </w:rPr>
              <w:t>Available-for-sale:</w:t>
            </w:r>
          </w:p>
        </w:tc>
        <w:tc>
          <w:tcPr>
            <w:tcW w:w="125" w:type="dxa"/>
            <w:vAlign w:val="bottom"/>
          </w:tcPr>
          <w:p>
            <w:pPr>
              <w:spacing w:after="0"/>
              <w:rPr>
                <w:sz w:val="13"/>
                <w:szCs w:val="13"/>
                <w:color w:val="auto"/>
              </w:rPr>
            </w:pPr>
          </w:p>
        </w:tc>
        <w:tc>
          <w:tcPr>
            <w:tcW w:w="835" w:type="dxa"/>
            <w:vAlign w:val="bottom"/>
            <w:gridSpan w:val="2"/>
          </w:tcPr>
          <w:p>
            <w:pPr>
              <w:jc w:val="center"/>
              <w:ind w:right="165"/>
              <w:spacing w:after="0"/>
              <w:rPr>
                <w:sz w:val="20"/>
                <w:szCs w:val="20"/>
                <w:color w:val="auto"/>
              </w:rPr>
            </w:pPr>
            <w:r>
              <w:rPr>
                <w:rFonts w:ascii="Arial" w:cs="Arial" w:eastAsia="Arial" w:hAnsi="Arial"/>
                <w:sz w:val="13"/>
                <w:szCs w:val="13"/>
                <w:b w:val="1"/>
                <w:bCs w:val="1"/>
                <w:color w:val="auto"/>
                <w:w w:val="96"/>
              </w:rPr>
              <w:t>Cost</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90" w:type="dxa"/>
            <w:vAlign w:val="bottom"/>
            <w:gridSpan w:val="3"/>
          </w:tcPr>
          <w:p>
            <w:pPr>
              <w:jc w:val="center"/>
              <w:ind w:right="190"/>
              <w:spacing w:after="0"/>
              <w:rPr>
                <w:sz w:val="20"/>
                <w:szCs w:val="20"/>
                <w:color w:val="auto"/>
              </w:rPr>
            </w:pPr>
            <w:r>
              <w:rPr>
                <w:rFonts w:ascii="Arial" w:cs="Arial" w:eastAsia="Arial" w:hAnsi="Arial"/>
                <w:sz w:val="13"/>
                <w:szCs w:val="13"/>
                <w:b w:val="1"/>
                <w:bCs w:val="1"/>
                <w:color w:val="auto"/>
                <w:w w:val="99"/>
              </w:rPr>
              <w:t>Gains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8"/>
              </w:rPr>
              <w:t>Losses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r>
      <w:tr>
        <w:trPr>
          <w:trHeight w:val="140"/>
        </w:trPr>
        <w:tc>
          <w:tcPr>
            <w:tcW w:w="3780" w:type="dxa"/>
            <w:vAlign w:val="bottom"/>
            <w:tcBorders>
              <w:top w:val="single" w:sz="8" w:color="CCEEFF"/>
            </w:tcBorders>
            <w:shd w:val="clear" w:color="auto" w:fill="CCEEFF"/>
          </w:tcPr>
          <w:p>
            <w:pPr>
              <w:ind w:left="40"/>
              <w:spacing w:after="0" w:line="129" w:lineRule="exact"/>
              <w:rPr>
                <w:sz w:val="20"/>
                <w:szCs w:val="20"/>
                <w:color w:val="auto"/>
              </w:rPr>
            </w:pPr>
            <w:r>
              <w:rPr>
                <w:rFonts w:ascii="Arial" w:cs="Arial" w:eastAsia="Arial" w:hAnsi="Arial"/>
                <w:sz w:val="13"/>
                <w:szCs w:val="13"/>
                <w:color w:val="auto"/>
              </w:rPr>
              <w:t>U.S. Government Agency</w:t>
            </w:r>
          </w:p>
        </w:tc>
        <w:tc>
          <w:tcPr>
            <w:tcW w:w="40" w:type="dxa"/>
            <w:vAlign w:val="bottom"/>
            <w:tcBorders>
              <w:top w:val="single" w:sz="8" w:color="CCEEFF"/>
            </w:tcBorders>
            <w:shd w:val="clear" w:color="auto" w:fill="CCEEFF"/>
          </w:tcPr>
          <w:p>
            <w:pPr>
              <w:spacing w:after="0"/>
              <w:rPr>
                <w:sz w:val="12"/>
                <w:szCs w:val="12"/>
                <w:color w:val="auto"/>
              </w:rPr>
            </w:pPr>
          </w:p>
        </w:tc>
        <w:tc>
          <w:tcPr>
            <w:tcW w:w="125"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shd w:val="clear" w:color="auto" w:fill="CCEEFF"/>
              </w:rPr>
              <w:t>$</w:t>
            </w:r>
          </w:p>
        </w:tc>
        <w:tc>
          <w:tcPr>
            <w:tcW w:w="795"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13,143</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1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shd w:val="clear" w:color="auto" w:fill="CCEEFF"/>
              </w:rPr>
              <w:t>$</w:t>
            </w:r>
          </w:p>
        </w:tc>
        <w:tc>
          <w:tcPr>
            <w:tcW w:w="81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36</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(1,214)</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36"/>
              <w:spacing w:after="0" w:line="139" w:lineRule="exact"/>
              <w:rPr>
                <w:sz w:val="20"/>
                <w:szCs w:val="20"/>
                <w:color w:val="auto"/>
              </w:rPr>
            </w:pPr>
            <w:r>
              <w:rPr>
                <w:rFonts w:ascii="Arial" w:cs="Arial" w:eastAsia="Arial" w:hAnsi="Arial"/>
                <w:sz w:val="13"/>
                <w:szCs w:val="13"/>
                <w:color w:val="auto"/>
              </w:rPr>
              <w:t>11,965</w:t>
            </w:r>
          </w:p>
        </w:tc>
      </w:tr>
      <w:tr>
        <w:trPr>
          <w:trHeight w:val="160"/>
        </w:trPr>
        <w:tc>
          <w:tcPr>
            <w:tcW w:w="3820" w:type="dxa"/>
            <w:vAlign w:val="bottom"/>
            <w:gridSpan w:val="2"/>
          </w:tcPr>
          <w:p>
            <w:pPr>
              <w:ind w:left="40"/>
              <w:spacing w:after="0"/>
              <w:rPr>
                <w:sz w:val="20"/>
                <w:szCs w:val="20"/>
                <w:color w:val="auto"/>
              </w:rPr>
            </w:pPr>
            <w:r>
              <w:rPr>
                <w:rFonts w:ascii="Arial" w:cs="Arial" w:eastAsia="Arial" w:hAnsi="Arial"/>
                <w:sz w:val="13"/>
                <w:szCs w:val="13"/>
                <w:color w:val="auto"/>
              </w:rPr>
              <w:t>Collateralized mortgage obligations</w:t>
            </w:r>
          </w:p>
        </w:tc>
        <w:tc>
          <w:tcPr>
            <w:tcW w:w="125" w:type="dxa"/>
            <w:vAlign w:val="bottom"/>
          </w:tcPr>
          <w:p>
            <w:pPr>
              <w:spacing w:after="0"/>
              <w:rPr>
                <w:sz w:val="13"/>
                <w:szCs w:val="13"/>
                <w:color w:val="auto"/>
              </w:rPr>
            </w:pPr>
          </w:p>
        </w:tc>
        <w:tc>
          <w:tcPr>
            <w:tcW w:w="795" w:type="dxa"/>
            <w:vAlign w:val="bottom"/>
          </w:tcPr>
          <w:p>
            <w:pPr>
              <w:jc w:val="right"/>
              <w:ind w:right="16"/>
              <w:spacing w:after="0"/>
              <w:rPr>
                <w:sz w:val="20"/>
                <w:szCs w:val="20"/>
                <w:color w:val="auto"/>
              </w:rPr>
            </w:pPr>
            <w:r>
              <w:rPr>
                <w:rFonts w:ascii="Arial" w:cs="Arial" w:eastAsia="Arial" w:hAnsi="Arial"/>
                <w:sz w:val="13"/>
                <w:szCs w:val="13"/>
                <w:color w:val="auto"/>
              </w:rPr>
              <w:t>100,830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(19,135)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81,695</w:t>
            </w:r>
          </w:p>
        </w:tc>
      </w:tr>
      <w:tr>
        <w:trPr>
          <w:trHeight w:val="160"/>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shd w:val="clear" w:color="auto" w:fill="CCEEFF"/>
          </w:tcPr>
          <w:p>
            <w:pPr>
              <w:spacing w:after="0"/>
              <w:rPr>
                <w:sz w:val="13"/>
                <w:szCs w:val="13"/>
                <w:color w:val="auto"/>
              </w:rPr>
            </w:pPr>
          </w:p>
        </w:tc>
        <w:tc>
          <w:tcPr>
            <w:tcW w:w="125" w:type="dxa"/>
            <w:vAlign w:val="bottom"/>
            <w:shd w:val="clear" w:color="auto" w:fill="CCEEFF"/>
          </w:tcPr>
          <w:p>
            <w:pPr>
              <w:spacing w:after="0"/>
              <w:rPr>
                <w:sz w:val="13"/>
                <w:szCs w:val="13"/>
                <w:color w:val="auto"/>
              </w:rPr>
            </w:pPr>
          </w:p>
        </w:tc>
        <w:tc>
          <w:tcPr>
            <w:tcW w:w="795"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60,915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81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(9,715)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51,318</w:t>
            </w:r>
          </w:p>
        </w:tc>
      </w:tr>
      <w:tr>
        <w:trPr>
          <w:trHeight w:val="160"/>
        </w:trPr>
        <w:tc>
          <w:tcPr>
            <w:tcW w:w="3820" w:type="dxa"/>
            <w:vAlign w:val="bottom"/>
            <w:gridSpan w:val="2"/>
          </w:tcPr>
          <w:p>
            <w:pPr>
              <w:ind w:left="40"/>
              <w:spacing w:after="0"/>
              <w:rPr>
                <w:sz w:val="20"/>
                <w:szCs w:val="20"/>
                <w:color w:val="auto"/>
              </w:rPr>
            </w:pPr>
            <w:r>
              <w:rPr>
                <w:rFonts w:ascii="Arial" w:cs="Arial" w:eastAsia="Arial" w:hAnsi="Arial"/>
                <w:sz w:val="13"/>
                <w:szCs w:val="13"/>
                <w:color w:val="auto"/>
              </w:rPr>
              <w:t>Mortgage-backed securities - commercial</w:t>
            </w:r>
          </w:p>
        </w:tc>
        <w:tc>
          <w:tcPr>
            <w:tcW w:w="125" w:type="dxa"/>
            <w:vAlign w:val="bottom"/>
          </w:tcPr>
          <w:p>
            <w:pPr>
              <w:spacing w:after="0"/>
              <w:rPr>
                <w:sz w:val="13"/>
                <w:szCs w:val="13"/>
                <w:color w:val="auto"/>
              </w:rPr>
            </w:pPr>
          </w:p>
        </w:tc>
        <w:tc>
          <w:tcPr>
            <w:tcW w:w="795" w:type="dxa"/>
            <w:vAlign w:val="bottom"/>
          </w:tcPr>
          <w:p>
            <w:pPr>
              <w:jc w:val="right"/>
              <w:ind w:right="16"/>
              <w:spacing w:after="0"/>
              <w:rPr>
                <w:sz w:val="20"/>
                <w:szCs w:val="20"/>
                <w:color w:val="auto"/>
              </w:rPr>
            </w:pPr>
            <w:r>
              <w:rPr>
                <w:rFonts w:ascii="Arial" w:cs="Arial" w:eastAsia="Arial" w:hAnsi="Arial"/>
                <w:sz w:val="13"/>
                <w:szCs w:val="13"/>
                <w:color w:val="auto"/>
              </w:rPr>
              <w:t>145,991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10" w:type="dxa"/>
            <w:vAlign w:val="bottom"/>
          </w:tcPr>
          <w:p>
            <w:pPr>
              <w:jc w:val="right"/>
              <w:spacing w:after="0"/>
              <w:rPr>
                <w:sz w:val="20"/>
                <w:szCs w:val="20"/>
                <w:color w:val="auto"/>
              </w:rPr>
            </w:pPr>
            <w:r>
              <w:rPr>
                <w:rFonts w:ascii="Arial" w:cs="Arial" w:eastAsia="Arial" w:hAnsi="Arial"/>
                <w:sz w:val="13"/>
                <w:szCs w:val="13"/>
                <w:color w:val="auto"/>
              </w:rPr>
              <w:t>17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(7,491)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138,517</w:t>
            </w:r>
          </w:p>
        </w:tc>
      </w:tr>
      <w:tr>
        <w:trPr>
          <w:trHeight w:val="160"/>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Municipal securities</w:t>
            </w:r>
          </w:p>
        </w:tc>
        <w:tc>
          <w:tcPr>
            <w:tcW w:w="40" w:type="dxa"/>
            <w:vAlign w:val="bottom"/>
            <w:shd w:val="clear" w:color="auto" w:fill="CCEEFF"/>
          </w:tcPr>
          <w:p>
            <w:pPr>
              <w:spacing w:after="0"/>
              <w:rPr>
                <w:sz w:val="13"/>
                <w:szCs w:val="13"/>
                <w:color w:val="auto"/>
              </w:rPr>
            </w:pPr>
          </w:p>
        </w:tc>
        <w:tc>
          <w:tcPr>
            <w:tcW w:w="125" w:type="dxa"/>
            <w:vAlign w:val="bottom"/>
            <w:shd w:val="clear" w:color="auto" w:fill="CCEEFF"/>
          </w:tcPr>
          <w:p>
            <w:pPr>
              <w:spacing w:after="0"/>
              <w:rPr>
                <w:sz w:val="13"/>
                <w:szCs w:val="13"/>
                <w:color w:val="auto"/>
              </w:rPr>
            </w:pPr>
          </w:p>
        </w:tc>
        <w:tc>
          <w:tcPr>
            <w:tcW w:w="795"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22,838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(3,923)</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18,915</w:t>
            </w:r>
          </w:p>
        </w:tc>
      </w:tr>
      <w:tr>
        <w:trPr>
          <w:trHeight w:val="171"/>
        </w:trPr>
        <w:tc>
          <w:tcPr>
            <w:tcW w:w="38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Bank subordinated debt securities</w:t>
            </w:r>
          </w:p>
        </w:tc>
        <w:tc>
          <w:tcPr>
            <w:tcW w:w="125" w:type="dxa"/>
            <w:vAlign w:val="bottom"/>
            <w:tcBorders>
              <w:bottom w:val="single" w:sz="8" w:color="auto"/>
            </w:tcBorders>
          </w:tcPr>
          <w:p>
            <w:pPr>
              <w:spacing w:after="0"/>
              <w:rPr>
                <w:sz w:val="14"/>
                <w:szCs w:val="14"/>
                <w:color w:val="auto"/>
              </w:rPr>
            </w:pPr>
          </w:p>
        </w:tc>
        <w:tc>
          <w:tcPr>
            <w:tcW w:w="795"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22,046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81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(439)</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21,769</w:t>
            </w:r>
          </w:p>
        </w:tc>
      </w:tr>
      <w:tr>
        <w:trPr>
          <w:trHeight w:val="181"/>
        </w:trPr>
        <w:tc>
          <w:tcPr>
            <w:tcW w:w="3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95"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365,763</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8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(41,917)</w:t>
            </w: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324,179</w:t>
            </w:r>
          </w:p>
        </w:tc>
      </w:tr>
    </w:tbl>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b w:val="1"/>
                <w:bCs w:val="1"/>
                <w:color w:val="auto"/>
                <w:w w:val="97"/>
              </w:rPr>
              <w:t>Amortized</w:t>
            </w:r>
          </w:p>
        </w:tc>
        <w:tc>
          <w:tcPr>
            <w:tcW w:w="60" w:type="dxa"/>
            <w:vAlign w:val="bottom"/>
          </w:tcPr>
          <w:p>
            <w:pPr>
              <w:spacing w:after="0"/>
              <w:rPr>
                <w:sz w:val="13"/>
                <w:szCs w:val="13"/>
                <w:color w:val="auto"/>
              </w:rPr>
            </w:pPr>
          </w:p>
        </w:tc>
        <w:tc>
          <w:tcPr>
            <w:tcW w:w="1000" w:type="dxa"/>
            <w:vAlign w:val="bottom"/>
            <w:gridSpan w:val="4"/>
          </w:tcPr>
          <w:p>
            <w:pPr>
              <w:ind w:left="40"/>
              <w:spacing w:after="0"/>
              <w:rPr>
                <w:sz w:val="20"/>
                <w:szCs w:val="20"/>
                <w:color w:val="auto"/>
              </w:rPr>
            </w:pPr>
            <w:r>
              <w:rPr>
                <w:rFonts w:ascii="Arial" w:cs="Arial" w:eastAsia="Arial" w:hAnsi="Arial"/>
                <w:sz w:val="13"/>
                <w:szCs w:val="13"/>
                <w:b w:val="1"/>
                <w:bCs w:val="1"/>
                <w:color w:val="auto"/>
              </w:rPr>
              <w:t>Unrecognized</w:t>
            </w:r>
          </w:p>
        </w:tc>
        <w:tc>
          <w:tcPr>
            <w:tcW w:w="980" w:type="dxa"/>
            <w:vAlign w:val="bottom"/>
            <w:gridSpan w:val="5"/>
          </w:tcPr>
          <w:p>
            <w:pPr>
              <w:ind w:left="20"/>
              <w:spacing w:after="0"/>
              <w:rPr>
                <w:sz w:val="20"/>
                <w:szCs w:val="20"/>
                <w:color w:val="auto"/>
              </w:rPr>
            </w:pPr>
            <w:r>
              <w:rPr>
                <w:rFonts w:ascii="Arial" w:cs="Arial" w:eastAsia="Arial" w:hAnsi="Arial"/>
                <w:sz w:val="13"/>
                <w:szCs w:val="13"/>
                <w:b w:val="1"/>
                <w:bCs w:val="1"/>
                <w:color w:val="auto"/>
              </w:rPr>
              <w:t>Unrecognized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tcPr>
          <w:p>
            <w:pPr>
              <w:ind w:left="40"/>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870" w:type="dxa"/>
            <w:vAlign w:val="bottom"/>
            <w:gridSpan w:val="3"/>
          </w:tcPr>
          <w:p>
            <w:pPr>
              <w:ind w:left="150"/>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2"/>
                <w:szCs w:val="12"/>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51"/>
        </w:trPr>
        <w:tc>
          <w:tcPr>
            <w:tcW w:w="3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U.S. Government Agency</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41,500</w:t>
            </w:r>
          </w:p>
        </w:tc>
        <w:tc>
          <w:tcPr>
            <w:tcW w:w="60" w:type="dxa"/>
            <w:vAlign w:val="bottom"/>
            <w:tcBorders>
              <w:top w:val="single" w:sz="8" w:color="CCEEFF"/>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79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(3,529)</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38,046</w:t>
            </w:r>
          </w:p>
        </w:tc>
        <w:tc>
          <w:tcPr>
            <w:tcW w:w="0" w:type="dxa"/>
            <w:vAlign w:val="bottom"/>
          </w:tcPr>
          <w:p>
            <w:pPr>
              <w:spacing w:after="0"/>
              <w:rPr>
                <w:sz w:val="1"/>
                <w:szCs w:val="1"/>
                <w:color w:val="auto"/>
              </w:rPr>
            </w:pPr>
          </w:p>
        </w:tc>
      </w:tr>
      <w:tr>
        <w:trPr>
          <w:trHeight w:val="160"/>
        </w:trPr>
        <w:tc>
          <w:tcPr>
            <w:tcW w:w="3800" w:type="dxa"/>
            <w:vAlign w:val="bottom"/>
          </w:tcPr>
          <w:p>
            <w:pPr>
              <w:ind w:left="4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52,766</w:t>
            </w: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566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(5,956)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47,376</w:t>
            </w:r>
          </w:p>
        </w:tc>
        <w:tc>
          <w:tcPr>
            <w:tcW w:w="0" w:type="dxa"/>
            <w:vAlign w:val="bottom"/>
          </w:tcPr>
          <w:p>
            <w:pPr>
              <w:spacing w:after="0"/>
              <w:rPr>
                <w:sz w:val="1"/>
                <w:szCs w:val="1"/>
                <w:color w:val="auto"/>
              </w:rPr>
            </w:pPr>
          </w:p>
        </w:tc>
      </w:tr>
      <w:tr>
        <w:trPr>
          <w:trHeight w:val="140"/>
        </w:trPr>
        <w:tc>
          <w:tcPr>
            <w:tcW w:w="3800" w:type="dxa"/>
            <w:vAlign w:val="bottom"/>
            <w:tcBorders>
              <w:bottom w:val="single" w:sz="8" w:color="CCEEFF"/>
            </w:tcBorders>
            <w:shd w:val="clear" w:color="auto" w:fill="CCEEFF"/>
          </w:tcPr>
          <w:p>
            <w:pPr>
              <w:ind w:left="40"/>
              <w:spacing w:after="0" w:line="139" w:lineRule="exact"/>
              <w:rPr>
                <w:sz w:val="20"/>
                <w:szCs w:val="20"/>
                <w:color w:val="auto"/>
              </w:rPr>
            </w:pPr>
            <w:r>
              <w:rPr>
                <w:rFonts w:ascii="Arial" w:cs="Arial" w:eastAsia="Arial" w:hAnsi="Arial"/>
                <w:sz w:val="13"/>
                <w:szCs w:val="13"/>
                <w:color w:val="auto"/>
              </w:rPr>
              <w:t>Mortgage-backed securities - residential</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37,880</w:t>
            </w:r>
          </w:p>
        </w:tc>
        <w:tc>
          <w:tcPr>
            <w:tcW w:w="60" w:type="dxa"/>
            <w:vAlign w:val="bottom"/>
            <w:tcBorders>
              <w:bottom w:val="single" w:sz="8" w:color="CCEEFF"/>
            </w:tcBorders>
            <w:shd w:val="clear" w:color="auto" w:fill="CCEEFF"/>
          </w:tcPr>
          <w:p>
            <w:pPr>
              <w:spacing w:after="0"/>
              <w:rPr>
                <w:sz w:val="12"/>
                <w:szCs w:val="12"/>
                <w:color w:val="auto"/>
              </w:rPr>
            </w:pPr>
          </w:p>
        </w:tc>
        <w:tc>
          <w:tcPr>
            <w:tcW w:w="130" w:type="dxa"/>
            <w:vAlign w:val="bottom"/>
            <w:tcBorders>
              <w:bottom w:val="single" w:sz="8" w:color="CCEEFF"/>
            </w:tcBorders>
            <w:shd w:val="clear" w:color="auto" w:fill="CCEEFF"/>
          </w:tcPr>
          <w:p>
            <w:pPr>
              <w:spacing w:after="0"/>
              <w:rPr>
                <w:sz w:val="12"/>
                <w:szCs w:val="12"/>
                <w:color w:val="auto"/>
              </w:rPr>
            </w:pPr>
          </w:p>
        </w:tc>
        <w:tc>
          <w:tcPr>
            <w:tcW w:w="790" w:type="dxa"/>
            <w:vAlign w:val="bottom"/>
            <w:tcBorders>
              <w:bottom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558</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(3,523)</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ind w:right="16"/>
              <w:spacing w:after="0" w:line="139" w:lineRule="exact"/>
              <w:rPr>
                <w:sz w:val="20"/>
                <w:szCs w:val="20"/>
                <w:color w:val="auto"/>
              </w:rPr>
            </w:pPr>
            <w:r>
              <w:rPr>
                <w:rFonts w:ascii="Arial" w:cs="Arial" w:eastAsia="Arial" w:hAnsi="Arial"/>
                <w:sz w:val="13"/>
                <w:szCs w:val="13"/>
                <w:color w:val="auto"/>
              </w:rPr>
              <w:t>34,915</w:t>
            </w:r>
          </w:p>
        </w:tc>
        <w:tc>
          <w:tcPr>
            <w:tcW w:w="0" w:type="dxa"/>
            <w:vAlign w:val="bottom"/>
          </w:tcPr>
          <w:p>
            <w:pPr>
              <w:spacing w:after="0"/>
              <w:rPr>
                <w:sz w:val="1"/>
                <w:szCs w:val="1"/>
                <w:color w:val="auto"/>
              </w:rPr>
            </w:pPr>
          </w:p>
        </w:tc>
      </w:tr>
      <w:tr>
        <w:trPr>
          <w:trHeight w:val="160"/>
        </w:trPr>
        <w:tc>
          <w:tcPr>
            <w:tcW w:w="3800" w:type="dxa"/>
            <w:vAlign w:val="bottom"/>
          </w:tcPr>
          <w:p>
            <w:pPr>
              <w:ind w:left="4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15,135</w:t>
            </w: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9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(1,133)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14,002</w:t>
            </w:r>
          </w:p>
        </w:tc>
        <w:tc>
          <w:tcPr>
            <w:tcW w:w="0" w:type="dxa"/>
            <w:vAlign w:val="bottom"/>
          </w:tcPr>
          <w:p>
            <w:pPr>
              <w:spacing w:after="0"/>
              <w:rPr>
                <w:sz w:val="1"/>
                <w:szCs w:val="1"/>
                <w:color w:val="auto"/>
              </w:rPr>
            </w:pPr>
          </w:p>
        </w:tc>
      </w:tr>
      <w:tr>
        <w:trPr>
          <w:trHeight w:val="155"/>
        </w:trPr>
        <w:tc>
          <w:tcPr>
            <w:tcW w:w="3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Corporate bonds</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9,089</w:t>
            </w:r>
          </w:p>
        </w:tc>
        <w:tc>
          <w:tcPr>
            <w:tcW w:w="60" w:type="dxa"/>
            <w:vAlign w:val="bottom"/>
            <w:shd w:val="clear" w:color="auto" w:fill="CCEEFF"/>
          </w:tcPr>
          <w:p>
            <w:pPr>
              <w:spacing w:after="0"/>
              <w:rPr>
                <w:sz w:val="13"/>
                <w:szCs w:val="13"/>
                <w:color w:val="auto"/>
              </w:rPr>
            </w:pPr>
          </w:p>
        </w:tc>
        <w:tc>
          <w:tcPr>
            <w:tcW w:w="130" w:type="dxa"/>
            <w:vAlign w:val="bottom"/>
            <w:tcBorders>
              <w:bottom w:val="single" w:sz="8" w:color="auto"/>
            </w:tcBorders>
            <w:shd w:val="clear" w:color="auto" w:fill="CCEEFF"/>
          </w:tcPr>
          <w:p>
            <w:pPr>
              <w:spacing w:after="0"/>
              <w:rPr>
                <w:sz w:val="13"/>
                <w:szCs w:val="13"/>
                <w:color w:val="auto"/>
              </w:rPr>
            </w:pPr>
          </w:p>
        </w:tc>
        <w:tc>
          <w:tcPr>
            <w:tcW w:w="79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8,960</w:t>
            </w:r>
          </w:p>
        </w:tc>
        <w:tc>
          <w:tcPr>
            <w:tcW w:w="0" w:type="dxa"/>
            <w:vAlign w:val="bottom"/>
          </w:tcPr>
          <w:p>
            <w:pPr>
              <w:spacing w:after="0"/>
              <w:rPr>
                <w:sz w:val="1"/>
                <w:szCs w:val="1"/>
                <w:color w:val="auto"/>
              </w:rPr>
            </w:pPr>
          </w:p>
        </w:tc>
      </w:tr>
      <w:tr>
        <w:trPr>
          <w:trHeight w:val="207"/>
        </w:trPr>
        <w:tc>
          <w:tcPr>
            <w:tcW w:w="38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156,370</w:t>
            </w:r>
          </w:p>
        </w:tc>
        <w:tc>
          <w:tcPr>
            <w:tcW w:w="19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90" w:type="dxa"/>
            <w:vAlign w:val="bottom"/>
          </w:tcPr>
          <w:p>
            <w:pPr>
              <w:jc w:val="right"/>
              <w:spacing w:after="0"/>
              <w:rPr>
                <w:sz w:val="20"/>
                <w:szCs w:val="20"/>
                <w:color w:val="auto"/>
              </w:rPr>
            </w:pPr>
            <w:r>
              <w:rPr>
                <w:rFonts w:ascii="Arial" w:cs="Arial" w:eastAsia="Arial" w:hAnsi="Arial"/>
                <w:sz w:val="13"/>
                <w:szCs w:val="13"/>
                <w:color w:val="auto"/>
              </w:rPr>
              <w:t>1,199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(14,270)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143,299</w:t>
            </w:r>
          </w:p>
        </w:tc>
        <w:tc>
          <w:tcPr>
            <w:tcW w:w="0" w:type="dxa"/>
            <w:vAlign w:val="bottom"/>
          </w:tcPr>
          <w:p>
            <w:pPr>
              <w:spacing w:after="0"/>
              <w:rPr>
                <w:sz w:val="1"/>
                <w:szCs w:val="1"/>
                <w:color w:val="auto"/>
              </w:rPr>
            </w:pPr>
          </w:p>
        </w:tc>
      </w:tr>
      <w:tr>
        <w:trPr>
          <w:trHeight w:val="121"/>
        </w:trPr>
        <w:tc>
          <w:tcPr>
            <w:tcW w:w="3800" w:type="dxa"/>
            <w:vAlign w:val="bottom"/>
            <w:tcBorders>
              <w:top w:val="single" w:sz="8" w:color="CCEEFF"/>
            </w:tcBorders>
            <w:shd w:val="clear" w:color="auto" w:fill="CCEEFF"/>
          </w:tcPr>
          <w:p>
            <w:pPr>
              <w:ind w:left="40"/>
              <w:spacing w:after="0" w:line="121" w:lineRule="exact"/>
              <w:rPr>
                <w:sz w:val="20"/>
                <w:szCs w:val="20"/>
                <w:color w:val="auto"/>
              </w:rPr>
            </w:pPr>
            <w:r>
              <w:rPr>
                <w:rFonts w:ascii="Arial" w:cs="Arial" w:eastAsia="Arial" w:hAnsi="Arial"/>
                <w:sz w:val="13"/>
                <w:szCs w:val="13"/>
                <w:color w:val="auto"/>
              </w:rPr>
              <w:t>Allowance for credit losses - securities held-to-maturity</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0"/>
                <w:szCs w:val="10"/>
                <w:color w:val="auto"/>
              </w:rPr>
            </w:pPr>
          </w:p>
        </w:tc>
        <w:tc>
          <w:tcPr>
            <w:tcW w:w="130" w:type="dxa"/>
            <w:vAlign w:val="bottom"/>
            <w:tcBorders>
              <w:top w:val="single" w:sz="8" w:color="auto"/>
            </w:tcBorders>
            <w:shd w:val="clear" w:color="auto" w:fill="CCEEFF"/>
          </w:tcPr>
          <w:p>
            <w:pPr>
              <w:spacing w:after="0"/>
              <w:rPr>
                <w:sz w:val="10"/>
                <w:szCs w:val="10"/>
                <w:color w:val="auto"/>
              </w:rPr>
            </w:pPr>
          </w:p>
        </w:tc>
        <w:tc>
          <w:tcPr>
            <w:tcW w:w="79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ind w:left="40"/>
              <w:spacing w:after="0"/>
              <w:rPr>
                <w:sz w:val="20"/>
                <w:szCs w:val="20"/>
                <w:color w:val="auto"/>
              </w:rPr>
            </w:pPr>
            <w:r>
              <w:rPr>
                <w:rFonts w:ascii="Arial" w:cs="Arial" w:eastAsia="Arial" w:hAnsi="Arial"/>
                <w:sz w:val="13"/>
                <w:szCs w:val="13"/>
                <w:color w:val="auto"/>
              </w:rPr>
              <w:t>Securities held-to maturity, net of allowance for credit losses</w:t>
            </w: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800" w:type="dxa"/>
            <w:vAlign w:val="bottom"/>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ind w:right="16"/>
              <w:spacing w:after="0" w:line="121" w:lineRule="exact"/>
              <w:rPr>
                <w:sz w:val="20"/>
                <w:szCs w:val="20"/>
                <w:color w:val="auto"/>
              </w:rPr>
            </w:pPr>
            <w:r>
              <w:rPr>
                <w:rFonts w:ascii="Arial" w:cs="Arial" w:eastAsia="Arial" w:hAnsi="Arial"/>
                <w:sz w:val="13"/>
                <w:szCs w:val="13"/>
                <w:color w:val="auto"/>
              </w:rPr>
              <w:t>156,365</w:t>
            </w:r>
          </w:p>
        </w:tc>
        <w:tc>
          <w:tcPr>
            <w:tcW w:w="6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79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9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3"/>
                <w:szCs w:val="13"/>
                <w:b w:val="1"/>
                <w:bCs w:val="1"/>
                <w:color w:val="auto"/>
                <w:w w:val="99"/>
              </w:rPr>
              <w:t>December 31, 2024</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83"/>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Amortized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5"/>
                <w:szCs w:val="15"/>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49"/>
        </w:trPr>
        <w:tc>
          <w:tcPr>
            <w:tcW w:w="3820" w:type="dxa"/>
            <w:vAlign w:val="bottom"/>
          </w:tcPr>
          <w:p>
            <w:pPr>
              <w:spacing w:after="0"/>
              <w:rPr>
                <w:sz w:val="20"/>
                <w:szCs w:val="20"/>
                <w:color w:val="auto"/>
              </w:rPr>
            </w:pPr>
            <w:r>
              <w:rPr>
                <w:rFonts w:ascii="Arial" w:cs="Arial" w:eastAsia="Arial" w:hAnsi="Arial"/>
                <w:sz w:val="13"/>
                <w:szCs w:val="13"/>
                <w:b w:val="1"/>
                <w:bCs w:val="1"/>
                <w:color w:val="auto"/>
              </w:rPr>
              <w:t>Available-for-sale:</w:t>
            </w:r>
          </w:p>
        </w:tc>
        <w:tc>
          <w:tcPr>
            <w:tcW w:w="10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Cost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Gains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Losses</w:t>
            </w:r>
          </w:p>
        </w:tc>
        <w:tc>
          <w:tcPr>
            <w:tcW w:w="160" w:type="dxa"/>
            <w:vAlign w:val="bottom"/>
          </w:tcPr>
          <w:p>
            <w:pPr>
              <w:spacing w:after="0"/>
              <w:rPr>
                <w:sz w:val="12"/>
                <w:szCs w:val="12"/>
                <w:color w:val="auto"/>
              </w:rPr>
            </w:pPr>
          </w:p>
        </w:tc>
        <w:tc>
          <w:tcPr>
            <w:tcW w:w="780" w:type="dxa"/>
            <w:vAlign w:val="bottom"/>
          </w:tcPr>
          <w:p>
            <w:pPr>
              <w:spacing w:after="0"/>
              <w:rPr>
                <w:sz w:val="20"/>
                <w:szCs w:val="20"/>
                <w:color w:val="auto"/>
              </w:rPr>
            </w:pPr>
            <w:r>
              <w:rPr>
                <w:rFonts w:ascii="Arial" w:cs="Arial" w:eastAsia="Arial" w:hAnsi="Arial"/>
                <w:sz w:val="13"/>
                <w:szCs w:val="13"/>
                <w:b w:val="1"/>
                <w:bCs w:val="1"/>
                <w:color w:val="auto"/>
              </w:rPr>
              <w:t>Fair Value</w:t>
            </w:r>
          </w:p>
        </w:tc>
      </w:tr>
      <w:tr>
        <w:trPr>
          <w:trHeight w:val="140"/>
        </w:trPr>
        <w:tc>
          <w:tcPr>
            <w:tcW w:w="382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U.S. Government Agency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14,279</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14</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center"/>
              <w:spacing w:after="0" w:line="140"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gridSpan w:val="3"/>
            <w:shd w:val="clear" w:color="auto" w:fill="CCEEFF"/>
          </w:tcPr>
          <w:p>
            <w:pPr>
              <w:jc w:val="right"/>
              <w:spacing w:after="0" w:line="140" w:lineRule="exact"/>
              <w:rPr>
                <w:sz w:val="20"/>
                <w:szCs w:val="20"/>
                <w:color w:val="auto"/>
              </w:rPr>
            </w:pPr>
            <w:r>
              <w:rPr>
                <w:rFonts w:ascii="Arial" w:cs="Arial" w:eastAsia="Arial" w:hAnsi="Arial"/>
                <w:sz w:val="13"/>
                <w:szCs w:val="13"/>
                <w:color w:val="auto"/>
              </w:rPr>
              <w:t>(1,668)</w:t>
            </w: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ind w:left="340"/>
              <w:spacing w:after="0" w:line="140" w:lineRule="exact"/>
              <w:rPr>
                <w:sz w:val="20"/>
                <w:szCs w:val="20"/>
                <w:color w:val="auto"/>
              </w:rPr>
            </w:pPr>
            <w:r>
              <w:rPr>
                <w:rFonts w:ascii="Arial" w:cs="Arial" w:eastAsia="Arial" w:hAnsi="Arial"/>
                <w:sz w:val="13"/>
                <w:szCs w:val="13"/>
                <w:color w:val="auto"/>
              </w:rPr>
              <w:t>12,625</w:t>
            </w:r>
          </w:p>
        </w:tc>
      </w:tr>
      <w:tr>
        <w:trPr>
          <w:trHeight w:val="171"/>
        </w:trPr>
        <w:tc>
          <w:tcPr>
            <w:tcW w:w="382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101,808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3"/>
                <w:szCs w:val="13"/>
                <w:color w:val="auto"/>
              </w:rPr>
              <w:t>(22,918)</w:t>
            </w:r>
          </w:p>
        </w:tc>
        <w:tc>
          <w:tcPr>
            <w:tcW w:w="160" w:type="dxa"/>
            <w:vAlign w:val="bottom"/>
          </w:tcPr>
          <w:p>
            <w:pPr>
              <w:spacing w:after="0"/>
              <w:rPr>
                <w:sz w:val="14"/>
                <w:szCs w:val="14"/>
                <w:color w:val="auto"/>
              </w:rPr>
            </w:pPr>
          </w:p>
        </w:tc>
        <w:tc>
          <w:tcPr>
            <w:tcW w:w="780" w:type="dxa"/>
            <w:vAlign w:val="bottom"/>
          </w:tcPr>
          <w:p>
            <w:pPr>
              <w:ind w:left="340"/>
              <w:spacing w:after="0"/>
              <w:rPr>
                <w:sz w:val="20"/>
                <w:szCs w:val="20"/>
                <w:color w:val="auto"/>
              </w:rPr>
            </w:pPr>
            <w:r>
              <w:rPr>
                <w:rFonts w:ascii="Arial" w:cs="Arial" w:eastAsia="Arial" w:hAnsi="Arial"/>
                <w:sz w:val="13"/>
                <w:szCs w:val="13"/>
                <w:color w:val="auto"/>
              </w:rPr>
              <w:t>78,905</w:t>
            </w:r>
          </w:p>
        </w:tc>
      </w:tr>
      <w:tr>
        <w:trPr>
          <w:trHeight w:val="160"/>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58,995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(12,063)</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46,933</w:t>
            </w:r>
          </w:p>
        </w:tc>
      </w:tr>
      <w:tr>
        <w:trPr>
          <w:trHeight w:val="160"/>
        </w:trPr>
        <w:tc>
          <w:tcPr>
            <w:tcW w:w="382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86,604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(7,905)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3"/>
                <w:szCs w:val="13"/>
                <w:color w:val="auto"/>
              </w:rPr>
              <w:t>78,739</w:t>
            </w:r>
          </w:p>
        </w:tc>
      </w:tr>
      <w:tr>
        <w:trPr>
          <w:trHeight w:val="160"/>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24,925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(5,614)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19,311</w:t>
            </w:r>
          </w:p>
        </w:tc>
      </w:tr>
      <w:tr>
        <w:trPr>
          <w:trHeight w:val="160"/>
        </w:trPr>
        <w:tc>
          <w:tcPr>
            <w:tcW w:w="38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24,314</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(1,044)</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23,708</w:t>
            </w:r>
          </w:p>
        </w:tc>
      </w:tr>
      <w:tr>
        <w:trPr>
          <w:trHeight w:val="161"/>
        </w:trPr>
        <w:tc>
          <w:tcPr>
            <w:tcW w:w="38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310,925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(51,212)</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260,221</w:t>
            </w:r>
          </w:p>
        </w:tc>
      </w:tr>
      <w:tr>
        <w:trPr>
          <w:trHeight w:val="20"/>
        </w:trPr>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21"/>
        </w:trPr>
        <w:tc>
          <w:tcPr>
            <w:tcW w:w="3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bl>
    <w:p>
      <w:pPr>
        <w:spacing w:after="0" w:line="8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7"/>
              </w:rPr>
              <w:t>Amortized</w:t>
            </w:r>
          </w:p>
        </w:tc>
        <w:tc>
          <w:tcPr>
            <w:tcW w:w="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Unrecognized</w:t>
            </w:r>
          </w:p>
        </w:tc>
        <w:tc>
          <w:tcPr>
            <w:tcW w:w="60" w:type="dxa"/>
            <w:vAlign w:val="bottom"/>
          </w:tcPr>
          <w:p>
            <w:pPr>
              <w:spacing w:after="0"/>
              <w:rPr>
                <w:sz w:val="12"/>
                <w:szCs w:val="12"/>
                <w:color w:val="auto"/>
              </w:rPr>
            </w:pPr>
          </w:p>
        </w:tc>
        <w:tc>
          <w:tcPr>
            <w:tcW w:w="98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99"/>
              </w:rPr>
              <w:t>Unrecognized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3820" w:type="dxa"/>
            <w:vAlign w:val="bottom"/>
          </w:tcPr>
          <w:p>
            <w:pPr>
              <w:spacing w:after="0"/>
              <w:rPr>
                <w:sz w:val="20"/>
                <w:szCs w:val="20"/>
                <w:color w:val="auto"/>
              </w:rPr>
            </w:pPr>
            <w:r>
              <w:rPr>
                <w:rFonts w:ascii="Arial" w:cs="Arial" w:eastAsia="Arial" w:hAnsi="Arial"/>
                <w:sz w:val="13"/>
                <w:szCs w:val="13"/>
                <w:b w:val="1"/>
                <w:bCs w:val="1"/>
                <w:color w:val="auto"/>
              </w:rPr>
              <w:t>Held-to-maturity:</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w w:val="93"/>
              </w:rPr>
              <w:t>Fair Value</w:t>
            </w:r>
          </w:p>
        </w:tc>
      </w:tr>
      <w:tr>
        <w:trPr>
          <w:trHeight w:val="140"/>
        </w:trPr>
        <w:tc>
          <w:tcPr>
            <w:tcW w:w="3820" w:type="dxa"/>
            <w:vAlign w:val="bottom"/>
            <w:tcBorders>
              <w:top w:val="single" w:sz="8" w:color="CCEEFF"/>
              <w:right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U.S. Government Agency</w:t>
            </w: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42,538</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right w:val="single" w:sz="8" w:color="CCEEFF"/>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(5,094)</w:t>
            </w: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39"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gridSpan w:val="2"/>
            <w:shd w:val="clear" w:color="auto" w:fill="CCEEFF"/>
          </w:tcPr>
          <w:p>
            <w:pPr>
              <w:jc w:val="right"/>
              <w:spacing w:after="0" w:line="139" w:lineRule="exact"/>
              <w:rPr>
                <w:sz w:val="20"/>
                <w:szCs w:val="20"/>
                <w:color w:val="auto"/>
              </w:rPr>
            </w:pPr>
            <w:r>
              <w:rPr>
                <w:rFonts w:ascii="Arial" w:cs="Arial" w:eastAsia="Arial" w:hAnsi="Arial"/>
                <w:sz w:val="13"/>
                <w:szCs w:val="13"/>
                <w:color w:val="auto"/>
              </w:rPr>
              <w:t>37,444</w:t>
            </w:r>
          </w:p>
        </w:tc>
      </w:tr>
      <w:tr>
        <w:trPr>
          <w:trHeight w:val="160"/>
        </w:trPr>
        <w:tc>
          <w:tcPr>
            <w:tcW w:w="382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1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56,987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(7,785)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49,259</w:t>
            </w:r>
          </w:p>
        </w:tc>
      </w:tr>
      <w:tr>
        <w:trPr>
          <w:trHeight w:val="160"/>
        </w:trPr>
        <w:tc>
          <w:tcPr>
            <w:tcW w:w="3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40,681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(4,613)</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36,121</w:t>
            </w:r>
          </w:p>
        </w:tc>
      </w:tr>
      <w:tr>
        <w:trPr>
          <w:trHeight w:val="149"/>
        </w:trPr>
        <w:tc>
          <w:tcPr>
            <w:tcW w:w="3820" w:type="dxa"/>
            <w:vAlign w:val="bottom"/>
          </w:tcPr>
          <w:p>
            <w:pPr>
              <w:spacing w:after="0" w:line="148" w:lineRule="exact"/>
              <w:rPr>
                <w:sz w:val="20"/>
                <w:szCs w:val="20"/>
                <w:color w:val="auto"/>
              </w:rPr>
            </w:pPr>
            <w:r>
              <w:rPr>
                <w:rFonts w:ascii="Arial" w:cs="Arial" w:eastAsia="Arial" w:hAnsi="Arial"/>
                <w:sz w:val="13"/>
                <w:szCs w:val="13"/>
                <w:color w:val="auto"/>
              </w:rPr>
              <w:t>Mortgage-backed securities - commercial</w:t>
            </w:r>
          </w:p>
        </w:tc>
        <w:tc>
          <w:tcPr>
            <w:tcW w:w="120" w:type="dxa"/>
            <w:vAlign w:val="bottom"/>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15,272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(1,385)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13,887</w:t>
            </w:r>
          </w:p>
        </w:tc>
      </w:tr>
      <w:tr>
        <w:trPr>
          <w:trHeight w:val="156"/>
        </w:trPr>
        <w:tc>
          <w:tcPr>
            <w:tcW w:w="3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9,222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right w:val="single" w:sz="8" w:color="CCEEFF"/>
            </w:tcBorders>
            <w:shd w:val="clear" w:color="auto" w:fill="CCEEFF"/>
          </w:tcPr>
          <w:p>
            <w:pPr>
              <w:spacing w:after="0"/>
              <w:rPr>
                <w:sz w:val="13"/>
                <w:szCs w:val="13"/>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8,829</w:t>
            </w:r>
          </w:p>
        </w:tc>
      </w:tr>
      <w:tr>
        <w:trPr>
          <w:trHeight w:val="187"/>
        </w:trPr>
        <w:tc>
          <w:tcPr>
            <w:tcW w:w="3820" w:type="dxa"/>
            <w:vAlign w:val="bottom"/>
          </w:tcPr>
          <w:p>
            <w:pPr>
              <w:spacing w:after="0"/>
              <w:rPr>
                <w:sz w:val="16"/>
                <w:szCs w:val="16"/>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164,700</w:t>
            </w:r>
          </w:p>
        </w:tc>
        <w:tc>
          <w:tcPr>
            <w:tcW w:w="40" w:type="dxa"/>
            <w:vAlign w:val="bottom"/>
          </w:tcPr>
          <w:p>
            <w:pPr>
              <w:spacing w:after="0"/>
              <w:rPr>
                <w:sz w:val="16"/>
                <w:szCs w:val="16"/>
                <w:color w:val="auto"/>
              </w:rPr>
            </w:pPr>
          </w:p>
        </w:tc>
        <w:tc>
          <w:tcPr>
            <w:tcW w:w="140" w:type="dxa"/>
            <w:vAlign w:val="bottom"/>
            <w:gridSpan w:val="2"/>
          </w:tcPr>
          <w:p>
            <w:pPr>
              <w:jc w:val="right"/>
              <w:ind w:right="4"/>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(19,270)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145,540</w:t>
            </w:r>
          </w:p>
        </w:tc>
      </w:tr>
      <w:tr>
        <w:trPr>
          <w:trHeight w:val="20"/>
        </w:trPr>
        <w:tc>
          <w:tcPr>
            <w:tcW w:w="3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r>
      <w:tr>
        <w:trPr>
          <w:trHeight w:val="121"/>
        </w:trPr>
        <w:tc>
          <w:tcPr>
            <w:tcW w:w="382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Allowance for credit losses - securities held-to-maturity</w:t>
            </w:r>
          </w:p>
        </w:tc>
        <w:tc>
          <w:tcPr>
            <w:tcW w:w="12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2"/>
        </w:trPr>
        <w:tc>
          <w:tcPr>
            <w:tcW w:w="3820" w:type="dxa"/>
            <w:vAlign w:val="bottom"/>
          </w:tcPr>
          <w:p>
            <w:pPr>
              <w:spacing w:after="0" w:line="132" w:lineRule="exact"/>
              <w:rPr>
                <w:sz w:val="20"/>
                <w:szCs w:val="20"/>
                <w:color w:val="auto"/>
              </w:rPr>
            </w:pPr>
            <w:r>
              <w:rPr>
                <w:rFonts w:ascii="Arial" w:cs="Arial" w:eastAsia="Arial" w:hAnsi="Arial"/>
                <w:sz w:val="13"/>
                <w:szCs w:val="13"/>
                <w:color w:val="auto"/>
              </w:rPr>
              <w:t>Securities held-to maturity, net of allowance for credit losses</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gridSpan w:val="2"/>
          </w:tcPr>
          <w:p>
            <w:pPr>
              <w:jc w:val="right"/>
              <w:spacing w:after="0" w:line="132" w:lineRule="exact"/>
              <w:rPr>
                <w:sz w:val="20"/>
                <w:szCs w:val="20"/>
                <w:color w:val="auto"/>
              </w:rPr>
            </w:pPr>
            <w:r>
              <w:rPr>
                <w:rFonts w:ascii="Arial" w:cs="Arial" w:eastAsia="Arial" w:hAnsi="Arial"/>
                <w:sz w:val="13"/>
                <w:szCs w:val="13"/>
                <w:color w:val="auto"/>
              </w:rPr>
              <w:t>164,694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Transfers of debt securities into the held -to-maturity (“HTM”) category from the available for sale (“AFS”) category are made at fair value as of the date of transfer. The unrealized gain or loss at the date of transfer is retained in accumulated other comprehensive loss (“AOCL”) and in the carrying value of the HTM securities and there is no impact to net income. Such amounts are amortized over the remaining life of the security. The Company made two transfers from AFS to HTM portfolios in 2022.</w:t>
      </w:r>
    </w:p>
    <w:p>
      <w:pPr>
        <w:spacing w:after="0" w:line="14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During the quarter ended September 30, 2025, there were no investment securities that were transferred from AFS to HTM. For the three months ended September 30, 2025, total amortization out of AOCL for net unrealized losses on</w:t>
      </w:r>
    </w:p>
    <w:p>
      <w:pPr>
        <w:spacing w:after="0" w:line="259" w:lineRule="exact"/>
        <w:rPr>
          <w:sz w:val="20"/>
          <w:szCs w:val="20"/>
          <w:color w:val="auto"/>
        </w:rPr>
      </w:pPr>
    </w:p>
    <w:p>
      <w:pPr>
        <w:jc w:val="center"/>
        <w:ind w:right="19"/>
        <w:spacing w:after="0"/>
        <w:tabs>
          <w:tab w:leader="none" w:pos="260" w:val="left"/>
          <w:tab w:leader="none" w:pos="10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9" w:name="page10"/>
    <w:bookmarkEnd w:id="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59"/>
        <w:spacing w:after="0" w:line="265" w:lineRule="auto"/>
        <w:rPr>
          <w:sz w:val="20"/>
          <w:szCs w:val="20"/>
          <w:color w:val="auto"/>
        </w:rPr>
      </w:pPr>
      <w:r>
        <w:rPr>
          <w:rFonts w:ascii="Arial" w:cs="Arial" w:eastAsia="Arial" w:hAnsi="Arial"/>
          <w:sz w:val="14"/>
          <w:szCs w:val="14"/>
          <w:color w:val="auto"/>
        </w:rPr>
        <w:t>securities transferred in 2022 from AFS to HTM was $66 thousand and $200 thousand for the nine months ended September 30, 2025. At September 30, 2025, the fair value of the transferred securities was $ 100.2 million and the balance of the net unrealized loss was $9.1 million.</w:t>
      </w:r>
    </w:p>
    <w:p>
      <w:pPr>
        <w:spacing w:after="0" w:line="118"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For the quarter ended September 30, 2024, total amortization out of AOCL for the net unrealized losses on securities transferred from AFS to HTM was $67 thousand and $200 thousand for the nine month ended September 30, 2024. At September 30, 2024, the fair value of the transferred securities was $ 106.3 million and the balance of the net unrealized losses was $9.3 million.</w:t>
      </w:r>
    </w:p>
    <w:p>
      <w:pPr>
        <w:spacing w:after="0" w:line="13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measurement of expected credit losses under the current expected credit loss (“CECL”) methodology is applicable to financial assets measured at amortized cost, including loan receivables and HTM debt securities.</w:t>
      </w:r>
    </w:p>
    <w:p>
      <w:pPr>
        <w:spacing w:after="0" w:line="12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CECL requires a loss reserve for securities classified as HTM. The reserve should reflect historical credit performance as well as the impact of projected economic forecasts. For U.S. Government bonds and U.S. Agency issued bonds classified as HTM, the explicit guarantee of the U.S. Government is sufficient to conclude that a credit loss reserve is not required. The reserve requirement is for three primary assets groups: municipal bonds, corporate bonds, and non-agency securitizations. The Company calculates quarterly the loss reserve utilizing Moody’s ImpairmentStudio. The CECL measurement for investment securities incorporates historical data, containing defaults and recoveries information, and Moody’s baseline economic forecast. The solution uses the probability of default/loss given default (“PD/LGD”) approach. PD represents the likelihood a borrower will default. Within the Moody’s model, this is determined using historical default data, adjusted for the current economic environment. LGD projects the expected loss if a borrower were to default.</w:t>
      </w:r>
    </w:p>
    <w:p>
      <w:pPr>
        <w:spacing w:after="0" w:line="129"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The Company monitors the credit quality of HTM securities through the use of credit ratings. Credit ratings are monitored by the Company on at least a quarterly basis. As of September 30, 2025 and December 31, 2024, all HTM securities held by the Company were rated investment grade.</w:t>
      </w:r>
    </w:p>
    <w:p>
      <w:pPr>
        <w:spacing w:after="0" w:line="12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At September 30, 2025, HTM securities included $ 147.3 million of U.S. Government and U.S. Agency issued bonds and mortgage-backed securities. Because of the explicit and/or implicit guarantee on these bonds, the Company holds no reserves on these holdings. The remaining portion of the HTM portfolio is made up of $ 9.1 million in investment grade corporate bonds. The required reserve for these holdings is determined each quarter using the model described above. For the portion of the HTM exposed to non-government credit risk, the Company utilized the PD/LGD methodology to estimate a $5 thousand ACL as of September 30, 2025. The book value for debt securities classified as HTM represents amortized cost less the ACL related to these securities.</w:t>
      </w:r>
    </w:p>
    <w:p>
      <w:pPr>
        <w:spacing w:after="0" w:line="12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Company’s investment portfolio includes AFS debt securities, which are carried at fair value with unrealized gains and losses recognized in AOCL, net of applicable taxes. The Company evaluates whether the declines in fair value are attributable to credit losses or other factors like interest rate risk, using both quantitative and qualitative analyses, including company performance analysis, review of credit ratings, bond vintage, remaining payment terms, prepayment speeds and analysis of macro-economic conditions. When the fair value of an AFS security is less than its amortized cost and the decline is attributable to credit-related factors, an ACL is recorded. As a result of this evaluation, the Company concluded that no allowance was required on AFS securities as of September 30, 2025.</w:t>
      </w:r>
    </w:p>
    <w:p>
      <w:pPr>
        <w:spacing w:after="0" w:line="13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3"/>
                <w:szCs w:val="13"/>
                <w:b w:val="1"/>
                <w:bCs w:val="1"/>
                <w:color w:val="auto"/>
              </w:rPr>
              <w:t>September 30, 2025</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151"/>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w w:val="98"/>
              </w:rPr>
              <w:t>Less than 12 months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Total</w:t>
            </w:r>
          </w:p>
        </w:tc>
        <w:tc>
          <w:tcPr>
            <w:tcW w:w="580" w:type="dxa"/>
            <w:vAlign w:val="bottom"/>
            <w:tcBorders>
              <w:bottom w:val="single" w:sz="8" w:color="auto"/>
            </w:tcBorders>
          </w:tcPr>
          <w:p>
            <w:pPr>
              <w:spacing w:after="0"/>
              <w:rPr>
                <w:sz w:val="13"/>
                <w:szCs w:val="13"/>
                <w:color w:val="auto"/>
              </w:rPr>
            </w:pPr>
          </w:p>
        </w:tc>
      </w:tr>
      <w:tr>
        <w:trPr>
          <w:trHeight w:val="151"/>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w:t>
            </w:r>
          </w:p>
        </w:tc>
      </w:tr>
      <w:tr>
        <w:trPr>
          <w:trHeight w:val="160"/>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b w:val="1"/>
                <w:bCs w:val="1"/>
                <w:color w:val="auto"/>
              </w:rPr>
              <w:t>Available-for-Sale:</w:t>
            </w: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9"/>
              </w:rPr>
              <w:t>Fair Value</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3"/>
              </w:rPr>
              <w:t>Losses</w:t>
            </w:r>
          </w:p>
        </w:tc>
        <w:tc>
          <w:tcPr>
            <w:tcW w:w="2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3"/>
              </w:rPr>
              <w:t>Losses</w:t>
            </w:r>
          </w:p>
        </w:tc>
      </w:tr>
      <w:tr>
        <w:trPr>
          <w:trHeight w:val="151"/>
        </w:trPr>
        <w:tc>
          <w:tcPr>
            <w:tcW w:w="242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U.S. Government Agency</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511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8,237</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8,748</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w:t>
            </w:r>
          </w:p>
        </w:tc>
      </w:tr>
      <w:tr>
        <w:trPr>
          <w:trHeight w:val="171"/>
        </w:trPr>
        <w:tc>
          <w:tcPr>
            <w:tcW w:w="2460" w:type="dxa"/>
            <w:vAlign w:val="bottom"/>
            <w:gridSpan w:val="2"/>
          </w:tcPr>
          <w:p>
            <w:pPr>
              <w:ind w:left="40"/>
              <w:spacing w:after="0"/>
              <w:rPr>
                <w:sz w:val="20"/>
                <w:szCs w:val="20"/>
                <w:color w:val="auto"/>
              </w:rPr>
            </w:pPr>
            <w:r>
              <w:rPr>
                <w:rFonts w:ascii="Arial" w:cs="Arial" w:eastAsia="Arial" w:hAnsi="Arial"/>
                <w:sz w:val="13"/>
                <w:szCs w:val="13"/>
                <w:color w:val="auto"/>
              </w:rPr>
              <w:t>Collateralized mortgage obligations</w:t>
            </w:r>
          </w:p>
        </w:tc>
        <w:tc>
          <w:tcPr>
            <w:tcW w:w="14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9,257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72,438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(19,101)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81,695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(19,135)</w:t>
            </w: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43,856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43,856</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(9,715)</w:t>
            </w:r>
          </w:p>
        </w:tc>
      </w:tr>
      <w:tr>
        <w:trPr>
          <w:trHeight w:val="171"/>
        </w:trPr>
        <w:tc>
          <w:tcPr>
            <w:tcW w:w="2460" w:type="dxa"/>
            <w:vAlign w:val="bottom"/>
            <w:gridSpan w:val="2"/>
          </w:tcPr>
          <w:p>
            <w:pPr>
              <w:ind w:left="40"/>
              <w:spacing w:after="0"/>
              <w:rPr>
                <w:sz w:val="20"/>
                <w:szCs w:val="20"/>
                <w:color w:val="auto"/>
              </w:rPr>
            </w:pPr>
            <w:r>
              <w:rPr>
                <w:rFonts w:ascii="Arial" w:cs="Arial" w:eastAsia="Arial" w:hAnsi="Arial"/>
                <w:sz w:val="13"/>
                <w:szCs w:val="13"/>
                <w:color w:val="auto"/>
              </w:rPr>
              <w:t>Mortgage-backed securities - commercial</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81,800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51,918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(7,079)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7"/>
              </w:rPr>
              <w:t>133,718</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(7,491)</w:t>
            </w: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Municipal securities</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18,915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18,915</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(3,923)</w:t>
            </w:r>
          </w:p>
        </w:tc>
      </w:tr>
      <w:tr>
        <w:trPr>
          <w:trHeight w:val="171"/>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Bank subordinated debt securities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1,999</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10,535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12,534</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(439)</w:t>
            </w:r>
          </w:p>
        </w:tc>
      </w:tr>
      <w:tr>
        <w:trPr>
          <w:trHeight w:val="161"/>
        </w:trPr>
        <w:tc>
          <w:tcPr>
            <w:tcW w:w="2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93,567</w:t>
            </w: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97"/>
                <w:shd w:val="clear" w:color="auto" w:fill="CCEEFF"/>
              </w:rPr>
              <w:t>205,899</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(41,459)</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299,466</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(41,917)</w:t>
            </w:r>
          </w:p>
        </w:tc>
      </w:tr>
      <w:tr>
        <w:trPr>
          <w:trHeight w:val="20"/>
        </w:trPr>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10" w:name="page11"/>
    <w:bookmarkEnd w:id="1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3"/>
                <w:szCs w:val="13"/>
                <w:b w:val="1"/>
                <w:bCs w:val="1"/>
                <w:color w:val="auto"/>
              </w:rPr>
              <w:t>December 31, 2024</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151"/>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3"/>
                <w:szCs w:val="13"/>
                <w:b w:val="1"/>
                <w:bCs w:val="1"/>
                <w:color w:val="auto"/>
                <w:w w:val="98"/>
              </w:rPr>
              <w:t>Less than 12 months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3"/>
                <w:szCs w:val="13"/>
                <w:b w:val="1"/>
                <w:bCs w:val="1"/>
                <w:color w:val="auto"/>
              </w:rPr>
              <w:t>12 months or more</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Total</w:t>
            </w:r>
          </w:p>
        </w:tc>
        <w:tc>
          <w:tcPr>
            <w:tcW w:w="580" w:type="dxa"/>
            <w:vAlign w:val="bottom"/>
            <w:tcBorders>
              <w:bottom w:val="single" w:sz="8" w:color="auto"/>
            </w:tcBorders>
          </w:tcPr>
          <w:p>
            <w:pPr>
              <w:spacing w:after="0"/>
              <w:rPr>
                <w:sz w:val="13"/>
                <w:szCs w:val="13"/>
                <w:color w:val="auto"/>
              </w:rPr>
            </w:pPr>
          </w:p>
        </w:tc>
      </w:tr>
      <w:tr>
        <w:trPr>
          <w:trHeight w:val="151"/>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w:t>
            </w:r>
          </w:p>
        </w:tc>
      </w:tr>
      <w:tr>
        <w:trPr>
          <w:trHeight w:val="160"/>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b w:val="1"/>
                <w:bCs w:val="1"/>
                <w:color w:val="auto"/>
              </w:rPr>
              <w:t>Available-for-sale:</w:t>
            </w: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8"/>
              </w:rPr>
              <w:t>Losses</w:t>
            </w:r>
          </w:p>
        </w:tc>
        <w:tc>
          <w:tcPr>
            <w:tcW w:w="2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9"/>
              </w:rPr>
              <w:t>Fair Value</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3"/>
              </w:rPr>
              <w:t>Losses</w:t>
            </w:r>
          </w:p>
        </w:tc>
        <w:tc>
          <w:tcPr>
            <w:tcW w:w="2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6"/>
              </w:rPr>
              <w:t>Fair Value</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3"/>
              </w:rPr>
              <w:t>Losses</w:t>
            </w:r>
          </w:p>
        </w:tc>
      </w:tr>
      <w:tr>
        <w:trPr>
          <w:trHeight w:val="151"/>
        </w:trPr>
        <w:tc>
          <w:tcPr>
            <w:tcW w:w="242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U.S. Government Agency</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4,468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7,451</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20" w:type="dxa"/>
            <w:vAlign w:val="bottom"/>
            <w:shd w:val="clear" w:color="auto" w:fill="CCEEFF"/>
          </w:tcPr>
          <w:p>
            <w:pPr>
              <w:ind w:left="80"/>
              <w:spacing w:after="0"/>
              <w:rPr>
                <w:sz w:val="20"/>
                <w:szCs w:val="20"/>
                <w:color w:val="auto"/>
              </w:rPr>
            </w:pPr>
            <w:r>
              <w:rPr>
                <w:rFonts w:ascii="Arial" w:cs="Arial" w:eastAsia="Arial" w:hAnsi="Arial"/>
                <w:sz w:val="13"/>
                <w:szCs w:val="13"/>
                <w:color w:val="auto"/>
              </w:rPr>
              <w:t>11,919</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(1,668)</w:t>
            </w:r>
          </w:p>
        </w:tc>
      </w:tr>
      <w:tr>
        <w:trPr>
          <w:trHeight w:val="171"/>
        </w:trPr>
        <w:tc>
          <w:tcPr>
            <w:tcW w:w="2460" w:type="dxa"/>
            <w:vAlign w:val="bottom"/>
            <w:gridSpan w:val="2"/>
          </w:tcPr>
          <w:p>
            <w:pPr>
              <w:ind w:left="40"/>
              <w:spacing w:after="0"/>
              <w:rPr>
                <w:sz w:val="20"/>
                <w:szCs w:val="20"/>
                <w:color w:val="auto"/>
              </w:rPr>
            </w:pPr>
            <w:r>
              <w:rPr>
                <w:rFonts w:ascii="Arial" w:cs="Arial" w:eastAsia="Arial" w:hAnsi="Arial"/>
                <w:sz w:val="13"/>
                <w:szCs w:val="13"/>
                <w:color w:val="auto"/>
              </w:rPr>
              <w:t>Collateralized mortgage obligations</w:t>
            </w:r>
          </w:p>
        </w:tc>
        <w:tc>
          <w:tcPr>
            <w:tcW w:w="14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3,101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72,952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(22,895)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auto"/>
              </w:rPr>
              <w:t>76,053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(22,918)</w:t>
            </w:r>
          </w:p>
        </w:tc>
      </w:tr>
      <w:tr>
        <w:trPr>
          <w:trHeight w:val="15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972</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44,600</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(12,052)</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45,572</w:t>
            </w: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(12,063)</w:t>
            </w:r>
          </w:p>
        </w:tc>
      </w:tr>
      <w:tr>
        <w:trPr>
          <w:trHeight w:val="171"/>
        </w:trPr>
        <w:tc>
          <w:tcPr>
            <w:tcW w:w="2460" w:type="dxa"/>
            <w:vAlign w:val="bottom"/>
            <w:gridSpan w:val="2"/>
          </w:tcPr>
          <w:p>
            <w:pPr>
              <w:ind w:left="40"/>
              <w:spacing w:after="0"/>
              <w:rPr>
                <w:sz w:val="20"/>
                <w:szCs w:val="20"/>
                <w:color w:val="auto"/>
              </w:rPr>
            </w:pPr>
            <w:r>
              <w:rPr>
                <w:rFonts w:ascii="Arial" w:cs="Arial" w:eastAsia="Arial" w:hAnsi="Arial"/>
                <w:sz w:val="13"/>
                <w:szCs w:val="13"/>
                <w:color w:val="auto"/>
              </w:rPr>
              <w:t>Mortgage-backed securities - commercial</w:t>
            </w:r>
          </w:p>
        </w:tc>
        <w:tc>
          <w:tcPr>
            <w:tcW w:w="140" w:type="dxa"/>
            <w:vAlign w:val="bottom"/>
          </w:tcPr>
          <w:p>
            <w:pPr>
              <w:spacing w:after="0"/>
              <w:rPr>
                <w:sz w:val="14"/>
                <w:szCs w:val="14"/>
                <w:color w:val="auto"/>
              </w:rPr>
            </w:pP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44,411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(1,265)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6"/>
              <w:spacing w:after="0"/>
              <w:rPr>
                <w:sz w:val="20"/>
                <w:szCs w:val="20"/>
                <w:color w:val="auto"/>
              </w:rPr>
            </w:pPr>
            <w:r>
              <w:rPr>
                <w:rFonts w:ascii="Arial" w:cs="Arial" w:eastAsia="Arial" w:hAnsi="Arial"/>
                <w:sz w:val="13"/>
                <w:szCs w:val="13"/>
                <w:color w:val="auto"/>
              </w:rPr>
              <w:t>27,874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(6,640)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auto"/>
              </w:rPr>
              <w:t>72,285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(7,905)</w:t>
            </w:r>
          </w:p>
        </w:tc>
      </w:tr>
      <w:tr>
        <w:trPr>
          <w:trHeight w:val="15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Municipal securities</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19,311</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(5,614)</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19,311</w:t>
            </w: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(5,614)</w:t>
            </w:r>
          </w:p>
        </w:tc>
      </w:tr>
      <w:tr>
        <w:trPr>
          <w:trHeight w:val="171"/>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Bank subordinated debt securities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14,352</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14,352</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(1,044)</w:t>
            </w:r>
          </w:p>
        </w:tc>
      </w:tr>
      <w:tr>
        <w:trPr>
          <w:trHeight w:val="151"/>
        </w:trPr>
        <w:tc>
          <w:tcPr>
            <w:tcW w:w="2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52,952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97"/>
                <w:shd w:val="clear" w:color="auto" w:fill="CCEEFF"/>
              </w:rPr>
              <w:t>186,540</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(49,837)</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239,492</w:t>
            </w:r>
          </w:p>
        </w:tc>
        <w:tc>
          <w:tcPr>
            <w:tcW w:w="240" w:type="dxa"/>
            <w:vAlign w:val="bottom"/>
            <w:gridSpan w:val="2"/>
            <w:shd w:val="clear" w:color="auto" w:fill="CCEEFF"/>
          </w:tcPr>
          <w:p>
            <w:pPr>
              <w:spacing w:after="0"/>
              <w:rPr>
                <w:sz w:val="13"/>
                <w:szCs w:val="13"/>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(51,212)</w:t>
            </w:r>
          </w:p>
        </w:tc>
      </w:tr>
      <w:tr>
        <w:trPr>
          <w:trHeight w:val="20"/>
        </w:trPr>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The contractual cash flows associated with U.S. Government Agency securities, collateralized mortgage obligations, and residential and commercial mortgage-backed securities are guaranteed by U.S. government-sponsored enterprises, thereby minimizing credit risk. Municipal bonds are of high credit quality, and the observed declines in fair value are not attributable to deterioration in the creditworthiness. Similarly, the decrease in fair value of bank subordinated debt securities is primarily driven by changes in market interest rates rather than credit concerns. Based on management’s evaluation of these factors, management believes that the unrealized losses on these debt securities are attributable to fluctuations in market spreads and interest rate movements, rather than adverse changes in the underlying credit quality of the issuers.</w:t>
      </w:r>
    </w:p>
    <w:p>
      <w:pPr>
        <w:spacing w:after="0" w:line="138"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Gains and losses on the sale of securities are recorded on the trade date and are determined on the specific identification basis. The following table presents the proceeds, realized gross gains and realized gross losses on sales and calls of AFS debt securities for the three and nine months ended September 30, 2025 and 2024 (in thousands):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7"/>
              </w:rPr>
              <w:t>Three Months Ended September 30,</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5"/>
          </w:tcPr>
          <w:p>
            <w:pPr>
              <w:jc w:val="right"/>
              <w:ind w:right="116"/>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51"/>
        </w:trPr>
        <w:tc>
          <w:tcPr>
            <w:tcW w:w="2740" w:type="dxa"/>
            <w:vAlign w:val="bottom"/>
            <w:gridSpan w:val="2"/>
            <w:vMerge w:val="continue"/>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2025</w:t>
            </w:r>
          </w:p>
        </w:tc>
        <w:tc>
          <w:tcPr>
            <w:tcW w:w="440" w:type="dxa"/>
            <w:vAlign w:val="bottom"/>
          </w:tcPr>
          <w:p>
            <w:pPr>
              <w:spacing w:after="0"/>
              <w:rPr>
                <w:sz w:val="13"/>
                <w:szCs w:val="13"/>
                <w:color w:val="auto"/>
              </w:rPr>
            </w:pPr>
          </w:p>
        </w:tc>
        <w:tc>
          <w:tcPr>
            <w:tcW w:w="1140" w:type="dxa"/>
            <w:vAlign w:val="bottom"/>
            <w:gridSpan w:val="3"/>
          </w:tcPr>
          <w:p>
            <w:pPr>
              <w:jc w:val="right"/>
              <w:ind w:right="276"/>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396"/>
              <w:spacing w:after="0"/>
              <w:rPr>
                <w:sz w:val="20"/>
                <w:szCs w:val="20"/>
                <w:color w:val="auto"/>
              </w:rPr>
            </w:pPr>
            <w:r>
              <w:rPr>
                <w:rFonts w:ascii="Arial" w:cs="Arial" w:eastAsia="Arial" w:hAnsi="Arial"/>
                <w:sz w:val="13"/>
                <w:szCs w:val="13"/>
                <w:b w:val="1"/>
                <w:bCs w:val="1"/>
                <w:color w:val="auto"/>
              </w:rPr>
              <w:t>2025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96"/>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51"/>
        </w:trPr>
        <w:tc>
          <w:tcPr>
            <w:tcW w:w="274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3"/>
                <w:szCs w:val="13"/>
                <w:color w:val="auto"/>
              </w:rPr>
              <w:t>Proceeds from sale and call of securities</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31,384</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31,384</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34,753</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Gross gains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60" w:type="dxa"/>
            <w:vAlign w:val="bottom"/>
            <w:gridSpan w:val="2"/>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71"/>
        </w:trPr>
        <w:tc>
          <w:tcPr>
            <w:tcW w:w="2740" w:type="dxa"/>
            <w:vAlign w:val="bottom"/>
            <w:gridSpan w:val="2"/>
          </w:tcPr>
          <w:p>
            <w:pPr>
              <w:spacing w:after="0"/>
              <w:rPr>
                <w:sz w:val="20"/>
                <w:szCs w:val="20"/>
                <w:color w:val="auto"/>
              </w:rPr>
            </w:pPr>
            <w:r>
              <w:rPr>
                <w:rFonts w:ascii="Arial" w:cs="Arial" w:eastAsia="Arial" w:hAnsi="Arial"/>
                <w:sz w:val="13"/>
                <w:szCs w:val="13"/>
                <w:color w:val="auto"/>
              </w:rPr>
              <w:t>Gross 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(363)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(363)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161"/>
        </w:trPr>
        <w:tc>
          <w:tcPr>
            <w:tcW w:w="100" w:type="dxa"/>
            <w:vAlign w:val="bottom"/>
            <w:tcBorders>
              <w:top w:val="single" w:sz="8" w:color="CCEEFF"/>
            </w:tcBorders>
            <w:shd w:val="clear" w:color="auto" w:fill="CCEEFF"/>
          </w:tcPr>
          <w:p>
            <w:pPr>
              <w:spacing w:after="0"/>
              <w:rPr>
                <w:sz w:val="14"/>
                <w:szCs w:val="14"/>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realized gain (loss)</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140" w:type="dxa"/>
            <w:vAlign w:val="bottom"/>
            <w:tcBorders>
              <w:top w:val="single" w:sz="8" w:color="CCEEFF"/>
            </w:tcBorders>
            <w:gridSpan w:val="3"/>
            <w:shd w:val="clear" w:color="auto" w:fill="CCEEFF"/>
          </w:tcPr>
          <w:p>
            <w:pPr>
              <w:jc w:val="right"/>
              <w:ind w:right="936"/>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as of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79"/>
        </w:trPr>
        <w:tc>
          <w:tcPr>
            <w:tcW w:w="3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3"/>
                <w:szCs w:val="13"/>
                <w:b w:val="1"/>
                <w:bCs w:val="1"/>
                <w:color w:val="auto"/>
              </w:rPr>
              <w:t>Available-for-sale</w:t>
            </w: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3"/>
                <w:szCs w:val="13"/>
                <w:b w:val="1"/>
                <w:bCs w:val="1"/>
                <w:color w:val="auto"/>
              </w:rPr>
              <w:t>Held-to-maturity</w:t>
            </w:r>
          </w:p>
        </w:tc>
      </w:tr>
      <w:tr>
        <w:trPr>
          <w:trHeight w:val="143"/>
        </w:trPr>
        <w:tc>
          <w:tcPr>
            <w:tcW w:w="3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56"/>
              <w:spacing w:after="0" w:line="143" w:lineRule="exact"/>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56"/>
              <w:spacing w:after="0" w:line="143" w:lineRule="exact"/>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0"/>
        </w:trPr>
        <w:tc>
          <w:tcPr>
            <w:tcW w:w="39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September 30, 2025: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Fair Value</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Fair Value</w:t>
            </w:r>
          </w:p>
        </w:tc>
      </w:tr>
      <w:tr>
        <w:trPr>
          <w:trHeight w:val="151"/>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Due within one year</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9,089</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8,960</w:t>
            </w: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Due after one year through five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1,983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1,999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42,901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38,685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Due after ten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13,143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41,500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38,046</w:t>
            </w: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100,830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81,695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52,766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47,376</w:t>
            </w:r>
          </w:p>
        </w:tc>
      </w:tr>
      <w:tr>
        <w:trPr>
          <w:trHeight w:val="171"/>
        </w:trPr>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60,915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51,318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37,880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34,915</w:t>
            </w:r>
          </w:p>
        </w:tc>
      </w:tr>
      <w:tr>
        <w:trPr>
          <w:trHeight w:val="171"/>
        </w:trPr>
        <w:tc>
          <w:tcPr>
            <w:tcW w:w="39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Mortgage-backed securities - commercial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145,991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138,517</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15,135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14,002</w:t>
            </w:r>
          </w:p>
        </w:tc>
      </w:tr>
      <w:tr>
        <w:trPr>
          <w:trHeight w:val="161"/>
        </w:trPr>
        <w:tc>
          <w:tcPr>
            <w:tcW w:w="3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365,763</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324,179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156,370</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143,299</w:t>
            </w:r>
          </w:p>
        </w:tc>
      </w:tr>
      <w:tr>
        <w:trPr>
          <w:trHeight w:val="20"/>
        </w:trPr>
        <w:tc>
          <w:tcPr>
            <w:tcW w:w="3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At September 30, 2025, there were no securities held in the portfolio from any one issuer in an amount greater than 10% of total stockholders’ equity other than the U.S. Government and U.S. Government Agency issued securities. All the collateralized mortgage obligations and mortgage-backed securities at September 30, 2025 and December 31, 2024 were issued by U.S. Government entities.</w:t>
      </w:r>
    </w:p>
    <w:p>
      <w:pPr>
        <w:spacing w:after="0" w:line="135"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Bank is a Qualified Public Depository (“QPD”) with the State of Florida. As a QPD, the Bank has the legal authority to maintain public deposits from cities, municipalities, and the State of Florida. These public deposits are secured by</w:t>
      </w:r>
    </w:p>
    <w:p>
      <w:pPr>
        <w:spacing w:after="0" w:line="227" w:lineRule="exact"/>
        <w:rPr>
          <w:sz w:val="20"/>
          <w:szCs w:val="20"/>
          <w:color w:val="auto"/>
        </w:rPr>
      </w:pPr>
    </w:p>
    <w:p>
      <w:pPr>
        <w:jc w:val="center"/>
        <w:ind w:right="19"/>
        <w:spacing w:after="0"/>
        <w:tabs>
          <w:tab w:leader="none" w:pos="280" w:val="left"/>
          <w:tab w:leader="none" w:pos="12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11" w:name="page12"/>
    <w:bookmarkEnd w:id="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59"/>
        <w:spacing w:after="0" w:line="265" w:lineRule="auto"/>
        <w:rPr>
          <w:sz w:val="20"/>
          <w:szCs w:val="20"/>
          <w:color w:val="auto"/>
        </w:rPr>
      </w:pPr>
      <w:r>
        <w:rPr>
          <w:rFonts w:ascii="Arial" w:cs="Arial" w:eastAsia="Arial" w:hAnsi="Arial"/>
          <w:sz w:val="14"/>
          <w:szCs w:val="14"/>
          <w:color w:val="auto"/>
        </w:rPr>
        <w:t>securities pledged to the State of Florida at a ratio of 25% of the quarter daily average balance for quarter ended September 30, 2025, and 50% for the quarter daily average balance for quarter ended December 31, 2024. The Bank must also maintain a minimum amount of pledged securities to be in the public funds program.</w:t>
      </w:r>
    </w:p>
    <w:p>
      <w:pPr>
        <w:spacing w:after="0" w:line="118" w:lineRule="exact"/>
        <w:rPr>
          <w:sz w:val="20"/>
          <w:szCs w:val="20"/>
          <w:color w:val="auto"/>
        </w:rPr>
      </w:pPr>
    </w:p>
    <w:p>
      <w:pPr>
        <w:jc w:val="both"/>
        <w:ind w:left="660" w:right="659" w:firstLine="256"/>
        <w:spacing w:after="0" w:line="292" w:lineRule="auto"/>
        <w:rPr>
          <w:sz w:val="20"/>
          <w:szCs w:val="20"/>
          <w:color w:val="auto"/>
        </w:rPr>
      </w:pPr>
      <w:r>
        <w:rPr>
          <w:rFonts w:ascii="Arial" w:cs="Arial" w:eastAsia="Arial" w:hAnsi="Arial"/>
          <w:sz w:val="14"/>
          <w:szCs w:val="14"/>
          <w:color w:val="auto"/>
        </w:rPr>
        <w:t>As of September 30, 2025, the Bank had a total of $151.4 million in deposits under the public funds program and pledged to the State of Florida for these public funds were sixteen bonds with an aggregate fair value of $49.7 million.</w:t>
      </w:r>
    </w:p>
    <w:p>
      <w:pPr>
        <w:spacing w:after="0" w:line="99" w:lineRule="exact"/>
        <w:rPr>
          <w:sz w:val="20"/>
          <w:szCs w:val="20"/>
          <w:color w:val="auto"/>
        </w:rPr>
      </w:pPr>
    </w:p>
    <w:p>
      <w:pPr>
        <w:jc w:val="both"/>
        <w:ind w:left="660" w:right="659" w:firstLine="256"/>
        <w:spacing w:after="0" w:line="292" w:lineRule="auto"/>
        <w:rPr>
          <w:sz w:val="20"/>
          <w:szCs w:val="20"/>
          <w:color w:val="auto"/>
        </w:rPr>
      </w:pPr>
      <w:r>
        <w:rPr>
          <w:rFonts w:ascii="Arial" w:cs="Arial" w:eastAsia="Arial" w:hAnsi="Arial"/>
          <w:sz w:val="14"/>
          <w:szCs w:val="14"/>
          <w:color w:val="auto"/>
        </w:rPr>
        <w:t>As of December 31, 2024, the Bank had a total of $110.5 million in deposits under the public funds program and pledged to the State of Florida for these public funds were twenty-one bonds with an aggregate fair value of $66.1 million.</w:t>
      </w:r>
    </w:p>
    <w:p>
      <w:pPr>
        <w:spacing w:after="0" w:line="99" w:lineRule="exact"/>
        <w:rPr>
          <w:sz w:val="20"/>
          <w:szCs w:val="20"/>
          <w:color w:val="auto"/>
        </w:rPr>
      </w:pPr>
    </w:p>
    <w:p>
      <w:pPr>
        <w:ind w:left="1040" w:hanging="377"/>
        <w:spacing w:after="0"/>
        <w:tabs>
          <w:tab w:leader="none" w:pos="104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is a summary of the distribution of loans held for investment by type (dollars in thousands):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3"/>
                <w:szCs w:val="13"/>
                <w:b w:val="1"/>
                <w:bCs w:val="1"/>
                <w:color w:val="auto"/>
              </w:rPr>
              <w:t>September 30, 2025</w:t>
            </w: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3"/>
                <w:szCs w:val="13"/>
                <w:b w:val="1"/>
                <w:bCs w:val="1"/>
                <w:color w:val="auto"/>
              </w:rPr>
              <w:t>December 31, 2024</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7"/>
              </w:rPr>
              <w:t>Percent of</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b w:val="1"/>
                <w:bCs w:val="1"/>
                <w:color w:val="auto"/>
              </w:rPr>
              <w:t>Percent of</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3"/>
                <w:szCs w:val="13"/>
                <w:color w:val="auto"/>
              </w:rPr>
            </w:pPr>
          </w:p>
        </w:tc>
        <w:tc>
          <w:tcPr>
            <w:tcW w:w="110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22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3"/>
                <w:szCs w:val="13"/>
                <w:color w:val="auto"/>
              </w:rPr>
            </w:pPr>
          </w:p>
        </w:tc>
        <w:tc>
          <w:tcPr>
            <w:tcW w:w="86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4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316,557</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2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289,961</w:t>
            </w: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1,226,121</w:t>
            </w:r>
          </w:p>
        </w:tc>
        <w:tc>
          <w:tcPr>
            <w:tcW w:w="40" w:type="dxa"/>
            <w:vAlign w:val="bottom"/>
          </w:tcPr>
          <w:p>
            <w:pPr>
              <w:spacing w:after="0"/>
              <w:rPr>
                <w:sz w:val="14"/>
                <w:szCs w:val="14"/>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3"/>
                <w:szCs w:val="13"/>
                <w:color w:val="auto"/>
              </w:rPr>
              <w:t>57.7 %</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1,136,417</w:t>
            </w:r>
          </w:p>
        </w:tc>
        <w:tc>
          <w:tcPr>
            <w:tcW w:w="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57.8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269,430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258,311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104,598</w:t>
            </w:r>
          </w:p>
        </w:tc>
        <w:tc>
          <w:tcPr>
            <w:tcW w:w="40" w:type="dxa"/>
            <w:vAlign w:val="bottom"/>
          </w:tcPr>
          <w:p>
            <w:pPr>
              <w:spacing w:after="0"/>
              <w:rPr>
                <w:sz w:val="14"/>
                <w:szCs w:val="14"/>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3"/>
                <w:szCs w:val="13"/>
                <w:color w:val="auto"/>
              </w:rPr>
              <w:t>4.9 %</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82,438</w:t>
            </w:r>
          </w:p>
        </w:tc>
        <w:tc>
          <w:tcPr>
            <w:tcW w:w="1120" w:type="dxa"/>
            <w:vAlign w:val="bottom"/>
            <w:gridSpan w:val="3"/>
          </w:tcPr>
          <w:p>
            <w:pPr>
              <w:jc w:val="right"/>
              <w:spacing w:after="0"/>
              <w:rPr>
                <w:sz w:val="20"/>
                <w:szCs w:val="20"/>
                <w:color w:val="auto"/>
              </w:rPr>
            </w:pPr>
            <w:r>
              <w:rPr>
                <w:rFonts w:ascii="Arial" w:cs="Arial" w:eastAsia="Arial" w:hAnsi="Arial"/>
                <w:sz w:val="13"/>
                <w:szCs w:val="13"/>
                <w:color w:val="auto"/>
              </w:rPr>
              <w:t>4.2 %</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207,939</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2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198,091</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1"/>
        </w:trPr>
        <w:tc>
          <w:tcPr>
            <w:tcW w:w="3340" w:type="dxa"/>
            <w:vAlign w:val="bottom"/>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2,124,645</w:t>
            </w:r>
          </w:p>
        </w:tc>
        <w:tc>
          <w:tcPr>
            <w:tcW w:w="40" w:type="dxa"/>
            <w:vAlign w:val="bottom"/>
          </w:tcPr>
          <w:p>
            <w:pPr>
              <w:spacing w:after="0"/>
              <w:rPr>
                <w:sz w:val="17"/>
                <w:szCs w:val="17"/>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3"/>
                <w:szCs w:val="13"/>
                <w:color w:val="auto"/>
              </w:rPr>
              <w:t>100.0 %</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1,965,218</w:t>
            </w:r>
          </w:p>
        </w:tc>
        <w:tc>
          <w:tcPr>
            <w:tcW w:w="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1"/>
        </w:trPr>
        <w:tc>
          <w:tcPr>
            <w:tcW w:w="334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2"/>
                <w:szCs w:val="12"/>
                <w:color w:val="auto"/>
              </w:rPr>
              <w:t>Plus: Deferred fees/costs</w:t>
            </w:r>
          </w:p>
        </w:tc>
        <w:tc>
          <w:tcPr>
            <w:tcW w:w="14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CCEEFF"/>
            </w:tcBorders>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6,321</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CCEEFF"/>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7,630</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100"/>
              <w:spacing w:after="0"/>
              <w:rPr>
                <w:sz w:val="20"/>
                <w:szCs w:val="20"/>
                <w:color w:val="auto"/>
              </w:rPr>
            </w:pPr>
            <w:r>
              <w:rPr>
                <w:rFonts w:ascii="Arial" w:cs="Arial" w:eastAsia="Arial" w:hAnsi="Arial"/>
                <w:sz w:val="13"/>
                <w:szCs w:val="13"/>
                <w:color w:val="auto"/>
              </w:rPr>
              <w:t>Total loans net of deferred fees/costs</w:t>
            </w: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2,130,966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1,972,848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24,964</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24,070</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40" w:type="dxa"/>
            <w:vAlign w:val="bottom"/>
          </w:tcPr>
          <w:p>
            <w:pPr>
              <w:ind w:left="100"/>
              <w:spacing w:after="0"/>
              <w:rPr>
                <w:sz w:val="20"/>
                <w:szCs w:val="20"/>
                <w:color w:val="auto"/>
              </w:rPr>
            </w:pPr>
            <w:r>
              <w:rPr>
                <w:rFonts w:ascii="Arial" w:cs="Arial" w:eastAsia="Arial" w:hAnsi="Arial"/>
                <w:sz w:val="13"/>
                <w:szCs w:val="13"/>
                <w:color w:val="auto"/>
              </w:rPr>
              <w:t>Total net loans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2,106,002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1,948,778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At September 30, 2025 and December 31, 2024, the Company had $ 592.0 million and $ 518.8 million, respectively, of commercial real estate and residential mortgage loans pledged as collateral for lines of credit with the Federal Home Loan Bank (“FHLB”) of Atlanta and the Federal Reserve Bank of Atlanta.</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Allowance for Credit Losses</w:t>
      </w:r>
    </w:p>
    <w:p>
      <w:pPr>
        <w:spacing w:after="0" w:line="17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In general, the Company utilizes the Discounted Cash Flow (“DCF”) method or the Weighted-Average Remaining Maturity (“WARM”) methodology to estimate the quantitative portion of the ACL for loan pools. The DCF method uses a loss driver analysis (“LDA”) and DCF analyses. Management engaged advisors and consultants with expertise in CECL model development to assist in development of a LDA based on regression models and supportable forecast. Peer group data obtained from FFIEC Call Report filings is used to inform regression analyses to quantify the impact of reasonable and supportable forecasts in projective models. Economic forecasts applied to regression models to estimate probability of default for loan receivables use at least one of the following economic indicators: civilian unemployment rate (national), real gross domestic product growth (national GDP) or the House Price Index (“HPI”). For each of the segments in which the WARM methodology is used, the long-term average loss rate is calculated and applied on a quarterly basis for the remaining life of the pool. Adjustments for economic expectations are made through qualitative factors.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Qualitative factors (“Q-Factors”) used in the ACL methodology include:</w:t>
      </w:r>
    </w:p>
    <w:p>
      <w:pPr>
        <w:spacing w:after="0" w:line="159" w:lineRule="exact"/>
        <w:rPr>
          <w:sz w:val="20"/>
          <w:szCs w:val="20"/>
          <w:color w:val="auto"/>
        </w:rPr>
      </w:pP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lending policies, procedures, and strategies</w:t>
      </w:r>
    </w:p>
    <w:p>
      <w:pPr>
        <w:spacing w:after="0" w:line="23" w:lineRule="exact"/>
        <w:rPr>
          <w:rFonts w:ascii="Arial" w:cs="Arial" w:eastAsia="Arial" w:hAnsi="Arial"/>
          <w:sz w:val="14"/>
          <w:szCs w:val="14"/>
          <w:color w:val="auto"/>
        </w:rPr>
      </w:pP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international, national, regional, and local economic conditions</w:t>
      </w: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nature and volume of the portfolio</w:t>
      </w: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the volume and severity of past due loans and other similar conditions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Concentration risk</w:t>
      </w: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the value of underlying collateral</w:t>
      </w: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effect of other external factors: e.g., competition, legal, and regulatory requirements</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Changes in lending management, among others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3"/>
          <w:szCs w:val="13"/>
          <w:color w:val="auto"/>
        </w:rPr>
        <w:t>Changes in the ACL for the three and nine months ended September 30, 2025 and 2024 were as follows (in thousands):</w:t>
      </w:r>
    </w:p>
    <w:p>
      <w:pPr>
        <w:spacing w:after="0" w:line="28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Commercial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49"/>
        </w:trPr>
        <w:tc>
          <w:tcPr>
            <w:tcW w:w="2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Residential</w:t>
            </w:r>
          </w:p>
        </w:tc>
        <w:tc>
          <w:tcPr>
            <w:tcW w:w="6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Commercial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ind w:right="216"/>
              <w:spacing w:after="0"/>
              <w:rPr>
                <w:sz w:val="20"/>
                <w:szCs w:val="20"/>
                <w:color w:val="auto"/>
              </w:rPr>
            </w:pPr>
            <w:r>
              <w:rPr>
                <w:rFonts w:ascii="Arial" w:cs="Arial" w:eastAsia="Arial" w:hAnsi="Arial"/>
                <w:sz w:val="13"/>
                <w:szCs w:val="13"/>
                <w:b w:val="1"/>
                <w:bCs w:val="1"/>
                <w:color w:val="auto"/>
              </w:rPr>
              <w:t>and</w:t>
            </w:r>
          </w:p>
        </w:tc>
        <w:tc>
          <w:tcPr>
            <w:tcW w:w="60" w:type="dxa"/>
            <w:vAlign w:val="bottom"/>
          </w:tcPr>
          <w:p>
            <w:pPr>
              <w:spacing w:after="0"/>
              <w:rPr>
                <w:sz w:val="12"/>
                <w:szCs w:val="12"/>
                <w:color w:val="auto"/>
              </w:rPr>
            </w:pPr>
          </w:p>
        </w:tc>
        <w:tc>
          <w:tcPr>
            <w:tcW w:w="980" w:type="dxa"/>
            <w:vAlign w:val="bottom"/>
            <w:gridSpan w:val="4"/>
          </w:tcPr>
          <w:p>
            <w:pPr>
              <w:ind w:left="40"/>
              <w:spacing w:after="0"/>
              <w:rPr>
                <w:sz w:val="20"/>
                <w:szCs w:val="20"/>
                <w:color w:val="auto"/>
              </w:rPr>
            </w:pPr>
            <w:r>
              <w:rPr>
                <w:rFonts w:ascii="Arial" w:cs="Arial" w:eastAsia="Arial" w:hAnsi="Arial"/>
                <w:sz w:val="13"/>
                <w:szCs w:val="13"/>
                <w:b w:val="1"/>
                <w:bCs w:val="1"/>
                <w:color w:val="auto"/>
                <w:w w:val="98"/>
              </w:rPr>
              <w:t>Correspondent</w:t>
            </w:r>
          </w:p>
        </w:tc>
        <w:tc>
          <w:tcPr>
            <w:tcW w:w="6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b w:val="1"/>
                <w:bCs w:val="1"/>
                <w:color w:val="auto"/>
              </w:rPr>
              <w:t>Consumer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Real Estate</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Real Estate</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w w:val="95"/>
              </w:rPr>
              <w:t>Industrial</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Banks</w:t>
            </w: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and Other</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Total</w:t>
            </w:r>
          </w:p>
        </w:tc>
      </w:tr>
      <w:tr>
        <w:trPr>
          <w:trHeight w:val="15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Three Months Ended September 30,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1"/>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2025</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r>
      <w:tr>
        <w:trPr>
          <w:trHeight w:val="171"/>
        </w:trPr>
        <w:tc>
          <w:tcPr>
            <w:tcW w:w="2520" w:type="dxa"/>
            <w:vAlign w:val="bottom"/>
          </w:tcPr>
          <w:p>
            <w:pPr>
              <w:ind w:left="40"/>
              <w:spacing w:after="0"/>
              <w:rPr>
                <w:sz w:val="20"/>
                <w:szCs w:val="20"/>
                <w:color w:val="auto"/>
              </w:rPr>
            </w:pPr>
            <w:r>
              <w:rPr>
                <w:rFonts w:ascii="Arial" w:cs="Arial" w:eastAsia="Arial" w:hAnsi="Arial"/>
                <w:sz w:val="13"/>
                <w:szCs w:val="13"/>
                <w:color w:val="auto"/>
              </w:rPr>
              <w:t>Beginning balance</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5,477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9,491</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4,508</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874</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
              <w:spacing w:after="0"/>
              <w:rPr>
                <w:sz w:val="20"/>
                <w:szCs w:val="20"/>
                <w:color w:val="auto"/>
              </w:rPr>
            </w:pPr>
            <w:r>
              <w:rPr>
                <w:rFonts w:ascii="Arial" w:cs="Arial" w:eastAsia="Arial" w:hAnsi="Arial"/>
                <w:sz w:val="13"/>
                <w:szCs w:val="13"/>
                <w:color w:val="auto"/>
              </w:rPr>
              <w:t>4,583</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24,933</w:t>
            </w:r>
          </w:p>
        </w:tc>
      </w:tr>
      <w:tr>
        <w:trPr>
          <w:trHeight w:val="192"/>
        </w:trPr>
        <w:tc>
          <w:tcPr>
            <w:tcW w:w="2520" w:type="dxa"/>
            <w:vAlign w:val="bottom"/>
            <w:shd w:val="clear" w:color="auto" w:fill="CCEEFF"/>
          </w:tcPr>
          <w:p>
            <w:pPr>
              <w:ind w:left="40"/>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544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71"/>
        </w:trPr>
        <w:tc>
          <w:tcPr>
            <w:tcW w:w="2520" w:type="dxa"/>
            <w:vAlign w:val="bottom"/>
          </w:tcPr>
          <w:p>
            <w:pPr>
              <w:ind w:left="40"/>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7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61"/>
        </w:trPr>
        <w:tc>
          <w:tcPr>
            <w:tcW w:w="2520" w:type="dxa"/>
            <w:vAlign w:val="bottom"/>
          </w:tcPr>
          <w:p>
            <w:pPr>
              <w:ind w:left="40"/>
              <w:spacing w:after="0"/>
              <w:rPr>
                <w:sz w:val="20"/>
                <w:szCs w:val="20"/>
                <w:color w:val="auto"/>
              </w:rPr>
            </w:pPr>
            <w:r>
              <w:rPr>
                <w:rFonts w:ascii="Arial" w:cs="Arial" w:eastAsia="Arial" w:hAnsi="Arial"/>
                <w:sz w:val="13"/>
                <w:szCs w:val="13"/>
                <w:color w:val="auto"/>
              </w:rPr>
              <w:t>Ending Balance</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6,026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9,389</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4,396</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829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
              <w:spacing w:after="0"/>
              <w:rPr>
                <w:sz w:val="20"/>
                <w:szCs w:val="20"/>
                <w:color w:val="auto"/>
              </w:rPr>
            </w:pPr>
            <w:r>
              <w:rPr>
                <w:rFonts w:ascii="Arial" w:cs="Arial" w:eastAsia="Arial" w:hAnsi="Arial"/>
                <w:sz w:val="13"/>
                <w:szCs w:val="13"/>
                <w:color w:val="auto"/>
              </w:rPr>
              <w:t>4,324</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24,964</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21"/>
        </w:trPr>
        <w:tc>
          <w:tcPr>
            <w:tcW w:w="2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7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w w:val="99"/>
              </w:rPr>
              <w:t>Nine Months Ended September 30, 2025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71"/>
        </w:trPr>
        <w:tc>
          <w:tcPr>
            <w:tcW w:w="2520" w:type="dxa"/>
            <w:vAlign w:val="bottom"/>
          </w:tcPr>
          <w:p>
            <w:pPr>
              <w:ind w:left="40"/>
              <w:spacing w:after="0"/>
              <w:rPr>
                <w:sz w:val="20"/>
                <w:szCs w:val="20"/>
                <w:color w:val="auto"/>
              </w:rPr>
            </w:pPr>
            <w:r>
              <w:rPr>
                <w:rFonts w:ascii="Arial" w:cs="Arial" w:eastAsia="Arial" w:hAnsi="Arial"/>
                <w:sz w:val="13"/>
                <w:szCs w:val="13"/>
                <w:color w:val="auto"/>
              </w:rPr>
              <w:t>Beginning balance</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5,121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8,788</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4,633</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654</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
              <w:spacing w:after="0"/>
              <w:rPr>
                <w:sz w:val="20"/>
                <w:szCs w:val="20"/>
                <w:color w:val="auto"/>
              </w:rPr>
            </w:pPr>
            <w:r>
              <w:rPr>
                <w:rFonts w:ascii="Arial" w:cs="Arial" w:eastAsia="Arial" w:hAnsi="Arial"/>
                <w:sz w:val="13"/>
                <w:szCs w:val="13"/>
                <w:color w:val="auto"/>
              </w:rPr>
              <w:t>4,874</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24,070</w:t>
            </w:r>
          </w:p>
        </w:tc>
      </w:tr>
      <w:tr>
        <w:trPr>
          <w:trHeight w:val="192"/>
        </w:trPr>
        <w:tc>
          <w:tcPr>
            <w:tcW w:w="2520" w:type="dxa"/>
            <w:vAlign w:val="bottom"/>
            <w:shd w:val="clear" w:color="auto" w:fill="CCEEFF"/>
          </w:tcPr>
          <w:p>
            <w:pPr>
              <w:ind w:left="40"/>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888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175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w:t>
            </w:r>
          </w:p>
        </w:tc>
      </w:tr>
      <w:tr>
        <w:trPr>
          <w:trHeight w:val="171"/>
        </w:trPr>
        <w:tc>
          <w:tcPr>
            <w:tcW w:w="2520" w:type="dxa"/>
            <w:vAlign w:val="bottom"/>
          </w:tcPr>
          <w:p>
            <w:pPr>
              <w:ind w:left="40"/>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6"/>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7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(730)</w:t>
            </w:r>
          </w:p>
        </w:tc>
      </w:tr>
      <w:tr>
        <w:trPr>
          <w:trHeight w:val="161"/>
        </w:trPr>
        <w:tc>
          <w:tcPr>
            <w:tcW w:w="2520" w:type="dxa"/>
            <w:vAlign w:val="bottom"/>
          </w:tcPr>
          <w:p>
            <w:pPr>
              <w:ind w:left="40"/>
              <w:spacing w:after="0"/>
              <w:rPr>
                <w:sz w:val="20"/>
                <w:szCs w:val="20"/>
                <w:color w:val="auto"/>
              </w:rPr>
            </w:pPr>
            <w:r>
              <w:rPr>
                <w:rFonts w:ascii="Arial" w:cs="Arial" w:eastAsia="Arial" w:hAnsi="Arial"/>
                <w:sz w:val="13"/>
                <w:szCs w:val="13"/>
                <w:color w:val="auto"/>
              </w:rPr>
              <w:t>Ending Balance</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6,026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9,389</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4,396</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829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
              <w:spacing w:after="0"/>
              <w:rPr>
                <w:sz w:val="20"/>
                <w:szCs w:val="20"/>
                <w:color w:val="auto"/>
              </w:rPr>
            </w:pPr>
            <w:r>
              <w:rPr>
                <w:rFonts w:ascii="Arial" w:cs="Arial" w:eastAsia="Arial" w:hAnsi="Arial"/>
                <w:sz w:val="13"/>
                <w:szCs w:val="13"/>
                <w:color w:val="auto"/>
              </w:rPr>
              <w:t>4,324</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24,964</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 w:lineRule="exact"/>
        <w:rPr>
          <w:sz w:val="20"/>
          <w:szCs w:val="20"/>
          <w:color w:val="auto"/>
        </w:rPr>
      </w:pPr>
    </w:p>
    <w:p>
      <w:pPr>
        <w:ind w:left="700" w:right="739" w:hanging="5"/>
        <w:spacing w:after="0" w:line="269" w:lineRule="auto"/>
        <w:tabs>
          <w:tab w:leader="none" w:pos="892"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Provision for credit losses excludes a $80 thousand provision due to unfunded commitments included in accrued interest and other liabilities and a $2 thousand release related to investment securities held to maturity.</w:t>
      </w:r>
    </w:p>
    <w:p>
      <w:pPr>
        <w:spacing w:after="0" w:line="27" w:lineRule="exact"/>
        <w:rPr>
          <w:rFonts w:ascii="Arial" w:cs="Arial" w:eastAsia="Arial" w:hAnsi="Arial"/>
          <w:sz w:val="13"/>
          <w:szCs w:val="13"/>
          <w:color w:val="auto"/>
        </w:rPr>
      </w:pPr>
    </w:p>
    <w:p>
      <w:pPr>
        <w:ind w:left="700" w:right="999" w:hanging="5"/>
        <w:spacing w:after="0" w:line="269" w:lineRule="auto"/>
        <w:tabs>
          <w:tab w:leader="none" w:pos="892"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Provision for credit losses excludes a $224 thousand provision due to unfunded commitments included in accrued interest and other liabilities and a $1 thousand release related to investment securities held to maturity.</w:t>
      </w:r>
    </w:p>
    <w:p>
      <w:pPr>
        <w:spacing w:after="0" w:line="38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Commercial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49"/>
        </w:trPr>
        <w:tc>
          <w:tcPr>
            <w:tcW w:w="2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Residential</w:t>
            </w:r>
          </w:p>
        </w:tc>
        <w:tc>
          <w:tcPr>
            <w:tcW w:w="6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Commercial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ind w:right="56"/>
              <w:spacing w:after="0"/>
              <w:rPr>
                <w:sz w:val="20"/>
                <w:szCs w:val="20"/>
                <w:color w:val="auto"/>
              </w:rPr>
            </w:pPr>
            <w:r>
              <w:rPr>
                <w:rFonts w:ascii="Arial" w:cs="Arial" w:eastAsia="Arial" w:hAnsi="Arial"/>
                <w:sz w:val="13"/>
                <w:szCs w:val="13"/>
                <w:b w:val="1"/>
                <w:bCs w:val="1"/>
                <w:color w:val="auto"/>
                <w:w w:val="94"/>
              </w:rPr>
              <w:t>and</w:t>
            </w:r>
          </w:p>
        </w:tc>
        <w:tc>
          <w:tcPr>
            <w:tcW w:w="60" w:type="dxa"/>
            <w:vAlign w:val="bottom"/>
          </w:tcPr>
          <w:p>
            <w:pPr>
              <w:spacing w:after="0"/>
              <w:rPr>
                <w:sz w:val="12"/>
                <w:szCs w:val="12"/>
                <w:color w:val="auto"/>
              </w:rPr>
            </w:pPr>
          </w:p>
        </w:tc>
        <w:tc>
          <w:tcPr>
            <w:tcW w:w="980" w:type="dxa"/>
            <w:vAlign w:val="bottom"/>
            <w:gridSpan w:val="4"/>
          </w:tcPr>
          <w:p>
            <w:pPr>
              <w:jc w:val="right"/>
              <w:spacing w:after="0"/>
              <w:rPr>
                <w:sz w:val="20"/>
                <w:szCs w:val="20"/>
                <w:color w:val="auto"/>
              </w:rPr>
            </w:pPr>
            <w:r>
              <w:rPr>
                <w:rFonts w:ascii="Arial" w:cs="Arial" w:eastAsia="Arial" w:hAnsi="Arial"/>
                <w:sz w:val="13"/>
                <w:szCs w:val="13"/>
                <w:b w:val="1"/>
                <w:bCs w:val="1"/>
                <w:color w:val="auto"/>
              </w:rPr>
              <w:t>Correspondent</w:t>
            </w:r>
          </w:p>
        </w:tc>
        <w:tc>
          <w:tcPr>
            <w:tcW w:w="6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b w:val="1"/>
                <w:bCs w:val="1"/>
                <w:color w:val="auto"/>
              </w:rPr>
              <w:t>Consumer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Real Estate</w:t>
            </w:r>
          </w:p>
        </w:tc>
        <w:tc>
          <w:tcPr>
            <w:tcW w:w="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Real Estate</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center"/>
              <w:ind w:right="36"/>
              <w:spacing w:after="0"/>
              <w:rPr>
                <w:sz w:val="20"/>
                <w:szCs w:val="20"/>
                <w:color w:val="auto"/>
              </w:rPr>
            </w:pPr>
            <w:r>
              <w:rPr>
                <w:rFonts w:ascii="Arial" w:cs="Arial" w:eastAsia="Arial" w:hAnsi="Arial"/>
                <w:sz w:val="13"/>
                <w:szCs w:val="13"/>
                <w:b w:val="1"/>
                <w:bCs w:val="1"/>
                <w:color w:val="auto"/>
                <w:w w:val="99"/>
              </w:rPr>
              <w:t>Industrial</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Banks</w:t>
            </w: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and Other</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Total</w:t>
            </w:r>
          </w:p>
        </w:tc>
      </w:tr>
      <w:tr>
        <w:trPr>
          <w:trHeight w:val="15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Three Months Ended September 30,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51"/>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2024</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r>
      <w:tr>
        <w:trPr>
          <w:trHeight w:val="171"/>
        </w:trPr>
        <w:tc>
          <w:tcPr>
            <w:tcW w:w="2520" w:type="dxa"/>
            <w:vAlign w:val="bottom"/>
          </w:tcPr>
          <w:p>
            <w:pPr>
              <w:ind w:left="40"/>
              <w:spacing w:after="0"/>
              <w:rPr>
                <w:sz w:val="20"/>
                <w:szCs w:val="20"/>
                <w:color w:val="auto"/>
              </w:rPr>
            </w:pPr>
            <w:r>
              <w:rPr>
                <w:rFonts w:ascii="Arial" w:cs="Arial" w:eastAsia="Arial" w:hAnsi="Arial"/>
                <w:sz w:val="13"/>
                <w:szCs w:val="13"/>
                <w:color w:val="auto"/>
              </w:rPr>
              <w:t>Beginning balance</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3,193</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10,272</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4,747</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892</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3,126</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22,230</w:t>
            </w:r>
          </w:p>
        </w:tc>
      </w:tr>
      <w:tr>
        <w:trPr>
          <w:trHeight w:val="192"/>
        </w:trPr>
        <w:tc>
          <w:tcPr>
            <w:tcW w:w="2520" w:type="dxa"/>
            <w:vAlign w:val="bottom"/>
            <w:shd w:val="clear" w:color="auto" w:fill="CCEEFF"/>
          </w:tcPr>
          <w:p>
            <w:pPr>
              <w:ind w:left="40"/>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760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831</w:t>
            </w:r>
          </w:p>
        </w:tc>
      </w:tr>
      <w:tr>
        <w:trPr>
          <w:trHeight w:val="171"/>
        </w:trPr>
        <w:tc>
          <w:tcPr>
            <w:tcW w:w="2520" w:type="dxa"/>
            <w:vAlign w:val="bottom"/>
          </w:tcPr>
          <w:p>
            <w:pPr>
              <w:ind w:left="40"/>
              <w:spacing w:after="0"/>
              <w:rPr>
                <w:sz w:val="20"/>
                <w:szCs w:val="20"/>
                <w:color w:val="auto"/>
              </w:rPr>
            </w:pPr>
            <w:r>
              <w:rPr>
                <w:rFonts w:ascii="Arial" w:cs="Arial" w:eastAsia="Arial" w:hAnsi="Arial"/>
                <w:sz w:val="13"/>
                <w:szCs w:val="13"/>
                <w:color w:val="auto"/>
              </w:rPr>
              <w:t>Recoveries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7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201"/>
        </w:trPr>
        <w:tc>
          <w:tcPr>
            <w:tcW w:w="2520" w:type="dxa"/>
            <w:vAlign w:val="bottom"/>
          </w:tcPr>
          <w:p>
            <w:pPr>
              <w:ind w:left="40"/>
              <w:spacing w:after="0"/>
              <w:rPr>
                <w:sz w:val="20"/>
                <w:szCs w:val="20"/>
                <w:color w:val="auto"/>
              </w:rPr>
            </w:pPr>
            <w:r>
              <w:rPr>
                <w:rFonts w:ascii="Arial" w:cs="Arial" w:eastAsia="Arial" w:hAnsi="Arial"/>
                <w:sz w:val="13"/>
                <w:szCs w:val="13"/>
                <w:color w:val="auto"/>
              </w:rPr>
              <w:t>Ending Balance</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3,955</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10,186</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4,661</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823</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3,442</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6"/>
              <w:spacing w:after="0"/>
              <w:rPr>
                <w:sz w:val="20"/>
                <w:szCs w:val="20"/>
                <w:color w:val="auto"/>
              </w:rPr>
            </w:pPr>
            <w:r>
              <w:rPr>
                <w:rFonts w:ascii="Arial" w:cs="Arial" w:eastAsia="Arial" w:hAnsi="Arial"/>
                <w:sz w:val="13"/>
                <w:szCs w:val="13"/>
                <w:color w:val="auto"/>
              </w:rPr>
              <w:t>23,067</w:t>
            </w:r>
          </w:p>
        </w:tc>
      </w:tr>
      <w:tr>
        <w:trPr>
          <w:trHeight w:val="121"/>
        </w:trPr>
        <w:tc>
          <w:tcPr>
            <w:tcW w:w="25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r>
      <w:tr>
        <w:trPr>
          <w:trHeight w:val="171"/>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w w:val="99"/>
              </w:rPr>
              <w:t>Nine Months Ended September 30, 2024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Beginning balance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2,695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911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21,084</w:t>
            </w:r>
          </w:p>
        </w:tc>
      </w:tr>
      <w:tr>
        <w:trPr>
          <w:trHeight w:val="192"/>
        </w:trPr>
        <w:tc>
          <w:tcPr>
            <w:tcW w:w="2520" w:type="dxa"/>
            <w:vAlign w:val="bottom"/>
          </w:tcPr>
          <w:p>
            <w:pPr>
              <w:ind w:left="40"/>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1,252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(180)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666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(88)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318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1,968</w:t>
            </w:r>
          </w:p>
        </w:tc>
      </w:tr>
      <w:tr>
        <w:trPr>
          <w:trHeight w:val="17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Recoveries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32</w:t>
            </w:r>
          </w:p>
        </w:tc>
      </w:tr>
      <w:tr>
        <w:trPr>
          <w:trHeight w:val="171"/>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(17)</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161"/>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Ending Balance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3,955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823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23,067</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5"/>
        </w:trPr>
        <w:tc>
          <w:tcPr>
            <w:tcW w:w="2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r>
    </w:tbl>
    <w:p>
      <w:pPr>
        <w:spacing w:after="0" w:line="22" w:lineRule="exact"/>
        <w:rPr>
          <w:sz w:val="20"/>
          <w:szCs w:val="20"/>
          <w:color w:val="auto"/>
        </w:rPr>
      </w:pPr>
    </w:p>
    <w:p>
      <w:pPr>
        <w:ind w:left="700" w:right="999" w:hanging="5"/>
        <w:spacing w:after="0" w:line="269" w:lineRule="auto"/>
        <w:tabs>
          <w:tab w:leader="none" w:pos="892"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Provision for credit losses excludes a $101 thousand provision due to unfunded commitments included in accrued interest and other liabilities and a $1 thousand release related to investment securities held to maturity.</w:t>
      </w:r>
    </w:p>
    <w:p>
      <w:pPr>
        <w:spacing w:after="0" w:line="16" w:lineRule="exact"/>
        <w:rPr>
          <w:rFonts w:ascii="Arial" w:cs="Arial" w:eastAsia="Arial" w:hAnsi="Arial"/>
          <w:sz w:val="13"/>
          <w:szCs w:val="13"/>
          <w:color w:val="auto"/>
        </w:rPr>
      </w:pPr>
    </w:p>
    <w:p>
      <w:pPr>
        <w:ind w:left="700" w:right="999" w:hanging="5"/>
        <w:spacing w:after="0" w:line="269" w:lineRule="auto"/>
        <w:tabs>
          <w:tab w:leader="none" w:pos="892"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Provision for credit losses excludes a $159 thousand provision due to unfunded commitments included in accrued interest and other liabilities.</w:t>
      </w:r>
    </w:p>
    <w:p>
      <w:pPr>
        <w:spacing w:after="0" w:line="291"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At September 30, 2025, the ACL for loans was $ 25.0 million compared to $24.1 million at December 31, 2024. The increase of $894 thousand in the ACL was due to loan growth.</w:t>
      </w:r>
    </w:p>
    <w:p>
      <w:pPr>
        <w:spacing w:after="0" w:line="12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Charge offs related to loans for the three months ended September 30, 2025 were $ 7 thousand originated in 2025. Charge offs for the nine months ended September 30, 2025 were $ 709 thousand originated in 2022 and $21 thousand originated in 2025.</w:t>
      </w:r>
    </w:p>
    <w:p>
      <w:pPr>
        <w:spacing w:after="0" w:line="200" w:lineRule="exact"/>
        <w:rPr>
          <w:sz w:val="20"/>
          <w:szCs w:val="20"/>
          <w:color w:val="auto"/>
        </w:rPr>
      </w:pPr>
    </w:p>
    <w:p>
      <w:pPr>
        <w:spacing w:after="0" w:line="31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13" w:name="page14"/>
    <w:bookmarkEnd w:id="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Charge-offs for the three months ended September 30, 2024 totaled $7 thousand and were all originated in 2024.</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Charge-offs for the nine months ended September 30, 2024 totaled $17 thousand and were all originated in 2024.</w:t>
      </w:r>
    </w:p>
    <w:p>
      <w:pPr>
        <w:spacing w:after="0" w:line="156"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ACL and the outstanding balances in the specified loan categories as of September 30, 2025 and December 31, 2024 are as follows (in thousands):</w:t>
      </w: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Residential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4"/>
              </w:rPr>
              <w:t>Commercial</w:t>
            </w:r>
          </w:p>
        </w:tc>
        <w:tc>
          <w:tcPr>
            <w:tcW w:w="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Correspondent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6"/>
              </w:rPr>
              <w:t>Consumer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Real Estate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3"/>
                <w:szCs w:val="13"/>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and Industrial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3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4"/>
              </w:rPr>
              <w:t>and Other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0"/>
        </w:trPr>
        <w:tc>
          <w:tcPr>
            <w:tcW w:w="2280" w:type="dxa"/>
            <w:vAlign w:val="bottom"/>
            <w:tcBorders>
              <w:top w:val="single" w:sz="8" w:color="CCEEFF"/>
            </w:tcBorders>
            <w:gridSpan w:val="2"/>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September 30, 2025:</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Borders>
              <w:left w:val="single" w:sz="8" w:color="CCEEFF"/>
            </w:tcBorders>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28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Individually evaluated</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40" w:type="dxa"/>
            <w:vAlign w:val="bottom"/>
            <w:tcBorders>
              <w:left w:val="single" w:sz="8" w:color="CCEEFF"/>
            </w:tcBorders>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53</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Collectively evaluated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5,994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3"/>
                <w:szCs w:val="13"/>
                <w:color w:val="auto"/>
              </w:rPr>
              <w:t>9,389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4,343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829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4,324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24,879</w:t>
            </w:r>
          </w:p>
        </w:tc>
        <w:tc>
          <w:tcPr>
            <w:tcW w:w="0" w:type="dxa"/>
            <w:vAlign w:val="bottom"/>
          </w:tcPr>
          <w:p>
            <w:pPr>
              <w:spacing w:after="0"/>
              <w:rPr>
                <w:sz w:val="1"/>
                <w:szCs w:val="1"/>
                <w:color w:val="auto"/>
              </w:rPr>
            </w:pPr>
          </w:p>
        </w:tc>
      </w:tr>
      <w:tr>
        <w:trPr>
          <w:trHeight w:val="140"/>
        </w:trPr>
        <w:tc>
          <w:tcPr>
            <w:tcW w:w="100" w:type="dxa"/>
            <w:vAlign w:val="bottom"/>
            <w:tcBorders>
              <w:top w:val="single" w:sz="8" w:color="CCEEFF"/>
            </w:tcBorders>
            <w:shd w:val="clear" w:color="auto" w:fill="CCEEFF"/>
          </w:tcPr>
          <w:p>
            <w:pPr>
              <w:spacing w:after="0"/>
              <w:rPr>
                <w:sz w:val="12"/>
                <w:szCs w:val="12"/>
                <w:color w:val="auto"/>
              </w:rPr>
            </w:pPr>
          </w:p>
        </w:tc>
        <w:tc>
          <w:tcPr>
            <w:tcW w:w="21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Balances, end of period</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6,026</w:t>
            </w:r>
          </w:p>
        </w:tc>
        <w:tc>
          <w:tcPr>
            <w:tcW w:w="40" w:type="dxa"/>
            <w:vAlign w:val="bottom"/>
            <w:tcBorders>
              <w:left w:val="single" w:sz="8" w:color="CCEEFF"/>
            </w:tcBorders>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gridSpan w:val="3"/>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9,389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4,396</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829</w:t>
            </w:r>
          </w:p>
        </w:tc>
        <w:tc>
          <w:tcPr>
            <w:tcW w:w="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gridSpan w:val="3"/>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4,324</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24,964</w:t>
            </w:r>
          </w:p>
        </w:tc>
        <w:tc>
          <w:tcPr>
            <w:tcW w:w="0" w:type="dxa"/>
            <w:vAlign w:val="bottom"/>
          </w:tcPr>
          <w:p>
            <w:pPr>
              <w:spacing w:after="0"/>
              <w:rPr>
                <w:sz w:val="1"/>
                <w:szCs w:val="1"/>
                <w:color w:val="auto"/>
              </w:rPr>
            </w:pPr>
          </w:p>
        </w:tc>
      </w:tr>
      <w:tr>
        <w:trPr>
          <w:trHeight w:val="20"/>
        </w:trPr>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28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Loans:</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tcBorders>
              <w:left w:val="single" w:sz="8" w:color="CCEEFF"/>
            </w:tcBorders>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3,761</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1,005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4,766</w:t>
            </w:r>
          </w:p>
        </w:tc>
        <w:tc>
          <w:tcPr>
            <w:tcW w:w="0" w:type="dxa"/>
            <w:vAlign w:val="bottom"/>
          </w:tcPr>
          <w:p>
            <w:pPr>
              <w:spacing w:after="0"/>
              <w:rPr>
                <w:sz w:val="1"/>
                <w:szCs w:val="1"/>
                <w:color w:val="auto"/>
              </w:rPr>
            </w:pP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Collectively evaluated</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312,796</w:t>
            </w:r>
          </w:p>
        </w:tc>
        <w:tc>
          <w:tcPr>
            <w:tcW w:w="40" w:type="dxa"/>
            <w:vAlign w:val="bottom"/>
            <w:tcBorders>
              <w:left w:val="single" w:sz="8" w:color="CCEEFF"/>
            </w:tcBorders>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1,226,121</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268,425</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104,598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207,939</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2,119,879</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ind w:left="100"/>
              <w:spacing w:after="0"/>
              <w:rPr>
                <w:sz w:val="20"/>
                <w:szCs w:val="20"/>
                <w:color w:val="auto"/>
              </w:rPr>
            </w:pPr>
            <w:r>
              <w:rPr>
                <w:rFonts w:ascii="Arial" w:cs="Arial" w:eastAsia="Arial" w:hAnsi="Arial"/>
                <w:sz w:val="13"/>
                <w:szCs w:val="13"/>
                <w:color w:val="auto"/>
              </w:rPr>
              <w:t>Balances, end of period</w:t>
            </w:r>
          </w:p>
        </w:tc>
        <w:tc>
          <w:tcPr>
            <w:tcW w:w="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gridSpan w:val="2"/>
            <w:vMerge w:val="continue"/>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316,557</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4"/>
          </w:tcPr>
          <w:p>
            <w:pPr>
              <w:jc w:val="right"/>
              <w:ind w:right="60"/>
              <w:spacing w:after="0"/>
              <w:rPr>
                <w:sz w:val="20"/>
                <w:szCs w:val="20"/>
                <w:color w:val="auto"/>
              </w:rPr>
            </w:pPr>
            <w:r>
              <w:rPr>
                <w:rFonts w:ascii="Arial" w:cs="Arial" w:eastAsia="Arial" w:hAnsi="Arial"/>
                <w:sz w:val="13"/>
                <w:szCs w:val="13"/>
                <w:color w:val="auto"/>
              </w:rPr>
              <w:t>1,226,121</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269,430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104,598</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207,939</w:t>
            </w:r>
          </w:p>
        </w:tc>
        <w:tc>
          <w:tcPr>
            <w:tcW w:w="1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2,124,645</w:t>
            </w:r>
          </w:p>
        </w:tc>
        <w:tc>
          <w:tcPr>
            <w:tcW w:w="0" w:type="dxa"/>
            <w:vAlign w:val="bottom"/>
          </w:tcPr>
          <w:p>
            <w:pPr>
              <w:spacing w:after="0"/>
              <w:rPr>
                <w:sz w:val="1"/>
                <w:szCs w:val="1"/>
                <w:color w:val="auto"/>
              </w:rPr>
            </w:pPr>
          </w:p>
        </w:tc>
      </w:tr>
      <w:tr>
        <w:trPr>
          <w:trHeight w:val="111"/>
        </w:trPr>
        <w:tc>
          <w:tcPr>
            <w:tcW w:w="228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40" w:type="dxa"/>
            <w:vAlign w:val="bottom"/>
            <w:tcBorders>
              <w:left w:val="single" w:sz="8" w:color="CCEEFF"/>
            </w:tcBorders>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December 31, 2024: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tcBorders>
              <w:left w:val="single" w:sz="8" w:color="CCEEFF"/>
            </w:tcBorders>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Individually evaluated</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40</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27</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651</w:t>
            </w:r>
          </w:p>
        </w:tc>
        <w:tc>
          <w:tcPr>
            <w:tcW w:w="1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718</w:t>
            </w:r>
          </w:p>
        </w:tc>
        <w:tc>
          <w:tcPr>
            <w:tcW w:w="0" w:type="dxa"/>
            <w:vAlign w:val="bottom"/>
          </w:tcPr>
          <w:p>
            <w:pPr>
              <w:spacing w:after="0"/>
              <w:rPr>
                <w:sz w:val="1"/>
                <w:szCs w:val="1"/>
                <w:color w:val="auto"/>
              </w:rPr>
            </w:pPr>
          </w:p>
        </w:tc>
      </w:tr>
      <w:tr>
        <w:trPr>
          <w:trHeight w:val="151"/>
        </w:trPr>
        <w:tc>
          <w:tcPr>
            <w:tcW w:w="10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Collectively evaluated</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5,081</w:t>
            </w:r>
          </w:p>
        </w:tc>
        <w:tc>
          <w:tcPr>
            <w:tcW w:w="40" w:type="dxa"/>
            <w:vAlign w:val="bottom"/>
            <w:tcBorders>
              <w:left w:val="single" w:sz="8" w:color="CCEEFF"/>
            </w:tcBorders>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8,788</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4,606</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4,223</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23,352</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ind w:left="100"/>
              <w:spacing w:after="0"/>
              <w:rPr>
                <w:sz w:val="20"/>
                <w:szCs w:val="20"/>
                <w:color w:val="auto"/>
              </w:rPr>
            </w:pPr>
            <w:r>
              <w:rPr>
                <w:rFonts w:ascii="Arial" w:cs="Arial" w:eastAsia="Arial" w:hAnsi="Arial"/>
                <w:sz w:val="13"/>
                <w:szCs w:val="13"/>
                <w:color w:val="auto"/>
              </w:rPr>
              <w:t>Balances, end of period</w:t>
            </w:r>
          </w:p>
        </w:tc>
        <w:tc>
          <w:tcPr>
            <w:tcW w:w="2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gridSpan w:val="2"/>
            <w:vMerge w:val="continue"/>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5,121</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4"/>
          </w:tcPr>
          <w:p>
            <w:pPr>
              <w:jc w:val="right"/>
              <w:ind w:right="60"/>
              <w:spacing w:after="0"/>
              <w:rPr>
                <w:sz w:val="20"/>
                <w:szCs w:val="20"/>
                <w:color w:val="auto"/>
              </w:rPr>
            </w:pPr>
            <w:r>
              <w:rPr>
                <w:rFonts w:ascii="Arial" w:cs="Arial" w:eastAsia="Arial" w:hAnsi="Arial"/>
                <w:sz w:val="13"/>
                <w:szCs w:val="13"/>
                <w:color w:val="auto"/>
              </w:rPr>
              <w:t>8,788</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4,633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654</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4,874</w:t>
            </w:r>
          </w:p>
        </w:tc>
        <w:tc>
          <w:tcPr>
            <w:tcW w:w="1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24,070</w:t>
            </w:r>
          </w:p>
        </w:tc>
        <w:tc>
          <w:tcPr>
            <w:tcW w:w="0" w:type="dxa"/>
            <w:vAlign w:val="bottom"/>
          </w:tcPr>
          <w:p>
            <w:pPr>
              <w:spacing w:after="0"/>
              <w:rPr>
                <w:sz w:val="1"/>
                <w:szCs w:val="1"/>
                <w:color w:val="auto"/>
              </w:rPr>
            </w:pPr>
          </w:p>
        </w:tc>
      </w:tr>
      <w:tr>
        <w:trPr>
          <w:trHeight w:val="111"/>
        </w:trPr>
        <w:tc>
          <w:tcPr>
            <w:tcW w:w="228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40" w:type="dxa"/>
            <w:vAlign w:val="bottom"/>
            <w:tcBorders>
              <w:left w:val="single" w:sz="8" w:color="CCEEFF"/>
            </w:tcBorders>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280" w:type="dxa"/>
            <w:vAlign w:val="bottom"/>
            <w:gridSpan w:val="2"/>
          </w:tcPr>
          <w:p>
            <w:pPr>
              <w:spacing w:after="0"/>
              <w:rPr>
                <w:sz w:val="20"/>
                <w:szCs w:val="20"/>
                <w:color w:val="auto"/>
              </w:rPr>
            </w:pPr>
            <w:r>
              <w:rPr>
                <w:rFonts w:ascii="Arial" w:cs="Arial" w:eastAsia="Arial" w:hAnsi="Arial"/>
                <w:sz w:val="13"/>
                <w:szCs w:val="13"/>
                <w:color w:val="auto"/>
              </w:rPr>
              <w:t>Loans: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Individually evaluated</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6,788</w:t>
            </w:r>
          </w:p>
        </w:tc>
        <w:tc>
          <w:tcPr>
            <w:tcW w:w="40" w:type="dxa"/>
            <w:vAlign w:val="bottom"/>
            <w:tcBorders>
              <w:left w:val="single" w:sz="8" w:color="CCEEFF"/>
            </w:tcBorders>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690</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1,990</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9,468</w:t>
            </w:r>
          </w:p>
        </w:tc>
        <w:tc>
          <w:tcPr>
            <w:tcW w:w="0" w:type="dxa"/>
            <w:vAlign w:val="bottom"/>
          </w:tcPr>
          <w:p>
            <w:pPr>
              <w:spacing w:after="0"/>
              <w:rPr>
                <w:sz w:val="1"/>
                <w:szCs w:val="1"/>
                <w:color w:val="auto"/>
              </w:rPr>
            </w:pPr>
          </w:p>
        </w:tc>
      </w:tr>
      <w:tr>
        <w:trPr>
          <w:trHeight w:val="171"/>
        </w:trPr>
        <w:tc>
          <w:tcPr>
            <w:tcW w:w="2280" w:type="dxa"/>
            <w:vAlign w:val="bottom"/>
            <w:gridSpan w:val="2"/>
          </w:tcPr>
          <w:p>
            <w:pPr>
              <w:ind w:left="100"/>
              <w:spacing w:after="0"/>
              <w:rPr>
                <w:sz w:val="20"/>
                <w:szCs w:val="20"/>
                <w:color w:val="auto"/>
              </w:rPr>
            </w:pPr>
            <w:r>
              <w:rPr>
                <w:rFonts w:ascii="Arial" w:cs="Arial" w:eastAsia="Arial" w:hAnsi="Arial"/>
                <w:sz w:val="13"/>
                <w:szCs w:val="13"/>
                <w:color w:val="auto"/>
              </w:rPr>
              <w:t>Collectively evaluated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283,173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3"/>
                <w:szCs w:val="13"/>
                <w:color w:val="auto"/>
              </w:rPr>
              <w:t>1,136,417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257,621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82,438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3"/>
                <w:szCs w:val="13"/>
                <w:color w:val="auto"/>
              </w:rPr>
              <w:t>196,101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1,955,750</w:t>
            </w:r>
          </w:p>
        </w:tc>
        <w:tc>
          <w:tcPr>
            <w:tcW w:w="0" w:type="dxa"/>
            <w:vAlign w:val="bottom"/>
          </w:tcPr>
          <w:p>
            <w:pPr>
              <w:spacing w:after="0"/>
              <w:rPr>
                <w:sz w:val="1"/>
                <w:szCs w:val="1"/>
                <w:color w:val="auto"/>
              </w:rPr>
            </w:pPr>
          </w:p>
        </w:tc>
      </w:tr>
      <w:tr>
        <w:trPr>
          <w:trHeight w:val="151"/>
        </w:trPr>
        <w:tc>
          <w:tcPr>
            <w:tcW w:w="100" w:type="dxa"/>
            <w:vAlign w:val="bottom"/>
            <w:tcBorders>
              <w:top w:val="single" w:sz="8" w:color="CCEEFF"/>
            </w:tcBorders>
            <w:shd w:val="clear" w:color="auto" w:fill="CCEEFF"/>
          </w:tcPr>
          <w:p>
            <w:pPr>
              <w:spacing w:after="0"/>
              <w:rPr>
                <w:sz w:val="13"/>
                <w:szCs w:val="13"/>
                <w:color w:val="auto"/>
              </w:rPr>
            </w:pPr>
          </w:p>
        </w:tc>
        <w:tc>
          <w:tcPr>
            <w:tcW w:w="21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Balances, end of period</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289,961</w:t>
            </w:r>
          </w:p>
        </w:tc>
        <w:tc>
          <w:tcPr>
            <w:tcW w:w="40" w:type="dxa"/>
            <w:vAlign w:val="bottom"/>
            <w:tcBorders>
              <w:left w:val="single" w:sz="8" w:color="CCEEFF"/>
            </w:tcBorders>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1,136,417</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258,311</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82,438</w:t>
            </w: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198,091</w:t>
            </w: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shd w:val="clear" w:color="auto" w:fill="CCEEFF"/>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1,965,218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Credit Quality Indicators</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819"/>
        <w:spacing w:after="0" w:line="257"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4" w:lineRule="exact"/>
        <w:rPr>
          <w:sz w:val="20"/>
          <w:szCs w:val="20"/>
          <w:color w:val="auto"/>
        </w:rPr>
      </w:pPr>
    </w:p>
    <w:p>
      <w:pPr>
        <w:jc w:val="both"/>
        <w:ind w:left="1180" w:right="819"/>
        <w:spacing w:after="0" w:line="256"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5" w:lineRule="exact"/>
        <w:rPr>
          <w:sz w:val="20"/>
          <w:szCs w:val="20"/>
          <w:color w:val="auto"/>
        </w:rPr>
      </w:pPr>
    </w:p>
    <w:p>
      <w:pPr>
        <w:jc w:val="both"/>
        <w:ind w:left="1180" w:right="719"/>
        <w:spacing w:after="0" w:line="257"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14" w:name="page15"/>
    <w:bookmarkEnd w:id="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3"/>
                <w:szCs w:val="13"/>
                <w:b w:val="1"/>
                <w:bCs w:val="1"/>
                <w:color w:val="auto"/>
                <w:w w:val="99"/>
              </w:rPr>
              <w:t>As of September 30, 2025</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225"/>
        </w:trPr>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11"/>
          </w:tcPr>
          <w:p>
            <w:pPr>
              <w:jc w:val="right"/>
              <w:ind w:right="40"/>
              <w:spacing w:after="0"/>
              <w:rPr>
                <w:sz w:val="20"/>
                <w:szCs w:val="20"/>
                <w:color w:val="auto"/>
              </w:rPr>
            </w:pPr>
            <w:r>
              <w:rPr>
                <w:rFonts w:ascii="Arial" w:cs="Arial" w:eastAsia="Arial" w:hAnsi="Arial"/>
                <w:sz w:val="13"/>
                <w:szCs w:val="13"/>
                <w:b w:val="1"/>
                <w:bCs w:val="1"/>
                <w:color w:val="auto"/>
              </w:rPr>
              <w:t>Term Loans by Origination Year</w:t>
            </w: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5"/>
        </w:trPr>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b w:val="1"/>
                <w:bCs w:val="1"/>
                <w:color w:val="auto"/>
                <w:w w:val="93"/>
              </w:rPr>
              <w:t>Revolving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60"/>
        </w:trPr>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2024</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Prior</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Total</w:t>
            </w:r>
          </w:p>
        </w:tc>
      </w:tr>
      <w:tr>
        <w:trPr>
          <w:trHeight w:val="151"/>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71"/>
        </w:trPr>
        <w:tc>
          <w:tcPr>
            <w:tcW w:w="140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61,481</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95,490</w:t>
            </w:r>
          </w:p>
        </w:tc>
        <w:tc>
          <w:tcPr>
            <w:tcW w:w="20" w:type="dxa"/>
            <w:vAlign w:val="bottom"/>
          </w:tcPr>
          <w:p>
            <w:pPr>
              <w:spacing w:after="0"/>
              <w:rPr>
                <w:sz w:val="14"/>
                <w:szCs w:val="14"/>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33,220</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25,812</w:t>
            </w:r>
          </w:p>
        </w:tc>
        <w:tc>
          <w:tcPr>
            <w:tcW w:w="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21,418</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60,492</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16,032</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313,945</w:t>
            </w:r>
          </w:p>
        </w:tc>
      </w:tr>
      <w:tr>
        <w:trPr>
          <w:trHeight w:val="171"/>
        </w:trPr>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 Mention</w:t>
            </w:r>
          </w:p>
        </w:tc>
        <w:tc>
          <w:tcPr>
            <w:tcW w:w="12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1,468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2,060</w:t>
            </w:r>
          </w:p>
        </w:tc>
      </w:tr>
      <w:tr>
        <w:trPr>
          <w:trHeight w:val="171"/>
        </w:trPr>
        <w:tc>
          <w:tcPr>
            <w:tcW w:w="14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w:t>
            </w:r>
          </w:p>
        </w:tc>
      </w:tr>
      <w:tr>
        <w:trPr>
          <w:trHeight w:val="151"/>
        </w:trPr>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61,481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96,516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34,688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25,812</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60,610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16,032</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316,557</w:t>
            </w:r>
          </w:p>
        </w:tc>
      </w:tr>
      <w:tr>
        <w:trPr>
          <w:trHeight w:val="171"/>
        </w:trPr>
        <w:tc>
          <w:tcPr>
            <w:tcW w:w="20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0"/>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Commercial real estate</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71"/>
        </w:trPr>
        <w:tc>
          <w:tcPr>
            <w:tcW w:w="140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2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196,195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182,297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113,450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284,214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135,835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293,746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6,315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1,212,052</w:t>
            </w:r>
          </w:p>
        </w:tc>
      </w:tr>
      <w:tr>
        <w:trPr>
          <w:trHeight w:val="160"/>
        </w:trPr>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 Mention</w:t>
            </w:r>
          </w:p>
        </w:tc>
        <w:tc>
          <w:tcPr>
            <w:tcW w:w="12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8,474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11,656</w:t>
            </w:r>
          </w:p>
        </w:tc>
      </w:tr>
      <w:tr>
        <w:trPr>
          <w:trHeight w:val="160"/>
        </w:trPr>
        <w:tc>
          <w:tcPr>
            <w:tcW w:w="14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1,735</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678</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2,413</w:t>
            </w:r>
          </w:p>
        </w:tc>
      </w:tr>
      <w:tr>
        <w:trPr>
          <w:trHeight w:val="140"/>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196,195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182,297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shd w:val="clear" w:color="auto" w:fill="CCEEFF"/>
              </w:rPr>
              <w:t>121,924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284,214</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137,570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297,606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6,315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1,226,121</w:t>
            </w:r>
          </w:p>
        </w:tc>
      </w:tr>
      <w:tr>
        <w:trPr>
          <w:trHeight w:val="171"/>
        </w:trPr>
        <w:tc>
          <w:tcPr>
            <w:tcW w:w="20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9"/>
        </w:trPr>
        <w:tc>
          <w:tcPr>
            <w:tcW w:w="1400" w:type="dxa"/>
            <w:vAlign w:val="bottom"/>
            <w:gridSpan w:val="3"/>
            <w:shd w:val="clear" w:color="auto" w:fill="CCEEFF"/>
          </w:tcPr>
          <w:p>
            <w:pPr>
              <w:spacing w:after="0" w:line="139" w:lineRule="exact"/>
              <w:rPr>
                <w:sz w:val="20"/>
                <w:szCs w:val="20"/>
                <w:color w:val="auto"/>
              </w:rPr>
            </w:pPr>
            <w:r>
              <w:rPr>
                <w:rFonts w:ascii="Arial" w:cs="Arial" w:eastAsia="Arial" w:hAnsi="Arial"/>
                <w:sz w:val="13"/>
                <w:szCs w:val="13"/>
                <w:color w:val="auto"/>
              </w:rPr>
              <w:t>Commercial and</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81"/>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industrial</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60"/>
        </w:trPr>
        <w:tc>
          <w:tcPr>
            <w:tcW w:w="140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20" w:type="dxa"/>
            <w:vAlign w:val="bottom"/>
          </w:tcPr>
          <w:p>
            <w:pPr>
              <w:spacing w:after="0"/>
              <w:rPr>
                <w:sz w:val="13"/>
                <w:szCs w:val="1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34,112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64,047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72,949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32,776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28,646</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21,251</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266,801</w:t>
            </w:r>
          </w:p>
        </w:tc>
      </w:tr>
      <w:tr>
        <w:trPr>
          <w:trHeight w:val="160"/>
        </w:trPr>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 Mention</w:t>
            </w:r>
          </w:p>
        </w:tc>
        <w:tc>
          <w:tcPr>
            <w:tcW w:w="12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w:t>
            </w:r>
          </w:p>
        </w:tc>
      </w:tr>
      <w:tr>
        <w:trPr>
          <w:trHeight w:val="169"/>
        </w:trPr>
        <w:tc>
          <w:tcPr>
            <w:tcW w:w="14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Substandard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475</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1,693</w:t>
            </w:r>
          </w:p>
        </w:tc>
      </w:tr>
      <w:tr>
        <w:trPr>
          <w:trHeight w:val="141"/>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34,112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64,119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39" w:lineRule="exact"/>
              <w:rPr>
                <w:sz w:val="20"/>
                <w:szCs w:val="20"/>
                <w:color w:val="auto"/>
              </w:rPr>
            </w:pPr>
            <w:r>
              <w:rPr>
                <w:rFonts w:ascii="Arial" w:cs="Arial" w:eastAsia="Arial" w:hAnsi="Arial"/>
                <w:sz w:val="13"/>
                <w:szCs w:val="13"/>
                <w:color w:val="auto"/>
              </w:rPr>
              <w:t>72,949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32,776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29,970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13,778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21,726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269,430</w:t>
            </w:r>
          </w:p>
        </w:tc>
      </w:tr>
      <w:tr>
        <w:trPr>
          <w:trHeight w:val="160"/>
        </w:trPr>
        <w:tc>
          <w:tcPr>
            <w:tcW w:w="14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0"/>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Correspondent banks</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0"/>
        </w:trPr>
        <w:tc>
          <w:tcPr>
            <w:tcW w:w="14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98,192</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6,406</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104,598</w:t>
            </w:r>
          </w:p>
        </w:tc>
      </w:tr>
      <w:tr>
        <w:trPr>
          <w:trHeight w:val="140"/>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98,192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6,406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104,598</w:t>
            </w:r>
          </w:p>
        </w:tc>
      </w:tr>
      <w:tr>
        <w:trPr>
          <w:trHeight w:val="171"/>
        </w:trPr>
        <w:tc>
          <w:tcPr>
            <w:tcW w:w="140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0"/>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71"/>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loans</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0"/>
        </w:trPr>
        <w:tc>
          <w:tcPr>
            <w:tcW w:w="1400" w:type="dxa"/>
            <w:vAlign w:val="bottom"/>
            <w:tcBorders>
              <w:bottom w:val="single" w:sz="8" w:color="CCEEFF"/>
            </w:tcBorders>
            <w:gridSpan w:val="3"/>
          </w:tcPr>
          <w:p>
            <w:pPr>
              <w:ind w:left="100"/>
              <w:spacing w:after="0"/>
              <w:rPr>
                <w:sz w:val="20"/>
                <w:szCs w:val="20"/>
                <w:color w:val="auto"/>
              </w:rPr>
            </w:pPr>
            <w:r>
              <w:rPr>
                <w:rFonts w:ascii="Arial" w:cs="Arial" w:eastAsia="Arial" w:hAnsi="Arial"/>
                <w:sz w:val="13"/>
                <w:szCs w:val="13"/>
                <w:color w:val="auto"/>
              </w:rPr>
              <w:t>Pass</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auto"/>
              </w:rPr>
              <w:t>49,530</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37,792</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37,068</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54,155</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26,435</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1,133</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1,826</w:t>
            </w: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207,939</w:t>
            </w:r>
          </w:p>
        </w:tc>
      </w:tr>
      <w:tr>
        <w:trPr>
          <w:trHeight w:val="140"/>
        </w:trPr>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49,530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37,792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37,068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54,155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26,435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1,133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1,826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207,939</w:t>
            </w:r>
          </w:p>
        </w:tc>
      </w:tr>
      <w:tr>
        <w:trPr>
          <w:trHeight w:val="171"/>
        </w:trPr>
        <w:tc>
          <w:tcPr>
            <w:tcW w:w="140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0"/>
        </w:trPr>
        <w:tc>
          <w:tcPr>
            <w:tcW w:w="1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Loans</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0"/>
        </w:trPr>
        <w:tc>
          <w:tcPr>
            <w:tcW w:w="1400" w:type="dxa"/>
            <w:vAlign w:val="bottom"/>
            <w:gridSpan w:val="3"/>
          </w:tcPr>
          <w:p>
            <w:pPr>
              <w:ind w:left="100"/>
              <w:spacing w:after="0"/>
              <w:rPr>
                <w:sz w:val="20"/>
                <w:szCs w:val="20"/>
                <w:color w:val="auto"/>
              </w:rPr>
            </w:pPr>
            <w:r>
              <w:rPr>
                <w:rFonts w:ascii="Arial" w:cs="Arial" w:eastAsia="Arial" w:hAnsi="Arial"/>
                <w:sz w:val="13"/>
                <w:szCs w:val="13"/>
                <w:color w:val="auto"/>
              </w:rPr>
              <w:t>Pass</w:t>
            </w:r>
          </w:p>
        </w:tc>
        <w:tc>
          <w:tcPr>
            <w:tcW w:w="120" w:type="dxa"/>
            <w:vAlign w:val="bottom"/>
          </w:tcPr>
          <w:p>
            <w:pPr>
              <w:spacing w:after="0"/>
              <w:rPr>
                <w:sz w:val="13"/>
                <w:szCs w:val="1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439,510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386,032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256,687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396,957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212,334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368,391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45,424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2,105,335</w:t>
            </w:r>
          </w:p>
        </w:tc>
      </w:tr>
      <w:tr>
        <w:trPr>
          <w:trHeight w:val="160"/>
        </w:trPr>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Special Mention</w:t>
            </w:r>
          </w:p>
        </w:tc>
        <w:tc>
          <w:tcPr>
            <w:tcW w:w="12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9,942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14,652</w:t>
            </w:r>
          </w:p>
        </w:tc>
      </w:tr>
      <w:tr>
        <w:trPr>
          <w:trHeight w:val="169"/>
        </w:trPr>
        <w:tc>
          <w:tcPr>
            <w:tcW w:w="1400" w:type="dxa"/>
            <w:vAlign w:val="bottom"/>
            <w:gridSpan w:val="3"/>
          </w:tcPr>
          <w:p>
            <w:pPr>
              <w:ind w:left="100"/>
              <w:spacing w:after="0"/>
              <w:rPr>
                <w:sz w:val="20"/>
                <w:szCs w:val="20"/>
                <w:color w:val="auto"/>
              </w:rPr>
            </w:pPr>
            <w:r>
              <w:rPr>
                <w:rFonts w:ascii="Arial" w:cs="Arial" w:eastAsia="Arial" w:hAnsi="Arial"/>
                <w:sz w:val="13"/>
                <w:szCs w:val="13"/>
                <w:color w:val="auto"/>
              </w:rPr>
              <w:t>Substandard</w:t>
            </w:r>
          </w:p>
        </w:tc>
        <w:tc>
          <w:tcPr>
            <w:tcW w:w="12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2,195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4,658</w:t>
            </w:r>
          </w:p>
        </w:tc>
      </w:tr>
      <w:tr>
        <w:trPr>
          <w:trHeight w:val="161"/>
        </w:trPr>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Doubtful</w:t>
            </w: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line="148" w:lineRule="exact"/>
              <w:rPr>
                <w:sz w:val="20"/>
                <w:szCs w:val="20"/>
                <w:color w:val="auto"/>
              </w:rPr>
            </w:pPr>
            <w:r>
              <w:rPr>
                <w:rFonts w:ascii="Arial" w:cs="Arial" w:eastAsia="Arial" w:hAnsi="Arial"/>
                <w:sz w:val="13"/>
                <w:szCs w:val="13"/>
                <w:color w:val="auto"/>
              </w:rPr>
              <w:t>Total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color w:val="auto"/>
              </w:rPr>
              <w:t>439,510</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387,130</w:t>
            </w:r>
          </w:p>
        </w:tc>
        <w:tc>
          <w:tcPr>
            <w:tcW w:w="20" w:type="dxa"/>
            <w:vAlign w:val="bottom"/>
          </w:tcPr>
          <w:p>
            <w:pPr>
              <w:spacing w:after="0"/>
              <w:rPr>
                <w:sz w:val="13"/>
                <w:szCs w:val="13"/>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266,629</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396,957</w:t>
            </w:r>
          </w:p>
        </w:tc>
        <w:tc>
          <w:tcPr>
            <w:tcW w:w="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215,393</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373,127</w:t>
            </w:r>
          </w:p>
        </w:tc>
        <w:tc>
          <w:tcPr>
            <w:tcW w:w="1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45,899</w:t>
            </w:r>
          </w:p>
        </w:tc>
        <w:tc>
          <w:tcPr>
            <w:tcW w:w="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2,124,645</w:t>
            </w: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15" w:name="page16"/>
    <w:bookmarkEnd w:id="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w w:val="96"/>
              </w:rPr>
              <w:t>As of December 31, 2024</w:t>
            </w: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425"/>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0"/>
          </w:tcPr>
          <w:p>
            <w:pPr>
              <w:jc w:val="right"/>
              <w:spacing w:after="0"/>
              <w:rPr>
                <w:sz w:val="20"/>
                <w:szCs w:val="20"/>
                <w:color w:val="auto"/>
              </w:rPr>
            </w:pPr>
            <w:r>
              <w:rPr>
                <w:rFonts w:ascii="Arial" w:cs="Arial" w:eastAsia="Arial" w:hAnsi="Arial"/>
                <w:sz w:val="13"/>
                <w:szCs w:val="13"/>
                <w:b w:val="1"/>
                <w:bCs w:val="1"/>
                <w:color w:val="auto"/>
              </w:rPr>
              <w:t>Term Loans by Origination Year</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Revolving</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60"/>
        </w:trPr>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2024</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Prior</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Loans</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Total</w:t>
            </w:r>
          </w:p>
        </w:tc>
      </w:tr>
      <w:tr>
        <w:trPr>
          <w:trHeight w:val="151"/>
        </w:trPr>
        <w:tc>
          <w:tcPr>
            <w:tcW w:w="15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71"/>
        </w:trPr>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109,590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
              <w:spacing w:after="0"/>
              <w:rPr>
                <w:sz w:val="20"/>
                <w:szCs w:val="20"/>
                <w:color w:val="auto"/>
              </w:rPr>
            </w:pPr>
            <w:r>
              <w:rPr>
                <w:rFonts w:ascii="Arial" w:cs="Arial" w:eastAsia="Arial" w:hAnsi="Arial"/>
                <w:sz w:val="13"/>
                <w:szCs w:val="13"/>
                <w:color w:val="auto"/>
              </w:rPr>
              <w:t>39,666</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34,315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
              <w:spacing w:after="0"/>
              <w:rPr>
                <w:sz w:val="20"/>
                <w:szCs w:val="20"/>
                <w:color w:val="auto"/>
              </w:rPr>
            </w:pPr>
            <w:r>
              <w:rPr>
                <w:rFonts w:ascii="Arial" w:cs="Arial" w:eastAsia="Arial" w:hAnsi="Arial"/>
                <w:sz w:val="13"/>
                <w:szCs w:val="13"/>
                <w:color w:val="auto"/>
              </w:rPr>
              <w:t>23,039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5,791</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66,115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10,885</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289,401</w:t>
            </w:r>
          </w:p>
        </w:tc>
      </w:tr>
      <w:tr>
        <w:trPr>
          <w:trHeight w:val="171"/>
        </w:trPr>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560</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560</w:t>
            </w:r>
          </w:p>
        </w:tc>
      </w:tr>
      <w:tr>
        <w:trPr>
          <w:trHeight w:val="151"/>
        </w:trPr>
        <w:tc>
          <w:tcPr>
            <w:tcW w:w="120" w:type="dxa"/>
            <w:vAlign w:val="bottom"/>
          </w:tcPr>
          <w:p>
            <w:pPr>
              <w:spacing w:after="0"/>
              <w:rPr>
                <w:sz w:val="13"/>
                <w:szCs w:val="13"/>
                <w:color w:val="auto"/>
              </w:rPr>
            </w:pPr>
          </w:p>
        </w:tc>
        <w:tc>
          <w:tcPr>
            <w:tcW w:w="140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109,590</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39,666</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34,315</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23,039</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5,791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66,675</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10,885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289,961</w:t>
            </w:r>
          </w:p>
        </w:tc>
      </w:tr>
      <w:tr>
        <w:trPr>
          <w:trHeight w:val="17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9"/>
        </w:trPr>
        <w:tc>
          <w:tcPr>
            <w:tcW w:w="1520" w:type="dxa"/>
            <w:vAlign w:val="bottom"/>
            <w:gridSpan w:val="3"/>
          </w:tcPr>
          <w:p>
            <w:pPr>
              <w:ind w:left="40"/>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2"/>
        </w:trPr>
        <w:tc>
          <w:tcPr>
            <w:tcW w:w="12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175,023</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130,503</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317,971</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175,535</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98,695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231,558</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4,680</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1,133,965</w:t>
            </w:r>
          </w:p>
        </w:tc>
      </w:tr>
      <w:tr>
        <w:trPr>
          <w:trHeight w:val="171"/>
        </w:trPr>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1,765</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687</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2,452</w:t>
            </w:r>
          </w:p>
        </w:tc>
      </w:tr>
      <w:tr>
        <w:trPr>
          <w:trHeight w:val="151"/>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175,023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130,503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317,971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177,300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99,382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231,558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1,136,417</w:t>
            </w:r>
          </w:p>
        </w:tc>
      </w:tr>
      <w:tr>
        <w:trPr>
          <w:trHeight w:val="171"/>
        </w:trPr>
        <w:tc>
          <w:tcPr>
            <w:tcW w:w="120" w:type="dxa"/>
            <w:vAlign w:val="bottom"/>
          </w:tcPr>
          <w:p>
            <w:pPr>
              <w:spacing w:after="0"/>
              <w:rPr>
                <w:sz w:val="14"/>
                <w:szCs w:val="14"/>
                <w:color w:val="auto"/>
              </w:rPr>
            </w:pPr>
          </w:p>
        </w:tc>
        <w:tc>
          <w:tcPr>
            <w:tcW w:w="14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0"/>
        </w:trPr>
        <w:tc>
          <w:tcPr>
            <w:tcW w:w="15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Commercial and</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61"/>
        </w:trPr>
        <w:tc>
          <w:tcPr>
            <w:tcW w:w="1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color w:val="auto"/>
              </w:rPr>
              <w:t>industrial</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68,405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
              <w:spacing w:after="0"/>
              <w:rPr>
                <w:sz w:val="20"/>
                <w:szCs w:val="20"/>
                <w:color w:val="auto"/>
              </w:rPr>
            </w:pPr>
            <w:r>
              <w:rPr>
                <w:rFonts w:ascii="Arial" w:cs="Arial" w:eastAsia="Arial" w:hAnsi="Arial"/>
                <w:sz w:val="13"/>
                <w:szCs w:val="13"/>
                <w:color w:val="auto"/>
              </w:rPr>
              <w:t>80,644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33,962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6"/>
              <w:spacing w:after="0"/>
              <w:rPr>
                <w:sz w:val="20"/>
                <w:szCs w:val="20"/>
                <w:color w:val="auto"/>
              </w:rPr>
            </w:pPr>
            <w:r>
              <w:rPr>
                <w:rFonts w:ascii="Arial" w:cs="Arial" w:eastAsia="Arial" w:hAnsi="Arial"/>
                <w:sz w:val="13"/>
                <w:szCs w:val="13"/>
                <w:color w:val="auto"/>
              </w:rPr>
              <w:t>30,495</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3,891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11,839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26,795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256,031</w:t>
            </w:r>
          </w:p>
        </w:tc>
      </w:tr>
      <w:tr>
        <w:trPr>
          <w:trHeight w:val="171"/>
        </w:trPr>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519</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1,093</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668</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2,280</w:t>
            </w:r>
          </w:p>
        </w:tc>
      </w:tr>
      <w:tr>
        <w:trPr>
          <w:trHeight w:val="151"/>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line="148"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68,405</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80,644</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33,962</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31,014</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3,891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12,932</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27,463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258,311</w:t>
            </w:r>
          </w:p>
        </w:tc>
      </w:tr>
      <w:tr>
        <w:trPr>
          <w:trHeight w:val="17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9"/>
        </w:trPr>
        <w:tc>
          <w:tcPr>
            <w:tcW w:w="1520" w:type="dxa"/>
            <w:vAlign w:val="bottom"/>
            <w:gridSpan w:val="3"/>
          </w:tcPr>
          <w:p>
            <w:pPr>
              <w:ind w:left="40"/>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82,438</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82,438</w:t>
            </w:r>
          </w:p>
        </w:tc>
      </w:tr>
      <w:tr>
        <w:trPr>
          <w:trHeight w:val="151"/>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line="148"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82,438</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82,438</w:t>
            </w:r>
          </w:p>
        </w:tc>
      </w:tr>
      <w:tr>
        <w:trPr>
          <w:trHeight w:val="17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0"/>
        </w:trPr>
        <w:tc>
          <w:tcPr>
            <w:tcW w:w="1520" w:type="dxa"/>
            <w:vAlign w:val="bottom"/>
            <w:gridSpan w:val="3"/>
          </w:tcPr>
          <w:p>
            <w:pPr>
              <w:ind w:left="40"/>
              <w:spacing w:after="0"/>
              <w:rPr>
                <w:sz w:val="20"/>
                <w:szCs w:val="20"/>
                <w:color w:val="auto"/>
              </w:rPr>
            </w:pPr>
            <w:r>
              <w:rPr>
                <w:rFonts w:ascii="Arial" w:cs="Arial" w:eastAsia="Arial" w:hAnsi="Arial"/>
                <w:sz w:val="13"/>
                <w:szCs w:val="13"/>
                <w:color w:val="auto"/>
              </w:rPr>
              <w:t>Consumer and other</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5"/>
        </w:trPr>
        <w:tc>
          <w:tcPr>
            <w:tcW w:w="1520" w:type="dxa"/>
            <w:vAlign w:val="bottom"/>
            <w:gridSpan w:val="3"/>
          </w:tcPr>
          <w:p>
            <w:pPr>
              <w:ind w:left="40"/>
              <w:spacing w:after="0"/>
              <w:rPr>
                <w:sz w:val="20"/>
                <w:szCs w:val="20"/>
                <w:color w:val="auto"/>
              </w:rPr>
            </w:pPr>
            <w:r>
              <w:rPr>
                <w:rFonts w:ascii="Arial" w:cs="Arial" w:eastAsia="Arial" w:hAnsi="Arial"/>
                <w:sz w:val="13"/>
                <w:szCs w:val="13"/>
                <w:color w:val="auto"/>
              </w:rPr>
              <w:t>loans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57"/>
        </w:trPr>
        <w:tc>
          <w:tcPr>
            <w:tcW w:w="12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40,921</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51,392</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65,603</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35,181</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815</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196,101</w:t>
            </w:r>
          </w:p>
        </w:tc>
      </w:tr>
      <w:tr>
        <w:trPr>
          <w:trHeight w:val="171"/>
        </w:trPr>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1,990</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1,990</w:t>
            </w:r>
          </w:p>
        </w:tc>
      </w:tr>
      <w:tr>
        <w:trPr>
          <w:trHeight w:val="151"/>
        </w:trPr>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40,921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51,392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67,593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35,181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815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198,091</w:t>
            </w:r>
          </w:p>
        </w:tc>
      </w:tr>
      <w:tr>
        <w:trPr>
          <w:trHeight w:val="171"/>
        </w:trPr>
        <w:tc>
          <w:tcPr>
            <w:tcW w:w="152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1"/>
        </w:trPr>
        <w:tc>
          <w:tcPr>
            <w:tcW w:w="1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3"/>
                <w:szCs w:val="13"/>
                <w:color w:val="auto"/>
              </w:rPr>
              <w:t>Total Loans</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r>
      <w:tr>
        <w:trPr>
          <w:trHeight w:val="171"/>
        </w:trPr>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476,377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302,205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451,851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264,250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108,868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310,327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44,058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1,957,936</w:t>
            </w:r>
          </w:p>
        </w:tc>
      </w:tr>
      <w:tr>
        <w:trPr>
          <w:trHeight w:val="151"/>
        </w:trPr>
        <w:tc>
          <w:tcPr>
            <w:tcW w:w="12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Special Mention</w:t>
            </w: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1,990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2,284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687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1,653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7,282</w:t>
            </w:r>
          </w:p>
        </w:tc>
      </w:tr>
      <w:tr>
        <w:trPr>
          <w:trHeight w:val="171"/>
        </w:trPr>
        <w:tc>
          <w:tcPr>
            <w:tcW w:w="1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Doubtful</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476,377</w:t>
            </w:r>
          </w:p>
        </w:tc>
        <w:tc>
          <w:tcPr>
            <w:tcW w:w="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302,205</w:t>
            </w:r>
          </w:p>
        </w:tc>
        <w:tc>
          <w:tcPr>
            <w:tcW w:w="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453,841</w:t>
            </w:r>
          </w:p>
        </w:tc>
        <w:tc>
          <w:tcPr>
            <w:tcW w:w="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266,534</w:t>
            </w:r>
          </w:p>
        </w:tc>
        <w:tc>
          <w:tcPr>
            <w:tcW w:w="2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109,555</w:t>
            </w:r>
          </w:p>
        </w:tc>
        <w:tc>
          <w:tcPr>
            <w:tcW w:w="40" w:type="dxa"/>
            <w:vAlign w:val="bottom"/>
            <w:gridSpan w:val="2"/>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rPr>
              <w:t>311,980</w:t>
            </w:r>
          </w:p>
        </w:tc>
        <w:tc>
          <w:tcPr>
            <w:tcW w:w="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44,726</w:t>
            </w:r>
          </w:p>
        </w:tc>
        <w:tc>
          <w:tcPr>
            <w:tcW w:w="40" w:type="dxa"/>
            <w:vAlign w:val="bottom"/>
            <w:gridSpan w:val="2"/>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1,965,218</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16" w:name="page17"/>
    <w:bookmarkEnd w:id="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Aging</w:t>
      </w:r>
    </w:p>
    <w:p>
      <w:pPr>
        <w:spacing w:after="0" w:line="17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also considers the performance of loans in grading and in evaluating the credit quality of the loan portfolio. The Company analyzes credit quality and loan grades based on payment performance and the aging status of the loans. The following tables include an aging analysis of accruing loans and total non-accruing loans as of September 30, 2025 and December 31, 2024 (in thousands):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6"/>
          </w:tcPr>
          <w:p>
            <w:pPr>
              <w:ind w:left="440"/>
              <w:spacing w:after="0"/>
              <w:rPr>
                <w:sz w:val="20"/>
                <w:szCs w:val="20"/>
                <w:color w:val="auto"/>
              </w:rPr>
            </w:pPr>
            <w:r>
              <w:rPr>
                <w:rFonts w:ascii="Arial" w:cs="Arial" w:eastAsia="Arial" w:hAnsi="Arial"/>
                <w:sz w:val="13"/>
                <w:szCs w:val="13"/>
                <w:b w:val="1"/>
                <w:bCs w:val="1"/>
                <w:color w:val="auto"/>
              </w:rPr>
              <w:t>Accruing</w:t>
            </w:r>
          </w:p>
        </w:tc>
        <w:tc>
          <w:tcPr>
            <w:tcW w:w="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58"/>
        </w:trPr>
        <w:tc>
          <w:tcPr>
            <w:tcW w:w="2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gridSpan w:val="4"/>
          </w:tcPr>
          <w:p>
            <w:pPr>
              <w:jc w:val="right"/>
              <w:spacing w:after="0"/>
              <w:rPr>
                <w:sz w:val="20"/>
                <w:szCs w:val="20"/>
                <w:color w:val="auto"/>
              </w:rPr>
            </w:pPr>
            <w:r>
              <w:rPr>
                <w:rFonts w:ascii="Arial" w:cs="Arial" w:eastAsia="Arial" w:hAnsi="Arial"/>
                <w:sz w:val="13"/>
                <w:szCs w:val="13"/>
                <w:b w:val="1"/>
                <w:bCs w:val="1"/>
                <w:color w:val="auto"/>
              </w:rPr>
              <w:t>Past Due 90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49"/>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left="56"/>
              <w:spacing w:after="0"/>
              <w:rPr>
                <w:sz w:val="20"/>
                <w:szCs w:val="20"/>
                <w:color w:val="auto"/>
              </w:rPr>
            </w:pPr>
            <w:r>
              <w:rPr>
                <w:rFonts w:ascii="Arial" w:cs="Arial" w:eastAsia="Arial" w:hAnsi="Arial"/>
                <w:sz w:val="13"/>
                <w:szCs w:val="13"/>
                <w:b w:val="1"/>
                <w:bCs w:val="1"/>
                <w:color w:val="auto"/>
                <w:w w:val="98"/>
              </w:rPr>
              <w:t>Days or &gt;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Past Due 30-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0"/>
        </w:trPr>
        <w:tc>
          <w:tcPr>
            <w:tcW w:w="236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As of September 30, 2025</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Current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89 Days</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3"/>
          </w:tcPr>
          <w:p>
            <w:pPr>
              <w:jc w:val="center"/>
              <w:ind w:left="36"/>
              <w:spacing w:after="0"/>
              <w:rPr>
                <w:sz w:val="20"/>
                <w:szCs w:val="20"/>
                <w:color w:val="auto"/>
              </w:rPr>
            </w:pPr>
            <w:r>
              <w:rPr>
                <w:rFonts w:ascii="Arial" w:cs="Arial" w:eastAsia="Arial" w:hAnsi="Arial"/>
                <w:sz w:val="13"/>
                <w:szCs w:val="13"/>
                <w:b w:val="1"/>
                <w:bCs w:val="1"/>
                <w:color w:val="auto"/>
                <w:w w:val="99"/>
              </w:rPr>
              <w:t>Accruing</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Accruing</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Non-Accrual</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3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Residential real estate:</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71"/>
        </w:trPr>
        <w:tc>
          <w:tcPr>
            <w:tcW w:w="2360" w:type="dxa"/>
            <w:vAlign w:val="bottom"/>
          </w:tcPr>
          <w:p>
            <w:pPr>
              <w:ind w:left="100"/>
              <w:spacing w:after="0"/>
              <w:rPr>
                <w:sz w:val="20"/>
                <w:szCs w:val="20"/>
                <w:color w:val="auto"/>
              </w:rPr>
            </w:pPr>
            <w:r>
              <w:rPr>
                <w:rFonts w:ascii="Arial" w:cs="Arial" w:eastAsia="Arial" w:hAnsi="Arial"/>
                <w:sz w:val="13"/>
                <w:szCs w:val="13"/>
                <w:color w:val="auto"/>
              </w:rPr>
              <w:t>Home equity lines of credit and other</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1,268</w:t>
            </w:r>
          </w:p>
        </w:tc>
        <w:tc>
          <w:tcPr>
            <w:tcW w:w="2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1,268</w:t>
            </w:r>
          </w:p>
        </w:tc>
        <w:tc>
          <w:tcPr>
            <w:tcW w:w="340" w:type="dxa"/>
            <w:vAlign w:val="bottom"/>
            <w:gridSpan w:val="3"/>
          </w:tcPr>
          <w:p>
            <w:pPr>
              <w:jc w:val="right"/>
              <w:ind w:right="15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1,268</w:t>
            </w:r>
          </w:p>
        </w:tc>
      </w:tr>
      <w:tr>
        <w:trPr>
          <w:trHeight w:val="171"/>
        </w:trPr>
        <w:tc>
          <w:tcPr>
            <w:tcW w:w="2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1-4 family residential</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251,453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255,001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255,435</w:t>
            </w:r>
          </w:p>
        </w:tc>
      </w:tr>
      <w:tr>
        <w:trPr>
          <w:trHeight w:val="171"/>
        </w:trPr>
        <w:tc>
          <w:tcPr>
            <w:tcW w:w="23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Condo residential</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59,615</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59,736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59,854</w:t>
            </w:r>
          </w:p>
        </w:tc>
      </w:tr>
      <w:tr>
        <w:trPr>
          <w:trHeight w:val="151"/>
        </w:trPr>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312,336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316,005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316,557</w:t>
            </w:r>
          </w:p>
        </w:tc>
      </w:tr>
      <w:tr>
        <w:trPr>
          <w:trHeight w:val="169"/>
        </w:trPr>
        <w:tc>
          <w:tcPr>
            <w:tcW w:w="236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87,417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89,004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89,004</w:t>
            </w:r>
          </w:p>
        </w:tc>
      </w:tr>
      <w:tr>
        <w:trPr>
          <w:trHeight w:val="171"/>
        </w:trPr>
        <w:tc>
          <w:tcPr>
            <w:tcW w:w="2360" w:type="dxa"/>
            <w:vAlign w:val="bottom"/>
          </w:tcPr>
          <w:p>
            <w:pPr>
              <w:ind w:left="100"/>
              <w:spacing w:after="0"/>
              <w:rPr>
                <w:sz w:val="20"/>
                <w:szCs w:val="20"/>
                <w:color w:val="auto"/>
              </w:rPr>
            </w:pPr>
            <w:r>
              <w:rPr>
                <w:rFonts w:ascii="Arial" w:cs="Arial" w:eastAsia="Arial" w:hAnsi="Arial"/>
                <w:sz w:val="13"/>
                <w:szCs w:val="13"/>
                <w:color w:val="auto"/>
              </w:rPr>
              <w:t>Multi-family residential</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237,215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1,969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239,184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239,184</w:t>
            </w:r>
          </w:p>
        </w:tc>
      </w:tr>
      <w:tr>
        <w:trPr>
          <w:trHeight w:val="171"/>
        </w:trPr>
        <w:tc>
          <w:tcPr>
            <w:tcW w:w="2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57,108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57,108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57,108</w:t>
            </w:r>
          </w:p>
        </w:tc>
      </w:tr>
      <w:tr>
        <w:trPr>
          <w:trHeight w:val="171"/>
        </w:trPr>
        <w:tc>
          <w:tcPr>
            <w:tcW w:w="23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Commercial property</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839,925</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900</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840,825</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840,825</w:t>
            </w:r>
          </w:p>
        </w:tc>
      </w:tr>
      <w:tr>
        <w:trPr>
          <w:trHeight w:val="151"/>
        </w:trPr>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1,221,665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1,226,121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1,226,121</w:t>
            </w:r>
          </w:p>
        </w:tc>
      </w:tr>
      <w:tr>
        <w:trPr>
          <w:trHeight w:val="169"/>
        </w:trPr>
        <w:tc>
          <w:tcPr>
            <w:tcW w:w="2360" w:type="dxa"/>
            <w:vAlign w:val="bottom"/>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2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Secured</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245,445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245,445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246,203</w:t>
            </w:r>
          </w:p>
        </w:tc>
      </w:tr>
      <w:tr>
        <w:trPr>
          <w:trHeight w:val="171"/>
        </w:trPr>
        <w:tc>
          <w:tcPr>
            <w:tcW w:w="23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Unsecured</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23,227</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23,227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23,227</w:t>
            </w:r>
          </w:p>
        </w:tc>
      </w:tr>
      <w:tr>
        <w:trPr>
          <w:trHeight w:val="151"/>
        </w:trPr>
        <w:tc>
          <w:tcPr>
            <w:tcW w:w="2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268,672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268,672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269,430</w:t>
            </w:r>
          </w:p>
        </w:tc>
      </w:tr>
      <w:tr>
        <w:trPr>
          <w:trHeight w:val="171"/>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104,598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104,598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104,598</w:t>
            </w:r>
          </w:p>
        </w:tc>
      </w:tr>
      <w:tr>
        <w:trPr>
          <w:trHeight w:val="171"/>
        </w:trPr>
        <w:tc>
          <w:tcPr>
            <w:tcW w:w="2360" w:type="dxa"/>
            <w:vAlign w:val="bottom"/>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207,939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207,939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207,939</w:t>
            </w:r>
          </w:p>
        </w:tc>
      </w:tr>
      <w:tr>
        <w:trPr>
          <w:trHeight w:val="171"/>
        </w:trPr>
        <w:tc>
          <w:tcPr>
            <w:tcW w:w="23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r>
      <w:tr>
        <w:trPr>
          <w:trHeight w:val="161"/>
        </w:trPr>
        <w:tc>
          <w:tcPr>
            <w:tcW w:w="2360" w:type="dxa"/>
            <w:vAlign w:val="bottom"/>
          </w:tcPr>
          <w:p>
            <w:pPr>
              <w:ind w:left="100"/>
              <w:spacing w:after="0"/>
              <w:rPr>
                <w:sz w:val="20"/>
                <w:szCs w:val="20"/>
                <w:color w:val="auto"/>
              </w:rPr>
            </w:pPr>
            <w:r>
              <w:rPr>
                <w:rFonts w:ascii="Arial" w:cs="Arial" w:eastAsia="Arial" w:hAnsi="Arial"/>
                <w:sz w:val="13"/>
                <w:szCs w:val="13"/>
                <w:color w:val="auto"/>
              </w:rPr>
              <w:t>Total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2,115,210</w:t>
            </w:r>
          </w:p>
        </w:tc>
        <w:tc>
          <w:tcPr>
            <w:tcW w:w="2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8,125</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2,123,335</w:t>
            </w:r>
          </w:p>
        </w:tc>
        <w:tc>
          <w:tcPr>
            <w:tcW w:w="340" w:type="dxa"/>
            <w:vAlign w:val="bottom"/>
            <w:gridSpan w:val="3"/>
          </w:tcPr>
          <w:p>
            <w:pPr>
              <w:jc w:val="right"/>
              <w:ind w:right="156"/>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1,310</w:t>
            </w:r>
          </w:p>
        </w:tc>
        <w:tc>
          <w:tcPr>
            <w:tcW w:w="22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2,124,645</w:t>
            </w:r>
          </w:p>
        </w:tc>
      </w:tr>
      <w:tr>
        <w:trPr>
          <w:trHeight w:val="20"/>
        </w:trPr>
        <w:tc>
          <w:tcPr>
            <w:tcW w:w="2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24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Accruing</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47"/>
        </w:trPr>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3"/>
          </w:tcPr>
          <w:p>
            <w:pPr>
              <w:jc w:val="center"/>
              <w:spacing w:after="0"/>
              <w:rPr>
                <w:sz w:val="20"/>
                <w:szCs w:val="20"/>
                <w:color w:val="auto"/>
              </w:rPr>
            </w:pPr>
            <w:r>
              <w:rPr>
                <w:rFonts w:ascii="Arial" w:cs="Arial" w:eastAsia="Arial" w:hAnsi="Arial"/>
                <w:sz w:val="13"/>
                <w:szCs w:val="13"/>
                <w:b w:val="1"/>
                <w:bCs w:val="1"/>
                <w:color w:val="auto"/>
              </w:rPr>
              <w:t>Past Due 90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49"/>
        </w:trPr>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left="56"/>
              <w:spacing w:after="0"/>
              <w:rPr>
                <w:sz w:val="20"/>
                <w:szCs w:val="20"/>
                <w:color w:val="auto"/>
              </w:rPr>
            </w:pPr>
            <w:r>
              <w:rPr>
                <w:rFonts w:ascii="Arial" w:cs="Arial" w:eastAsia="Arial" w:hAnsi="Arial"/>
                <w:sz w:val="13"/>
                <w:szCs w:val="13"/>
                <w:b w:val="1"/>
                <w:bCs w:val="1"/>
                <w:color w:val="auto"/>
                <w:w w:val="98"/>
              </w:rPr>
              <w:t>Days or &gt;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w w:val="93"/>
              </w:rPr>
              <w:t>Past Due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8"/>
              </w:rPr>
              <w:t>and Still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0"/>
        </w:trPr>
        <w:tc>
          <w:tcPr>
            <w:tcW w:w="23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b w:val="1"/>
                <w:bCs w:val="1"/>
                <w:color w:val="auto"/>
              </w:rPr>
              <w:t>As of December 31, 2024:</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Current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30-89 Days</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Accruing</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5"/>
              </w:rPr>
              <w:t>Accruing</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Non-Accrual</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rPr>
              <w:t>Total Loans</w:t>
            </w:r>
          </w:p>
        </w:tc>
      </w:tr>
      <w:tr>
        <w:trPr>
          <w:trHeight w:val="140"/>
        </w:trPr>
        <w:tc>
          <w:tcPr>
            <w:tcW w:w="238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3"/>
                <w:szCs w:val="13"/>
                <w:color w:val="auto"/>
              </w:rPr>
              <w:t>Residential real estate: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81"/>
        </w:trPr>
        <w:tc>
          <w:tcPr>
            <w:tcW w:w="12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Home equity lines of credit and other</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
              <w:spacing w:after="0"/>
              <w:rPr>
                <w:sz w:val="20"/>
                <w:szCs w:val="20"/>
                <w:color w:val="auto"/>
              </w:rPr>
            </w:pPr>
            <w:r>
              <w:rPr>
                <w:rFonts w:ascii="Arial" w:cs="Arial" w:eastAsia="Arial" w:hAnsi="Arial"/>
                <w:sz w:val="13"/>
                <w:szCs w:val="13"/>
                <w:color w:val="auto"/>
              </w:rPr>
              <w:t>1,120</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1,120</w:t>
            </w:r>
          </w:p>
        </w:tc>
        <w:tc>
          <w:tcPr>
            <w:tcW w:w="18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ind w:left="600"/>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1,120</w:t>
            </w:r>
          </w:p>
        </w:tc>
      </w:tr>
      <w:tr>
        <w:trPr>
          <w:trHeight w:val="151"/>
        </w:trPr>
        <w:tc>
          <w:tcPr>
            <w:tcW w:w="120" w:type="dxa"/>
            <w:vAlign w:val="bottom"/>
            <w:tcBorders>
              <w:bottom w:val="single" w:sz="8" w:color="CCEEFF"/>
            </w:tcBorders>
            <w:shd w:val="clear" w:color="auto" w:fill="CCEEFF"/>
          </w:tcPr>
          <w:p>
            <w:pPr>
              <w:spacing w:after="0"/>
              <w:rPr>
                <w:sz w:val="13"/>
                <w:szCs w:val="13"/>
                <w:color w:val="auto"/>
              </w:rPr>
            </w:pPr>
          </w:p>
        </w:tc>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1-4 family residential</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225,334</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2,886</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228,220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228,220</w:t>
            </w:r>
          </w:p>
        </w:tc>
      </w:tr>
      <w:tr>
        <w:trPr>
          <w:trHeight w:val="171"/>
        </w:trPr>
        <w:tc>
          <w:tcPr>
            <w:tcW w:w="1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Condo residential</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58,956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1,351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60,307</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314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60,621</w:t>
            </w:r>
          </w:p>
        </w:tc>
      </w:tr>
      <w:tr>
        <w:trPr>
          <w:trHeight w:val="140"/>
        </w:trPr>
        <w:tc>
          <w:tcPr>
            <w:tcW w:w="12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285,410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4,237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289,647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ind w:left="420"/>
              <w:spacing w:after="0" w:line="140" w:lineRule="exact"/>
              <w:rPr>
                <w:sz w:val="20"/>
                <w:szCs w:val="20"/>
                <w:color w:val="auto"/>
              </w:rPr>
            </w:pPr>
            <w:r>
              <w:rPr>
                <w:rFonts w:ascii="Arial" w:cs="Arial" w:eastAsia="Arial" w:hAnsi="Arial"/>
                <w:sz w:val="13"/>
                <w:szCs w:val="13"/>
                <w:color w:val="auto"/>
              </w:rPr>
              <w:t>314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289,961</w:t>
            </w:r>
          </w:p>
        </w:tc>
      </w:tr>
      <w:tr>
        <w:trPr>
          <w:trHeight w:val="180"/>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52"/>
        </w:trPr>
        <w:tc>
          <w:tcPr>
            <w:tcW w:w="120" w:type="dxa"/>
            <w:vAlign w:val="bottom"/>
            <w:tcBorders>
              <w:bottom w:val="single" w:sz="8" w:color="CCEEFF"/>
            </w:tcBorders>
            <w:shd w:val="clear" w:color="auto" w:fill="CCEEFF"/>
          </w:tcPr>
          <w:p>
            <w:pPr>
              <w:spacing w:after="0"/>
              <w:rPr>
                <w:sz w:val="13"/>
                <w:szCs w:val="13"/>
                <w:color w:val="auto"/>
              </w:rPr>
            </w:pPr>
          </w:p>
        </w:tc>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Land and construction</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40,090</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40,090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40,090</w:t>
            </w:r>
          </w:p>
        </w:tc>
      </w:tr>
      <w:tr>
        <w:trPr>
          <w:trHeight w:val="171"/>
        </w:trPr>
        <w:tc>
          <w:tcPr>
            <w:tcW w:w="12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Multi-family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6"/>
              <w:spacing w:after="0"/>
              <w:rPr>
                <w:sz w:val="20"/>
                <w:szCs w:val="20"/>
                <w:color w:val="auto"/>
              </w:rPr>
            </w:pPr>
            <w:r>
              <w:rPr>
                <w:rFonts w:ascii="Arial" w:cs="Arial" w:eastAsia="Arial" w:hAnsi="Arial"/>
                <w:sz w:val="13"/>
                <w:szCs w:val="13"/>
                <w:color w:val="auto"/>
              </w:rPr>
              <w:t>214,912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214,912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6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214,912</w:t>
            </w:r>
          </w:p>
        </w:tc>
      </w:tr>
      <w:tr>
        <w:trPr>
          <w:trHeight w:val="151"/>
        </w:trPr>
        <w:tc>
          <w:tcPr>
            <w:tcW w:w="120" w:type="dxa"/>
            <w:vAlign w:val="bottom"/>
            <w:tcBorders>
              <w:bottom w:val="single" w:sz="8" w:color="CCEEFF"/>
            </w:tcBorders>
            <w:shd w:val="clear" w:color="auto" w:fill="CCEEFF"/>
          </w:tcPr>
          <w:p>
            <w:pPr>
              <w:spacing w:after="0"/>
              <w:rPr>
                <w:sz w:val="13"/>
                <w:szCs w:val="13"/>
                <w:color w:val="auto"/>
              </w:rPr>
            </w:pPr>
          </w:p>
        </w:tc>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Condo commercial</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57,402</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57,402</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57,402</w:t>
            </w:r>
          </w:p>
        </w:tc>
      </w:tr>
      <w:tr>
        <w:trPr>
          <w:trHeight w:val="171"/>
        </w:trPr>
        <w:tc>
          <w:tcPr>
            <w:tcW w:w="1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Commercial property</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823,326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687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824,013</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824,013</w:t>
            </w:r>
          </w:p>
        </w:tc>
      </w:tr>
      <w:tr>
        <w:trPr>
          <w:trHeight w:val="151"/>
        </w:trPr>
        <w:tc>
          <w:tcPr>
            <w:tcW w:w="12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1,135,730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1,136,417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1,136,417</w:t>
            </w:r>
          </w:p>
        </w:tc>
      </w:tr>
      <w:tr>
        <w:trPr>
          <w:trHeight w:val="169"/>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Commercial and industrial: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2"/>
        </w:trPr>
        <w:tc>
          <w:tcPr>
            <w:tcW w:w="120" w:type="dxa"/>
            <w:vAlign w:val="bottom"/>
            <w:tcBorders>
              <w:bottom w:val="single" w:sz="8" w:color="CCEEFF"/>
            </w:tcBorders>
            <w:shd w:val="clear" w:color="auto" w:fill="CCEEFF"/>
          </w:tcPr>
          <w:p>
            <w:pPr>
              <w:spacing w:after="0"/>
              <w:rPr>
                <w:sz w:val="13"/>
                <w:szCs w:val="13"/>
                <w:color w:val="auto"/>
              </w:rPr>
            </w:pPr>
          </w:p>
        </w:tc>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Secured</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232,779</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233,300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403</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233,703</w:t>
            </w:r>
          </w:p>
        </w:tc>
      </w:tr>
      <w:tr>
        <w:trPr>
          <w:trHeight w:val="171"/>
        </w:trPr>
        <w:tc>
          <w:tcPr>
            <w:tcW w:w="1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Unsecured</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24,608</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24,608</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24,608</w:t>
            </w:r>
          </w:p>
        </w:tc>
      </w:tr>
      <w:tr>
        <w:trPr>
          <w:trHeight w:val="151"/>
        </w:trPr>
        <w:tc>
          <w:tcPr>
            <w:tcW w:w="12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257,387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257,908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403</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258,311</w:t>
            </w:r>
          </w:p>
        </w:tc>
      </w:tr>
      <w:tr>
        <w:trPr>
          <w:trHeight w:val="171"/>
        </w:trPr>
        <w:tc>
          <w:tcPr>
            <w:tcW w:w="23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1"/>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Correspondent banks</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82,438</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82,438</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82,438</w:t>
            </w:r>
          </w:p>
        </w:tc>
      </w:tr>
      <w:tr>
        <w:trPr>
          <w:trHeight w:val="171"/>
        </w:trPr>
        <w:tc>
          <w:tcPr>
            <w:tcW w:w="2380" w:type="dxa"/>
            <w:vAlign w:val="bottom"/>
            <w:gridSpan w:val="2"/>
          </w:tcPr>
          <w:p>
            <w:pPr>
              <w:ind w:left="40"/>
              <w:spacing w:after="0"/>
              <w:rPr>
                <w:sz w:val="20"/>
                <w:szCs w:val="20"/>
                <w:color w:val="auto"/>
              </w:rPr>
            </w:pPr>
            <w:r>
              <w:rPr>
                <w:rFonts w:ascii="Arial" w:cs="Arial" w:eastAsia="Arial" w:hAnsi="Arial"/>
                <w:sz w:val="13"/>
                <w:szCs w:val="13"/>
                <w:color w:val="auto"/>
              </w:rPr>
              <w:t>Consumer and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6"/>
              <w:spacing w:after="0"/>
              <w:rPr>
                <w:sz w:val="20"/>
                <w:szCs w:val="20"/>
                <w:color w:val="auto"/>
              </w:rPr>
            </w:pPr>
            <w:r>
              <w:rPr>
                <w:rFonts w:ascii="Arial" w:cs="Arial" w:eastAsia="Arial" w:hAnsi="Arial"/>
                <w:sz w:val="13"/>
                <w:szCs w:val="13"/>
                <w:color w:val="auto"/>
              </w:rPr>
              <w:t>196,101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196,101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auto"/>
              </w:rPr>
              <w:t>1,990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198,091</w:t>
            </w:r>
          </w:p>
        </w:tc>
      </w:tr>
      <w:tr>
        <w:trPr>
          <w:trHeight w:val="171"/>
        </w:trPr>
        <w:tc>
          <w:tcPr>
            <w:tcW w:w="12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Total</w:t>
            </w: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
              <w:spacing w:after="0"/>
              <w:rPr>
                <w:sz w:val="20"/>
                <w:szCs w:val="20"/>
                <w:color w:val="auto"/>
              </w:rPr>
            </w:pPr>
            <w:r>
              <w:rPr>
                <w:rFonts w:ascii="Arial" w:cs="Arial" w:eastAsia="Arial" w:hAnsi="Arial"/>
                <w:sz w:val="13"/>
                <w:szCs w:val="13"/>
                <w:color w:val="auto"/>
              </w:rPr>
              <w:t>1,957,066</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5,445</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1,962,511</w:t>
            </w:r>
          </w:p>
        </w:tc>
        <w:tc>
          <w:tcPr>
            <w:tcW w:w="18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ind w:left="320"/>
              <w:spacing w:after="0"/>
              <w:rPr>
                <w:sz w:val="20"/>
                <w:szCs w:val="20"/>
                <w:color w:val="auto"/>
              </w:rPr>
            </w:pPr>
            <w:r>
              <w:rPr>
                <w:rFonts w:ascii="Arial" w:cs="Arial" w:eastAsia="Arial" w:hAnsi="Arial"/>
                <w:sz w:val="13"/>
                <w:szCs w:val="13"/>
                <w:color w:val="auto"/>
              </w:rPr>
              <w:t>2,707</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1,965,218</w:t>
            </w:r>
          </w:p>
        </w:tc>
      </w:tr>
      <w:tr>
        <w:trPr>
          <w:trHeight w:val="20"/>
        </w:trPr>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Non-accrual Status</w:t>
      </w:r>
    </w:p>
    <w:p>
      <w:pPr>
        <w:spacing w:after="0" w:line="170"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includes the amortized cost basis of loans on non-accrual status as of September 30, 2025 and as of December 31, 2024 (in thousands):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10" w:type="dxa"/>
            <w:vAlign w:val="bottom"/>
          </w:tcPr>
          <w:p>
            <w:pPr>
              <w:spacing w:after="0"/>
              <w:rPr>
                <w:sz w:val="13"/>
                <w:szCs w:val="13"/>
                <w:color w:val="auto"/>
              </w:rPr>
            </w:pPr>
          </w:p>
        </w:tc>
        <w:tc>
          <w:tcPr>
            <w:tcW w:w="5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8"/>
              </w:rPr>
              <w:t>September 30, 2025</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10" w:type="dxa"/>
            <w:vAlign w:val="bottom"/>
          </w:tcPr>
          <w:p>
            <w:pPr>
              <w:spacing w:after="0"/>
              <w:rPr>
                <w:sz w:val="22"/>
                <w:szCs w:val="22"/>
                <w:color w:val="auto"/>
              </w:rPr>
            </w:pPr>
          </w:p>
        </w:tc>
        <w:tc>
          <w:tcPr>
            <w:tcW w:w="5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center"/>
              <w:ind w:right="7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1050" w:type="dxa"/>
            <w:vAlign w:val="bottom"/>
          </w:tcPr>
          <w:p>
            <w:pPr>
              <w:jc w:val="center"/>
              <w:ind w:right="6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10" w:type="dxa"/>
            <w:vAlign w:val="bottom"/>
          </w:tcPr>
          <w:p>
            <w:pPr>
              <w:spacing w:after="0"/>
              <w:rPr>
                <w:sz w:val="12"/>
                <w:szCs w:val="12"/>
                <w:color w:val="auto"/>
              </w:rPr>
            </w:pPr>
          </w:p>
        </w:tc>
        <w:tc>
          <w:tcPr>
            <w:tcW w:w="5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76"/>
              <w:spacing w:after="0"/>
              <w:rPr>
                <w:sz w:val="20"/>
                <w:szCs w:val="20"/>
                <w:color w:val="auto"/>
              </w:rPr>
            </w:pPr>
            <w:r>
              <w:rPr>
                <w:rFonts w:ascii="Arial" w:cs="Arial" w:eastAsia="Arial" w:hAnsi="Arial"/>
                <w:sz w:val="13"/>
                <w:szCs w:val="13"/>
                <w:b w:val="1"/>
                <w:bCs w:val="1"/>
                <w:color w:val="auto"/>
                <w:w w:val="98"/>
              </w:rPr>
              <w:t>Loans With No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050" w:type="dxa"/>
            <w:vAlign w:val="bottom"/>
          </w:tcPr>
          <w:p>
            <w:pPr>
              <w:jc w:val="center"/>
              <w:ind w:right="86"/>
              <w:spacing w:after="0"/>
              <w:rPr>
                <w:sz w:val="20"/>
                <w:szCs w:val="20"/>
                <w:color w:val="auto"/>
              </w:rPr>
            </w:pPr>
            <w:r>
              <w:rPr>
                <w:rFonts w:ascii="Arial" w:cs="Arial" w:eastAsia="Arial" w:hAnsi="Arial"/>
                <w:sz w:val="13"/>
                <w:szCs w:val="13"/>
                <w:b w:val="1"/>
                <w:bCs w:val="1"/>
                <w:color w:val="auto"/>
                <w:w w:val="96"/>
              </w:rPr>
              <w:t>Loans 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ind w:right="116"/>
              <w:spacing w:after="0"/>
              <w:rPr>
                <w:sz w:val="20"/>
                <w:szCs w:val="20"/>
                <w:color w:val="auto"/>
              </w:rPr>
            </w:pPr>
            <w:r>
              <w:rPr>
                <w:rFonts w:ascii="Arial" w:cs="Arial" w:eastAsia="Arial" w:hAnsi="Arial"/>
                <w:sz w:val="13"/>
                <w:szCs w:val="13"/>
                <w:b w:val="1"/>
                <w:bCs w:val="1"/>
                <w:color w:val="auto"/>
                <w:w w:val="96"/>
              </w:rPr>
              <w:t>Total Non-</w:t>
            </w:r>
          </w:p>
        </w:tc>
        <w:tc>
          <w:tcPr>
            <w:tcW w:w="0" w:type="dxa"/>
            <w:vAlign w:val="bottom"/>
          </w:tcPr>
          <w:p>
            <w:pPr>
              <w:spacing w:after="0"/>
              <w:rPr>
                <w:sz w:val="1"/>
                <w:szCs w:val="1"/>
                <w:color w:val="auto"/>
              </w:rPr>
            </w:pPr>
          </w:p>
        </w:tc>
      </w:tr>
      <w:tr>
        <w:trPr>
          <w:trHeight w:val="149"/>
        </w:trPr>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710" w:type="dxa"/>
            <w:vAlign w:val="bottom"/>
            <w:tcBorders>
              <w:bottom w:val="single" w:sz="8" w:color="CCEEFF"/>
            </w:tcBorders>
          </w:tcPr>
          <w:p>
            <w:pPr>
              <w:spacing w:after="0"/>
              <w:rPr>
                <w:sz w:val="12"/>
                <w:szCs w:val="12"/>
                <w:color w:val="auto"/>
              </w:rPr>
            </w:pPr>
          </w:p>
        </w:tc>
        <w:tc>
          <w:tcPr>
            <w:tcW w:w="5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Related Allowance</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Related Allowance</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8"/>
              </w:rPr>
              <w:t>accruals</w:t>
            </w:r>
          </w:p>
        </w:tc>
        <w:tc>
          <w:tcPr>
            <w:tcW w:w="0" w:type="dxa"/>
            <w:vAlign w:val="bottom"/>
          </w:tcPr>
          <w:p>
            <w:pPr>
              <w:spacing w:after="0"/>
              <w:rPr>
                <w:sz w:val="1"/>
                <w:szCs w:val="1"/>
                <w:color w:val="auto"/>
              </w:rPr>
            </w:pPr>
          </w:p>
        </w:tc>
      </w:tr>
      <w:tr>
        <w:trPr>
          <w:trHeight w:val="151"/>
        </w:trPr>
        <w:tc>
          <w:tcPr>
            <w:tcW w:w="120" w:type="dxa"/>
            <w:vAlign w:val="bottom"/>
            <w:shd w:val="clear" w:color="auto" w:fill="CCEEFF"/>
          </w:tcPr>
          <w:p>
            <w:pPr>
              <w:spacing w:after="0"/>
              <w:rPr>
                <w:sz w:val="13"/>
                <w:szCs w:val="13"/>
                <w:color w:val="auto"/>
              </w:rPr>
            </w:pPr>
          </w:p>
        </w:tc>
        <w:tc>
          <w:tcPr>
            <w:tcW w:w="381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3"/>
                <w:szCs w:val="13"/>
                <w:color w:val="auto"/>
              </w:rPr>
              <w:t>Residential real estate</w:t>
            </w:r>
          </w:p>
        </w:tc>
        <w:tc>
          <w:tcPr>
            <w:tcW w:w="5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552</w:t>
            </w:r>
          </w:p>
        </w:tc>
        <w:tc>
          <w:tcPr>
            <w:tcW w:w="60" w:type="dxa"/>
            <w:vAlign w:val="bottom"/>
            <w:gridSpan w:val="2"/>
            <w:shd w:val="clear" w:color="auto" w:fill="CCEEFF"/>
          </w:tcPr>
          <w:p>
            <w:pPr>
              <w:spacing w:after="0"/>
              <w:rPr>
                <w:sz w:val="13"/>
                <w:szCs w:val="13"/>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0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0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552</w:t>
            </w:r>
          </w:p>
        </w:tc>
        <w:tc>
          <w:tcPr>
            <w:tcW w:w="0" w:type="dxa"/>
            <w:vAlign w:val="bottom"/>
          </w:tcPr>
          <w:p>
            <w:pPr>
              <w:spacing w:after="0"/>
              <w:rPr>
                <w:sz w:val="1"/>
                <w:szCs w:val="1"/>
                <w:color w:val="auto"/>
              </w:rPr>
            </w:pPr>
          </w:p>
        </w:tc>
      </w:tr>
      <w:tr>
        <w:trPr>
          <w:trHeight w:val="171"/>
        </w:trPr>
        <w:tc>
          <w:tcPr>
            <w:tcW w:w="120" w:type="dxa"/>
            <w:vAlign w:val="bottom"/>
            <w:tcBorders>
              <w:bottom w:val="single" w:sz="8" w:color="CCEEFF"/>
            </w:tcBorders>
          </w:tcPr>
          <w:p>
            <w:pPr>
              <w:spacing w:after="0"/>
              <w:rPr>
                <w:sz w:val="14"/>
                <w:szCs w:val="14"/>
                <w:color w:val="auto"/>
              </w:rPr>
            </w:pPr>
          </w:p>
        </w:tc>
        <w:tc>
          <w:tcPr>
            <w:tcW w:w="386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Commercial and industrial</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712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105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color w:val="auto"/>
              </w:rPr>
              <w:t>758</w:t>
            </w:r>
          </w:p>
        </w:tc>
        <w:tc>
          <w:tcPr>
            <w:tcW w:w="0" w:type="dxa"/>
            <w:vAlign w:val="bottom"/>
          </w:tcPr>
          <w:p>
            <w:pPr>
              <w:spacing w:after="0"/>
              <w:rPr>
                <w:sz w:val="1"/>
                <w:szCs w:val="1"/>
                <w:color w:val="auto"/>
              </w:rPr>
            </w:pPr>
          </w:p>
        </w:tc>
      </w:tr>
      <w:tr>
        <w:trPr>
          <w:trHeight w:val="161"/>
        </w:trPr>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71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1,264</w:t>
            </w:r>
          </w:p>
        </w:tc>
        <w:tc>
          <w:tcPr>
            <w:tcW w:w="60" w:type="dxa"/>
            <w:vAlign w:val="bottom"/>
            <w:gridSpan w:val="2"/>
            <w:shd w:val="clear" w:color="auto" w:fill="CCEEFF"/>
          </w:tcPr>
          <w:p>
            <w:pPr>
              <w:spacing w:after="0"/>
              <w:rPr>
                <w:sz w:val="14"/>
                <w:szCs w:val="14"/>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0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w:t>
            </w:r>
          </w:p>
        </w:tc>
        <w:tc>
          <w:tcPr>
            <w:tcW w:w="6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0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1,310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1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05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1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December 31, 2024</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10" w:type="dxa"/>
            <w:vAlign w:val="bottom"/>
          </w:tcPr>
          <w:p>
            <w:pPr>
              <w:spacing w:after="0"/>
              <w:rPr>
                <w:sz w:val="22"/>
                <w:szCs w:val="22"/>
                <w:color w:val="auto"/>
              </w:rPr>
            </w:pPr>
          </w:p>
        </w:tc>
        <w:tc>
          <w:tcPr>
            <w:tcW w:w="5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center"/>
              <w:ind w:right="7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1050" w:type="dxa"/>
            <w:vAlign w:val="bottom"/>
          </w:tcPr>
          <w:p>
            <w:pPr>
              <w:jc w:val="center"/>
              <w:ind w:right="66"/>
              <w:spacing w:after="0"/>
              <w:rPr>
                <w:sz w:val="20"/>
                <w:szCs w:val="20"/>
                <w:color w:val="auto"/>
              </w:rPr>
            </w:pPr>
            <w:r>
              <w:rPr>
                <w:rFonts w:ascii="Arial" w:cs="Arial" w:eastAsia="Arial" w:hAnsi="Arial"/>
                <w:sz w:val="13"/>
                <w:szCs w:val="13"/>
                <w:b w:val="1"/>
                <w:bCs w:val="1"/>
                <w:color w:val="auto"/>
                <w:w w:val="98"/>
              </w:rPr>
              <w:t>Non-accrual</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vMerge w:val="restart"/>
          </w:tcPr>
          <w:p>
            <w:pPr>
              <w:jc w:val="center"/>
              <w:ind w:right="116"/>
              <w:spacing w:after="0"/>
              <w:rPr>
                <w:sz w:val="20"/>
                <w:szCs w:val="20"/>
                <w:color w:val="auto"/>
              </w:rPr>
            </w:pPr>
            <w:r>
              <w:rPr>
                <w:rFonts w:ascii="Arial" w:cs="Arial" w:eastAsia="Arial" w:hAnsi="Arial"/>
                <w:sz w:val="13"/>
                <w:szCs w:val="13"/>
                <w:b w:val="1"/>
                <w:bCs w:val="1"/>
                <w:color w:val="auto"/>
                <w:w w:val="96"/>
              </w:rPr>
              <w:t>Total Non-</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10" w:type="dxa"/>
            <w:vAlign w:val="bottom"/>
          </w:tcPr>
          <w:p>
            <w:pPr>
              <w:spacing w:after="0"/>
              <w:rPr>
                <w:sz w:val="12"/>
                <w:szCs w:val="12"/>
                <w:color w:val="auto"/>
              </w:rPr>
            </w:pPr>
          </w:p>
        </w:tc>
        <w:tc>
          <w:tcPr>
            <w:tcW w:w="5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76"/>
              <w:spacing w:after="0"/>
              <w:rPr>
                <w:sz w:val="20"/>
                <w:szCs w:val="20"/>
                <w:color w:val="auto"/>
              </w:rPr>
            </w:pPr>
            <w:r>
              <w:rPr>
                <w:rFonts w:ascii="Arial" w:cs="Arial" w:eastAsia="Arial" w:hAnsi="Arial"/>
                <w:sz w:val="13"/>
                <w:szCs w:val="13"/>
                <w:b w:val="1"/>
                <w:bCs w:val="1"/>
                <w:color w:val="auto"/>
                <w:w w:val="98"/>
              </w:rPr>
              <w:t>Loans With No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1050" w:type="dxa"/>
            <w:vAlign w:val="bottom"/>
          </w:tcPr>
          <w:p>
            <w:pPr>
              <w:jc w:val="center"/>
              <w:ind w:right="86"/>
              <w:spacing w:after="0"/>
              <w:rPr>
                <w:sz w:val="20"/>
                <w:szCs w:val="20"/>
                <w:color w:val="auto"/>
              </w:rPr>
            </w:pPr>
            <w:r>
              <w:rPr>
                <w:rFonts w:ascii="Arial" w:cs="Arial" w:eastAsia="Arial" w:hAnsi="Arial"/>
                <w:sz w:val="13"/>
                <w:szCs w:val="13"/>
                <w:b w:val="1"/>
                <w:bCs w:val="1"/>
                <w:color w:val="auto"/>
                <w:w w:val="96"/>
              </w:rPr>
              <w:t>Loans With</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710" w:type="dxa"/>
            <w:vAlign w:val="bottom"/>
            <w:tcBorders>
              <w:bottom w:val="single" w:sz="8" w:color="CCEEFF"/>
            </w:tcBorders>
          </w:tcPr>
          <w:p>
            <w:pPr>
              <w:spacing w:after="0"/>
              <w:rPr>
                <w:sz w:val="13"/>
                <w:szCs w:val="13"/>
                <w:color w:val="auto"/>
              </w:rPr>
            </w:pPr>
          </w:p>
        </w:tc>
        <w:tc>
          <w:tcPr>
            <w:tcW w:w="5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Related Allowance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Related Allowance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8"/>
              </w:rPr>
              <w:t>accruals</w:t>
            </w:r>
          </w:p>
        </w:tc>
        <w:tc>
          <w:tcPr>
            <w:tcW w:w="0" w:type="dxa"/>
            <w:vAlign w:val="bottom"/>
          </w:tcPr>
          <w:p>
            <w:pPr>
              <w:spacing w:after="0"/>
              <w:rPr>
                <w:sz w:val="1"/>
                <w:szCs w:val="1"/>
                <w:color w:val="auto"/>
              </w:rPr>
            </w:pPr>
          </w:p>
        </w:tc>
      </w:tr>
      <w:tr>
        <w:trPr>
          <w:trHeight w:val="151"/>
        </w:trPr>
        <w:tc>
          <w:tcPr>
            <w:tcW w:w="120" w:type="dxa"/>
            <w:vAlign w:val="bottom"/>
            <w:shd w:val="clear" w:color="auto" w:fill="CCEEFF"/>
          </w:tcPr>
          <w:p>
            <w:pPr>
              <w:spacing w:after="0"/>
              <w:rPr>
                <w:sz w:val="13"/>
                <w:szCs w:val="13"/>
                <w:color w:val="auto"/>
              </w:rPr>
            </w:pPr>
          </w:p>
        </w:tc>
        <w:tc>
          <w:tcPr>
            <w:tcW w:w="3810" w:type="dxa"/>
            <w:vAlign w:val="bottom"/>
            <w:gridSpan w:val="2"/>
            <w:shd w:val="clear" w:color="auto" w:fill="CCEEFF"/>
          </w:tcPr>
          <w:p>
            <w:pPr>
              <w:ind w:left="20"/>
              <w:spacing w:after="0" w:line="140" w:lineRule="exact"/>
              <w:rPr>
                <w:sz w:val="20"/>
                <w:szCs w:val="20"/>
                <w:color w:val="auto"/>
              </w:rPr>
            </w:pPr>
            <w:r>
              <w:rPr>
                <w:rFonts w:ascii="Arial" w:cs="Arial" w:eastAsia="Arial" w:hAnsi="Arial"/>
                <w:sz w:val="13"/>
                <w:szCs w:val="13"/>
                <w:color w:val="auto"/>
              </w:rPr>
              <w:t>Residential real estate</w:t>
            </w:r>
          </w:p>
        </w:tc>
        <w:tc>
          <w:tcPr>
            <w:tcW w:w="5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314</w:t>
            </w:r>
          </w:p>
        </w:tc>
        <w:tc>
          <w:tcPr>
            <w:tcW w:w="60" w:type="dxa"/>
            <w:vAlign w:val="bottom"/>
            <w:gridSpan w:val="2"/>
            <w:shd w:val="clear" w:color="auto" w:fill="CCEEFF"/>
          </w:tcPr>
          <w:p>
            <w:pPr>
              <w:spacing w:after="0"/>
              <w:rPr>
                <w:sz w:val="13"/>
                <w:szCs w:val="13"/>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105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060" w:type="dxa"/>
            <w:vAlign w:val="bottom"/>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860" w:type="dxa"/>
            <w:vAlign w:val="bottom"/>
            <w:gridSpan w:val="3"/>
          </w:tcPr>
          <w:p>
            <w:pPr>
              <w:ind w:left="20"/>
              <w:spacing w:after="0"/>
              <w:rPr>
                <w:sz w:val="20"/>
                <w:szCs w:val="20"/>
                <w:color w:val="auto"/>
              </w:rPr>
            </w:pPr>
            <w:r>
              <w:rPr>
                <w:rFonts w:ascii="Arial" w:cs="Arial" w:eastAsia="Arial" w:hAnsi="Arial"/>
                <w:sz w:val="13"/>
                <w:szCs w:val="13"/>
                <w:color w:val="auto"/>
              </w:rPr>
              <w:t>Commercial and industrial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050" w:type="dxa"/>
            <w:vAlign w:val="bottom"/>
          </w:tcPr>
          <w:p>
            <w:pPr>
              <w:jc w:val="right"/>
              <w:spacing w:after="0"/>
              <w:rPr>
                <w:sz w:val="20"/>
                <w:szCs w:val="20"/>
                <w:color w:val="auto"/>
              </w:rPr>
            </w:pPr>
            <w:r>
              <w:rPr>
                <w:rFonts w:ascii="Arial" w:cs="Arial" w:eastAsia="Arial" w:hAnsi="Arial"/>
                <w:sz w:val="13"/>
                <w:szCs w:val="13"/>
                <w:color w:val="auto"/>
              </w:rPr>
              <w:t>403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6"/>
              <w:spacing w:after="0"/>
              <w:rPr>
                <w:sz w:val="20"/>
                <w:szCs w:val="20"/>
                <w:color w:val="auto"/>
              </w:rPr>
            </w:pPr>
            <w:r>
              <w:rPr>
                <w:rFonts w:ascii="Arial" w:cs="Arial" w:eastAsia="Arial" w:hAnsi="Arial"/>
                <w:sz w:val="13"/>
                <w:szCs w:val="13"/>
                <w:color w:val="auto"/>
              </w:rPr>
              <w:t>403</w:t>
            </w:r>
          </w:p>
        </w:tc>
        <w:tc>
          <w:tcPr>
            <w:tcW w:w="0" w:type="dxa"/>
            <w:vAlign w:val="bottom"/>
          </w:tcPr>
          <w:p>
            <w:pPr>
              <w:spacing w:after="0"/>
              <w:rPr>
                <w:sz w:val="1"/>
                <w:szCs w:val="1"/>
                <w:color w:val="auto"/>
              </w:rPr>
            </w:pPr>
          </w:p>
        </w:tc>
      </w:tr>
      <w:tr>
        <w:trPr>
          <w:trHeight w:val="171"/>
        </w:trPr>
        <w:tc>
          <w:tcPr>
            <w:tcW w:w="120" w:type="dxa"/>
            <w:vAlign w:val="bottom"/>
            <w:shd w:val="clear" w:color="auto" w:fill="CCEEFF"/>
          </w:tcPr>
          <w:p>
            <w:pPr>
              <w:spacing w:after="0"/>
              <w:rPr>
                <w:sz w:val="14"/>
                <w:szCs w:val="14"/>
                <w:color w:val="auto"/>
              </w:rPr>
            </w:pPr>
          </w:p>
        </w:tc>
        <w:tc>
          <w:tcPr>
            <w:tcW w:w="381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 and other</w:t>
            </w:r>
          </w:p>
        </w:tc>
        <w:tc>
          <w:tcPr>
            <w:tcW w:w="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105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1,990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3"/>
                <w:szCs w:val="13"/>
                <w:color w:val="auto"/>
              </w:rPr>
              <w:t>1,990</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Total</w:t>
            </w:r>
          </w:p>
        </w:tc>
        <w:tc>
          <w:tcPr>
            <w:tcW w:w="1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314</w:t>
            </w:r>
          </w:p>
        </w:tc>
        <w:tc>
          <w:tcPr>
            <w:tcW w:w="19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50" w:type="dxa"/>
            <w:vAlign w:val="bottom"/>
          </w:tcPr>
          <w:p>
            <w:pPr>
              <w:jc w:val="right"/>
              <w:spacing w:after="0"/>
              <w:rPr>
                <w:sz w:val="20"/>
                <w:szCs w:val="20"/>
                <w:color w:val="auto"/>
              </w:rPr>
            </w:pPr>
            <w:r>
              <w:rPr>
                <w:rFonts w:ascii="Arial" w:cs="Arial" w:eastAsia="Arial" w:hAnsi="Arial"/>
                <w:sz w:val="13"/>
                <w:szCs w:val="13"/>
                <w:color w:val="auto"/>
              </w:rPr>
              <w:t>2,393</w:t>
            </w: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6"/>
              <w:spacing w:after="0"/>
              <w:rPr>
                <w:sz w:val="20"/>
                <w:szCs w:val="20"/>
                <w:color w:val="auto"/>
              </w:rPr>
            </w:pPr>
            <w:r>
              <w:rPr>
                <w:rFonts w:ascii="Arial" w:cs="Arial" w:eastAsia="Arial" w:hAnsi="Arial"/>
                <w:sz w:val="13"/>
                <w:szCs w:val="13"/>
                <w:color w:val="auto"/>
              </w:rPr>
              <w:t>2,707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1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05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Accrued interest receivable is excluded from the estimate of credit losses. There was no interest income recognized attributable to non-accrual loans outstanding during the three and nine months ended September 30, 2025 and 2024. Interest income on these loans for the three months ended September 30, 2025 and 2024, would have been approximately $28 thousand and $ 24 thousand, respectively, had these loans performed in accordance with their original terms. Interest income on these loans for the nine months ended September 30, 2025 and 2024, would have been approximately $108 thousand and $44 thousand, respectively, had these loans performed in accordance with their original terms.</w:t>
      </w:r>
    </w:p>
    <w:p>
      <w:pPr>
        <w:spacing w:after="0" w:line="200" w:lineRule="exact"/>
        <w:rPr>
          <w:sz w:val="20"/>
          <w:szCs w:val="20"/>
          <w:color w:val="auto"/>
        </w:rPr>
      </w:pPr>
    </w:p>
    <w:p>
      <w:pPr>
        <w:spacing w:after="0" w:line="32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3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Collateral-Dependent Loans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A loan is collateral dependent when the borrower is experiencing financial difficulty and repayment of the loan is expected to be provided substantially through the sale or operation of the collateral.</w:t>
      </w:r>
    </w:p>
    <w:p>
      <w:pPr>
        <w:spacing w:after="0" w:line="12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includes the amortized cost basis of collateral dependent loans related to borrowers experiencing financial difficulty by type of collateral as of September 30, 2025 and December 31, 2024 (in thousands):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 w:type="dxa"/>
            <w:vAlign w:val="bottom"/>
            <w:tcBorders>
              <w:bottom w:val="single" w:sz="8" w:color="auto"/>
            </w:tcBorders>
          </w:tcPr>
          <w:p>
            <w:pPr>
              <w:spacing w:after="0"/>
              <w:rPr>
                <w:sz w:val="13"/>
                <w:szCs w:val="13"/>
                <w:color w:val="auto"/>
              </w:rPr>
            </w:pPr>
          </w:p>
        </w:tc>
        <w:tc>
          <w:tcPr>
            <w:tcW w:w="3030" w:type="dxa"/>
            <w:vAlign w:val="bottom"/>
            <w:tcBorders>
              <w:bottom w:val="single" w:sz="8" w:color="auto"/>
            </w:tcBorders>
            <w:gridSpan w:val="6"/>
          </w:tcPr>
          <w:p>
            <w:pPr>
              <w:jc w:val="center"/>
              <w:ind w:left="1606"/>
              <w:spacing w:after="0"/>
              <w:rPr>
                <w:sz w:val="20"/>
                <w:szCs w:val="20"/>
                <w:color w:val="auto"/>
              </w:rPr>
            </w:pPr>
            <w:r>
              <w:rPr>
                <w:rFonts w:ascii="Arial" w:cs="Arial" w:eastAsia="Arial" w:hAnsi="Arial"/>
                <w:sz w:val="13"/>
                <w:szCs w:val="13"/>
                <w:b w:val="1"/>
                <w:bCs w:val="1"/>
                <w:color w:val="auto"/>
                <w:w w:val="98"/>
              </w:rPr>
              <w:t>September 30, 2025</w:t>
            </w:r>
          </w:p>
        </w:tc>
        <w:tc>
          <w:tcPr>
            <w:tcW w:w="1820" w:type="dxa"/>
            <w:vAlign w:val="bottom"/>
            <w:tcBorders>
              <w:bottom w:val="single" w:sz="8" w:color="auto"/>
            </w:tcBorders>
          </w:tcPr>
          <w:p>
            <w:pPr>
              <w:spacing w:after="0"/>
              <w:rPr>
                <w:sz w:val="13"/>
                <w:szCs w:val="13"/>
                <w:color w:val="auto"/>
              </w:rPr>
            </w:pPr>
          </w:p>
        </w:tc>
      </w:tr>
      <w:tr>
        <w:trPr>
          <w:trHeight w:val="151"/>
        </w:trPr>
        <w:tc>
          <w:tcPr>
            <w:tcW w:w="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 w:type="dxa"/>
            <w:vAlign w:val="bottom"/>
            <w:tcBorders>
              <w:bottom w:val="single" w:sz="8" w:color="auto"/>
            </w:tcBorders>
          </w:tcPr>
          <w:p>
            <w:pPr>
              <w:spacing w:after="0"/>
              <w:rPr>
                <w:sz w:val="13"/>
                <w:szCs w:val="13"/>
                <w:color w:val="auto"/>
              </w:rPr>
            </w:pPr>
          </w:p>
        </w:tc>
        <w:tc>
          <w:tcPr>
            <w:tcW w:w="2330" w:type="dxa"/>
            <w:vAlign w:val="bottom"/>
            <w:tcBorders>
              <w:bottom w:val="single" w:sz="8" w:color="auto"/>
            </w:tcBorders>
          </w:tcPr>
          <w:p>
            <w:pPr>
              <w:jc w:val="center"/>
              <w:ind w:right="106"/>
              <w:spacing w:after="0"/>
              <w:rPr>
                <w:sz w:val="20"/>
                <w:szCs w:val="20"/>
                <w:color w:val="auto"/>
              </w:rPr>
            </w:pPr>
            <w:r>
              <w:rPr>
                <w:rFonts w:ascii="Arial" w:cs="Arial" w:eastAsia="Arial" w:hAnsi="Arial"/>
                <w:sz w:val="13"/>
                <w:szCs w:val="13"/>
                <w:b w:val="1"/>
                <w:bCs w:val="1"/>
                <w:color w:val="auto"/>
                <w:w w:val="96"/>
              </w:rPr>
              <w:t>Collateral Type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r>
      <w:tr>
        <w:trPr>
          <w:trHeight w:val="151"/>
        </w:trPr>
        <w:tc>
          <w:tcPr>
            <w:tcW w:w="100" w:type="dxa"/>
            <w:vAlign w:val="bottom"/>
            <w:tcBorders>
              <w:bottom w:val="single" w:sz="8" w:color="CCEEFF"/>
            </w:tcBorders>
          </w:tcPr>
          <w:p>
            <w:pPr>
              <w:spacing w:after="0"/>
              <w:rPr>
                <w:sz w:val="13"/>
                <w:szCs w:val="13"/>
                <w:color w:val="auto"/>
              </w:rPr>
            </w:pPr>
          </w:p>
        </w:tc>
        <w:tc>
          <w:tcPr>
            <w:tcW w:w="25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0" w:type="dxa"/>
            <w:vAlign w:val="bottom"/>
            <w:tcBorders>
              <w:bottom w:val="single" w:sz="8" w:color="auto"/>
            </w:tcBorders>
          </w:tcPr>
          <w:p>
            <w:pPr>
              <w:spacing w:after="0"/>
              <w:rPr>
                <w:sz w:val="13"/>
                <w:szCs w:val="13"/>
                <w:color w:val="auto"/>
              </w:rPr>
            </w:pPr>
          </w:p>
        </w:tc>
        <w:tc>
          <w:tcPr>
            <w:tcW w:w="233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97"/>
              </w:rPr>
              <w:t>Residential Real Estate</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Specific Reserve</w:t>
            </w:r>
          </w:p>
        </w:tc>
      </w:tr>
      <w:tr>
        <w:trPr>
          <w:trHeight w:val="151"/>
        </w:trPr>
        <w:tc>
          <w:tcPr>
            <w:tcW w:w="100" w:type="dxa"/>
            <w:vAlign w:val="bottom"/>
            <w:shd w:val="clear" w:color="auto" w:fill="CCEEFF"/>
          </w:tcPr>
          <w:p>
            <w:pPr>
              <w:spacing w:after="0"/>
              <w:rPr>
                <w:sz w:val="13"/>
                <w:szCs w:val="13"/>
                <w:color w:val="auto"/>
              </w:rPr>
            </w:pPr>
          </w:p>
        </w:tc>
        <w:tc>
          <w:tcPr>
            <w:tcW w:w="2520" w:type="dxa"/>
            <w:vAlign w:val="bottom"/>
            <w:shd w:val="clear" w:color="auto" w:fill="CCEEFF"/>
          </w:tcPr>
          <w:p>
            <w:pPr>
              <w:ind w:left="40"/>
              <w:spacing w:after="0" w:line="140" w:lineRule="exact"/>
              <w:rPr>
                <w:sz w:val="20"/>
                <w:szCs w:val="20"/>
                <w:color w:val="auto"/>
              </w:rPr>
            </w:pPr>
            <w:r>
              <w:rPr>
                <w:rFonts w:ascii="Arial" w:cs="Arial" w:eastAsia="Arial" w:hAnsi="Arial"/>
                <w:sz w:val="13"/>
                <w:szCs w:val="13"/>
                <w:color w:val="auto"/>
              </w:rPr>
              <w:t>Residential real estate</w:t>
            </w:r>
          </w:p>
        </w:tc>
        <w:tc>
          <w:tcPr>
            <w:tcW w:w="80" w:type="dxa"/>
            <w:vAlign w:val="bottom"/>
            <w:shd w:val="clear" w:color="auto" w:fill="CCEEFF"/>
          </w:tcPr>
          <w:p>
            <w:pPr>
              <w:spacing w:after="0"/>
              <w:rPr>
                <w:sz w:val="13"/>
                <w:szCs w:val="13"/>
                <w:color w:val="auto"/>
              </w:rPr>
            </w:pPr>
          </w:p>
        </w:tc>
        <w:tc>
          <w:tcPr>
            <w:tcW w:w="1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233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575</w:t>
            </w:r>
          </w:p>
        </w:tc>
        <w:tc>
          <w:tcPr>
            <w:tcW w:w="60" w:type="dxa"/>
            <w:vAlign w:val="bottom"/>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ind w:left="1700"/>
              <w:spacing w:after="0"/>
              <w:rPr>
                <w:sz w:val="20"/>
                <w:szCs w:val="20"/>
                <w:color w:val="auto"/>
              </w:rPr>
            </w:pPr>
            <w:r>
              <w:rPr>
                <w:rFonts w:ascii="Arial" w:cs="Arial" w:eastAsia="Arial" w:hAnsi="Arial"/>
                <w:sz w:val="13"/>
                <w:szCs w:val="13"/>
                <w:color w:val="auto"/>
              </w:rPr>
              <w:t>-</w:t>
            </w:r>
          </w:p>
        </w:tc>
      </w:tr>
      <w:tr>
        <w:trPr>
          <w:trHeight w:val="161"/>
        </w:trPr>
        <w:tc>
          <w:tcPr>
            <w:tcW w:w="100" w:type="dxa"/>
            <w:vAlign w:val="bottom"/>
          </w:tcPr>
          <w:p>
            <w:pPr>
              <w:spacing w:after="0"/>
              <w:rPr>
                <w:sz w:val="14"/>
                <w:szCs w:val="14"/>
                <w:color w:val="auto"/>
              </w:rPr>
            </w:pPr>
          </w:p>
        </w:tc>
        <w:tc>
          <w:tcPr>
            <w:tcW w:w="2600" w:type="dxa"/>
            <w:vAlign w:val="bottom"/>
            <w:gridSpan w:val="2"/>
          </w:tcPr>
          <w:p>
            <w:pPr>
              <w:ind w:left="120"/>
              <w:spacing w:after="0"/>
              <w:rPr>
                <w:sz w:val="20"/>
                <w:szCs w:val="20"/>
                <w:color w:val="auto"/>
              </w:rPr>
            </w:pPr>
            <w:r>
              <w:rPr>
                <w:rFonts w:ascii="Arial" w:cs="Arial" w:eastAsia="Arial" w:hAnsi="Arial"/>
                <w:sz w:val="13"/>
                <w:szCs w:val="13"/>
                <w:color w:val="auto"/>
              </w:rPr>
              <w:t>Total</w:t>
            </w:r>
          </w:p>
        </w:tc>
        <w:tc>
          <w:tcPr>
            <w:tcW w:w="150" w:type="dxa"/>
            <w:vAlign w:val="bottom"/>
          </w:tcPr>
          <w:p>
            <w:pPr>
              <w:jc w:val="right"/>
              <w:spacing w:after="0"/>
              <w:rPr>
                <w:sz w:val="20"/>
                <w:szCs w:val="20"/>
                <w:color w:val="auto"/>
              </w:rPr>
            </w:pPr>
            <w:r>
              <w:rPr>
                <w:rFonts w:ascii="Arial" w:cs="Arial" w:eastAsia="Arial" w:hAnsi="Arial"/>
                <w:sz w:val="13"/>
                <w:szCs w:val="13"/>
                <w:color w:val="auto"/>
              </w:rPr>
              <w:t>$</w:t>
            </w:r>
          </w:p>
        </w:tc>
        <w:tc>
          <w:tcPr>
            <w:tcW w:w="2330" w:type="dxa"/>
            <w:vAlign w:val="bottom"/>
          </w:tcPr>
          <w:p>
            <w:pPr>
              <w:jc w:val="right"/>
              <w:ind w:right="16"/>
              <w:spacing w:after="0"/>
              <w:rPr>
                <w:sz w:val="20"/>
                <w:szCs w:val="20"/>
                <w:color w:val="auto"/>
              </w:rPr>
            </w:pPr>
            <w:r>
              <w:rPr>
                <w:rFonts w:ascii="Arial" w:cs="Arial" w:eastAsia="Arial" w:hAnsi="Arial"/>
                <w:sz w:val="13"/>
                <w:szCs w:val="13"/>
                <w:color w:val="auto"/>
              </w:rPr>
              <w:t>575</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tcPr>
          <w:p>
            <w:pPr>
              <w:ind w:left="1700"/>
              <w:spacing w:after="0"/>
              <w:rPr>
                <w:sz w:val="20"/>
                <w:szCs w:val="20"/>
                <w:color w:val="auto"/>
              </w:rPr>
            </w:pPr>
            <w:r>
              <w:rPr>
                <w:rFonts w:ascii="Arial" w:cs="Arial" w:eastAsia="Arial" w:hAnsi="Arial"/>
                <w:sz w:val="13"/>
                <w:szCs w:val="13"/>
                <w:color w:val="auto"/>
              </w:rPr>
              <w:t>-</w:t>
            </w:r>
          </w:p>
        </w:tc>
      </w:tr>
      <w:tr>
        <w:trPr>
          <w:trHeight w:val="20"/>
        </w:trPr>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233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r>
        <w:trPr>
          <w:trHeight w:val="495"/>
        </w:trPr>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3030" w:type="dxa"/>
            <w:vAlign w:val="bottom"/>
            <w:tcBorders>
              <w:bottom w:val="single" w:sz="8" w:color="auto"/>
            </w:tcBorders>
            <w:gridSpan w:val="6"/>
          </w:tcPr>
          <w:p>
            <w:pPr>
              <w:jc w:val="center"/>
              <w:ind w:left="1606"/>
              <w:spacing w:after="0"/>
              <w:rPr>
                <w:sz w:val="20"/>
                <w:szCs w:val="20"/>
                <w:color w:val="auto"/>
              </w:rPr>
            </w:pPr>
            <w:r>
              <w:rPr>
                <w:rFonts w:ascii="Arial" w:cs="Arial" w:eastAsia="Arial" w:hAnsi="Arial"/>
                <w:sz w:val="13"/>
                <w:szCs w:val="13"/>
                <w:b w:val="1"/>
                <w:bCs w:val="1"/>
                <w:color w:val="auto"/>
                <w:w w:val="99"/>
              </w:rPr>
              <w:t>December 31, 2024</w:t>
            </w:r>
          </w:p>
        </w:tc>
        <w:tc>
          <w:tcPr>
            <w:tcW w:w="1820" w:type="dxa"/>
            <w:vAlign w:val="bottom"/>
            <w:tcBorders>
              <w:bottom w:val="single" w:sz="8" w:color="auto"/>
            </w:tcBorders>
          </w:tcPr>
          <w:p>
            <w:pPr>
              <w:spacing w:after="0"/>
              <w:rPr>
                <w:sz w:val="24"/>
                <w:szCs w:val="24"/>
                <w:color w:val="auto"/>
              </w:rPr>
            </w:pPr>
          </w:p>
        </w:tc>
      </w:tr>
      <w:tr>
        <w:trPr>
          <w:trHeight w:val="151"/>
        </w:trPr>
        <w:tc>
          <w:tcPr>
            <w:tcW w:w="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 w:type="dxa"/>
            <w:vAlign w:val="bottom"/>
            <w:tcBorders>
              <w:bottom w:val="single" w:sz="8" w:color="auto"/>
            </w:tcBorders>
          </w:tcPr>
          <w:p>
            <w:pPr>
              <w:spacing w:after="0"/>
              <w:rPr>
                <w:sz w:val="13"/>
                <w:szCs w:val="13"/>
                <w:color w:val="auto"/>
              </w:rPr>
            </w:pPr>
          </w:p>
        </w:tc>
        <w:tc>
          <w:tcPr>
            <w:tcW w:w="2330" w:type="dxa"/>
            <w:vAlign w:val="bottom"/>
            <w:tcBorders>
              <w:bottom w:val="single" w:sz="8" w:color="auto"/>
            </w:tcBorders>
          </w:tcPr>
          <w:p>
            <w:pPr>
              <w:jc w:val="center"/>
              <w:ind w:right="106"/>
              <w:spacing w:after="0"/>
              <w:rPr>
                <w:sz w:val="20"/>
                <w:szCs w:val="20"/>
                <w:color w:val="auto"/>
              </w:rPr>
            </w:pPr>
            <w:r>
              <w:rPr>
                <w:rFonts w:ascii="Arial" w:cs="Arial" w:eastAsia="Arial" w:hAnsi="Arial"/>
                <w:sz w:val="13"/>
                <w:szCs w:val="13"/>
                <w:b w:val="1"/>
                <w:bCs w:val="1"/>
                <w:color w:val="auto"/>
                <w:w w:val="96"/>
              </w:rPr>
              <w:t>Collateral Type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r>
      <w:tr>
        <w:trPr>
          <w:trHeight w:val="151"/>
        </w:trPr>
        <w:tc>
          <w:tcPr>
            <w:tcW w:w="100" w:type="dxa"/>
            <w:vAlign w:val="bottom"/>
            <w:tcBorders>
              <w:bottom w:val="single" w:sz="8" w:color="CCEEFF"/>
            </w:tcBorders>
          </w:tcPr>
          <w:p>
            <w:pPr>
              <w:spacing w:after="0"/>
              <w:rPr>
                <w:sz w:val="13"/>
                <w:szCs w:val="13"/>
                <w:color w:val="auto"/>
              </w:rPr>
            </w:pPr>
          </w:p>
        </w:tc>
        <w:tc>
          <w:tcPr>
            <w:tcW w:w="25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0" w:type="dxa"/>
            <w:vAlign w:val="bottom"/>
            <w:tcBorders>
              <w:bottom w:val="single" w:sz="8" w:color="auto"/>
            </w:tcBorders>
          </w:tcPr>
          <w:p>
            <w:pPr>
              <w:spacing w:after="0"/>
              <w:rPr>
                <w:sz w:val="13"/>
                <w:szCs w:val="13"/>
                <w:color w:val="auto"/>
              </w:rPr>
            </w:pPr>
          </w:p>
        </w:tc>
        <w:tc>
          <w:tcPr>
            <w:tcW w:w="233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96"/>
              </w:rPr>
              <w:t>Boat</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Specific Reserve</w:t>
            </w:r>
          </w:p>
        </w:tc>
      </w:tr>
      <w:tr>
        <w:trPr>
          <w:trHeight w:val="151"/>
        </w:trPr>
        <w:tc>
          <w:tcPr>
            <w:tcW w:w="100" w:type="dxa"/>
            <w:vAlign w:val="bottom"/>
            <w:shd w:val="clear" w:color="auto" w:fill="CCEEFF"/>
          </w:tcPr>
          <w:p>
            <w:pPr>
              <w:spacing w:after="0"/>
              <w:rPr>
                <w:sz w:val="13"/>
                <w:szCs w:val="13"/>
                <w:color w:val="auto"/>
              </w:rPr>
            </w:pPr>
          </w:p>
        </w:tc>
        <w:tc>
          <w:tcPr>
            <w:tcW w:w="260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Consumer and other</w:t>
            </w:r>
          </w:p>
        </w:tc>
        <w:tc>
          <w:tcPr>
            <w:tcW w:w="15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3"/>
                <w:szCs w:val="13"/>
                <w:color w:val="auto"/>
                <w:w w:val="82"/>
              </w:rPr>
              <w:t>$</w:t>
            </w:r>
          </w:p>
        </w:tc>
        <w:tc>
          <w:tcPr>
            <w:tcW w:w="23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60" w:type="dxa"/>
            <w:vAlign w:val="bottom"/>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ind w:left="1560"/>
              <w:spacing w:after="0"/>
              <w:rPr>
                <w:sz w:val="20"/>
                <w:szCs w:val="20"/>
                <w:color w:val="auto"/>
              </w:rPr>
            </w:pPr>
            <w:r>
              <w:rPr>
                <w:rFonts w:ascii="Arial" w:cs="Arial" w:eastAsia="Arial" w:hAnsi="Arial"/>
                <w:sz w:val="13"/>
                <w:szCs w:val="13"/>
                <w:color w:val="auto"/>
              </w:rPr>
              <w:t>651</w:t>
            </w:r>
          </w:p>
        </w:tc>
      </w:tr>
      <w:tr>
        <w:trPr>
          <w:trHeight w:val="161"/>
        </w:trPr>
        <w:tc>
          <w:tcPr>
            <w:tcW w:w="100" w:type="dxa"/>
            <w:vAlign w:val="bottom"/>
          </w:tcPr>
          <w:p>
            <w:pPr>
              <w:spacing w:after="0"/>
              <w:rPr>
                <w:sz w:val="14"/>
                <w:szCs w:val="14"/>
                <w:color w:val="auto"/>
              </w:rPr>
            </w:pPr>
          </w:p>
        </w:tc>
        <w:tc>
          <w:tcPr>
            <w:tcW w:w="2600" w:type="dxa"/>
            <w:vAlign w:val="bottom"/>
            <w:gridSpan w:val="2"/>
          </w:tcPr>
          <w:p>
            <w:pPr>
              <w:ind w:left="100"/>
              <w:spacing w:after="0"/>
              <w:rPr>
                <w:sz w:val="20"/>
                <w:szCs w:val="20"/>
                <w:color w:val="auto"/>
              </w:rPr>
            </w:pPr>
            <w:r>
              <w:rPr>
                <w:rFonts w:ascii="Arial" w:cs="Arial" w:eastAsia="Arial" w:hAnsi="Arial"/>
                <w:sz w:val="13"/>
                <w:szCs w:val="13"/>
                <w:color w:val="auto"/>
              </w:rPr>
              <w:t>Total</w:t>
            </w:r>
          </w:p>
        </w:tc>
        <w:tc>
          <w:tcPr>
            <w:tcW w:w="150" w:type="dxa"/>
            <w:vAlign w:val="bottom"/>
          </w:tcPr>
          <w:p>
            <w:pPr>
              <w:jc w:val="right"/>
              <w:ind w:right="6"/>
              <w:spacing w:after="0"/>
              <w:rPr>
                <w:sz w:val="20"/>
                <w:szCs w:val="20"/>
                <w:color w:val="auto"/>
              </w:rPr>
            </w:pPr>
            <w:r>
              <w:rPr>
                <w:rFonts w:ascii="Arial" w:cs="Arial" w:eastAsia="Arial" w:hAnsi="Arial"/>
                <w:sz w:val="13"/>
                <w:szCs w:val="13"/>
                <w:color w:val="auto"/>
                <w:w w:val="82"/>
              </w:rPr>
              <w:t>$</w:t>
            </w:r>
          </w:p>
        </w:tc>
        <w:tc>
          <w:tcPr>
            <w:tcW w:w="2330" w:type="dxa"/>
            <w:vAlign w:val="bottom"/>
          </w:tcPr>
          <w:p>
            <w:pPr>
              <w:jc w:val="right"/>
              <w:spacing w:after="0"/>
              <w:rPr>
                <w:sz w:val="20"/>
                <w:szCs w:val="20"/>
                <w:color w:val="auto"/>
              </w:rPr>
            </w:pPr>
            <w:r>
              <w:rPr>
                <w:rFonts w:ascii="Arial" w:cs="Arial" w:eastAsia="Arial" w:hAnsi="Arial"/>
                <w:sz w:val="13"/>
                <w:szCs w:val="13"/>
                <w:color w:val="auto"/>
              </w:rPr>
              <w:t>1,990</w:t>
            </w:r>
          </w:p>
        </w:tc>
        <w:tc>
          <w:tcPr>
            <w:tcW w:w="180" w:type="dxa"/>
            <w:vAlign w:val="bottom"/>
            <w:gridSpan w:val="3"/>
          </w:tcPr>
          <w:p>
            <w:pPr>
              <w:jc w:val="right"/>
              <w:ind w:right="4"/>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20" w:type="dxa"/>
            <w:vAlign w:val="bottom"/>
          </w:tcPr>
          <w:p>
            <w:pPr>
              <w:ind w:left="1560"/>
              <w:spacing w:after="0"/>
              <w:rPr>
                <w:sz w:val="20"/>
                <w:szCs w:val="20"/>
                <w:color w:val="auto"/>
              </w:rPr>
            </w:pPr>
            <w:r>
              <w:rPr>
                <w:rFonts w:ascii="Arial" w:cs="Arial" w:eastAsia="Arial" w:hAnsi="Arial"/>
                <w:sz w:val="13"/>
                <w:szCs w:val="13"/>
                <w:color w:val="auto"/>
              </w:rPr>
              <w:t>651</w:t>
            </w:r>
          </w:p>
        </w:tc>
      </w:tr>
      <w:tr>
        <w:trPr>
          <w:trHeight w:val="20"/>
        </w:trPr>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233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Management evaluates on an individual basis collateral dependent loans using the fair value of the collateral method to determine if a credit loss reserve is necessary. The ACL is measured based on the difference of the fair value of the collateral and amortized cost basis of the loan. If the final collateral valuation is less than the recorded investment of the loan, a reserve amount is calculated. If the collateral valuation is equal to or greater than the recorded investment of the loan, no reserve is determined.</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Loan Modifications to Borrowers Experiencing Financial Difficulties</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Company had no new modifications to borrowers experiencing financial difficulties for the three and nine months ended September 30, 2025 and three months ended September 30, 2024. The Company had one new modification to borrowers experiencing financial difficulties for the nine months ended September 30, 2024. The following table presents newly restructured loans, by type of modification, which occurred during the nine months ended September 30, 2024 (in thousands):</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640" w:type="dxa"/>
            <w:vAlign w:val="bottom"/>
          </w:tcPr>
          <w:p>
            <w:pPr>
              <w:spacing w:after="0"/>
              <w:rPr>
                <w:sz w:val="13"/>
                <w:szCs w:val="13"/>
                <w:color w:val="auto"/>
              </w:rPr>
            </w:pPr>
          </w:p>
        </w:tc>
        <w:tc>
          <w:tcPr>
            <w:tcW w:w="3000" w:type="dxa"/>
            <w:vAlign w:val="bottom"/>
            <w:gridSpan w:val="12"/>
          </w:tcPr>
          <w:p>
            <w:pPr>
              <w:ind w:left="200"/>
              <w:spacing w:after="0"/>
              <w:rPr>
                <w:sz w:val="20"/>
                <w:szCs w:val="20"/>
                <w:color w:val="auto"/>
              </w:rPr>
            </w:pPr>
            <w:r>
              <w:rPr>
                <w:rFonts w:ascii="Arial" w:cs="Arial" w:eastAsia="Arial" w:hAnsi="Arial"/>
                <w:sz w:val="13"/>
                <w:szCs w:val="13"/>
                <w:b w:val="1"/>
                <w:bCs w:val="1"/>
                <w:color w:val="auto"/>
              </w:rPr>
              <w:t>Recorded Investment Prior to Modification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gridSpan w:val="9"/>
          </w:tcPr>
          <w:p>
            <w:pPr>
              <w:ind w:left="280"/>
              <w:spacing w:after="0"/>
              <w:rPr>
                <w:sz w:val="20"/>
                <w:szCs w:val="20"/>
                <w:color w:val="auto"/>
              </w:rPr>
            </w:pPr>
            <w:r>
              <w:rPr>
                <w:rFonts w:ascii="Arial" w:cs="Arial" w:eastAsia="Arial" w:hAnsi="Arial"/>
                <w:sz w:val="13"/>
                <w:szCs w:val="13"/>
                <w:b w:val="1"/>
                <w:bCs w:val="1"/>
                <w:color w:val="auto"/>
              </w:rPr>
              <w:t>Recorded Investment After Modification</w:t>
            </w:r>
          </w:p>
        </w:tc>
      </w:tr>
      <w:tr>
        <w:trPr>
          <w:trHeight w:val="162"/>
        </w:trPr>
        <w:tc>
          <w:tcPr>
            <w:tcW w:w="1640" w:type="dxa"/>
            <w:vAlign w:val="bottom"/>
          </w:tcPr>
          <w:p>
            <w:pPr>
              <w:spacing w:after="0"/>
              <w:rPr>
                <w:sz w:val="14"/>
                <w:szCs w:val="14"/>
                <w:color w:val="auto"/>
              </w:rPr>
            </w:pPr>
          </w:p>
        </w:tc>
        <w:tc>
          <w:tcPr>
            <w:tcW w:w="76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rPr>
              <w:t>Number of</w:t>
            </w: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8"/>
              </w:rPr>
              <w:t>Combination</w:t>
            </w:r>
          </w:p>
        </w:tc>
        <w:tc>
          <w:tcPr>
            <w:tcW w:w="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Number of</w:t>
            </w: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Combination</w:t>
            </w: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Total</w:t>
            </w:r>
          </w:p>
        </w:tc>
      </w:tr>
      <w:tr>
        <w:trPr>
          <w:trHeight w:val="160"/>
        </w:trPr>
        <w:tc>
          <w:tcPr>
            <w:tcW w:w="16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Loans</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7"/>
              </w:rPr>
              <w:t>Modifications</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rPr>
              <w:t>Modifications</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Loans</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Modifications</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7"/>
              </w:rPr>
              <w:t>Modifications</w:t>
            </w:r>
          </w:p>
        </w:tc>
      </w:tr>
      <w:tr>
        <w:trPr>
          <w:trHeight w:val="151"/>
        </w:trPr>
        <w:tc>
          <w:tcPr>
            <w:tcW w:w="16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Commercial and industrial</w:t>
            </w:r>
          </w:p>
        </w:tc>
        <w:tc>
          <w:tcPr>
            <w:tcW w:w="7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rPr>
              <w:t>1</w:t>
            </w:r>
          </w:p>
        </w:tc>
        <w:tc>
          <w:tcPr>
            <w:tcW w:w="80" w:type="dxa"/>
            <w:vAlign w:val="bottom"/>
            <w:gridSpan w:val="2"/>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3"/>
                <w:szCs w:val="13"/>
                <w:color w:val="auto"/>
              </w:rPr>
              <w:t>468</w:t>
            </w:r>
          </w:p>
        </w:tc>
        <w:tc>
          <w:tcPr>
            <w:tcW w:w="20" w:type="dxa"/>
            <w:vAlign w:val="bottom"/>
            <w:tcBorders>
              <w:bottom w:val="single" w:sz="8" w:color="auto"/>
            </w:tcBorders>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60" w:type="dxa"/>
            <w:vAlign w:val="bottom"/>
            <w:gridSpan w:val="2"/>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gridSpan w:val="2"/>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60" w:type="dxa"/>
            <w:vAlign w:val="bottom"/>
            <w:gridSpan w:val="2"/>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468</w:t>
            </w:r>
          </w:p>
        </w:tc>
      </w:tr>
      <w:tr>
        <w:trPr>
          <w:trHeight w:val="161"/>
        </w:trPr>
        <w:tc>
          <w:tcPr>
            <w:tcW w:w="1640" w:type="dxa"/>
            <w:vAlign w:val="bottom"/>
          </w:tcPr>
          <w:p>
            <w:pPr>
              <w:ind w:left="200"/>
              <w:spacing w:after="0"/>
              <w:rPr>
                <w:sz w:val="20"/>
                <w:szCs w:val="20"/>
                <w:color w:val="auto"/>
              </w:rPr>
            </w:pPr>
            <w:r>
              <w:rPr>
                <w:rFonts w:ascii="Arial" w:cs="Arial" w:eastAsia="Arial" w:hAnsi="Arial"/>
                <w:sz w:val="13"/>
                <w:szCs w:val="13"/>
                <w:color w:val="auto"/>
              </w:rPr>
              <w:t>Total</w:t>
            </w:r>
          </w:p>
        </w:tc>
        <w:tc>
          <w:tcPr>
            <w:tcW w:w="760" w:type="dxa"/>
            <w:vAlign w:val="bottom"/>
          </w:tcPr>
          <w:p>
            <w:pPr>
              <w:ind w:left="660"/>
              <w:spacing w:after="0"/>
              <w:rPr>
                <w:sz w:val="20"/>
                <w:szCs w:val="20"/>
                <w:color w:val="auto"/>
              </w:rPr>
            </w:pPr>
            <w:r>
              <w:rPr>
                <w:rFonts w:ascii="Arial" w:cs="Arial" w:eastAsia="Arial" w:hAnsi="Arial"/>
                <w:sz w:val="13"/>
                <w:szCs w:val="13"/>
                <w:color w:val="auto"/>
              </w:rPr>
              <w:t>1</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ind w:left="740"/>
              <w:spacing w:after="0"/>
              <w:rPr>
                <w:sz w:val="20"/>
                <w:szCs w:val="20"/>
                <w:color w:val="auto"/>
              </w:rPr>
            </w:pPr>
            <w:r>
              <w:rPr>
                <w:rFonts w:ascii="Arial" w:cs="Arial" w:eastAsia="Arial" w:hAnsi="Arial"/>
                <w:sz w:val="13"/>
                <w:szCs w:val="13"/>
                <w:color w:val="auto"/>
              </w:rPr>
              <w:t>468</w:t>
            </w:r>
          </w:p>
        </w:tc>
        <w:tc>
          <w:tcPr>
            <w:tcW w:w="20" w:type="dxa"/>
            <w:vAlign w:val="bottom"/>
          </w:tcPr>
          <w:p>
            <w:pPr>
              <w:spacing w:after="0"/>
              <w:rPr>
                <w:sz w:val="14"/>
                <w:szCs w:val="14"/>
                <w:color w:val="auto"/>
              </w:rPr>
            </w:pP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468</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468</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ind w:left="700"/>
              <w:spacing w:after="0"/>
              <w:rPr>
                <w:sz w:val="20"/>
                <w:szCs w:val="20"/>
                <w:color w:val="auto"/>
              </w:rPr>
            </w:pPr>
            <w:r>
              <w:rPr>
                <w:rFonts w:ascii="Arial" w:cs="Arial" w:eastAsia="Arial" w:hAnsi="Arial"/>
                <w:sz w:val="13"/>
                <w:szCs w:val="13"/>
                <w:color w:val="auto"/>
              </w:rPr>
              <w:t>468</w:t>
            </w:r>
          </w:p>
        </w:tc>
      </w:tr>
      <w:tr>
        <w:trPr>
          <w:trHeight w:val="20"/>
        </w:trPr>
        <w:tc>
          <w:tcPr>
            <w:tcW w:w="1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loan modification for the borrower experiencing financial difficulty at September 30, 2024 included a combination of rate and maturity modifications. The rate was modified from a variable rate to a fixed rate of 8.0%. The original maturity of September 2029 was extended to January 2034.</w:t>
      </w:r>
    </w:p>
    <w:p>
      <w:pPr>
        <w:spacing w:after="0" w:line="118" w:lineRule="exact"/>
        <w:rPr>
          <w:sz w:val="20"/>
          <w:szCs w:val="20"/>
          <w:color w:val="auto"/>
        </w:rPr>
      </w:pPr>
    </w:p>
    <w:p>
      <w:pPr>
        <w:jc w:val="both"/>
        <w:ind w:left="660" w:right="679" w:firstLine="256"/>
        <w:spacing w:after="0" w:line="292" w:lineRule="auto"/>
        <w:rPr>
          <w:sz w:val="20"/>
          <w:szCs w:val="20"/>
          <w:color w:val="auto"/>
        </w:rPr>
      </w:pPr>
      <w:r>
        <w:rPr>
          <w:rFonts w:ascii="Arial" w:cs="Arial" w:eastAsia="Arial" w:hAnsi="Arial"/>
          <w:sz w:val="14"/>
          <w:szCs w:val="14"/>
          <w:color w:val="auto"/>
        </w:rPr>
        <w:t>There were no existing loan modifications that subsequently defaulted during either the three or the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19" w:name="page20"/>
    <w:bookmarkEnd w:id="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1040" w:hanging="377"/>
        <w:spacing w:after="0"/>
        <w:tabs>
          <w:tab w:leader="none" w:pos="10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Company’s income tax expense is presented in the following table for the periods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5"/>
          </w:tcPr>
          <w:p>
            <w:pPr>
              <w:jc w:val="right"/>
              <w:ind w:right="176"/>
              <w:spacing w:after="0"/>
              <w:rPr>
                <w:sz w:val="20"/>
                <w:szCs w:val="20"/>
                <w:color w:val="auto"/>
              </w:rPr>
            </w:pPr>
            <w:r>
              <w:rPr>
                <w:rFonts w:ascii="Arial" w:cs="Arial" w:eastAsia="Arial" w:hAnsi="Arial"/>
                <w:sz w:val="13"/>
                <w:szCs w:val="13"/>
                <w:b w:val="1"/>
                <w:bCs w:val="1"/>
                <w:color w:val="auto"/>
              </w:rPr>
              <w:t>Nine Months Ended September 30,</w:t>
            </w:r>
          </w:p>
        </w:tc>
      </w:tr>
      <w:tr>
        <w:trPr>
          <w:trHeight w:val="151"/>
        </w:trPr>
        <w:tc>
          <w:tcPr>
            <w:tcW w:w="512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2025</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16"/>
              <w:spacing w:after="0"/>
              <w:rPr>
                <w:sz w:val="20"/>
                <w:szCs w:val="20"/>
                <w:color w:val="auto"/>
              </w:rPr>
            </w:pPr>
            <w:r>
              <w:rPr>
                <w:rFonts w:ascii="Arial" w:cs="Arial" w:eastAsia="Arial" w:hAnsi="Arial"/>
                <w:sz w:val="13"/>
                <w:szCs w:val="13"/>
                <w:b w:val="1"/>
                <w:bCs w:val="1"/>
                <w:color w:val="auto"/>
              </w:rPr>
              <w:t>2024</w:t>
            </w:r>
          </w:p>
        </w:tc>
      </w:tr>
      <w:tr>
        <w:trPr>
          <w:trHeight w:val="151"/>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Current:</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171"/>
        </w:trPr>
        <w:tc>
          <w:tcPr>
            <w:tcW w:w="5120" w:type="dxa"/>
            <w:vAlign w:val="bottom"/>
          </w:tcPr>
          <w:p>
            <w:pPr>
              <w:ind w:left="100"/>
              <w:spacing w:after="0"/>
              <w:rPr>
                <w:sz w:val="20"/>
                <w:szCs w:val="20"/>
                <w:color w:val="auto"/>
              </w:rPr>
            </w:pPr>
            <w:r>
              <w:rPr>
                <w:rFonts w:ascii="Arial" w:cs="Arial" w:eastAsia="Arial" w:hAnsi="Arial"/>
                <w:sz w:val="13"/>
                <w:szCs w:val="13"/>
                <w:color w:val="auto"/>
              </w:rPr>
              <w:t>Federal</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401</w:t>
            </w:r>
          </w:p>
        </w:tc>
        <w:tc>
          <w:tcPr>
            <w:tcW w:w="340" w:type="dxa"/>
            <w:vAlign w:val="bottom"/>
            <w:gridSpan w:val="2"/>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5120" w:type="dxa"/>
            <w:vAlign w:val="bottom"/>
          </w:tcPr>
          <w:p>
            <w:pPr>
              <w:spacing w:after="0"/>
              <w:rPr>
                <w:sz w:val="20"/>
                <w:szCs w:val="20"/>
                <w:color w:val="auto"/>
              </w:rPr>
            </w:pPr>
            <w:r>
              <w:rPr>
                <w:rFonts w:ascii="Arial" w:cs="Arial" w:eastAsia="Arial" w:hAnsi="Arial"/>
                <w:sz w:val="13"/>
                <w:szCs w:val="13"/>
                <w:color w:val="auto"/>
              </w:rPr>
              <w:t>Total current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401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1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1"/>
        </w:trPr>
        <w:tc>
          <w:tcPr>
            <w:tcW w:w="5120" w:type="dxa"/>
            <w:vAlign w:val="bottom"/>
          </w:tcPr>
          <w:p>
            <w:pPr>
              <w:ind w:left="100"/>
              <w:spacing w:after="0"/>
              <w:rPr>
                <w:sz w:val="20"/>
                <w:szCs w:val="20"/>
                <w:color w:val="auto"/>
              </w:rPr>
            </w:pPr>
            <w:r>
              <w:rPr>
                <w:rFonts w:ascii="Arial" w:cs="Arial" w:eastAsia="Arial" w:hAnsi="Arial"/>
                <w:sz w:val="13"/>
                <w:szCs w:val="13"/>
                <w:color w:val="auto"/>
              </w:rPr>
              <w:t>Federal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5,782</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4,384</w:t>
            </w:r>
          </w:p>
        </w:tc>
      </w:tr>
      <w:tr>
        <w:trPr>
          <w:trHeight w:val="171"/>
        </w:trPr>
        <w:tc>
          <w:tcPr>
            <w:tcW w:w="5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1,722</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1,222</w:t>
            </w:r>
          </w:p>
        </w:tc>
      </w:tr>
      <w:tr>
        <w:trPr>
          <w:trHeight w:val="151"/>
        </w:trPr>
        <w:tc>
          <w:tcPr>
            <w:tcW w:w="51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Total deferred</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7,504</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5,606</w:t>
            </w:r>
          </w:p>
        </w:tc>
      </w:tr>
      <w:tr>
        <w:trPr>
          <w:trHeight w:val="161"/>
        </w:trPr>
        <w:tc>
          <w:tcPr>
            <w:tcW w:w="51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tax expense</w:t>
            </w: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7,905</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5,606</w:t>
            </w:r>
          </w:p>
        </w:tc>
      </w:tr>
      <w:tr>
        <w:trPr>
          <w:trHeight w:val="20"/>
        </w:trPr>
        <w:tc>
          <w:tcPr>
            <w:tcW w:w="5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actual income tax expense for the nine months ended September 30, 2025 and 2024 differs from the statutory tax expense for the periods (computed by applying the U.S. federal corporate tax rate of 21% for both 2025 and 2024 periods</w:t>
      </w:r>
    </w:p>
    <w:p>
      <w:pPr>
        <w:sectPr>
          <w:pgSz w:w="11900" w:h="16838" w:orient="portrait"/>
          <w:cols w:equalWidth="0" w:num="1">
            <w:col w:w="9019"/>
          </w:cols>
          <w:pgMar w:left="1440" w:top="477" w:right="1440" w:bottom="1440" w:gutter="0" w:footer="0" w:header="0"/>
        </w:sectPr>
      </w:pP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to income before income tax expense) as follows (in thousands):</w:t>
      </w: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Federal taxes at statutory rate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State income taxes, net of federal tax benefit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Bank owned life insurance</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Total tax expense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Nine Months Ended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2025</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top w:val="single" w:sz="8" w:color="auto"/>
              <w:bottom w:val="single" w:sz="8" w:color="auto"/>
            </w:tcBorders>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6,855</w:t>
            </w:r>
          </w:p>
        </w:tc>
        <w:tc>
          <w:tcPr>
            <w:tcW w:w="40" w:type="dxa"/>
            <w:vAlign w:val="bottom"/>
          </w:tcPr>
          <w:p>
            <w:pPr>
              <w:spacing w:after="0"/>
              <w:rPr>
                <w:sz w:val="13"/>
                <w:szCs w:val="13"/>
                <w:color w:val="auto"/>
              </w:rPr>
            </w:pPr>
          </w:p>
        </w:tc>
        <w:tc>
          <w:tcPr>
            <w:tcW w:w="80" w:type="dxa"/>
            <w:vAlign w:val="bottom"/>
            <w:gridSpan w:val="2"/>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4,909</w:t>
            </w:r>
          </w:p>
        </w:tc>
        <w:tc>
          <w:tcPr>
            <w:tcW w:w="60" w:type="dxa"/>
            <w:vAlign w:val="bottom"/>
          </w:tcPr>
          <w:p>
            <w:pPr>
              <w:spacing w:after="0"/>
              <w:rPr>
                <w:sz w:val="13"/>
                <w:szCs w:val="13"/>
                <w:color w:val="auto"/>
              </w:rPr>
            </w:pPr>
          </w:p>
        </w:tc>
      </w:tr>
      <w:tr>
        <w:trPr>
          <w:trHeight w:val="179"/>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1,418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1,016</w:t>
            </w:r>
          </w:p>
        </w:tc>
      </w:tr>
      <w:tr>
        <w:trPr>
          <w:trHeight w:val="163"/>
        </w:trPr>
        <w:tc>
          <w:tcPr>
            <w:tcW w:w="20" w:type="dxa"/>
            <w:vAlign w:val="bottom"/>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(319)</w:t>
            </w:r>
          </w:p>
        </w:tc>
      </w:tr>
      <w:tr>
        <w:trPr>
          <w:trHeight w:val="161"/>
        </w:trPr>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7,905</w:t>
            </w:r>
          </w:p>
        </w:tc>
        <w:tc>
          <w:tcPr>
            <w:tcW w:w="40" w:type="dxa"/>
            <w:vAlign w:val="bottom"/>
          </w:tcPr>
          <w:p>
            <w:pPr>
              <w:spacing w:after="0"/>
              <w:rPr>
                <w:sz w:val="14"/>
                <w:szCs w:val="14"/>
                <w:color w:val="auto"/>
              </w:rPr>
            </w:pPr>
          </w:p>
        </w:tc>
        <w:tc>
          <w:tcPr>
            <w:tcW w:w="340" w:type="dxa"/>
            <w:vAlign w:val="bottom"/>
            <w:gridSpan w:val="3"/>
          </w:tcPr>
          <w:p>
            <w:pPr>
              <w:jc w:val="right"/>
              <w:ind w:right="152"/>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5,606</w:t>
            </w: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ectPr>
          <w:pgSz w:w="11900" w:h="16838" w:orient="portrait"/>
          <w:cols w:equalWidth="0" w:num="2">
            <w:col w:w="5060" w:space="720"/>
            <w:col w:w="3239"/>
          </w:cols>
          <w:pgMar w:left="1440" w:top="477" w:right="1440" w:bottom="1440" w:gutter="0" w:footer="0" w:header="0"/>
          <w:type w:val="continuous"/>
        </w:sectPr>
      </w:pPr>
    </w:p>
    <w:p>
      <w:pPr>
        <w:ind w:left="920"/>
        <w:spacing w:after="0"/>
        <w:rPr>
          <w:sz w:val="20"/>
          <w:szCs w:val="20"/>
          <w:color w:val="auto"/>
        </w:rPr>
      </w:pPr>
      <w:r>
        <w:rPr>
          <w:rFonts w:ascii="Arial" w:cs="Arial" w:eastAsia="Arial" w:hAnsi="Arial"/>
          <w:sz w:val="14"/>
          <w:szCs w:val="14"/>
          <w:color w:val="auto"/>
        </w:rPr>
        <w:t>The Company’s deferred tax assets and deferred tax liabilities as of the dates indicated were (in thousands):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7"/>
              </w:rPr>
              <w:t>September 30, 2025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December 31, 2024</w:t>
            </w:r>
          </w:p>
        </w:tc>
      </w:tr>
      <w:tr>
        <w:trPr>
          <w:trHeight w:val="151"/>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Deferred tax assets:</w:t>
            </w:r>
          </w:p>
        </w:tc>
        <w:tc>
          <w:tcPr>
            <w:tcW w:w="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Net operating loss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3"/>
          </w:tcPr>
          <w:p>
            <w:pPr>
              <w:jc w:val="right"/>
              <w:ind w:right="40"/>
              <w:spacing w:after="0"/>
              <w:rPr>
                <w:sz w:val="20"/>
                <w:szCs w:val="20"/>
                <w:color w:val="auto"/>
              </w:rPr>
            </w:pPr>
            <w:r>
              <w:rPr>
                <w:rFonts w:ascii="Arial" w:cs="Arial" w:eastAsia="Arial" w:hAnsi="Arial"/>
                <w:sz w:val="13"/>
                <w:szCs w:val="13"/>
                <w:color w:val="auto"/>
              </w:rPr>
              <w:t>906</w:t>
            </w:r>
          </w:p>
        </w:tc>
        <w:tc>
          <w:tcPr>
            <w:tcW w:w="4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9,276</w:t>
            </w: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Allowance for credit losses</w:t>
            </w:r>
          </w:p>
        </w:tc>
        <w:tc>
          <w:tcPr>
            <w:tcW w:w="8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6,327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Lease liability</w:t>
            </w:r>
          </w:p>
        </w:tc>
        <w:tc>
          <w:tcPr>
            <w:tcW w:w="80" w:type="dxa"/>
            <w:vAlign w:val="bottom"/>
          </w:tcPr>
          <w:p>
            <w:pPr>
              <w:spacing w:after="0"/>
              <w:rPr>
                <w:sz w:val="14"/>
                <w:szCs w:val="14"/>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3"/>
                <w:szCs w:val="13"/>
                <w:color w:val="auto"/>
              </w:rPr>
              <w:t>1,592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2,142</w:t>
            </w: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Unrealized losses on available for sale securities</w:t>
            </w:r>
          </w:p>
        </w:tc>
        <w:tc>
          <w:tcPr>
            <w:tcW w:w="8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12,838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15,200</w:t>
            </w: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Depreciable property</w:t>
            </w:r>
          </w:p>
        </w:tc>
        <w:tc>
          <w:tcPr>
            <w:tcW w:w="80" w:type="dxa"/>
            <w:vAlign w:val="bottom"/>
          </w:tcPr>
          <w:p>
            <w:pPr>
              <w:spacing w:after="0"/>
              <w:rPr>
                <w:sz w:val="14"/>
                <w:szCs w:val="14"/>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3"/>
                <w:szCs w:val="13"/>
                <w:color w:val="auto"/>
              </w:rPr>
              <w:t>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Equity compensation</w:t>
            </w:r>
          </w:p>
        </w:tc>
        <w:tc>
          <w:tcPr>
            <w:tcW w:w="8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1,072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w:t>
            </w: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Accruals</w:t>
            </w:r>
          </w:p>
        </w:tc>
        <w:tc>
          <w:tcPr>
            <w:tcW w:w="80" w:type="dxa"/>
            <w:vAlign w:val="bottom"/>
          </w:tcPr>
          <w:p>
            <w:pPr>
              <w:spacing w:after="0"/>
              <w:rPr>
                <w:sz w:val="14"/>
                <w:szCs w:val="14"/>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3"/>
                <w:szCs w:val="13"/>
                <w:color w:val="auto"/>
              </w:rPr>
              <w:t>446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520</w:t>
            </w: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r>
      <w:tr>
        <w:trPr>
          <w:trHeight w:val="151"/>
        </w:trPr>
        <w:tc>
          <w:tcPr>
            <w:tcW w:w="4920" w:type="dxa"/>
            <w:vAlign w:val="bottom"/>
          </w:tcPr>
          <w:p>
            <w:pPr>
              <w:spacing w:after="0" w:line="148" w:lineRule="exact"/>
              <w:rPr>
                <w:sz w:val="20"/>
                <w:szCs w:val="20"/>
                <w:color w:val="auto"/>
              </w:rPr>
            </w:pPr>
            <w:r>
              <w:rPr>
                <w:rFonts w:ascii="Arial" w:cs="Arial" w:eastAsia="Arial" w:hAnsi="Arial"/>
                <w:sz w:val="13"/>
                <w:szCs w:val="13"/>
                <w:color w:val="auto"/>
              </w:rPr>
              <w:t>Deferred tax assets:</w:t>
            </w:r>
          </w:p>
        </w:tc>
        <w:tc>
          <w:tcPr>
            <w:tcW w:w="80" w:type="dxa"/>
            <w:vAlign w:val="bottom"/>
          </w:tcPr>
          <w:p>
            <w:pPr>
              <w:spacing w:after="0"/>
              <w:rPr>
                <w:sz w:val="13"/>
                <w:szCs w:val="13"/>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3"/>
                <w:szCs w:val="13"/>
                <w:color w:val="auto"/>
              </w:rPr>
              <w:t>23,185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34,027</w:t>
            </w:r>
          </w:p>
        </w:tc>
      </w:tr>
      <w:tr>
        <w:trPr>
          <w:trHeight w:val="171"/>
        </w:trPr>
        <w:tc>
          <w:tcPr>
            <w:tcW w:w="4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71"/>
        </w:trPr>
        <w:tc>
          <w:tcPr>
            <w:tcW w:w="4920" w:type="dxa"/>
            <w:vAlign w:val="bottom"/>
          </w:tcPr>
          <w:p>
            <w:pPr>
              <w:spacing w:after="0"/>
              <w:rPr>
                <w:sz w:val="20"/>
                <w:szCs w:val="20"/>
                <w:color w:val="auto"/>
              </w:rPr>
            </w:pPr>
            <w:r>
              <w:rPr>
                <w:rFonts w:ascii="Arial" w:cs="Arial" w:eastAsia="Arial" w:hAnsi="Arial"/>
                <w:sz w:val="13"/>
                <w:szCs w:val="13"/>
                <w:b w:val="1"/>
                <w:bCs w:val="1"/>
                <w:color w:val="auto"/>
              </w:rPr>
              <w:t>Deferred tax liabilities: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loan cost</w:t>
            </w:r>
          </w:p>
        </w:tc>
        <w:tc>
          <w:tcPr>
            <w:tcW w:w="8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(1,934)</w:t>
            </w: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Lease right of use asset</w:t>
            </w:r>
          </w:p>
        </w:tc>
        <w:tc>
          <w:tcPr>
            <w:tcW w:w="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3"/>
                <w:szCs w:val="13"/>
                <w:color w:val="auto"/>
              </w:rPr>
              <w:t>(1,592)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(2,142)</w:t>
            </w: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Deferred expenses</w:t>
            </w:r>
          </w:p>
        </w:tc>
        <w:tc>
          <w:tcPr>
            <w:tcW w:w="8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Cash flow hedge</w:t>
            </w:r>
          </w:p>
        </w:tc>
        <w:tc>
          <w:tcPr>
            <w:tcW w:w="80" w:type="dxa"/>
            <w:vAlign w:val="bottom"/>
          </w:tcPr>
          <w:p>
            <w:pPr>
              <w:spacing w:after="0"/>
              <w:rPr>
                <w:sz w:val="14"/>
                <w:szCs w:val="1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171"/>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1"/>
        </w:trPr>
        <w:tc>
          <w:tcPr>
            <w:tcW w:w="4920" w:type="dxa"/>
            <w:vAlign w:val="bottom"/>
          </w:tcPr>
          <w:p>
            <w:pPr>
              <w:spacing w:after="0" w:line="148" w:lineRule="exact"/>
              <w:rPr>
                <w:sz w:val="20"/>
                <w:szCs w:val="20"/>
                <w:color w:val="auto"/>
              </w:rPr>
            </w:pPr>
            <w:r>
              <w:rPr>
                <w:rFonts w:ascii="Arial" w:cs="Arial" w:eastAsia="Arial" w:hAnsi="Arial"/>
                <w:sz w:val="13"/>
                <w:szCs w:val="13"/>
                <w:color w:val="auto"/>
              </w:rPr>
              <w:t>Deferred tax liabilities</w:t>
            </w:r>
          </w:p>
        </w:tc>
        <w:tc>
          <w:tcPr>
            <w:tcW w:w="8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Arial" w:cs="Arial" w:eastAsia="Arial" w:hAnsi="Arial"/>
                <w:sz w:val="13"/>
                <w:szCs w:val="13"/>
                <w:color w:val="auto"/>
              </w:rPr>
              <w:t>(3,728)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(4,381)</w:t>
            </w:r>
          </w:p>
        </w:tc>
      </w:tr>
      <w:tr>
        <w:trPr>
          <w:trHeight w:val="171"/>
        </w:trPr>
        <w:tc>
          <w:tcPr>
            <w:tcW w:w="49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r>
      <w:tr>
        <w:trPr>
          <w:trHeight w:val="161"/>
        </w:trPr>
        <w:tc>
          <w:tcPr>
            <w:tcW w:w="4920" w:type="dxa"/>
            <w:vAlign w:val="bottom"/>
          </w:tcPr>
          <w:p>
            <w:pPr>
              <w:spacing w:after="0"/>
              <w:rPr>
                <w:sz w:val="20"/>
                <w:szCs w:val="20"/>
                <w:color w:val="auto"/>
              </w:rPr>
            </w:pPr>
            <w:r>
              <w:rPr>
                <w:rFonts w:ascii="Arial" w:cs="Arial" w:eastAsia="Arial" w:hAnsi="Arial"/>
                <w:sz w:val="13"/>
                <w:szCs w:val="13"/>
                <w:color w:val="auto"/>
              </w:rPr>
              <w:t>Net deferred tax assets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3"/>
          </w:tcPr>
          <w:p>
            <w:pPr>
              <w:jc w:val="right"/>
              <w:ind w:right="40"/>
              <w:spacing w:after="0"/>
              <w:rPr>
                <w:sz w:val="20"/>
                <w:szCs w:val="20"/>
                <w:color w:val="auto"/>
              </w:rPr>
            </w:pPr>
            <w:r>
              <w:rPr>
                <w:rFonts w:ascii="Arial" w:cs="Arial" w:eastAsia="Arial" w:hAnsi="Arial"/>
                <w:sz w:val="13"/>
                <w:szCs w:val="13"/>
                <w:color w:val="auto"/>
              </w:rPr>
              <w:t>19,457</w:t>
            </w:r>
          </w:p>
        </w:tc>
        <w:tc>
          <w:tcPr>
            <w:tcW w:w="4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29,646</w:t>
            </w:r>
          </w:p>
        </w:tc>
      </w:tr>
      <w:tr>
        <w:trPr>
          <w:trHeight w:val="20"/>
        </w:trPr>
        <w:tc>
          <w:tcPr>
            <w:tcW w:w="4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Company has approximately $20.8 million of state net operating loss carryforwards expiring in various amounts between 2031 and 2036 and which are limited to offset, to the extent permitted, future taxable earnings of the Company.</w:t>
      </w:r>
    </w:p>
    <w:p>
      <w:pPr>
        <w:spacing w:after="0" w:line="12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w:t>
      </w:r>
    </w:p>
    <w:p>
      <w:pPr>
        <w:spacing w:after="0" w:line="24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type w:val="continuous"/>
        </w:sectPr>
      </w:pPr>
    </w:p>
    <w:bookmarkStart w:id="20" w:name="page21"/>
    <w:bookmarkEnd w:id="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99"/>
        <w:spacing w:after="0" w:line="276" w:lineRule="auto"/>
        <w:rPr>
          <w:sz w:val="20"/>
          <w:szCs w:val="20"/>
          <w:color w:val="auto"/>
        </w:rPr>
      </w:pPr>
      <w:r>
        <w:rPr>
          <w:rFonts w:ascii="Arial" w:cs="Arial" w:eastAsia="Arial" w:hAnsi="Arial"/>
          <w:sz w:val="14"/>
          <w:szCs w:val="14"/>
          <w:color w:val="auto"/>
        </w:rPr>
        <w:t>Management considers the scheduled reversal of deferred tax liabilities, projected future taxable income, and tax planning strategies in making this assessment.</w:t>
      </w:r>
    </w:p>
    <w:p>
      <w:pPr>
        <w:spacing w:after="0" w:line="12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major tax jurisdictions where the Company files income tax returns are the U.S. federal jurisdiction and the State of Florida. With few exceptions, the Company is no longer subject to U.S. federal and state income tax return examinations by tax authorities for years before 2022.</w:t>
      </w:r>
    </w:p>
    <w:p>
      <w:pPr>
        <w:spacing w:after="0" w:line="11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For the nine months ended September 30, 2025 and 2024, the Company did not have any unrecognized tax benefits as a result of tax positions taken during a prior period or during the current period. Additionally, no interest or penalties were recorded as a result of tax uncertainties.</w:t>
      </w:r>
    </w:p>
    <w:p>
      <w:pPr>
        <w:spacing w:after="0" w:line="12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On July 4, 2025, the One Big Beautiful Bill Act (“OBBBA”) was enacted in the United States. The OBBBA includes significant provisions, such as the permanent extension of certain expiring provisions of the Tax Cuts and Jobs Act enacted in 2017, modifications to the international tax framework and the restoration of favorable tax treatment for certain business provisions, in particular the depreciation of capital asset additions. The legislation has multiple effective dates, with certain provisions effective in 2025 and others implemented through 2027. The Company is currently assessing its impact on its consolidated financial statements but preliminarily does not believe the OBBBA provisions will significantly modify its effective income tax rate.</w:t>
      </w:r>
    </w:p>
    <w:p>
      <w:pPr>
        <w:spacing w:after="0" w:line="128" w:lineRule="exact"/>
        <w:rPr>
          <w:sz w:val="20"/>
          <w:szCs w:val="20"/>
          <w:color w:val="auto"/>
        </w:rPr>
      </w:pPr>
    </w:p>
    <w:p>
      <w:pPr>
        <w:ind w:left="1040" w:hanging="377"/>
        <w:spacing w:after="0"/>
        <w:tabs>
          <w:tab w:leader="none" w:pos="104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02"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and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 sheet instruments.</w:t>
      </w:r>
    </w:p>
    <w:p>
      <w:pPr>
        <w:spacing w:after="0" w:line="127"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September 30, 2025 and December 31, 2024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Borders>
              <w:bottom w:val="single" w:sz="8" w:color="CCEEFF"/>
            </w:tcBorders>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98"/>
              </w:rPr>
              <w:t>September 30, 2025</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December 31, 2024</w:t>
            </w:r>
          </w:p>
        </w:tc>
      </w:tr>
      <w:tr>
        <w:trPr>
          <w:trHeight w:val="140"/>
        </w:trPr>
        <w:tc>
          <w:tcPr>
            <w:tcW w:w="480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140,146</w:t>
            </w:r>
          </w:p>
        </w:tc>
        <w:tc>
          <w:tcPr>
            <w:tcW w:w="8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122,578</w:t>
            </w:r>
          </w:p>
        </w:tc>
      </w:tr>
      <w:tr>
        <w:trPr>
          <w:trHeight w:val="171"/>
        </w:trPr>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3,855</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5,389</w:t>
            </w:r>
          </w:p>
        </w:tc>
      </w:tr>
      <w:tr>
        <w:trPr>
          <w:trHeight w:val="151"/>
        </w:trPr>
        <w:tc>
          <w:tcPr>
            <w:tcW w:w="100" w:type="dxa"/>
            <w:vAlign w:val="bottom"/>
            <w:shd w:val="clear" w:color="auto" w:fill="CCEEFF"/>
          </w:tcPr>
          <w:p>
            <w:pPr>
              <w:spacing w:after="0"/>
              <w:rPr>
                <w:sz w:val="13"/>
                <w:szCs w:val="13"/>
                <w:color w:val="auto"/>
              </w:rPr>
            </w:pPr>
          </w:p>
        </w:tc>
        <w:tc>
          <w:tcPr>
            <w:tcW w:w="47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144,001</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127,967</w:t>
            </w: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719" w:firstLine="256"/>
        <w:spacing w:after="0" w:line="276"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2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committed.</w:t>
      </w:r>
    </w:p>
    <w:p>
      <w:pPr>
        <w:spacing w:after="0" w:line="11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since many of them expire without being drawn upon, they do not generally present a significant liquidity risk to the Company.</w:t>
      </w:r>
    </w:p>
    <w:p>
      <w:pPr>
        <w:spacing w:after="0" w:line="135" w:lineRule="exact"/>
        <w:rPr>
          <w:sz w:val="20"/>
          <w:szCs w:val="20"/>
          <w:color w:val="auto"/>
        </w:rPr>
      </w:pPr>
    </w:p>
    <w:p>
      <w:pPr>
        <w:ind w:left="1040" w:hanging="377"/>
        <w:spacing w:after="0"/>
        <w:tabs>
          <w:tab w:leader="none" w:pos="104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02"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The Company utilizes interest rate swap agreements as part of its asset-liability management strategy to help manage its interest rate risk exposure. The notional amount of the interest rate swaps does not represent actual amounts exchanged by the parties. The amounts exchanged are determined by reference to the notional amount and the other terms of the individual interest rate swap agreements.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a Cash Flow Hedge</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In July 2025, the Company entered into a two-year costless collar hedge with a notional amount of $50 million to manage exposure to interest rate volatility on a three-month brokered CD. The derivative is based on the USD SOFR overnight index and establishes a cap rate of 4.50% and a floor rate of 1.875%, effectively creating a defined range of interest rate outcomes without requiring an upfront premium. The hedge was designated as a cash flow hedge under ASC 815, Derivatives and Hedging, and will be accounted for accordingly. Changes in the fair value of the derivative will be recorded in other comprehensive income (loss) to the extent the hedge remains effective.</w:t>
      </w:r>
    </w:p>
    <w:p>
      <w:pPr>
        <w:spacing w:after="0" w:line="139"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In August 2025, the Company entered into a two-year costless collar hedge with a notional amount of $50 million to manage exposure to interest rate volatility on a three-month brokered CD. The derivative is based on the USD SOFR overnight index and establishes a cap rate of 4.50% and a floor rate of 1.965%, effectively creating a defined range of interest rate outcomes without requiring an upfront premium. The hedge was designated as a cash flow hedge under ASC 815, Derivatives and Hedging, and will be accounted for accordingly. Changes in the fair value of the derivative will be recorded in other comprehensive income (loss) to the extent the hedge remains effective.</w:t>
      </w:r>
    </w:p>
    <w:p>
      <w:pPr>
        <w:spacing w:after="0" w:line="127"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As of September 30, 2025, the Company had two interest rate swap agreements with a notional aggregate amount of $50 million that were designated as cash flow hedges of certificates of deposit. The interest rate swap agreements have an average maturity of 0.63 years, a weighted average fixed-rate paid of 3.59%, and with a weighted average 3-month compound USD SOFR being received.</w:t>
      </w:r>
    </w:p>
    <w:p>
      <w:pPr>
        <w:spacing w:after="0" w:line="135"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As of December 31, 2024, the Company had two interest rate swap agreements with a notional aggregate amount of $50 million that were designated as cash flow hedges of certificates of deposit. The interest rate swap agreements have an average maturity of 1.38 years, a weighted average fixed-rate paid of 3.59%, and with a weighted average 3-month compound USD SOFR being received.</w:t>
      </w:r>
    </w:p>
    <w:p>
      <w:pPr>
        <w:spacing w:after="0" w:line="135"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The changes in fair value of these interest rate swaps are recorded in other assets or accrued interest and other liabilities with a corresponding recognition in other comprehensive income (loss) and subsequently reclassified to earnings when gains or losses are realized.</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 Designated as Fair Value Hedge</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Company had no interest rate swap agreements designated as fair value hedges at September 30, 2025. During the quarter ended September 30, 2024, the Company unwound four fair value interest rate swaps with a notional aggregate amount of $200 million. The decision to unwind these swaps was driven by changes in interest rate forecasts and asset-liability management strategies. The early termination fee to unwind the fair value swaps totaled $ 3.7 million. The termination fee allocated to each loan category is being amortized over the remining life of the hedge loans on a monthly straight-line basis with full recognition of the unamortized cost upon the early payoff of the hedge loans. The amortization of the termination fee is reflected in the loan interest income line in the Consolidated Statement of Operations. The remaining unamortized termination fee as of September 30, 2025 was $3.0 million. The original maturities of these fair value interest swaps were between 2025 and 2026. The fair value interest rate swap agreements had an average maturity of 1.51 years at the date of their termination.</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Interest Rate Swaps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Company enters into interest rate swaps with its loan customers. The Company had 82 and 60 interest rate swaps with loan customers with an aggregate notional amount of $ 277.9 million and $206.3 million at September 30, 2025 and December 31, 2024, respectively. At September 30, 2025, these interest rate swaps mature between 2025 and 2051. The Company entered into corresponding and offsetting derivatives with third parties. The fair value of the liability created by these derivatives requires the Company to provide the counterparty with funds to be held as collateral which the Company reports as other assets under the Consolidated Balance Sheets. While these derivatives represent economic hedges, they do not qualify as hedges for accounting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22" w:name="page23"/>
    <w:bookmarkEnd w:id="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reflects the Company’s interest rate swaps at the dates indicated (in thousands):</w:t>
      </w:r>
    </w:p>
    <w:p>
      <w:pPr>
        <w:sectPr>
          <w:pgSz w:w="11900" w:h="16838" w:orient="portrait"/>
          <w:cols w:equalWidth="0" w:num="1">
            <w:col w:w="9019"/>
          </w:cols>
          <w:pgMar w:left="1440" w:top="4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0"/>
          <w:szCs w:val="10"/>
          <w:b w:val="1"/>
          <w:bCs w:val="1"/>
          <w:color w:val="auto"/>
        </w:rPr>
        <w:t>September 30, 2025:</w:t>
      </w:r>
    </w:p>
    <w:p>
      <w:pPr>
        <w:spacing w:after="0" w:line="12" w:lineRule="exact"/>
        <w:rPr>
          <w:sz w:val="20"/>
          <w:szCs w:val="20"/>
          <w:color w:val="auto"/>
        </w:rPr>
      </w:pPr>
    </w:p>
    <w:p>
      <w:pPr>
        <w:ind w:left="800"/>
        <w:spacing w:after="0"/>
        <w:rPr>
          <w:sz w:val="20"/>
          <w:szCs w:val="20"/>
          <w:color w:val="auto"/>
        </w:rPr>
      </w:pPr>
      <w:r>
        <w:rPr>
          <w:rFonts w:ascii="Arial" w:cs="Arial" w:eastAsia="Arial" w:hAnsi="Arial"/>
          <w:sz w:val="10"/>
          <w:szCs w:val="10"/>
          <w:color w:val="auto"/>
        </w:rPr>
        <w:t>Derivatives designated as cash flow hedges:</w:t>
      </w:r>
    </w:p>
    <w:p>
      <w:pPr>
        <w:spacing w:after="0" w:line="67" w:lineRule="exact"/>
        <w:rPr>
          <w:sz w:val="20"/>
          <w:szCs w:val="20"/>
          <w:color w:val="auto"/>
        </w:rPr>
      </w:pPr>
    </w:p>
    <w:p>
      <w:pPr>
        <w:ind w:left="880"/>
        <w:spacing w:after="0"/>
        <w:rPr>
          <w:sz w:val="20"/>
          <w:szCs w:val="20"/>
          <w:color w:val="auto"/>
        </w:rPr>
      </w:pPr>
      <w:r>
        <w:rPr>
          <w:rFonts w:ascii="Arial" w:cs="Arial" w:eastAsia="Arial" w:hAnsi="Arial"/>
          <w:sz w:val="10"/>
          <w:szCs w:val="10"/>
          <w:color w:val="auto"/>
        </w:rPr>
        <w:t>Interest rate swaps</w:t>
      </w:r>
    </w:p>
    <w:p>
      <w:pPr>
        <w:spacing w:after="0" w:line="205" w:lineRule="exact"/>
        <w:rPr>
          <w:sz w:val="20"/>
          <w:szCs w:val="20"/>
          <w:color w:val="auto"/>
        </w:rPr>
      </w:pPr>
    </w:p>
    <w:p>
      <w:pPr>
        <w:jc w:val="center"/>
        <w:ind w:left="800"/>
        <w:spacing w:after="0"/>
        <w:rPr>
          <w:sz w:val="20"/>
          <w:szCs w:val="20"/>
          <w:color w:val="auto"/>
        </w:rPr>
      </w:pPr>
      <w:r>
        <w:rPr>
          <w:rFonts w:ascii="Arial" w:cs="Arial" w:eastAsia="Arial" w:hAnsi="Arial"/>
          <w:sz w:val="9"/>
          <w:szCs w:val="9"/>
          <w:color w:val="auto"/>
        </w:rPr>
        <w:t>Derivatives not designated as hedging instruments:</w:t>
      </w:r>
    </w:p>
    <w:p>
      <w:pPr>
        <w:spacing w:after="0" w:line="89" w:lineRule="exact"/>
        <w:rPr>
          <w:sz w:val="20"/>
          <w:szCs w:val="20"/>
          <w:color w:val="auto"/>
        </w:rPr>
      </w:pPr>
    </w:p>
    <w:p>
      <w:pPr>
        <w:jc w:val="center"/>
        <w:ind w:left="720"/>
        <w:spacing w:after="0"/>
        <w:rPr>
          <w:sz w:val="20"/>
          <w:szCs w:val="20"/>
          <w:color w:val="auto"/>
        </w:rPr>
      </w:pPr>
      <w:r>
        <w:rPr>
          <w:rFonts w:ascii="Arial" w:cs="Arial" w:eastAsia="Arial" w:hAnsi="Arial"/>
          <w:sz w:val="10"/>
          <w:szCs w:val="10"/>
          <w:color w:val="auto"/>
        </w:rPr>
        <w:t>Interest rate swaps related to customer loans</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0"/>
          <w:szCs w:val="10"/>
          <w:b w:val="1"/>
          <w:bCs w:val="1"/>
          <w:color w:val="auto"/>
        </w:rPr>
        <w:t>December 31, 2024:</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0"/>
          <w:szCs w:val="10"/>
          <w:color w:val="auto"/>
        </w:rPr>
        <w:t>Derivatives designated as cash flow hedges: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0"/>
          <w:szCs w:val="10"/>
          <w:color w:val="auto"/>
        </w:rPr>
        <w:t>Interest rate swaps</w:t>
      </w:r>
    </w:p>
    <w:p>
      <w:pPr>
        <w:spacing w:after="0" w:line="137" w:lineRule="exact"/>
        <w:rPr>
          <w:sz w:val="20"/>
          <w:szCs w:val="20"/>
          <w:color w:val="auto"/>
        </w:rPr>
      </w:pPr>
    </w:p>
    <w:p>
      <w:pPr>
        <w:jc w:val="center"/>
        <w:ind w:left="800"/>
        <w:spacing w:after="0"/>
        <w:rPr>
          <w:sz w:val="20"/>
          <w:szCs w:val="20"/>
          <w:color w:val="auto"/>
        </w:rPr>
      </w:pPr>
      <w:r>
        <w:rPr>
          <w:rFonts w:ascii="Arial" w:cs="Arial" w:eastAsia="Arial" w:hAnsi="Arial"/>
          <w:sz w:val="9"/>
          <w:szCs w:val="9"/>
          <w:color w:val="auto"/>
        </w:rPr>
        <w:t>Derivatives not designated as hedging instruments:</w:t>
      </w:r>
    </w:p>
    <w:p>
      <w:pPr>
        <w:spacing w:after="0" w:line="89" w:lineRule="exact"/>
        <w:rPr>
          <w:sz w:val="20"/>
          <w:szCs w:val="20"/>
          <w:color w:val="auto"/>
        </w:rPr>
      </w:pPr>
    </w:p>
    <w:p>
      <w:pPr>
        <w:jc w:val="center"/>
        <w:ind w:left="720"/>
        <w:spacing w:after="0"/>
        <w:rPr>
          <w:sz w:val="20"/>
          <w:szCs w:val="20"/>
          <w:color w:val="auto"/>
        </w:rPr>
      </w:pPr>
      <w:r>
        <w:rPr>
          <w:rFonts w:ascii="Arial" w:cs="Arial" w:eastAsia="Arial" w:hAnsi="Arial"/>
          <w:sz w:val="10"/>
          <w:szCs w:val="10"/>
          <w:color w:val="auto"/>
        </w:rPr>
        <w:t>Interest rate swaps related to customer loans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Notional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rPr>
              <w:t>Collateral</w:t>
            </w: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5"/>
              </w:rPr>
              <w:t>Amount</w:t>
            </w:r>
          </w:p>
        </w:tc>
        <w:tc>
          <w:tcPr>
            <w:tcW w:w="20" w:type="dxa"/>
            <w:vAlign w:val="bottom"/>
          </w:tcPr>
          <w:p>
            <w:pPr>
              <w:spacing w:after="0"/>
              <w:rPr>
                <w:sz w:val="10"/>
                <w:szCs w:val="10"/>
                <w:color w:val="auto"/>
              </w:rPr>
            </w:pPr>
          </w:p>
        </w:tc>
        <w:tc>
          <w:tcPr>
            <w:tcW w:w="1600" w:type="dxa"/>
            <w:vAlign w:val="bottom"/>
            <w:gridSpan w:val="2"/>
          </w:tcPr>
          <w:p>
            <w:pPr>
              <w:ind w:left="220"/>
              <w:spacing w:after="0"/>
              <w:rPr>
                <w:sz w:val="20"/>
                <w:szCs w:val="20"/>
                <w:color w:val="auto"/>
              </w:rPr>
            </w:pPr>
            <w:r>
              <w:rPr>
                <w:rFonts w:ascii="Arial" w:cs="Arial" w:eastAsia="Arial" w:hAnsi="Arial"/>
                <w:sz w:val="10"/>
                <w:szCs w:val="10"/>
                <w:b w:val="1"/>
                <w:bCs w:val="1"/>
                <w:color w:val="auto"/>
              </w:rPr>
              <w:t>Balance Sheet Location</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b w:val="1"/>
                <w:bCs w:val="1"/>
                <w:color w:val="auto"/>
              </w:rPr>
              <w:t>Asset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Liability</w:t>
            </w:r>
          </w:p>
        </w:tc>
        <w:tc>
          <w:tcPr>
            <w:tcW w:w="0" w:type="dxa"/>
            <w:vAlign w:val="bottom"/>
          </w:tcPr>
          <w:p>
            <w:pPr>
              <w:spacing w:after="0"/>
              <w:rPr>
                <w:sz w:val="1"/>
                <w:szCs w:val="1"/>
                <w:color w:val="auto"/>
              </w:rPr>
            </w:pPr>
          </w:p>
        </w:tc>
      </w:tr>
      <w:tr>
        <w:trPr>
          <w:trHeight w:val="107"/>
        </w:trPr>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right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right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5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lef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Other assets/Accrued interest and</w:t>
            </w:r>
          </w:p>
        </w:tc>
        <w:tc>
          <w:tcPr>
            <w:tcW w:w="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5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other liabilities</w:t>
            </w: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gridSpan w:val="2"/>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continue"/>
          </w:tcPr>
          <w:p>
            <w:pPr>
              <w:spacing w:after="0"/>
              <w:rPr>
                <w:sz w:val="9"/>
                <w:szCs w:val="9"/>
                <w:color w:val="auto"/>
              </w:rPr>
            </w:pPr>
          </w:p>
        </w:tc>
        <w:tc>
          <w:tcPr>
            <w:tcW w:w="5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150,000</w:t>
            </w:r>
          </w:p>
        </w:tc>
        <w:tc>
          <w:tcPr>
            <w:tcW w:w="8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continue"/>
          </w:tcPr>
          <w:p>
            <w:pPr>
              <w:spacing w:after="0"/>
              <w:rPr>
                <w:sz w:val="9"/>
                <w:szCs w:val="9"/>
                <w:color w:val="auto"/>
              </w:rPr>
            </w:pP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w:t>
            </w:r>
          </w:p>
        </w:tc>
        <w:tc>
          <w:tcPr>
            <w:tcW w:w="12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560" w:type="dxa"/>
            <w:vAlign w:val="bottom"/>
            <w:vMerge w:val="continue"/>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continue"/>
          </w:tcPr>
          <w:p>
            <w:pPr>
              <w:spacing w:after="0"/>
              <w:rPr>
                <w:sz w:val="9"/>
                <w:szCs w:val="9"/>
                <w:color w:val="auto"/>
              </w:rPr>
            </w:pPr>
          </w:p>
        </w:tc>
        <w:tc>
          <w:tcPr>
            <w:tcW w:w="4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56</w:t>
            </w:r>
          </w:p>
        </w:tc>
        <w:tc>
          <w:tcPr>
            <w:tcW w:w="6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continue"/>
          </w:tcPr>
          <w:p>
            <w:pPr>
              <w:spacing w:after="0"/>
              <w:rPr>
                <w:sz w:val="9"/>
                <w:szCs w:val="9"/>
                <w:color w:val="auto"/>
              </w:rPr>
            </w:pPr>
          </w:p>
        </w:tc>
        <w:tc>
          <w:tcPr>
            <w:tcW w:w="4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44</w:t>
            </w: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right w:val="single" w:sz="8" w:color="CCEEFF"/>
            </w:tcBorders>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0" w:type="dxa"/>
            <w:vAlign w:val="bottom"/>
            <w:gridSpan w:val="2"/>
            <w:shd w:val="clear" w:color="auto" w:fill="CCEEFF"/>
          </w:tcPr>
          <w:p>
            <w:pPr>
              <w:spacing w:after="0"/>
              <w:rPr>
                <w:sz w:val="9"/>
                <w:szCs w:val="9"/>
                <w:color w:val="auto"/>
              </w:rPr>
            </w:pPr>
          </w:p>
        </w:tc>
        <w:tc>
          <w:tcPr>
            <w:tcW w:w="6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2"/>
          </w:tcPr>
          <w:p>
            <w:pPr>
              <w:spacing w:after="0"/>
              <w:rPr>
                <w:sz w:val="20"/>
                <w:szCs w:val="20"/>
                <w:color w:val="auto"/>
              </w:rPr>
            </w:pPr>
            <w:r>
              <w:rPr>
                <w:rFonts w:ascii="Arial" w:cs="Arial" w:eastAsia="Arial" w:hAnsi="Arial"/>
                <w:sz w:val="10"/>
                <w:szCs w:val="10"/>
                <w:color w:val="auto"/>
              </w:rPr>
              <w:t>Other assets/Accrued interest and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277,924</w:t>
            </w:r>
          </w:p>
        </w:tc>
        <w:tc>
          <w:tcPr>
            <w:tcW w:w="80" w:type="dxa"/>
            <w:vAlign w:val="bottom"/>
          </w:tcPr>
          <w:p>
            <w:pPr>
              <w:spacing w:after="0"/>
              <w:rPr>
                <w:sz w:val="12"/>
                <w:szCs w:val="12"/>
                <w:color w:val="auto"/>
              </w:rPr>
            </w:pPr>
          </w:p>
        </w:tc>
        <w:tc>
          <w:tcPr>
            <w:tcW w:w="14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5,074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spacing w:after="0"/>
              <w:rPr>
                <w:sz w:val="20"/>
                <w:szCs w:val="20"/>
                <w:color w:val="auto"/>
              </w:rPr>
            </w:pPr>
            <w:r>
              <w:rPr>
                <w:rFonts w:ascii="Arial" w:cs="Arial" w:eastAsia="Arial" w:hAnsi="Arial"/>
                <w:sz w:val="10"/>
                <w:szCs w:val="10"/>
                <w:color w:val="auto"/>
              </w:rPr>
              <w:t>other liabilities</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10,033</w:t>
            </w:r>
          </w:p>
        </w:tc>
        <w:tc>
          <w:tcPr>
            <w:tcW w:w="60" w:type="dxa"/>
            <w:vAlign w:val="bottom"/>
          </w:tcPr>
          <w:p>
            <w:pPr>
              <w:spacing w:after="0"/>
              <w:rPr>
                <w:sz w:val="12"/>
                <w:szCs w:val="12"/>
                <w:color w:val="auto"/>
              </w:rPr>
            </w:pPr>
          </w:p>
        </w:tc>
        <w:tc>
          <w:tcPr>
            <w:tcW w:w="16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10,033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0" w:type="dxa"/>
            <w:vAlign w:val="bottom"/>
            <w:gridSpan w:val="2"/>
          </w:tcPr>
          <w:p>
            <w:pPr>
              <w:spacing w:after="0"/>
              <w:rPr>
                <w:sz w:val="9"/>
                <w:szCs w:val="9"/>
                <w:color w:val="auto"/>
              </w:rPr>
            </w:pPr>
          </w:p>
        </w:tc>
        <w:tc>
          <w:tcPr>
            <w:tcW w:w="60" w:type="dxa"/>
            <w:vAlign w:val="bottom"/>
            <w:tcBorders>
              <w:right w:val="single" w:sz="8" w:color="CCEEFF"/>
            </w:tcBorders>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gridSpan w:val="3"/>
            <w:shd w:val="clear" w:color="auto" w:fill="CCEEFF"/>
          </w:tcPr>
          <w:p>
            <w:pPr>
              <w:spacing w:after="0"/>
              <w:rPr>
                <w:sz w:val="9"/>
                <w:szCs w:val="9"/>
                <w:color w:val="auto"/>
              </w:rPr>
            </w:pPr>
          </w:p>
        </w:tc>
        <w:tc>
          <w:tcPr>
            <w:tcW w:w="680" w:type="dxa"/>
            <w:vAlign w:val="bottom"/>
            <w:tcBorders>
              <w:right w:val="single" w:sz="8" w:color="CCEEFF"/>
            </w:tcBorders>
            <w:gridSpan w:val="3"/>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2"/>
          </w:tcPr>
          <w:p>
            <w:pPr>
              <w:spacing w:after="0"/>
              <w:rPr>
                <w:sz w:val="9"/>
                <w:szCs w:val="9"/>
                <w:color w:val="auto"/>
              </w:rPr>
            </w:pPr>
          </w:p>
        </w:tc>
        <w:tc>
          <w:tcPr>
            <w:tcW w:w="140" w:type="dxa"/>
            <w:vAlign w:val="bottom"/>
            <w:tcBorders>
              <w:left w:val="single" w:sz="8" w:color="CCEEFF"/>
            </w:tcBorders>
            <w:gridSpan w:val="2"/>
            <w:shd w:val="clear" w:color="auto" w:fill="CCEEFF"/>
          </w:tcPr>
          <w:p>
            <w:pPr>
              <w:spacing w:after="0"/>
              <w:rPr>
                <w:sz w:val="9"/>
                <w:szCs w:val="9"/>
                <w:color w:val="auto"/>
              </w:rPr>
            </w:pPr>
          </w:p>
        </w:tc>
        <w:tc>
          <w:tcPr>
            <w:tcW w:w="500" w:type="dxa"/>
            <w:vAlign w:val="bottom"/>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gridSpan w:val="3"/>
            <w:shd w:val="clear" w:color="auto" w:fill="CCEEFF"/>
          </w:tcPr>
          <w:p>
            <w:pPr>
              <w:spacing w:after="0"/>
              <w:rPr>
                <w:sz w:val="9"/>
                <w:szCs w:val="9"/>
                <w:color w:val="auto"/>
              </w:rPr>
            </w:pPr>
          </w:p>
        </w:tc>
        <w:tc>
          <w:tcPr>
            <w:tcW w:w="560" w:type="dxa"/>
            <w:vAlign w:val="bottom"/>
            <w:gridSpan w:val="3"/>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0" w:type="dxa"/>
            <w:vAlign w:val="bottom"/>
            <w:gridSpan w:val="2"/>
          </w:tcPr>
          <w:p>
            <w:pPr>
              <w:spacing w:after="0"/>
              <w:rPr>
                <w:sz w:val="12"/>
                <w:szCs w:val="12"/>
                <w:color w:val="auto"/>
              </w:rPr>
            </w:pPr>
          </w:p>
        </w:tc>
        <w:tc>
          <w:tcPr>
            <w:tcW w:w="6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6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5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5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00" w:type="dxa"/>
            <w:vAlign w:val="bottom"/>
            <w:gridSpan w:val="2"/>
          </w:tcPr>
          <w:p>
            <w:pPr>
              <w:spacing w:after="0"/>
              <w:rPr>
                <w:sz w:val="9"/>
                <w:szCs w:val="9"/>
                <w:color w:val="auto"/>
              </w:rPr>
            </w:pPr>
          </w:p>
        </w:tc>
        <w:tc>
          <w:tcPr>
            <w:tcW w:w="60" w:type="dxa"/>
            <w:vAlign w:val="bottom"/>
            <w:tcBorders>
              <w:right w:val="single" w:sz="8" w:color="CCEEFF"/>
            </w:tcBorders>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gridSpan w:val="3"/>
            <w:shd w:val="clear" w:color="auto" w:fill="CCEEFF"/>
          </w:tcPr>
          <w:p>
            <w:pPr>
              <w:spacing w:after="0"/>
              <w:rPr>
                <w:sz w:val="9"/>
                <w:szCs w:val="9"/>
                <w:color w:val="auto"/>
              </w:rPr>
            </w:pPr>
          </w:p>
        </w:tc>
        <w:tc>
          <w:tcPr>
            <w:tcW w:w="680" w:type="dxa"/>
            <w:vAlign w:val="bottom"/>
            <w:tcBorders>
              <w:right w:val="single" w:sz="8" w:color="CCEEFF"/>
            </w:tcBorders>
            <w:gridSpan w:val="3"/>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2"/>
            <w:vMerge w:val="restart"/>
          </w:tcPr>
          <w:p>
            <w:pPr>
              <w:spacing w:after="0"/>
              <w:rPr>
                <w:sz w:val="20"/>
                <w:szCs w:val="20"/>
                <w:color w:val="auto"/>
              </w:rPr>
            </w:pPr>
            <w:r>
              <w:rPr>
                <w:rFonts w:ascii="Arial" w:cs="Arial" w:eastAsia="Arial" w:hAnsi="Arial"/>
                <w:sz w:val="10"/>
                <w:szCs w:val="10"/>
                <w:color w:val="auto"/>
              </w:rPr>
              <w:t>Other assets</w:t>
            </w:r>
          </w:p>
        </w:tc>
        <w:tc>
          <w:tcPr>
            <w:tcW w:w="140" w:type="dxa"/>
            <w:vAlign w:val="bottom"/>
            <w:tcBorders>
              <w:left w:val="single" w:sz="8" w:color="CCEEFF"/>
            </w:tcBorders>
            <w:gridSpan w:val="2"/>
            <w:shd w:val="clear" w:color="auto" w:fill="CCEEFF"/>
          </w:tcPr>
          <w:p>
            <w:pPr>
              <w:spacing w:after="0"/>
              <w:rPr>
                <w:sz w:val="9"/>
                <w:szCs w:val="9"/>
                <w:color w:val="auto"/>
              </w:rPr>
            </w:pPr>
          </w:p>
        </w:tc>
        <w:tc>
          <w:tcPr>
            <w:tcW w:w="500" w:type="dxa"/>
            <w:vAlign w:val="bottom"/>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gridSpan w:val="3"/>
            <w:shd w:val="clear" w:color="auto" w:fill="CCEEFF"/>
          </w:tcPr>
          <w:p>
            <w:pPr>
              <w:spacing w:after="0"/>
              <w:rPr>
                <w:sz w:val="9"/>
                <w:szCs w:val="9"/>
                <w:color w:val="auto"/>
              </w:rPr>
            </w:pPr>
          </w:p>
        </w:tc>
        <w:tc>
          <w:tcPr>
            <w:tcW w:w="560" w:type="dxa"/>
            <w:vAlign w:val="bottom"/>
            <w:gridSpan w:val="3"/>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0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50,000</w:t>
            </w:r>
          </w:p>
        </w:tc>
        <w:tc>
          <w:tcPr>
            <w:tcW w:w="80" w:type="dxa"/>
            <w:vAlign w:val="bottom"/>
          </w:tcPr>
          <w:p>
            <w:pPr>
              <w:spacing w:after="0"/>
              <w:rPr>
                <w:sz w:val="12"/>
                <w:szCs w:val="12"/>
                <w:color w:val="auto"/>
              </w:rPr>
            </w:pPr>
          </w:p>
        </w:tc>
        <w:tc>
          <w:tcPr>
            <w:tcW w:w="14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321</w:t>
            </w:r>
          </w:p>
        </w:tc>
        <w:tc>
          <w:tcPr>
            <w:tcW w:w="60" w:type="dxa"/>
            <w:vAlign w:val="bottom"/>
          </w:tcPr>
          <w:p>
            <w:pPr>
              <w:spacing w:after="0"/>
              <w:rPr>
                <w:sz w:val="12"/>
                <w:szCs w:val="12"/>
                <w:color w:val="auto"/>
              </w:rPr>
            </w:pPr>
          </w:p>
        </w:tc>
        <w:tc>
          <w:tcPr>
            <w:tcW w:w="16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right w:val="single" w:sz="8" w:color="CCEEFF"/>
            </w:tcBorders>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2"/>
          </w:tcPr>
          <w:p>
            <w:pPr>
              <w:spacing w:after="0"/>
              <w:rPr>
                <w:sz w:val="9"/>
                <w:szCs w:val="9"/>
                <w:color w:val="auto"/>
              </w:rPr>
            </w:pPr>
          </w:p>
        </w:tc>
        <w:tc>
          <w:tcPr>
            <w:tcW w:w="60" w:type="dxa"/>
            <w:vAlign w:val="bottom"/>
            <w:tcBorders>
              <w:lef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CCEEFF"/>
          </w:tcPr>
          <w:p>
            <w:pPr>
              <w:spacing w:after="0" w:line="104" w:lineRule="exact"/>
              <w:rPr>
                <w:sz w:val="20"/>
                <w:szCs w:val="20"/>
                <w:color w:val="auto"/>
              </w:rPr>
            </w:pPr>
            <w:r>
              <w:rPr>
                <w:rFonts w:ascii="Arial" w:cs="Arial" w:eastAsia="Arial" w:hAnsi="Arial"/>
                <w:sz w:val="10"/>
                <w:szCs w:val="10"/>
                <w:color w:val="auto"/>
              </w:rPr>
              <w:t>Other assets/Accrued interest and</w:t>
            </w:r>
          </w:p>
        </w:tc>
        <w:tc>
          <w:tcPr>
            <w:tcW w:w="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gridSpan w:val="2"/>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other liabilities</w:t>
            </w: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gridSpan w:val="2"/>
            <w:vMerge w:val="restart"/>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continue"/>
          </w:tcPr>
          <w:p>
            <w:pPr>
              <w:spacing w:after="0"/>
              <w:rPr>
                <w:sz w:val="9"/>
                <w:szCs w:val="9"/>
                <w:color w:val="auto"/>
              </w:rPr>
            </w:pPr>
          </w:p>
        </w:tc>
        <w:tc>
          <w:tcPr>
            <w:tcW w:w="5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206,258</w:t>
            </w:r>
          </w:p>
        </w:tc>
        <w:tc>
          <w:tcPr>
            <w:tcW w:w="80" w:type="dxa"/>
            <w:vAlign w:val="bottom"/>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continue"/>
          </w:tcPr>
          <w:p>
            <w:pPr>
              <w:spacing w:after="0"/>
              <w:rPr>
                <w:sz w:val="9"/>
                <w:szCs w:val="9"/>
                <w:color w:val="auto"/>
              </w:rPr>
            </w:pPr>
          </w:p>
        </w:tc>
        <w:tc>
          <w:tcPr>
            <w:tcW w:w="50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4,943</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vMerge w:val="continue"/>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continue"/>
          </w:tcPr>
          <w:p>
            <w:pPr>
              <w:spacing w:after="0"/>
              <w:rPr>
                <w:sz w:val="9"/>
                <w:szCs w:val="9"/>
                <w:color w:val="auto"/>
              </w:rPr>
            </w:pPr>
          </w:p>
        </w:tc>
        <w:tc>
          <w:tcPr>
            <w:tcW w:w="4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6,869</w:t>
            </w:r>
          </w:p>
        </w:tc>
        <w:tc>
          <w:tcPr>
            <w:tcW w:w="6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8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w w:val="71"/>
                <w:shd w:val="clear" w:color="auto" w:fill="CCEEFF"/>
              </w:rPr>
              <w:t>$</w:t>
            </w:r>
          </w:p>
        </w:tc>
        <w:tc>
          <w:tcPr>
            <w:tcW w:w="60" w:type="dxa"/>
            <w:vAlign w:val="bottom"/>
            <w:vMerge w:val="continue"/>
          </w:tcPr>
          <w:p>
            <w:pPr>
              <w:spacing w:after="0"/>
              <w:rPr>
                <w:sz w:val="9"/>
                <w:szCs w:val="9"/>
                <w:color w:val="auto"/>
              </w:rPr>
            </w:pPr>
          </w:p>
        </w:tc>
        <w:tc>
          <w:tcPr>
            <w:tcW w:w="440" w:type="dxa"/>
            <w:vAlign w:val="bottom"/>
            <w:shd w:val="clear" w:color="auto" w:fill="CCEEFF"/>
          </w:tcPr>
          <w:p>
            <w:pPr>
              <w:jc w:val="right"/>
              <w:spacing w:after="0" w:line="96" w:lineRule="exact"/>
              <w:rPr>
                <w:sz w:val="20"/>
                <w:szCs w:val="20"/>
                <w:color w:val="auto"/>
              </w:rPr>
            </w:pPr>
            <w:r>
              <w:rPr>
                <w:rFonts w:ascii="Arial" w:cs="Arial" w:eastAsia="Arial" w:hAnsi="Arial"/>
                <w:sz w:val="10"/>
                <w:szCs w:val="10"/>
                <w:color w:val="auto"/>
              </w:rPr>
              <w:t>6,869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040" w:space="720"/>
            <w:col w:w="5259"/>
          </w:cols>
          <w:pgMar w:left="1440" w:top="477" w:right="1440" w:bottom="1440" w:gutter="0" w:footer="0" w:header="0"/>
          <w:type w:val="continuous"/>
        </w:sectPr>
      </w:pPr>
    </w:p>
    <w:p>
      <w:pPr>
        <w:spacing w:after="0" w:line="117" w:lineRule="exact"/>
        <w:rPr>
          <w:sz w:val="20"/>
          <w:szCs w:val="20"/>
          <w:color w:val="auto"/>
        </w:rPr>
      </w:pPr>
    </w:p>
    <w:p>
      <w:pPr>
        <w:ind w:left="1040" w:hanging="377"/>
        <w:spacing w:after="0"/>
        <w:tabs>
          <w:tab w:leader="none" w:pos="10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Determination of Fair Value</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41"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Hierarchy</w:t>
      </w:r>
    </w:p>
    <w:p>
      <w:pPr>
        <w:spacing w:after="0" w:line="170"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18" w:lineRule="exact"/>
        <w:rPr>
          <w:sz w:val="20"/>
          <w:szCs w:val="20"/>
          <w:color w:val="auto"/>
        </w:rPr>
      </w:pPr>
    </w:p>
    <w:p>
      <w:pPr>
        <w:jc w:val="both"/>
        <w:ind w:left="1180" w:right="679"/>
        <w:spacing w:after="0" w:line="256"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135" w:lineRule="exact"/>
        <w:rPr>
          <w:sz w:val="20"/>
          <w:szCs w:val="20"/>
          <w:color w:val="auto"/>
        </w:rPr>
      </w:pPr>
    </w:p>
    <w:p>
      <w:pPr>
        <w:jc w:val="both"/>
        <w:ind w:left="1180" w:right="679"/>
        <w:spacing w:after="0" w:line="256"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35" w:lineRule="exact"/>
        <w:rPr>
          <w:sz w:val="20"/>
          <w:szCs w:val="20"/>
          <w:color w:val="auto"/>
        </w:rPr>
      </w:pPr>
    </w:p>
    <w:p>
      <w:pPr>
        <w:ind w:left="1180" w:right="699"/>
        <w:spacing w:after="0" w:line="276"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w:t>
      </w:r>
    </w:p>
    <w:p>
      <w:pPr>
        <w:spacing w:after="0" w:line="200" w:lineRule="exact"/>
        <w:rPr>
          <w:sz w:val="20"/>
          <w:szCs w:val="20"/>
          <w:color w:val="auto"/>
        </w:rPr>
      </w:pPr>
    </w:p>
    <w:p>
      <w:pPr>
        <w:spacing w:after="0" w:line="25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type w:val="continuous"/>
        </w:sectPr>
      </w:pPr>
    </w:p>
    <w:bookmarkStart w:id="23" w:name="page24"/>
    <w:bookmarkEnd w:id="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1180" w:right="699"/>
        <w:spacing w:after="0" w:line="276" w:lineRule="auto"/>
        <w:rPr>
          <w:sz w:val="20"/>
          <w:szCs w:val="20"/>
          <w:color w:val="auto"/>
        </w:rPr>
      </w:pPr>
      <w:r>
        <w:rPr>
          <w:rFonts w:ascii="Arial" w:cs="Arial" w:eastAsia="Arial" w:hAnsi="Arial"/>
          <w:sz w:val="14"/>
          <w:szCs w:val="14"/>
          <w:color w:val="auto"/>
        </w:rPr>
        <w:t>whose value is determined using pricing models, discounted cash flow methodologies, or similar techniques, as well as instruments for which determination of fair value requires significant management judgment or estimation.</w:t>
      </w:r>
    </w:p>
    <w:p>
      <w:pPr>
        <w:spacing w:after="0" w:line="120"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7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b w:val="1"/>
          <w:bCs w:val="1"/>
          <w:color w:val="auto"/>
        </w:rPr>
        <w:t xml:space="preserve">AFS investment securities: </w:t>
      </w:r>
      <w:r>
        <w:rPr>
          <w:rFonts w:ascii="Arial" w:cs="Arial" w:eastAsia="Arial" w:hAnsi="Arial"/>
          <w:sz w:val="14"/>
          <w:szCs w:val="14"/>
          <w:color w:val="auto"/>
        </w:rPr>
        <w:t>When instruments are traded in secondary markets and quoted market prices do not exist</w:t>
      </w:r>
      <w:r>
        <w:rPr>
          <w:rFonts w:ascii="Arial" w:cs="Arial" w:eastAsia="Arial" w:hAnsi="Arial"/>
          <w:sz w:val="14"/>
          <w:szCs w:val="14"/>
          <w:b w:val="1"/>
          <w:bCs w:val="1"/>
          <w:color w:val="auto"/>
        </w:rPr>
        <w:t xml:space="preserve"> </w:t>
      </w:r>
      <w:r>
        <w:rPr>
          <w:rFonts w:ascii="Arial" w:cs="Arial" w:eastAsia="Arial" w:hAnsi="Arial"/>
          <w:sz w:val="14"/>
          <w:szCs w:val="14"/>
          <w:color w:val="auto"/>
        </w:rPr>
        <w:t>for 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39"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represents the Company's assets and liabilities measured at fair value on a recurring basis at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September 30, 2025 and December 31, 2024 for each of the fair value hierarchy levels (in thousands):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rPr>
              <w:t>September 30, 2025</w:t>
            </w: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7"/>
          </w:tcPr>
          <w:p>
            <w:pPr>
              <w:jc w:val="right"/>
              <w:ind w:right="16"/>
              <w:spacing w:after="0"/>
              <w:rPr>
                <w:sz w:val="20"/>
                <w:szCs w:val="20"/>
                <w:color w:val="auto"/>
              </w:rPr>
            </w:pPr>
            <w:r>
              <w:rPr>
                <w:rFonts w:ascii="Arial" w:cs="Arial" w:eastAsia="Arial" w:hAnsi="Arial"/>
                <w:sz w:val="13"/>
                <w:szCs w:val="13"/>
                <w:b w:val="1"/>
                <w:bCs w:val="1"/>
                <w:color w:val="auto"/>
              </w:rPr>
              <w:t>December 31, 2024</w:t>
            </w:r>
          </w:p>
        </w:tc>
        <w:tc>
          <w:tcPr>
            <w:tcW w:w="640" w:type="dxa"/>
            <w:vAlign w:val="bottom"/>
            <w:tcBorders>
              <w:bottom w:val="single" w:sz="8" w:color="auto"/>
            </w:tcBorders>
          </w:tcPr>
          <w:p>
            <w:pPr>
              <w:spacing w:after="0"/>
              <w:rPr>
                <w:sz w:val="13"/>
                <w:szCs w:val="13"/>
                <w:color w:val="auto"/>
              </w:rPr>
            </w:pPr>
          </w:p>
        </w:tc>
      </w:tr>
      <w:tr>
        <w:trPr>
          <w:trHeight w:val="151"/>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5"/>
          </w:tcPr>
          <w:p>
            <w:pPr>
              <w:jc w:val="right"/>
              <w:ind w:right="112"/>
              <w:spacing w:after="0"/>
              <w:rPr>
                <w:sz w:val="20"/>
                <w:szCs w:val="20"/>
                <w:color w:val="auto"/>
              </w:rPr>
            </w:pPr>
            <w:r>
              <w:rPr>
                <w:rFonts w:ascii="Arial" w:cs="Arial" w:eastAsia="Arial" w:hAnsi="Arial"/>
                <w:sz w:val="13"/>
                <w:szCs w:val="13"/>
                <w:b w:val="1"/>
                <w:bCs w:val="1"/>
                <w:color w:val="auto"/>
                <w:w w:val="99"/>
              </w:rPr>
              <w:t>Level 1</w:t>
            </w: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3"/>
                <w:szCs w:val="13"/>
                <w:color w:val="auto"/>
              </w:rPr>
            </w:pPr>
          </w:p>
        </w:tc>
        <w:tc>
          <w:tcPr>
            <w:tcW w:w="680" w:type="dxa"/>
            <w:vAlign w:val="bottom"/>
            <w:gridSpan w:val="5"/>
          </w:tcPr>
          <w:p>
            <w:pPr>
              <w:jc w:val="right"/>
              <w:ind w:right="136"/>
              <w:spacing w:after="0"/>
              <w:rPr>
                <w:sz w:val="20"/>
                <w:szCs w:val="20"/>
                <w:color w:val="auto"/>
              </w:rPr>
            </w:pPr>
            <w:r>
              <w:rPr>
                <w:rFonts w:ascii="Arial" w:cs="Arial" w:eastAsia="Arial" w:hAnsi="Arial"/>
                <w:sz w:val="13"/>
                <w:szCs w:val="13"/>
                <w:b w:val="1"/>
                <w:bCs w:val="1"/>
                <w:color w:val="auto"/>
              </w:rPr>
              <w:t>Level 3</w:t>
            </w:r>
          </w:p>
        </w:tc>
        <w:tc>
          <w:tcPr>
            <w:tcW w:w="580" w:type="dxa"/>
            <w:vAlign w:val="bottom"/>
          </w:tcPr>
          <w:p>
            <w:pPr>
              <w:ind w:left="80"/>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640" w:type="dxa"/>
            <w:vAlign w:val="bottom"/>
            <w:gridSpan w:val="4"/>
          </w:tcPr>
          <w:p>
            <w:pPr>
              <w:jc w:val="right"/>
              <w:ind w:right="76"/>
              <w:spacing w:after="0"/>
              <w:rPr>
                <w:sz w:val="20"/>
                <w:szCs w:val="20"/>
                <w:color w:val="auto"/>
              </w:rPr>
            </w:pPr>
            <w:r>
              <w:rPr>
                <w:rFonts w:ascii="Arial" w:cs="Arial" w:eastAsia="Arial" w:hAnsi="Arial"/>
                <w:sz w:val="13"/>
                <w:szCs w:val="13"/>
                <w:b w:val="1"/>
                <w:bCs w:val="1"/>
                <w:color w:val="auto"/>
              </w:rPr>
              <w:t>Level 1</w:t>
            </w:r>
          </w:p>
        </w:tc>
        <w:tc>
          <w:tcPr>
            <w:tcW w:w="640" w:type="dxa"/>
            <w:vAlign w:val="bottom"/>
          </w:tcPr>
          <w:p>
            <w:pPr>
              <w:jc w:val="right"/>
              <w:ind w:right="76"/>
              <w:spacing w:after="0"/>
              <w:rPr>
                <w:sz w:val="20"/>
                <w:szCs w:val="20"/>
                <w:color w:val="auto"/>
              </w:rPr>
            </w:pPr>
            <w:r>
              <w:rPr>
                <w:rFonts w:ascii="Arial" w:cs="Arial" w:eastAsia="Arial" w:hAnsi="Arial"/>
                <w:sz w:val="13"/>
                <w:szCs w:val="13"/>
                <w:b w:val="1"/>
                <w:bCs w:val="1"/>
                <w:color w:val="auto"/>
              </w:rPr>
              <w:t>Level 2</w:t>
            </w:r>
          </w:p>
        </w:tc>
        <w:tc>
          <w:tcPr>
            <w:tcW w:w="20" w:type="dxa"/>
            <w:vAlign w:val="bottom"/>
          </w:tcPr>
          <w:p>
            <w:pPr>
              <w:spacing w:after="0"/>
              <w:rPr>
                <w:sz w:val="13"/>
                <w:szCs w:val="13"/>
                <w:color w:val="auto"/>
              </w:rPr>
            </w:pPr>
          </w:p>
        </w:tc>
        <w:tc>
          <w:tcPr>
            <w:tcW w:w="640" w:type="dxa"/>
            <w:vAlign w:val="bottom"/>
            <w:gridSpan w:val="5"/>
          </w:tcPr>
          <w:p>
            <w:pPr>
              <w:jc w:val="right"/>
              <w:ind w:right="96"/>
              <w:spacing w:after="0"/>
              <w:rPr>
                <w:sz w:val="20"/>
                <w:szCs w:val="20"/>
                <w:color w:val="auto"/>
              </w:rPr>
            </w:pPr>
            <w:r>
              <w:rPr>
                <w:rFonts w:ascii="Arial" w:cs="Arial" w:eastAsia="Arial" w:hAnsi="Arial"/>
                <w:sz w:val="13"/>
                <w:szCs w:val="13"/>
                <w:b w:val="1"/>
                <w:bCs w:val="1"/>
                <w:color w:val="auto"/>
              </w:rPr>
              <w:t>Level 3</w:t>
            </w:r>
          </w:p>
        </w:tc>
        <w:tc>
          <w:tcPr>
            <w:tcW w:w="640" w:type="dxa"/>
            <w:vAlign w:val="bottom"/>
          </w:tcPr>
          <w:p>
            <w:pPr>
              <w:jc w:val="right"/>
              <w:ind w:right="176"/>
              <w:spacing w:after="0"/>
              <w:rPr>
                <w:sz w:val="20"/>
                <w:szCs w:val="20"/>
                <w:color w:val="auto"/>
              </w:rPr>
            </w:pPr>
            <w:r>
              <w:rPr>
                <w:rFonts w:ascii="Arial" w:cs="Arial" w:eastAsia="Arial" w:hAnsi="Arial"/>
                <w:sz w:val="13"/>
                <w:szCs w:val="13"/>
                <w:b w:val="1"/>
                <w:bCs w:val="1"/>
                <w:color w:val="auto"/>
              </w:rPr>
              <w:t>Total</w:t>
            </w:r>
          </w:p>
        </w:tc>
      </w:tr>
      <w:tr>
        <w:trPr>
          <w:trHeight w:val="151"/>
        </w:trPr>
        <w:tc>
          <w:tcPr>
            <w:tcW w:w="254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rPr>
              <w:t>Investment securities available for sale:</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U.S. Government Agency</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4"/>
          </w:tcPr>
          <w:p>
            <w:pPr>
              <w:ind w:left="36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11,965</w:t>
            </w:r>
          </w:p>
        </w:tc>
        <w:tc>
          <w:tcPr>
            <w:tcW w:w="2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4"/>
          </w:tcPr>
          <w:p>
            <w:pPr>
              <w:ind w:left="340"/>
              <w:spacing w:after="0"/>
              <w:rPr>
                <w:sz w:val="20"/>
                <w:szCs w:val="20"/>
                <w:color w:val="auto"/>
              </w:rPr>
            </w:pPr>
            <w:r>
              <w:rPr>
                <w:rFonts w:ascii="Arial" w:cs="Arial" w:eastAsia="Arial" w:hAnsi="Arial"/>
                <w:sz w:val="13"/>
                <w:szCs w:val="13"/>
                <w:color w:val="auto"/>
              </w:rPr>
              <w:t>- $</w:t>
            </w:r>
          </w:p>
        </w:tc>
        <w:tc>
          <w:tcPr>
            <w:tcW w:w="580" w:type="dxa"/>
            <w:vAlign w:val="bottom"/>
          </w:tcPr>
          <w:p>
            <w:pPr>
              <w:ind w:left="160"/>
              <w:spacing w:after="0"/>
              <w:rPr>
                <w:sz w:val="20"/>
                <w:szCs w:val="20"/>
                <w:color w:val="auto"/>
              </w:rPr>
            </w:pPr>
            <w:r>
              <w:rPr>
                <w:rFonts w:ascii="Arial" w:cs="Arial" w:eastAsia="Arial" w:hAnsi="Arial"/>
                <w:sz w:val="13"/>
                <w:szCs w:val="13"/>
                <w:color w:val="auto"/>
              </w:rPr>
              <w:t>11,965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3"/>
          </w:tcPr>
          <w:p>
            <w:pPr>
              <w:ind w:left="34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12,625</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4"/>
          </w:tcPr>
          <w:p>
            <w:pPr>
              <w:ind w:left="34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12,625</w:t>
            </w:r>
          </w:p>
        </w:tc>
      </w:tr>
      <w:tr>
        <w:trPr>
          <w:trHeight w:val="151"/>
        </w:trPr>
        <w:tc>
          <w:tcPr>
            <w:tcW w:w="2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81,695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81,695</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78,905</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78,905</w:t>
            </w: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51,318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auto"/>
              </w:rPr>
              <w:t>51,318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46,933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46,933</w:t>
            </w:r>
          </w:p>
        </w:tc>
      </w:tr>
      <w:tr>
        <w:trPr>
          <w:trHeight w:val="151"/>
        </w:trPr>
        <w:tc>
          <w:tcPr>
            <w:tcW w:w="2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138,517</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shd w:val="clear" w:color="auto" w:fill="CCEEFF"/>
              </w:rPr>
              <w:t>138,517</w:t>
            </w: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78,739</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78,739</w:t>
            </w:r>
          </w:p>
        </w:tc>
      </w:tr>
      <w:tr>
        <w:trPr>
          <w:trHeight w:val="171"/>
        </w:trPr>
        <w:tc>
          <w:tcPr>
            <w:tcW w:w="2540" w:type="dxa"/>
            <w:vAlign w:val="bottom"/>
          </w:tcPr>
          <w:p>
            <w:pPr>
              <w:ind w:left="100"/>
              <w:spacing w:after="0"/>
              <w:rPr>
                <w:sz w:val="20"/>
                <w:szCs w:val="20"/>
                <w:color w:val="auto"/>
              </w:rPr>
            </w:pPr>
            <w:r>
              <w:rPr>
                <w:rFonts w:ascii="Arial" w:cs="Arial" w:eastAsia="Arial" w:hAnsi="Arial"/>
                <w:sz w:val="13"/>
                <w:szCs w:val="13"/>
                <w:color w:val="auto"/>
              </w:rPr>
              <w:t>Municipal securities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18,915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auto"/>
              </w:rPr>
              <w:t>18,915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19,311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19,311</w:t>
            </w:r>
          </w:p>
        </w:tc>
      </w:tr>
      <w:tr>
        <w:trPr>
          <w:trHeight w:val="171"/>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21,769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21,769</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23,708</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23,708</w:t>
            </w:r>
          </w:p>
        </w:tc>
      </w:tr>
      <w:tr>
        <w:trPr>
          <w:trHeight w:val="151"/>
        </w:trPr>
        <w:tc>
          <w:tcPr>
            <w:tcW w:w="2540" w:type="dxa"/>
            <w:vAlign w:val="bottom"/>
          </w:tcPr>
          <w:p>
            <w:pPr>
              <w:spacing w:after="0" w:line="148" w:lineRule="exact"/>
              <w:rPr>
                <w:sz w:val="20"/>
                <w:szCs w:val="20"/>
                <w:color w:val="auto"/>
              </w:rPr>
            </w:pPr>
            <w:r>
              <w:rPr>
                <w:rFonts w:ascii="Arial" w:cs="Arial" w:eastAsia="Arial" w:hAnsi="Arial"/>
                <w:sz w:val="13"/>
                <w:szCs w:val="13"/>
                <w:color w:val="auto"/>
              </w:rPr>
              <w:t>Total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324,179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auto"/>
              </w:rPr>
              <w:t>324,179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260,221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260,221</w:t>
            </w:r>
          </w:p>
        </w:tc>
      </w:tr>
      <w:tr>
        <w:trPr>
          <w:trHeight w:val="171"/>
        </w:trPr>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Derivative assets</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10,089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10,089</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7,190</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7,190</w:t>
            </w:r>
          </w:p>
        </w:tc>
      </w:tr>
      <w:tr>
        <w:trPr>
          <w:trHeight w:val="201"/>
        </w:trPr>
        <w:tc>
          <w:tcPr>
            <w:tcW w:w="2540" w:type="dxa"/>
            <w:vAlign w:val="bottom"/>
          </w:tcPr>
          <w:p>
            <w:pPr>
              <w:spacing w:after="0"/>
              <w:rPr>
                <w:sz w:val="20"/>
                <w:szCs w:val="20"/>
                <w:color w:val="auto"/>
              </w:rPr>
            </w:pPr>
            <w:r>
              <w:rPr>
                <w:rFonts w:ascii="Arial" w:cs="Arial" w:eastAsia="Arial" w:hAnsi="Arial"/>
                <w:sz w:val="13"/>
                <w:szCs w:val="13"/>
                <w:b w:val="1"/>
                <w:bCs w:val="1"/>
                <w:color w:val="auto"/>
              </w:rPr>
              <w:t>Total assets at fair value</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4"/>
          </w:tcPr>
          <w:p>
            <w:pPr>
              <w:ind w:left="36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334,268</w:t>
            </w:r>
          </w:p>
        </w:tc>
        <w:tc>
          <w:tcPr>
            <w:tcW w:w="2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4"/>
          </w:tcPr>
          <w:p>
            <w:pPr>
              <w:ind w:left="340"/>
              <w:spacing w:after="0"/>
              <w:rPr>
                <w:sz w:val="20"/>
                <w:szCs w:val="20"/>
                <w:color w:val="auto"/>
              </w:rPr>
            </w:pPr>
            <w:r>
              <w:rPr>
                <w:rFonts w:ascii="Arial" w:cs="Arial" w:eastAsia="Arial" w:hAnsi="Arial"/>
                <w:sz w:val="13"/>
                <w:szCs w:val="13"/>
                <w:color w:val="auto"/>
              </w:rPr>
              <w:t>- $</w:t>
            </w:r>
          </w:p>
        </w:tc>
        <w:tc>
          <w:tcPr>
            <w:tcW w:w="580" w:type="dxa"/>
            <w:vAlign w:val="bottom"/>
          </w:tcPr>
          <w:p>
            <w:pPr>
              <w:ind w:left="80"/>
              <w:spacing w:after="0"/>
              <w:rPr>
                <w:sz w:val="20"/>
                <w:szCs w:val="20"/>
                <w:color w:val="auto"/>
              </w:rPr>
            </w:pPr>
            <w:r>
              <w:rPr>
                <w:rFonts w:ascii="Arial" w:cs="Arial" w:eastAsia="Arial" w:hAnsi="Arial"/>
                <w:sz w:val="13"/>
                <w:szCs w:val="13"/>
                <w:color w:val="auto"/>
              </w:rPr>
              <w:t>334,268</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3"/>
          </w:tcPr>
          <w:p>
            <w:pPr>
              <w:ind w:left="34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267,411</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4"/>
          </w:tcPr>
          <w:p>
            <w:pPr>
              <w:ind w:left="34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267,411</w:t>
            </w:r>
          </w:p>
        </w:tc>
      </w:tr>
      <w:tr>
        <w:trPr>
          <w:trHeight w:val="121"/>
        </w:trPr>
        <w:tc>
          <w:tcPr>
            <w:tcW w:w="25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Derivative liabilities</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ind w:left="340"/>
              <w:spacing w:after="0" w:line="12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10,077</w:t>
            </w:r>
          </w:p>
        </w:tc>
        <w:tc>
          <w:tcPr>
            <w:tcW w:w="20" w:type="dxa"/>
            <w:vAlign w:val="bottom"/>
            <w:tcBorders>
              <w:bottom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rPr>
              <w:t>$</w:t>
            </w:r>
          </w:p>
        </w:tc>
        <w:tc>
          <w:tcPr>
            <w:tcW w:w="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ind w:left="320"/>
              <w:spacing w:after="0" w:line="12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ind w:left="160"/>
              <w:spacing w:after="0" w:line="121" w:lineRule="exact"/>
              <w:rPr>
                <w:sz w:val="20"/>
                <w:szCs w:val="20"/>
                <w:color w:val="auto"/>
              </w:rPr>
            </w:pPr>
            <w:r>
              <w:rPr>
                <w:rFonts w:ascii="Arial" w:cs="Arial" w:eastAsia="Arial" w:hAnsi="Arial"/>
                <w:sz w:val="13"/>
                <w:szCs w:val="13"/>
                <w:color w:val="auto"/>
              </w:rPr>
              <w:t>10,077</w:t>
            </w:r>
          </w:p>
        </w:tc>
        <w:tc>
          <w:tcPr>
            <w:tcW w:w="20" w:type="dxa"/>
            <w:vAlign w:val="bottom"/>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shd w:val="clear" w:color="auto" w:fill="CCEEFF"/>
          </w:tcPr>
          <w:p>
            <w:pPr>
              <w:ind w:left="340"/>
              <w:spacing w:after="0" w:line="12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6,869</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rPr>
              <w:t>$</w:t>
            </w:r>
          </w:p>
        </w:tc>
        <w:tc>
          <w:tcPr>
            <w:tcW w:w="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ind w:left="320"/>
              <w:spacing w:after="0" w:line="12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6,869</w:t>
            </w:r>
          </w:p>
        </w:tc>
      </w:tr>
      <w:tr>
        <w:trPr>
          <w:trHeight w:val="161"/>
        </w:trPr>
        <w:tc>
          <w:tcPr>
            <w:tcW w:w="2540" w:type="dxa"/>
            <w:vAlign w:val="bottom"/>
          </w:tcPr>
          <w:p>
            <w:pPr>
              <w:spacing w:after="0"/>
              <w:rPr>
                <w:sz w:val="20"/>
                <w:szCs w:val="20"/>
                <w:color w:val="auto"/>
              </w:rPr>
            </w:pPr>
            <w:r>
              <w:rPr>
                <w:rFonts w:ascii="Arial" w:cs="Arial" w:eastAsia="Arial" w:hAnsi="Arial"/>
                <w:sz w:val="13"/>
                <w:szCs w:val="13"/>
                <w:b w:val="1"/>
                <w:bCs w:val="1"/>
                <w:color w:val="auto"/>
              </w:rPr>
              <w:t>Total liabilities at fair value</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4"/>
          </w:tcPr>
          <w:p>
            <w:pPr>
              <w:ind w:left="360"/>
              <w:spacing w:after="0"/>
              <w:rPr>
                <w:sz w:val="20"/>
                <w:szCs w:val="20"/>
                <w:color w:val="auto"/>
              </w:rPr>
            </w:pPr>
            <w:r>
              <w:rPr>
                <w:rFonts w:ascii="Arial" w:cs="Arial" w:eastAsia="Arial" w:hAnsi="Arial"/>
                <w:sz w:val="13"/>
                <w:szCs w:val="13"/>
                <w:color w:val="auto"/>
              </w:rPr>
              <w:t>- $</w:t>
            </w:r>
          </w:p>
        </w:tc>
        <w:tc>
          <w:tcPr>
            <w:tcW w:w="620" w:type="dxa"/>
            <w:vAlign w:val="bottom"/>
          </w:tcPr>
          <w:p>
            <w:pPr>
              <w:jc w:val="right"/>
              <w:spacing w:after="0"/>
              <w:rPr>
                <w:sz w:val="20"/>
                <w:szCs w:val="20"/>
                <w:color w:val="auto"/>
              </w:rPr>
            </w:pPr>
            <w:r>
              <w:rPr>
                <w:rFonts w:ascii="Arial" w:cs="Arial" w:eastAsia="Arial" w:hAnsi="Arial"/>
                <w:sz w:val="13"/>
                <w:szCs w:val="13"/>
                <w:color w:val="auto"/>
              </w:rPr>
              <w:t>10,077</w:t>
            </w:r>
          </w:p>
        </w:tc>
        <w:tc>
          <w:tcPr>
            <w:tcW w:w="2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4"/>
          </w:tcPr>
          <w:p>
            <w:pPr>
              <w:ind w:left="340"/>
              <w:spacing w:after="0"/>
              <w:rPr>
                <w:sz w:val="20"/>
                <w:szCs w:val="20"/>
                <w:color w:val="auto"/>
              </w:rPr>
            </w:pPr>
            <w:r>
              <w:rPr>
                <w:rFonts w:ascii="Arial" w:cs="Arial" w:eastAsia="Arial" w:hAnsi="Arial"/>
                <w:sz w:val="13"/>
                <w:szCs w:val="13"/>
                <w:color w:val="auto"/>
              </w:rPr>
              <w:t>- $</w:t>
            </w:r>
          </w:p>
        </w:tc>
        <w:tc>
          <w:tcPr>
            <w:tcW w:w="580" w:type="dxa"/>
            <w:vAlign w:val="bottom"/>
          </w:tcPr>
          <w:p>
            <w:pPr>
              <w:ind w:left="160"/>
              <w:spacing w:after="0"/>
              <w:rPr>
                <w:sz w:val="20"/>
                <w:szCs w:val="20"/>
                <w:color w:val="auto"/>
              </w:rPr>
            </w:pPr>
            <w:r>
              <w:rPr>
                <w:rFonts w:ascii="Arial" w:cs="Arial" w:eastAsia="Arial" w:hAnsi="Arial"/>
                <w:sz w:val="13"/>
                <w:szCs w:val="13"/>
                <w:color w:val="auto"/>
              </w:rPr>
              <w:t>10,077</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3"/>
          </w:tcPr>
          <w:p>
            <w:pPr>
              <w:ind w:left="34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6,869</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4"/>
          </w:tcPr>
          <w:p>
            <w:pPr>
              <w:ind w:left="34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6,869</w:t>
            </w:r>
          </w:p>
        </w:tc>
      </w:tr>
      <w:tr>
        <w:trPr>
          <w:trHeight w:val="20"/>
        </w:trPr>
        <w:tc>
          <w:tcPr>
            <w:tcW w:w="2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24" w:name="page25"/>
    <w:bookmarkEnd w:id="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ind w:left="2800"/>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Fair Value Measurements on a Nonrecurring Basis</w:t>
      </w:r>
    </w:p>
    <w:p>
      <w:pPr>
        <w:spacing w:after="0" w:line="170" w:lineRule="exact"/>
        <w:rPr>
          <w:sz w:val="20"/>
          <w:szCs w:val="20"/>
          <w:color w:val="auto"/>
        </w:rPr>
      </w:pPr>
    </w:p>
    <w:p>
      <w:pPr>
        <w:ind w:left="660" w:right="739" w:firstLine="256"/>
        <w:spacing w:after="0" w:line="276" w:lineRule="auto"/>
        <w:rPr>
          <w:sz w:val="20"/>
          <w:szCs w:val="20"/>
          <w:color w:val="auto"/>
        </w:rPr>
      </w:pPr>
      <w:r>
        <w:rPr>
          <w:rFonts w:ascii="Arial" w:cs="Arial" w:eastAsia="Arial" w:hAnsi="Arial"/>
          <w:sz w:val="14"/>
          <w:szCs w:val="14"/>
          <w:color w:val="auto"/>
        </w:rPr>
        <w:t>During the three and nine months ended September 30, 2025 and 2024, the Company did not have any assets or liabilities measured at fair value on a nonrecurring basis.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Items Not Measured at Fair Value</w:t>
      </w:r>
    </w:p>
    <w:p>
      <w:pPr>
        <w:spacing w:after="0" w:line="159" w:lineRule="exact"/>
        <w:rPr>
          <w:sz w:val="20"/>
          <w:szCs w:val="20"/>
          <w:color w:val="auto"/>
        </w:rPr>
      </w:pPr>
    </w:p>
    <w:p>
      <w:pPr>
        <w:ind w:left="660" w:right="699" w:firstLine="256"/>
        <w:spacing w:after="0" w:line="292" w:lineRule="auto"/>
        <w:rPr>
          <w:sz w:val="20"/>
          <w:szCs w:val="20"/>
          <w:color w:val="auto"/>
        </w:rPr>
      </w:pPr>
      <w:r>
        <w:rPr>
          <w:rFonts w:ascii="Arial" w:cs="Arial" w:eastAsia="Arial" w:hAnsi="Arial"/>
          <w:sz w:val="14"/>
          <w:szCs w:val="14"/>
          <w:color w:val="auto"/>
        </w:rPr>
        <w:t>The following table presents the carrying amounts and estimated fair values of financial instruments not carried at fair value as of September 30, 2025 and December 31, 2024 (in thousands):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7"/>
          </w:tcPr>
          <w:p>
            <w:pPr>
              <w:jc w:val="right"/>
              <w:ind w:right="16"/>
              <w:spacing w:after="0"/>
              <w:rPr>
                <w:sz w:val="20"/>
                <w:szCs w:val="20"/>
                <w:color w:val="auto"/>
              </w:rPr>
            </w:pPr>
            <w:r>
              <w:rPr>
                <w:rFonts w:ascii="Arial" w:cs="Arial" w:eastAsia="Arial" w:hAnsi="Arial"/>
                <w:sz w:val="13"/>
                <w:szCs w:val="13"/>
                <w:b w:val="1"/>
                <w:bCs w:val="1"/>
                <w:color w:val="auto"/>
              </w:rPr>
              <w:t>Fair Value Hierarchy</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2"/>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6"/>
              <w:spacing w:after="0"/>
              <w:rPr>
                <w:sz w:val="20"/>
                <w:szCs w:val="20"/>
                <w:color w:val="auto"/>
              </w:rPr>
            </w:pPr>
            <w:r>
              <w:rPr>
                <w:rFonts w:ascii="Arial" w:cs="Arial" w:eastAsia="Arial" w:hAnsi="Arial"/>
                <w:sz w:val="13"/>
                <w:szCs w:val="13"/>
                <w:b w:val="1"/>
                <w:bCs w:val="1"/>
                <w:color w:val="auto"/>
              </w:rPr>
              <w:t>Carrying</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Fair Value</w:t>
            </w:r>
          </w:p>
        </w:tc>
      </w:tr>
      <w:tr>
        <w:trPr>
          <w:trHeight w:val="160"/>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76"/>
              <w:spacing w:after="0"/>
              <w:rPr>
                <w:sz w:val="20"/>
                <w:szCs w:val="20"/>
                <w:color w:val="auto"/>
              </w:rPr>
            </w:pPr>
            <w:r>
              <w:rPr>
                <w:rFonts w:ascii="Arial" w:cs="Arial" w:eastAsia="Arial" w:hAnsi="Arial"/>
                <w:sz w:val="13"/>
                <w:szCs w:val="13"/>
                <w:b w:val="1"/>
                <w:bCs w:val="1"/>
                <w:color w:val="auto"/>
              </w:rPr>
              <w:t>Level 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76"/>
              <w:spacing w:after="0"/>
              <w:rPr>
                <w:sz w:val="20"/>
                <w:szCs w:val="20"/>
                <w:color w:val="auto"/>
              </w:rPr>
            </w:pPr>
            <w:r>
              <w:rPr>
                <w:rFonts w:ascii="Arial" w:cs="Arial" w:eastAsia="Arial" w:hAnsi="Arial"/>
                <w:sz w:val="13"/>
                <w:szCs w:val="13"/>
                <w:b w:val="1"/>
                <w:bCs w:val="1"/>
                <w:color w:val="auto"/>
              </w:rPr>
              <w:t>Amount</w:t>
            </w:r>
          </w:p>
        </w:tc>
      </w:tr>
      <w:tr>
        <w:trPr>
          <w:trHeight w:val="151"/>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September 30, 2025:</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Financial Assets: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9,988</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deposits in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46,823</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46,823</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46,823</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 net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156,365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143,299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143,299</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Loans held for investment, net</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2,106,002</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2,143,816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2,143,816</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12,126</w:t>
            </w: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Non-interest bearing demand deposits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584,240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584,240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584,240</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Savings and money market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1,291,283</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1,291,283</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1,291,283</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demand deposits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60,016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60,016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60,016</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520,075</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519,740</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519,740</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11,045</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Subordinated notes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39,262</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39,262</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39,262</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payable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3,184</w:t>
            </w:r>
          </w:p>
        </w:tc>
      </w:tr>
      <w:tr>
        <w:trPr>
          <w:trHeight w:val="171"/>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Financial Assets: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6,986</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Interest-bearing deposits in banks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70,049</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70,049</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70,049</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164,694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145,540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145,540</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Loans held for investment, net</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1,948,778</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1,950,646</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1,950,646</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10,945</w:t>
            </w: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Financial Liabilities: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Non-interest bearing demand deposits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575,159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575,159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575,159</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Savings and money market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1,180,809</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1,180,809</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1,180,809</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demand deposits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50,648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50,648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50,648</w:t>
            </w:r>
          </w:p>
        </w:tc>
      </w:tr>
      <w:tr>
        <w:trPr>
          <w:trHeight w:val="171"/>
        </w:trPr>
        <w:tc>
          <w:tcPr>
            <w:tcW w:w="2640" w:type="dxa"/>
            <w:vAlign w:val="bottom"/>
          </w:tcPr>
          <w:p>
            <w:pPr>
              <w:ind w:left="100"/>
              <w:spacing w:after="0"/>
              <w:rPr>
                <w:sz w:val="20"/>
                <w:szCs w:val="20"/>
                <w:color w:val="auto"/>
              </w:rPr>
            </w:pPr>
            <w:r>
              <w:rPr>
                <w:rFonts w:ascii="Arial" w:cs="Arial" w:eastAsia="Arial" w:hAnsi="Arial"/>
                <w:sz w:val="13"/>
                <w:szCs w:val="13"/>
                <w:color w:val="auto"/>
              </w:rPr>
              <w:t>Time deposits</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367,388</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366,479</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366,479</w:t>
            </w:r>
          </w:p>
        </w:tc>
      </w:tr>
      <w:tr>
        <w:trPr>
          <w:trHeight w:val="171"/>
        </w:trPr>
        <w:tc>
          <w:tcPr>
            <w:tcW w:w="2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163,000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161,375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161,375</w:t>
            </w:r>
          </w:p>
        </w:tc>
      </w:tr>
      <w:tr>
        <w:trPr>
          <w:trHeight w:val="179"/>
        </w:trPr>
        <w:tc>
          <w:tcPr>
            <w:tcW w:w="2640" w:type="dxa"/>
            <w:vAlign w:val="bottom"/>
          </w:tcPr>
          <w:p>
            <w:pPr>
              <w:ind w:left="100"/>
              <w:spacing w:after="0"/>
              <w:rPr>
                <w:sz w:val="20"/>
                <w:szCs w:val="20"/>
                <w:color w:val="auto"/>
              </w:rPr>
            </w:pPr>
            <w:r>
              <w:rPr>
                <w:rFonts w:ascii="Arial" w:cs="Arial" w:eastAsia="Arial" w:hAnsi="Arial"/>
                <w:sz w:val="13"/>
                <w:szCs w:val="13"/>
                <w:color w:val="auto"/>
              </w:rPr>
              <w:t>Accrued interest payable</w:t>
            </w:r>
          </w:p>
        </w:tc>
        <w:tc>
          <w:tcPr>
            <w:tcW w:w="320" w:type="dxa"/>
            <w:vAlign w:val="bottom"/>
            <w:gridSpan w:val="2"/>
          </w:tcPr>
          <w:p>
            <w:pPr>
              <w:jc w:val="right"/>
              <w:ind w:right="12"/>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2,125</w:t>
            </w:r>
          </w:p>
        </w:tc>
        <w:tc>
          <w:tcPr>
            <w:tcW w:w="220" w:type="dxa"/>
            <w:vAlign w:val="bottom"/>
            <w:gridSpan w:val="2"/>
          </w:tcPr>
          <w:p>
            <w:pPr>
              <w:jc w:val="right"/>
              <w:ind w:right="52"/>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80" w:type="dxa"/>
            <w:vAlign w:val="bottom"/>
            <w:gridSpan w:val="2"/>
          </w:tcPr>
          <w:p>
            <w:pPr>
              <w:jc w:val="right"/>
              <w:ind w:right="52"/>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2,125</w:t>
            </w:r>
          </w:p>
        </w:tc>
        <w:tc>
          <w:tcPr>
            <w:tcW w:w="24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740" w:type="dxa"/>
            <w:vAlign w:val="bottom"/>
          </w:tcPr>
          <w:p>
            <w:pPr>
              <w:ind w:left="66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2,125</w:t>
            </w:r>
          </w:p>
        </w:tc>
      </w:tr>
    </w:tbl>
    <w:p>
      <w:pPr>
        <w:spacing w:after="0" w:line="309" w:lineRule="exact"/>
        <w:rPr>
          <w:sz w:val="20"/>
          <w:szCs w:val="20"/>
          <w:color w:val="auto"/>
        </w:rPr>
      </w:pPr>
    </w:p>
    <w:p>
      <w:pPr>
        <w:ind w:left="1040" w:hanging="377"/>
        <w:spacing w:after="0"/>
        <w:tabs>
          <w:tab w:leader="none" w:pos="104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Common Stock</w:t>
      </w:r>
    </w:p>
    <w:p>
      <w:pPr>
        <w:spacing w:after="0" w:line="170" w:lineRule="exact"/>
        <w:rPr>
          <w:sz w:val="20"/>
          <w:szCs w:val="20"/>
          <w:color w:val="auto"/>
        </w:rPr>
      </w:pPr>
    </w:p>
    <w:p>
      <w:pPr>
        <w:jc w:val="both"/>
        <w:ind w:left="660" w:right="659" w:firstLine="256"/>
        <w:spacing w:after="0" w:line="248" w:lineRule="auto"/>
        <w:rPr>
          <w:sz w:val="20"/>
          <w:szCs w:val="20"/>
          <w:color w:val="auto"/>
        </w:rPr>
      </w:pPr>
      <w:r>
        <w:rPr>
          <w:rFonts w:ascii="Arial" w:cs="Arial" w:eastAsia="Arial" w:hAnsi="Arial"/>
          <w:sz w:val="14"/>
          <w:szCs w:val="14"/>
          <w:color w:val="auto"/>
        </w:rPr>
        <w:t>During the three months ended September 30 2025, the Company repurchased 2.0 million shares of Class A common stock from certain institutional shareholders through privately negotiated transactions, at a weighted average price per share of $17.19. The aggregate purchase price for these transactions was approximately $34.4 million. The repurchases were supplemental and not part of the Company’s two previously announced stock repurchase programs. During the nine months ended September 30, 2025 pursuant to the Company’s publicly announced repurchase programs the Company repurchased 9,671 shares of Class A common stock at a weighted average price per share of $17.91. The aggregate purchase price for these transactions was approximately $ 174 thousand including transaction costs. As of September 30, 2025, 528,309 shares remained authorized for repurchase under the Company’s two stock repurchase programs.</w:t>
      </w:r>
    </w:p>
    <w:p>
      <w:pPr>
        <w:spacing w:after="0" w:line="200" w:lineRule="exact"/>
        <w:rPr>
          <w:sz w:val="20"/>
          <w:szCs w:val="20"/>
          <w:color w:val="auto"/>
        </w:rPr>
      </w:pPr>
    </w:p>
    <w:p>
      <w:pPr>
        <w:spacing w:after="0" w:line="21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25" w:name="page26"/>
    <w:bookmarkEnd w:id="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During the three months ended September 30, 2024, the Company repurchased 10,000 shares of Class A common stock at a weighted average price per share of $ 11.99 . The aggregate purchase price for these transactions was approximately $120 thousand, including transaction costs. During the nine months ended September 30, 2024, Company repurchased 42,100 shares of Class A common stock at a weighted average price per share of $ 11.90. The aggregate purchase price for these transactions was approximately $ 501 thousand, including transaction costs</w:t>
      </w:r>
    </w:p>
    <w:p>
      <w:pPr>
        <w:spacing w:after="0" w:line="14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There were no restricted stock awards issued in the three months ended September 30, 2025. During the nine months ended September 30, 2025, the Company issued 124,424 shares of Class A common stock to employees as restricted stock awards pursuant to the Company’s 2015 equity incentive plan.</w:t>
      </w:r>
    </w:p>
    <w:p>
      <w:pPr>
        <w:spacing w:after="0" w:line="11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There were no restricted stock awards issued in the three months ended September 30, 2024. For the nine month ended September 30, 2024 the Company issued 52,753 shares of Class A common stock to employees as restricted stock awards pursuant to the Company’s 2015 equity incentive plan.</w:t>
      </w:r>
    </w:p>
    <w:p>
      <w:pPr>
        <w:spacing w:after="0" w:line="12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number of shares of the Company’s Class A common stock issued and outstanding as of September 30, 2025 and December 31, 2024 were 18,107,385 and 19,924,632, respectively.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59"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Declaration of dividends by the Board of Directors is required before dividend payments are made. The Company is limited in the amount of cash dividends that it may pay. Payment of dividends is generally limited to the Company’s net income of the current year combined with the Company’s retained income for the preceding two years, as defined by state banking regulations. However, for any dividend declaration, the Company must consider additional factors such as the amount of current period net income, liquidity, asset quality, capital adequacy and economic conditions at the Bank since the Bank is the primary source of funds to fund dividends by the Company. It is likely that these factors would further limit the amount of dividends which the Company could legally declare. In addition, bank regulators have the authority to prohibit banks and bank holding companies from paying dividends if they deem such payment to be an unsafe or unsound practice.</w:t>
      </w:r>
    </w:p>
    <w:p>
      <w:pPr>
        <w:spacing w:after="0" w:line="131" w:lineRule="exact"/>
        <w:rPr>
          <w:sz w:val="20"/>
          <w:szCs w:val="20"/>
          <w:color w:val="auto"/>
        </w:rPr>
      </w:pPr>
    </w:p>
    <w:p>
      <w:pPr>
        <w:jc w:val="both"/>
        <w:ind w:left="660" w:right="659" w:firstLine="256"/>
        <w:spacing w:after="0" w:line="255" w:lineRule="auto"/>
        <w:rPr>
          <w:sz w:val="20"/>
          <w:szCs w:val="20"/>
          <w:color w:val="auto"/>
        </w:rPr>
      </w:pPr>
      <w:r>
        <w:rPr>
          <w:rFonts w:ascii="Arial" w:cs="Arial" w:eastAsia="Arial" w:hAnsi="Arial"/>
          <w:sz w:val="14"/>
          <w:szCs w:val="14"/>
          <w:color w:val="auto"/>
        </w:rPr>
        <w:t>As of September 30, 2025, the Company was not subject to any formal supervisory restrictions on its ability to pay dividends but will notify the Federal Reserve Bank of Atlanta in advance of any proposed dividend to the Company's stockholders in light of the Bank's negative retained earnings. In addition, under applicable FDIC regulations and policy, because the Bank has negative retained earnings, it must obtain the prior approval of the FDIC before effecting a cash dividend or other capital distribution from the Bank to the Company.</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details the dividends declared and paid by the Company for the periods presented: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Nine Months Ended September 30, 2025</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14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3"/>
                <w:szCs w:val="13"/>
                <w:b w:val="1"/>
                <w:bCs w:val="1"/>
                <w:color w:val="auto"/>
              </w:rPr>
              <w:t>Declaration Date</w:t>
            </w:r>
          </w:p>
        </w:tc>
        <w:tc>
          <w:tcPr>
            <w:tcW w:w="80" w:type="dxa"/>
            <w:vAlign w:val="bottom"/>
            <w:tcBorders>
              <w:top w:val="single" w:sz="8" w:color="auto"/>
              <w:bottom w:val="single" w:sz="8" w:color="CCEEFF"/>
            </w:tcBorders>
          </w:tcPr>
          <w:p>
            <w:pPr>
              <w:spacing w:after="0"/>
              <w:rPr>
                <w:sz w:val="13"/>
                <w:szCs w:val="13"/>
                <w:color w:val="auto"/>
              </w:rPr>
            </w:pPr>
          </w:p>
        </w:tc>
        <w:tc>
          <w:tcPr>
            <w:tcW w:w="14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3"/>
                <w:szCs w:val="13"/>
                <w:b w:val="1"/>
                <w:bCs w:val="1"/>
                <w:color w:val="auto"/>
              </w:rPr>
              <w:t>Record Date</w:t>
            </w:r>
          </w:p>
        </w:tc>
        <w:tc>
          <w:tcPr>
            <w:tcW w:w="60" w:type="dxa"/>
            <w:vAlign w:val="bottom"/>
            <w:tcBorders>
              <w:top w:val="single" w:sz="8" w:color="auto"/>
              <w:bottom w:val="single" w:sz="8" w:color="CCEEFF"/>
            </w:tcBorders>
          </w:tcPr>
          <w:p>
            <w:pPr>
              <w:spacing w:after="0"/>
              <w:rPr>
                <w:sz w:val="13"/>
                <w:szCs w:val="13"/>
                <w:color w:val="auto"/>
              </w:rPr>
            </w:pPr>
          </w:p>
        </w:tc>
        <w:tc>
          <w:tcPr>
            <w:tcW w:w="14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b w:val="1"/>
                <w:bCs w:val="1"/>
                <w:color w:val="auto"/>
              </w:rPr>
              <w:t>Payment Date</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Dividend Per Share</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Dividend Amount</w:t>
            </w:r>
          </w:p>
        </w:tc>
      </w:tr>
      <w:tr>
        <w:trPr>
          <w:trHeight w:val="151"/>
        </w:trPr>
        <w:tc>
          <w:tcPr>
            <w:tcW w:w="1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January 21, 2025</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February 14, 2025</w:t>
            </w: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March 5, 2025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0.10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14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2.0 million</w:t>
            </w:r>
          </w:p>
        </w:tc>
      </w:tr>
      <w:tr>
        <w:trPr>
          <w:trHeight w:val="171"/>
        </w:trPr>
        <w:tc>
          <w:tcPr>
            <w:tcW w:w="1420" w:type="dxa"/>
            <w:vAlign w:val="bottom"/>
          </w:tcPr>
          <w:p>
            <w:pPr>
              <w:ind w:left="40"/>
              <w:spacing w:after="0"/>
              <w:rPr>
                <w:sz w:val="20"/>
                <w:szCs w:val="20"/>
                <w:color w:val="auto"/>
              </w:rPr>
            </w:pPr>
            <w:r>
              <w:rPr>
                <w:rFonts w:ascii="Arial" w:cs="Arial" w:eastAsia="Arial" w:hAnsi="Arial"/>
                <w:sz w:val="13"/>
                <w:szCs w:val="13"/>
                <w:color w:val="auto"/>
              </w:rPr>
              <w:t>April 21, 2025</w:t>
            </w:r>
          </w:p>
        </w:tc>
        <w:tc>
          <w:tcPr>
            <w:tcW w:w="8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May 15, 2025</w:t>
            </w:r>
          </w:p>
        </w:tc>
        <w:tc>
          <w:tcPr>
            <w:tcW w:w="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June 5, 2025</w:t>
            </w: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496"/>
              <w:spacing w:after="0"/>
              <w:rPr>
                <w:sz w:val="20"/>
                <w:szCs w:val="20"/>
                <w:color w:val="auto"/>
              </w:rPr>
            </w:pPr>
            <w:r>
              <w:rPr>
                <w:rFonts w:ascii="Arial" w:cs="Arial" w:eastAsia="Arial" w:hAnsi="Arial"/>
                <w:sz w:val="13"/>
                <w:szCs w:val="13"/>
                <w:color w:val="auto"/>
              </w:rPr>
              <w:t>0.10</w:t>
            </w:r>
          </w:p>
        </w:tc>
        <w:tc>
          <w:tcPr>
            <w:tcW w:w="26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1420" w:type="dxa"/>
            <w:vAlign w:val="bottom"/>
          </w:tcPr>
          <w:p>
            <w:pPr>
              <w:ind w:left="400"/>
              <w:spacing w:after="0"/>
              <w:rPr>
                <w:sz w:val="20"/>
                <w:szCs w:val="20"/>
                <w:color w:val="auto"/>
              </w:rPr>
            </w:pPr>
            <w:r>
              <w:rPr>
                <w:rFonts w:ascii="Arial" w:cs="Arial" w:eastAsia="Arial" w:hAnsi="Arial"/>
                <w:sz w:val="13"/>
                <w:szCs w:val="13"/>
                <w:color w:val="auto"/>
              </w:rPr>
              <w:t>2.0 million</w:t>
            </w:r>
          </w:p>
        </w:tc>
      </w:tr>
      <w:tr>
        <w:trPr>
          <w:trHeight w:val="171"/>
        </w:trPr>
        <w:tc>
          <w:tcPr>
            <w:tcW w:w="1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July 21, 2025</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August 15, 2025</w:t>
            </w:r>
          </w:p>
        </w:tc>
        <w:tc>
          <w:tcPr>
            <w:tcW w:w="60" w:type="dxa"/>
            <w:vAlign w:val="bottom"/>
            <w:shd w:val="clear" w:color="auto" w:fill="CCEEFF"/>
          </w:tcPr>
          <w:p>
            <w:pPr>
              <w:spacing w:after="0"/>
              <w:rPr>
                <w:sz w:val="14"/>
                <w:szCs w:val="14"/>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September 5, 2025</w:t>
            </w:r>
          </w:p>
        </w:tc>
        <w:tc>
          <w:tcPr>
            <w:tcW w:w="10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0.10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14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2.0 million</w:t>
            </w: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Nine Months Ended September 30, 2024</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14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3"/>
                <w:szCs w:val="13"/>
                <w:b w:val="1"/>
                <w:bCs w:val="1"/>
                <w:color w:val="auto"/>
              </w:rPr>
              <w:t>Declaration Date</w:t>
            </w:r>
          </w:p>
        </w:tc>
        <w:tc>
          <w:tcPr>
            <w:tcW w:w="80" w:type="dxa"/>
            <w:vAlign w:val="bottom"/>
            <w:tcBorders>
              <w:top w:val="single" w:sz="8" w:color="auto"/>
              <w:bottom w:val="single" w:sz="8" w:color="CCEEFF"/>
            </w:tcBorders>
          </w:tcPr>
          <w:p>
            <w:pPr>
              <w:spacing w:after="0"/>
              <w:rPr>
                <w:sz w:val="13"/>
                <w:szCs w:val="13"/>
                <w:color w:val="auto"/>
              </w:rPr>
            </w:pPr>
          </w:p>
        </w:tc>
        <w:tc>
          <w:tcPr>
            <w:tcW w:w="14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3"/>
                <w:szCs w:val="13"/>
                <w:b w:val="1"/>
                <w:bCs w:val="1"/>
                <w:color w:val="auto"/>
              </w:rPr>
              <w:t>Record Date</w:t>
            </w:r>
          </w:p>
        </w:tc>
        <w:tc>
          <w:tcPr>
            <w:tcW w:w="60" w:type="dxa"/>
            <w:vAlign w:val="bottom"/>
            <w:tcBorders>
              <w:top w:val="single" w:sz="8" w:color="auto"/>
              <w:bottom w:val="single" w:sz="8" w:color="CCEEFF"/>
            </w:tcBorders>
          </w:tcPr>
          <w:p>
            <w:pPr>
              <w:spacing w:after="0"/>
              <w:rPr>
                <w:sz w:val="13"/>
                <w:szCs w:val="13"/>
                <w:color w:val="auto"/>
              </w:rPr>
            </w:pPr>
          </w:p>
        </w:tc>
        <w:tc>
          <w:tcPr>
            <w:tcW w:w="14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b w:val="1"/>
                <w:bCs w:val="1"/>
                <w:color w:val="auto"/>
              </w:rPr>
              <w:t>Payment Date</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Dividend Per Share</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Dividend Amount</w:t>
            </w:r>
          </w:p>
        </w:tc>
      </w:tr>
      <w:tr>
        <w:trPr>
          <w:trHeight w:val="151"/>
        </w:trPr>
        <w:tc>
          <w:tcPr>
            <w:tcW w:w="1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January 22, 2024</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February 15, 2024</w:t>
            </w:r>
          </w:p>
        </w:tc>
        <w:tc>
          <w:tcPr>
            <w:tcW w:w="60" w:type="dxa"/>
            <w:vAlign w:val="bottom"/>
            <w:shd w:val="clear" w:color="auto" w:fill="CCEEFF"/>
          </w:tcPr>
          <w:p>
            <w:pPr>
              <w:spacing w:after="0"/>
              <w:rPr>
                <w:sz w:val="13"/>
                <w:szCs w:val="13"/>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March 5, 2024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0.05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14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1.0 million</w:t>
            </w:r>
          </w:p>
        </w:tc>
      </w:tr>
      <w:tr>
        <w:trPr>
          <w:trHeight w:val="171"/>
        </w:trPr>
        <w:tc>
          <w:tcPr>
            <w:tcW w:w="1420" w:type="dxa"/>
            <w:vAlign w:val="bottom"/>
          </w:tcPr>
          <w:p>
            <w:pPr>
              <w:ind w:left="40"/>
              <w:spacing w:after="0"/>
              <w:rPr>
                <w:sz w:val="20"/>
                <w:szCs w:val="20"/>
                <w:color w:val="auto"/>
              </w:rPr>
            </w:pPr>
            <w:r>
              <w:rPr>
                <w:rFonts w:ascii="Arial" w:cs="Arial" w:eastAsia="Arial" w:hAnsi="Arial"/>
                <w:sz w:val="13"/>
                <w:szCs w:val="13"/>
                <w:color w:val="auto"/>
              </w:rPr>
              <w:t>April 22, 2024</w:t>
            </w:r>
          </w:p>
        </w:tc>
        <w:tc>
          <w:tcPr>
            <w:tcW w:w="80" w:type="dxa"/>
            <w:vAlign w:val="bottom"/>
          </w:tcPr>
          <w:p>
            <w:pPr>
              <w:spacing w:after="0"/>
              <w:rPr>
                <w:sz w:val="14"/>
                <w:szCs w:val="1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May 15, 2024</w:t>
            </w:r>
          </w:p>
        </w:tc>
        <w:tc>
          <w:tcPr>
            <w:tcW w:w="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June 5, 2024</w:t>
            </w:r>
          </w:p>
        </w:tc>
        <w:tc>
          <w:tcPr>
            <w:tcW w:w="2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496"/>
              <w:spacing w:after="0"/>
              <w:rPr>
                <w:sz w:val="20"/>
                <w:szCs w:val="20"/>
                <w:color w:val="auto"/>
              </w:rPr>
            </w:pPr>
            <w:r>
              <w:rPr>
                <w:rFonts w:ascii="Arial" w:cs="Arial" w:eastAsia="Arial" w:hAnsi="Arial"/>
                <w:sz w:val="13"/>
                <w:szCs w:val="13"/>
                <w:color w:val="auto"/>
              </w:rPr>
              <w:t>0.05</w:t>
            </w:r>
          </w:p>
        </w:tc>
        <w:tc>
          <w:tcPr>
            <w:tcW w:w="26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1420" w:type="dxa"/>
            <w:vAlign w:val="bottom"/>
          </w:tcPr>
          <w:p>
            <w:pPr>
              <w:ind w:left="400"/>
              <w:spacing w:after="0"/>
              <w:rPr>
                <w:sz w:val="20"/>
                <w:szCs w:val="20"/>
                <w:color w:val="auto"/>
              </w:rPr>
            </w:pPr>
            <w:r>
              <w:rPr>
                <w:rFonts w:ascii="Arial" w:cs="Arial" w:eastAsia="Arial" w:hAnsi="Arial"/>
                <w:sz w:val="13"/>
                <w:szCs w:val="13"/>
                <w:color w:val="auto"/>
              </w:rPr>
              <w:t>1.0 million</w:t>
            </w:r>
          </w:p>
        </w:tc>
      </w:tr>
      <w:tr>
        <w:trPr>
          <w:trHeight w:val="171"/>
        </w:trPr>
        <w:tc>
          <w:tcPr>
            <w:tcW w:w="1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July 22, 2024</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August 15, 2024</w:t>
            </w:r>
          </w:p>
        </w:tc>
        <w:tc>
          <w:tcPr>
            <w:tcW w:w="60" w:type="dxa"/>
            <w:vAlign w:val="bottom"/>
            <w:shd w:val="clear" w:color="auto" w:fill="CCEEFF"/>
          </w:tcPr>
          <w:p>
            <w:pPr>
              <w:spacing w:after="0"/>
              <w:rPr>
                <w:sz w:val="14"/>
                <w:szCs w:val="14"/>
                <w:color w:val="auto"/>
              </w:rPr>
            </w:pPr>
          </w:p>
        </w:tc>
        <w:tc>
          <w:tcPr>
            <w:tcW w:w="1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September 5, 2024</w:t>
            </w:r>
          </w:p>
        </w:tc>
        <w:tc>
          <w:tcPr>
            <w:tcW w:w="10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138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rPr>
              <w:t>0.05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t>
            </w:r>
          </w:p>
        </w:tc>
        <w:tc>
          <w:tcPr>
            <w:tcW w:w="14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1.0 million</w:t>
            </w:r>
          </w:p>
        </w:tc>
      </w:tr>
    </w:tbl>
    <w:p>
      <w:pPr>
        <w:spacing w:after="0" w:line="317"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The Company and the Bank exceeded all regulatory capital requirements and remained above “well-capitalized” guidelines as of September 30, 2025 and December 31, 2024. At September 30, 2025, the total risk-based capital ratio for the Bank was 13.93%. The Company is not subject to regulatory capital ratios imposed by Basel III on bank holding companies because the Company is deemed to be a small bank holding company.</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See Note 12, Subsequent Events, for information regarding dividends declared in October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1040" w:hanging="377"/>
        <w:spacing w:after="0"/>
        <w:tabs>
          <w:tab w:leader="none" w:pos="10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02" w:lineRule="exact"/>
        <w:rPr>
          <w:sz w:val="20"/>
          <w:szCs w:val="20"/>
          <w:color w:val="auto"/>
        </w:rPr>
      </w:pPr>
    </w:p>
    <w:p>
      <w:pPr>
        <w:jc w:val="both"/>
        <w:ind w:left="660" w:right="699" w:firstLine="256"/>
        <w:spacing w:after="0" w:line="250" w:lineRule="auto"/>
        <w:rPr>
          <w:sz w:val="20"/>
          <w:szCs w:val="20"/>
          <w:color w:val="auto"/>
        </w:rPr>
      </w:pPr>
      <w:r>
        <w:rPr>
          <w:rFonts w:ascii="Arial" w:cs="Arial" w:eastAsia="Arial" w:hAnsi="Arial"/>
          <w:sz w:val="14"/>
          <w:szCs w:val="14"/>
          <w:color w:val="auto"/>
        </w:rPr>
        <w:t>Earnings per share (“EPS”) for common stock is calculated using the two-class method required for participating securities. Basic EPS is calculated by dividing net income available to common shareholders by the weighted-average number of common shares outstanding for the period, without consideration for common stock equivalents. Diluted EPS is computed by dividing net income available to common shareholders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38"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following table reflects the calculation of net income available to common shareholders for the three and nine months ended September 30, 2025 and 2024 (in thousands):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7"/>
          </w:tcPr>
          <w:p>
            <w:pPr>
              <w:jc w:val="center"/>
              <w:ind w:left="136"/>
              <w:spacing w:after="0"/>
              <w:rPr>
                <w:sz w:val="20"/>
                <w:szCs w:val="20"/>
                <w:color w:val="auto"/>
              </w:rPr>
            </w:pPr>
            <w:r>
              <w:rPr>
                <w:rFonts w:ascii="Arial" w:cs="Arial" w:eastAsia="Arial" w:hAnsi="Arial"/>
                <w:sz w:val="13"/>
                <w:szCs w:val="13"/>
                <w:b w:val="1"/>
                <w:bCs w:val="1"/>
                <w:color w:val="auto"/>
                <w:w w:val="97"/>
              </w:rPr>
              <w:t>Three Months Ended</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gridSpan w:val="5"/>
          </w:tcPr>
          <w:p>
            <w:pPr>
              <w:jc w:val="right"/>
              <w:ind w:right="416"/>
              <w:spacing w:after="0"/>
              <w:rPr>
                <w:sz w:val="20"/>
                <w:szCs w:val="20"/>
                <w:color w:val="auto"/>
              </w:rPr>
            </w:pPr>
            <w:r>
              <w:rPr>
                <w:rFonts w:ascii="Arial" w:cs="Arial" w:eastAsia="Arial" w:hAnsi="Arial"/>
                <w:sz w:val="13"/>
                <w:szCs w:val="13"/>
                <w:b w:val="1"/>
                <w:bCs w:val="1"/>
                <w:color w:val="auto"/>
              </w:rPr>
              <w:t>Nine Months Ended</w:t>
            </w:r>
          </w:p>
        </w:tc>
      </w:tr>
      <w:tr>
        <w:trPr>
          <w:trHeight w:val="149"/>
        </w:trPr>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7"/>
          </w:tcPr>
          <w:p>
            <w:pPr>
              <w:jc w:val="center"/>
              <w:ind w:left="156"/>
              <w:spacing w:after="0"/>
              <w:rPr>
                <w:sz w:val="20"/>
                <w:szCs w:val="20"/>
                <w:color w:val="auto"/>
              </w:rPr>
            </w:pPr>
            <w:r>
              <w:rPr>
                <w:rFonts w:ascii="Arial" w:cs="Arial" w:eastAsia="Arial" w:hAnsi="Arial"/>
                <w:sz w:val="13"/>
                <w:szCs w:val="13"/>
                <w:b w:val="1"/>
                <w:bCs w:val="1"/>
                <w:color w:val="auto"/>
                <w:w w:val="98"/>
              </w:rPr>
              <w:t>September 30,</w:t>
            </w: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5"/>
          </w:tcPr>
          <w:p>
            <w:pPr>
              <w:jc w:val="right"/>
              <w:ind w:right="576"/>
              <w:spacing w:after="0"/>
              <w:rPr>
                <w:sz w:val="20"/>
                <w:szCs w:val="20"/>
                <w:color w:val="auto"/>
              </w:rPr>
            </w:pPr>
            <w:r>
              <w:rPr>
                <w:rFonts w:ascii="Arial" w:cs="Arial" w:eastAsia="Arial" w:hAnsi="Arial"/>
                <w:sz w:val="13"/>
                <w:szCs w:val="13"/>
                <w:b w:val="1"/>
                <w:bCs w:val="1"/>
                <w:color w:val="auto"/>
              </w:rPr>
              <w:t>September 30,</w:t>
            </w:r>
          </w:p>
        </w:tc>
      </w:tr>
      <w:tr>
        <w:trPr>
          <w:trHeight w:val="151"/>
        </w:trPr>
        <w:tc>
          <w:tcPr>
            <w:tcW w:w="3380" w:type="dxa"/>
            <w:vAlign w:val="bottom"/>
          </w:tcPr>
          <w:p>
            <w:pPr>
              <w:spacing w:after="0"/>
              <w:rPr>
                <w:sz w:val="13"/>
                <w:szCs w:val="13"/>
                <w:color w:val="auto"/>
              </w:rPr>
            </w:pPr>
          </w:p>
        </w:tc>
        <w:tc>
          <w:tcPr>
            <w:tcW w:w="680" w:type="dxa"/>
            <w:vAlign w:val="bottom"/>
            <w:gridSpan w:val="4"/>
          </w:tcPr>
          <w:p>
            <w:pPr>
              <w:jc w:val="right"/>
              <w:spacing w:after="0"/>
              <w:rPr>
                <w:sz w:val="20"/>
                <w:szCs w:val="20"/>
                <w:color w:val="auto"/>
              </w:rPr>
            </w:pPr>
            <w:r>
              <w:rPr>
                <w:rFonts w:ascii="Arial" w:cs="Arial" w:eastAsia="Arial" w:hAnsi="Arial"/>
                <w:sz w:val="13"/>
                <w:szCs w:val="13"/>
                <w:b w:val="1"/>
                <w:bCs w:val="1"/>
                <w:color w:val="auto"/>
              </w:rPr>
              <w:t>2025</w:t>
            </w:r>
          </w:p>
        </w:tc>
        <w:tc>
          <w:tcPr>
            <w:tcW w:w="380" w:type="dxa"/>
            <w:vAlign w:val="bottom"/>
          </w:tcPr>
          <w:p>
            <w:pPr>
              <w:spacing w:after="0"/>
              <w:rPr>
                <w:sz w:val="13"/>
                <w:szCs w:val="13"/>
                <w:color w:val="auto"/>
              </w:rPr>
            </w:pPr>
          </w:p>
        </w:tc>
        <w:tc>
          <w:tcPr>
            <w:tcW w:w="720" w:type="dxa"/>
            <w:vAlign w:val="bottom"/>
            <w:gridSpan w:val="5"/>
          </w:tcPr>
          <w:p>
            <w:pPr>
              <w:jc w:val="right"/>
              <w:spacing w:after="0"/>
              <w:rPr>
                <w:sz w:val="20"/>
                <w:szCs w:val="20"/>
                <w:color w:val="auto"/>
              </w:rPr>
            </w:pPr>
            <w:r>
              <w:rPr>
                <w:rFonts w:ascii="Arial" w:cs="Arial" w:eastAsia="Arial" w:hAnsi="Arial"/>
                <w:sz w:val="13"/>
                <w:szCs w:val="13"/>
                <w:b w:val="1"/>
                <w:bCs w:val="1"/>
                <w:color w:val="auto"/>
              </w:rPr>
              <w:t>2024</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2025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2024</w:t>
            </w:r>
          </w:p>
        </w:tc>
      </w:tr>
      <w:tr>
        <w:trPr>
          <w:trHeight w:val="151"/>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8,939</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6,949</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24,737</w:t>
            </w:r>
          </w:p>
        </w:tc>
        <w:tc>
          <w:tcPr>
            <w:tcW w:w="6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17,770</w:t>
            </w:r>
          </w:p>
        </w:tc>
      </w:tr>
      <w:tr>
        <w:trPr>
          <w:trHeight w:val="161"/>
        </w:trPr>
        <w:tc>
          <w:tcPr>
            <w:tcW w:w="3380" w:type="dxa"/>
            <w:vAlign w:val="bottom"/>
          </w:tcPr>
          <w:p>
            <w:pPr>
              <w:ind w:left="100"/>
              <w:spacing w:after="0"/>
              <w:rPr>
                <w:sz w:val="20"/>
                <w:szCs w:val="20"/>
                <w:color w:val="auto"/>
              </w:rPr>
            </w:pPr>
            <w:r>
              <w:rPr>
                <w:rFonts w:ascii="Arial" w:cs="Arial" w:eastAsia="Arial" w:hAnsi="Arial"/>
                <w:sz w:val="13"/>
                <w:szCs w:val="13"/>
                <w:color w:val="auto"/>
              </w:rPr>
              <w:t>Net income available to common shareholders</w:t>
            </w: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8,939</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8"/>
              </w:rPr>
              <w:t>6,949</w:t>
            </w:r>
          </w:p>
        </w:tc>
        <w:tc>
          <w:tcPr>
            <w:tcW w:w="280" w:type="dxa"/>
            <w:vAlign w:val="bottom"/>
            <w:gridSpan w:val="3"/>
          </w:tcPr>
          <w:p>
            <w:pPr>
              <w:jc w:val="right"/>
              <w:ind w:right="112"/>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24,737</w:t>
            </w:r>
          </w:p>
        </w:tc>
        <w:tc>
          <w:tcPr>
            <w:tcW w:w="280" w:type="dxa"/>
            <w:vAlign w:val="bottom"/>
            <w:gridSpan w:val="3"/>
          </w:tcPr>
          <w:p>
            <w:pPr>
              <w:jc w:val="right"/>
              <w:ind w:right="112"/>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17,770</w:t>
            </w:r>
          </w:p>
        </w:tc>
      </w:tr>
      <w:tr>
        <w:trPr>
          <w:trHeight w:val="20"/>
        </w:trPr>
        <w:tc>
          <w:tcPr>
            <w:tcW w:w="3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following table reflects the calculation of basic and diluted earnings per common share class for the three and nine months ended September 30, 2025 and 2024 (in thousands, except share amounts):</w:t>
      </w:r>
    </w:p>
    <w:p>
      <w:pPr>
        <w:spacing w:after="0" w:line="382" w:lineRule="exact"/>
        <w:rPr>
          <w:sz w:val="20"/>
          <w:szCs w:val="20"/>
          <w:color w:val="auto"/>
        </w:rPr>
      </w:pPr>
    </w:p>
    <w:tbl>
      <w:tblPr>
        <w:tblLayout w:type="fixed"/>
        <w:tblInd w:w="660" w:type="dxa"/>
        <w:tblCellMar>
          <w:top w:w="0" w:type="dxa"/>
          <w:left w:w="0" w:type="dxa"/>
          <w:bottom w:w="0" w:type="dxa"/>
          <w:right w:w="0" w:type="dxa"/>
        </w:tblCellMar>
      </w:tblPr>
      <w:tr>
        <w:trPr>
          <w:trHeight w:val="148"/>
        </w:trPr>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rPr>
              <w:t>Three Months Ended September 30,</w:t>
            </w: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1"/>
                <w:szCs w:val="11"/>
                <w:b w:val="1"/>
                <w:bCs w:val="1"/>
                <w:color w:val="auto"/>
              </w:rPr>
              <w:t>Nine Months Ended September 30,</w:t>
            </w:r>
          </w:p>
        </w:tc>
      </w:tr>
      <w:tr>
        <w:trPr>
          <w:trHeight w:val="151"/>
        </w:trPr>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2025</w:t>
            </w: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2024</w:t>
            </w: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2025</w:t>
            </w:r>
          </w:p>
        </w:tc>
        <w:tc>
          <w:tcPr>
            <w:tcW w:w="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2024</w:t>
            </w:r>
          </w:p>
        </w:tc>
      </w:tr>
      <w:tr>
        <w:trPr>
          <w:trHeight w:val="151"/>
        </w:trPr>
        <w:tc>
          <w:tcPr>
            <w:tcW w:w="34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Class A</w:t>
            </w: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1"/>
                <w:szCs w:val="11"/>
                <w:b w:val="1"/>
                <w:bCs w:val="1"/>
                <w:color w:val="auto"/>
              </w:rPr>
              <w:t>Class A</w:t>
            </w:r>
          </w:p>
        </w:tc>
        <w:tc>
          <w:tcPr>
            <w:tcW w:w="720" w:type="dxa"/>
            <w:vAlign w:val="bottom"/>
            <w:tcBorders>
              <w:bottom w:val="single" w:sz="8" w:color="auto"/>
            </w:tcBorders>
          </w:tcPr>
          <w:p>
            <w:pPr>
              <w:spacing w:after="0"/>
              <w:rPr>
                <w:sz w:val="13"/>
                <w:szCs w:val="13"/>
                <w:color w:val="auto"/>
              </w:rPr>
            </w:pPr>
          </w:p>
        </w:tc>
      </w:tr>
      <w:tr>
        <w:trPr>
          <w:trHeight w:val="140"/>
        </w:trPr>
        <w:tc>
          <w:tcPr>
            <w:tcW w:w="34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Basic EPS</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81"/>
        </w:trPr>
        <w:tc>
          <w:tcPr>
            <w:tcW w:w="3480" w:type="dxa"/>
            <w:vAlign w:val="bottom"/>
          </w:tcPr>
          <w:p>
            <w:pPr>
              <w:spacing w:after="0"/>
              <w:rPr>
                <w:sz w:val="20"/>
                <w:szCs w:val="20"/>
                <w:color w:val="auto"/>
              </w:rPr>
            </w:pPr>
            <w:r>
              <w:rPr>
                <w:rFonts w:ascii="Arial" w:cs="Arial" w:eastAsia="Arial" w:hAnsi="Arial"/>
                <w:sz w:val="11"/>
                <w:szCs w:val="11"/>
                <w:color w:val="auto"/>
              </w:rPr>
              <w:t>Numerator: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1"/>
        </w:trPr>
        <w:tc>
          <w:tcPr>
            <w:tcW w:w="34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available to common shares</w:t>
            </w:r>
          </w:p>
        </w:tc>
        <w:tc>
          <w:tcPr>
            <w:tcW w:w="340" w:type="dxa"/>
            <w:vAlign w:val="bottom"/>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8,939</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6,949</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24,737</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17,770</w:t>
            </w:r>
          </w:p>
        </w:tc>
      </w:tr>
      <w:tr>
        <w:trPr>
          <w:trHeight w:val="171"/>
        </w:trPr>
        <w:tc>
          <w:tcPr>
            <w:tcW w:w="3480" w:type="dxa"/>
            <w:vAlign w:val="bottom"/>
          </w:tcPr>
          <w:p>
            <w:pPr>
              <w:spacing w:after="0"/>
              <w:rPr>
                <w:sz w:val="20"/>
                <w:szCs w:val="20"/>
                <w:color w:val="auto"/>
              </w:rPr>
            </w:pPr>
            <w:r>
              <w:rPr>
                <w:rFonts w:ascii="Arial" w:cs="Arial" w:eastAsia="Arial" w:hAnsi="Arial"/>
                <w:sz w:val="11"/>
                <w:szCs w:val="11"/>
                <w:color w:val="auto"/>
              </w:rPr>
              <w:t>Denominator: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4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Weighted average shares outstanding</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19,524,798</w:t>
            </w:r>
          </w:p>
        </w:tc>
        <w:tc>
          <w:tcPr>
            <w:tcW w:w="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19,621,447</w:t>
            </w: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19,866,514</w:t>
            </w: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19,653,103</w:t>
            </w:r>
          </w:p>
        </w:tc>
      </w:tr>
      <w:tr>
        <w:trPr>
          <w:trHeight w:val="201"/>
        </w:trPr>
        <w:tc>
          <w:tcPr>
            <w:tcW w:w="3480" w:type="dxa"/>
            <w:vAlign w:val="bottom"/>
          </w:tcPr>
          <w:p>
            <w:pPr>
              <w:spacing w:after="0"/>
              <w:rPr>
                <w:sz w:val="20"/>
                <w:szCs w:val="20"/>
                <w:color w:val="auto"/>
              </w:rPr>
            </w:pPr>
            <w:r>
              <w:rPr>
                <w:rFonts w:ascii="Arial" w:cs="Arial" w:eastAsia="Arial" w:hAnsi="Arial"/>
                <w:sz w:val="11"/>
                <w:szCs w:val="11"/>
                <w:b w:val="1"/>
                <w:bCs w:val="1"/>
                <w:color w:val="auto"/>
              </w:rPr>
              <w:t>Earnings per share, basic</w:t>
            </w:r>
          </w:p>
        </w:tc>
        <w:tc>
          <w:tcPr>
            <w:tcW w:w="34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0.46</w:t>
            </w:r>
          </w:p>
        </w:tc>
        <w:tc>
          <w:tcPr>
            <w:tcW w:w="320" w:type="dxa"/>
            <w:vAlign w:val="bottom"/>
            <w:gridSpan w:val="2"/>
          </w:tcPr>
          <w:p>
            <w:pPr>
              <w:jc w:val="right"/>
              <w:ind w:right="14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0.35</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1.25</w:t>
            </w:r>
          </w:p>
        </w:tc>
        <w:tc>
          <w:tcPr>
            <w:tcW w:w="320" w:type="dxa"/>
            <w:vAlign w:val="bottom"/>
            <w:gridSpan w:val="2"/>
          </w:tcPr>
          <w:p>
            <w:pPr>
              <w:jc w:val="right"/>
              <w:ind w:right="169"/>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0.90</w:t>
            </w:r>
          </w:p>
        </w:tc>
      </w:tr>
      <w:tr>
        <w:trPr>
          <w:trHeight w:val="121"/>
        </w:trPr>
        <w:tc>
          <w:tcPr>
            <w:tcW w:w="34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r>
      <w:tr>
        <w:trPr>
          <w:trHeight w:val="171"/>
        </w:trPr>
        <w:tc>
          <w:tcPr>
            <w:tcW w:w="3480" w:type="dxa"/>
            <w:vAlign w:val="bottom"/>
          </w:tcPr>
          <w:p>
            <w:pPr>
              <w:spacing w:after="0"/>
              <w:rPr>
                <w:sz w:val="20"/>
                <w:szCs w:val="20"/>
                <w:color w:val="auto"/>
              </w:rPr>
            </w:pPr>
            <w:r>
              <w:rPr>
                <w:rFonts w:ascii="Arial" w:cs="Arial" w:eastAsia="Arial" w:hAnsi="Arial"/>
                <w:sz w:val="11"/>
                <w:szCs w:val="11"/>
                <w:b w:val="1"/>
                <w:bCs w:val="1"/>
                <w:color w:val="auto"/>
              </w:rPr>
              <w:t>Diluted EPS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Numerator:</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1"/>
        </w:trPr>
        <w:tc>
          <w:tcPr>
            <w:tcW w:w="3480" w:type="dxa"/>
            <w:vAlign w:val="bottom"/>
          </w:tcPr>
          <w:p>
            <w:pPr>
              <w:ind w:left="100"/>
              <w:spacing w:after="0"/>
              <w:rPr>
                <w:sz w:val="20"/>
                <w:szCs w:val="20"/>
                <w:color w:val="auto"/>
              </w:rPr>
            </w:pPr>
            <w:r>
              <w:rPr>
                <w:rFonts w:ascii="Arial" w:cs="Arial" w:eastAsia="Arial" w:hAnsi="Arial"/>
                <w:sz w:val="11"/>
                <w:szCs w:val="11"/>
                <w:color w:val="auto"/>
              </w:rPr>
              <w:t>Net income available to common shares</w:t>
            </w:r>
          </w:p>
        </w:tc>
        <w:tc>
          <w:tcPr>
            <w:tcW w:w="34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8,939</w:t>
            </w:r>
          </w:p>
        </w:tc>
        <w:tc>
          <w:tcPr>
            <w:tcW w:w="320" w:type="dxa"/>
            <w:vAlign w:val="bottom"/>
            <w:gridSpan w:val="2"/>
          </w:tcPr>
          <w:p>
            <w:pPr>
              <w:jc w:val="right"/>
              <w:ind w:right="149"/>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6,949</w:t>
            </w:r>
          </w:p>
        </w:tc>
        <w:tc>
          <w:tcPr>
            <w:tcW w:w="1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24,737</w:t>
            </w:r>
          </w:p>
        </w:tc>
        <w:tc>
          <w:tcPr>
            <w:tcW w:w="320" w:type="dxa"/>
            <w:vAlign w:val="bottom"/>
            <w:gridSpan w:val="2"/>
          </w:tcPr>
          <w:p>
            <w:pPr>
              <w:jc w:val="right"/>
              <w:ind w:right="169"/>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17,770</w:t>
            </w:r>
          </w:p>
        </w:tc>
      </w:tr>
      <w:tr>
        <w:trPr>
          <w:trHeight w:val="171"/>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Denominator:</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71"/>
        </w:trPr>
        <w:tc>
          <w:tcPr>
            <w:tcW w:w="3480" w:type="dxa"/>
            <w:vAlign w:val="bottom"/>
          </w:tcPr>
          <w:p>
            <w:pPr>
              <w:ind w:left="100"/>
              <w:spacing w:after="0"/>
              <w:rPr>
                <w:sz w:val="20"/>
                <w:szCs w:val="20"/>
                <w:color w:val="auto"/>
              </w:rPr>
            </w:pPr>
            <w:r>
              <w:rPr>
                <w:rFonts w:ascii="Arial" w:cs="Arial" w:eastAsia="Arial" w:hAnsi="Arial"/>
                <w:sz w:val="11"/>
                <w:szCs w:val="11"/>
                <w:color w:val="auto"/>
              </w:rPr>
              <w:t>Weighted average shares outstanding for basic EPS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19,524,798</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19,621,447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19,866,514</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19,653,103</w:t>
            </w:r>
          </w:p>
        </w:tc>
      </w:tr>
      <w:tr>
        <w:trPr>
          <w:trHeight w:val="171"/>
        </w:trPr>
        <w:tc>
          <w:tcPr>
            <w:tcW w:w="34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Add: Dilutive effects of assumed exercises of stock options</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231,022</w:t>
            </w:r>
          </w:p>
        </w:tc>
        <w:tc>
          <w:tcPr>
            <w:tcW w:w="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203,764</w:t>
            </w: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239,536</w:t>
            </w: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108,139</w:t>
            </w:r>
          </w:p>
        </w:tc>
      </w:tr>
      <w:tr>
        <w:trPr>
          <w:trHeight w:val="151"/>
        </w:trPr>
        <w:tc>
          <w:tcPr>
            <w:tcW w:w="34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Weighted avg. shares including dilutive potential common shares</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19,755,820</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19,825,211</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20,106,050</w:t>
            </w:r>
          </w:p>
        </w:tc>
        <w:tc>
          <w:tcPr>
            <w:tcW w:w="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19,761,242</w:t>
            </w:r>
          </w:p>
        </w:tc>
      </w:tr>
      <w:tr>
        <w:trPr>
          <w:trHeight w:val="161"/>
        </w:trPr>
        <w:tc>
          <w:tcPr>
            <w:tcW w:w="34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Earnings per share, diluted</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0.45</w:t>
            </w:r>
          </w:p>
        </w:tc>
        <w:tc>
          <w:tcPr>
            <w:tcW w:w="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0.35</w:t>
            </w: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1.23</w:t>
            </w: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0.90</w:t>
            </w:r>
          </w:p>
        </w:tc>
      </w:tr>
      <w:tr>
        <w:trPr>
          <w:trHeight w:val="20"/>
        </w:trPr>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21"/>
        </w:trPr>
        <w:tc>
          <w:tcPr>
            <w:tcW w:w="3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71"/>
        </w:trPr>
        <w:tc>
          <w:tcPr>
            <w:tcW w:w="34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Anti-dilutive stock options excluded from dilutedEPS</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15,000</w:t>
            </w:r>
          </w:p>
        </w:tc>
      </w:tr>
    </w:tbl>
    <w:p>
      <w:pPr>
        <w:spacing w:after="0" w:line="164" w:lineRule="exact"/>
        <w:rPr>
          <w:sz w:val="20"/>
          <w:szCs w:val="20"/>
          <w:color w:val="auto"/>
        </w:rPr>
      </w:pPr>
    </w:p>
    <w:p>
      <w:pPr>
        <w:ind w:left="660" w:right="1859"/>
        <w:spacing w:after="0" w:line="267" w:lineRule="auto"/>
        <w:rPr>
          <w:sz w:val="20"/>
          <w:szCs w:val="20"/>
          <w:color w:val="auto"/>
        </w:rPr>
      </w:pPr>
      <w:r>
        <w:rPr>
          <w:rFonts w:ascii="Arial" w:cs="Arial" w:eastAsia="Arial" w:hAnsi="Arial"/>
          <w:sz w:val="11"/>
          <w:szCs w:val="11"/>
          <w:color w:val="auto"/>
        </w:rPr>
        <w:t>Net income has not been allocated to unvested restricted stock awards that are participating securities because the amounts that would be allocated are not material to net income per share of common stock. Unvested restricted stock awards that are participating securities represent less than one percent of all of the outstanding shares of common stock for each of the periods presented.</w:t>
      </w:r>
    </w:p>
    <w:p>
      <w:pPr>
        <w:spacing w:after="0" w:line="200" w:lineRule="exact"/>
        <w:rPr>
          <w:sz w:val="20"/>
          <w:szCs w:val="20"/>
          <w:color w:val="auto"/>
        </w:rPr>
      </w:pPr>
    </w:p>
    <w:p>
      <w:pPr>
        <w:spacing w:after="0" w:line="341" w:lineRule="exact"/>
        <w:rPr>
          <w:sz w:val="20"/>
          <w:szCs w:val="20"/>
          <w:color w:val="auto"/>
        </w:rPr>
      </w:pPr>
    </w:p>
    <w:p>
      <w:pPr>
        <w:ind w:left="1060" w:hanging="397"/>
        <w:spacing w:after="0"/>
        <w:tabs>
          <w:tab w:leader="none" w:pos="106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LOSS CONTINGENCIES</w:t>
      </w:r>
    </w:p>
    <w:p>
      <w:pPr>
        <w:spacing w:after="0" w:line="202"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27" w:name="page28"/>
    <w:bookmarkEnd w:id="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 - Unaudited</w:t>
      </w:r>
    </w:p>
    <w:p>
      <w:pPr>
        <w:spacing w:after="0" w:line="178" w:lineRule="exact"/>
        <w:rPr>
          <w:sz w:val="20"/>
          <w:szCs w:val="20"/>
          <w:color w:val="auto"/>
        </w:rPr>
      </w:pPr>
    </w:p>
    <w:p>
      <w:pPr>
        <w:ind w:left="1040" w:hanging="377"/>
        <w:spacing w:after="0"/>
        <w:tabs>
          <w:tab w:leader="none" w:pos="104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202" w:lineRule="exact"/>
        <w:rPr>
          <w:sz w:val="20"/>
          <w:szCs w:val="20"/>
          <w:color w:val="auto"/>
        </w:rPr>
      </w:pPr>
    </w:p>
    <w:p>
      <w:pPr>
        <w:ind w:left="660" w:right="1059" w:firstLine="256"/>
        <w:spacing w:after="0" w:line="276" w:lineRule="auto"/>
        <w:rPr>
          <w:sz w:val="20"/>
          <w:szCs w:val="20"/>
          <w:color w:val="auto"/>
        </w:rPr>
      </w:pPr>
      <w:r>
        <w:rPr>
          <w:rFonts w:ascii="Arial" w:cs="Arial" w:eastAsia="Arial" w:hAnsi="Arial"/>
          <w:sz w:val="14"/>
          <w:szCs w:val="14"/>
          <w:color w:val="auto"/>
        </w:rPr>
        <w:t>In the ordinary course of business, principal officers, directors, and affiliates may engage in transactions with the Company.</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Loan Purchases</w:t>
      </w:r>
    </w:p>
    <w:p>
      <w:pPr>
        <w:spacing w:after="0" w:line="168"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During the nine months ended September 30, 2025, the Bank purchased $79.6 million from entities that deemed to be related parties. The Bank paid those entities net fees of $447 thousand.</w:t>
      </w:r>
    </w:p>
    <w:p>
      <w:pPr>
        <w:spacing w:after="0" w:line="120" w:lineRule="exact"/>
        <w:rPr>
          <w:sz w:val="20"/>
          <w:szCs w:val="20"/>
          <w:color w:val="auto"/>
        </w:rPr>
      </w:pPr>
    </w:p>
    <w:p>
      <w:pPr>
        <w:ind w:left="660" w:right="819" w:firstLine="256"/>
        <w:spacing w:after="0" w:line="276" w:lineRule="auto"/>
        <w:rPr>
          <w:sz w:val="20"/>
          <w:szCs w:val="20"/>
          <w:color w:val="auto"/>
        </w:rPr>
      </w:pPr>
      <w:r>
        <w:rPr>
          <w:rFonts w:ascii="Arial" w:cs="Arial" w:eastAsia="Arial" w:hAnsi="Arial"/>
          <w:sz w:val="14"/>
          <w:szCs w:val="14"/>
          <w:color w:val="auto"/>
        </w:rPr>
        <w:t>During the nine months ended September 30, 2024, the Bank purchased $73.8 million of loans from entities that are deemed to be related parties. The Bank paid those entities fees of $2.5 million.</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4"/>
          <w:szCs w:val="14"/>
          <w:i w:val="1"/>
          <w:iCs w:val="1"/>
          <w:color w:val="auto"/>
        </w:rPr>
        <w:t>Loan Originations</w:t>
      </w:r>
    </w:p>
    <w:p>
      <w:pPr>
        <w:spacing w:after="0" w:line="157" w:lineRule="exact"/>
        <w:rPr>
          <w:sz w:val="20"/>
          <w:szCs w:val="20"/>
          <w:color w:val="auto"/>
        </w:rPr>
      </w:pPr>
    </w:p>
    <w:p>
      <w:pPr>
        <w:ind w:left="660" w:right="679" w:firstLine="256"/>
        <w:spacing w:after="0" w:line="249" w:lineRule="auto"/>
        <w:rPr>
          <w:sz w:val="20"/>
          <w:szCs w:val="20"/>
          <w:color w:val="auto"/>
        </w:rPr>
      </w:pPr>
      <w:r>
        <w:rPr>
          <w:rFonts w:ascii="Arial" w:cs="Arial" w:eastAsia="Arial" w:hAnsi="Arial"/>
          <w:sz w:val="14"/>
          <w:szCs w:val="14"/>
          <w:color w:val="auto"/>
        </w:rPr>
        <w:t>During the nine months ended September 30, 2025, the Bank acted as the lead arranger in a $ 40.0 million syndicated loan extended to an entity deemed to be a related party. As of September 30, 2025, the Bank held an outstanding balance of $15.0 million related to this transaction. In connection with the syndication, the Bank received a 50-basis point commitment fee and will earn a 25-basis point annual servicing fee. The other two financial institutions participating in the syndication were also deemed to be related parties. Although originating loans to related parties is not part of the Company’s standard policy, this transaction was reviewed by the appropriate departments in accordance with Company procedures. Detailed analyses were presented to the Board of Directors and the Audit and Risk Committee, and all necessary approvals were obtained. Additional analysis was conducted to determine that the transaction was executed in the ordinary course of business and on arm’s-length terms, consistent with the requirements of Regulation O.</w:t>
      </w:r>
    </w:p>
    <w:p>
      <w:pPr>
        <w:spacing w:after="0" w:line="140" w:lineRule="exact"/>
        <w:rPr>
          <w:sz w:val="20"/>
          <w:szCs w:val="20"/>
          <w:color w:val="auto"/>
        </w:rPr>
      </w:pPr>
    </w:p>
    <w:p>
      <w:pPr>
        <w:ind w:left="660" w:right="819" w:firstLine="256"/>
        <w:spacing w:after="0" w:line="276" w:lineRule="auto"/>
        <w:rPr>
          <w:sz w:val="20"/>
          <w:szCs w:val="20"/>
          <w:color w:val="auto"/>
        </w:rPr>
      </w:pPr>
      <w:r>
        <w:rPr>
          <w:rFonts w:ascii="Arial" w:cs="Arial" w:eastAsia="Arial" w:hAnsi="Arial"/>
          <w:sz w:val="14"/>
          <w:szCs w:val="14"/>
          <w:color w:val="auto"/>
        </w:rPr>
        <w:t>There were no loan originations or syndications extended to entities deemed to be related parties for the year ended December 31, 2024.</w:t>
      </w:r>
    </w:p>
    <w:p>
      <w:pPr>
        <w:spacing w:after="0" w:line="281" w:lineRule="exact"/>
        <w:rPr>
          <w:sz w:val="20"/>
          <w:szCs w:val="20"/>
          <w:color w:val="auto"/>
        </w:rPr>
      </w:pPr>
    </w:p>
    <w:p>
      <w:pPr>
        <w:ind w:left="1180" w:hanging="517"/>
        <w:spacing w:after="0"/>
        <w:tabs>
          <w:tab w:leader="none" w:pos="118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0"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On October 21, 2025, the Company announced that its Board of Directors declared its quarterly cash dividend. The quarterly dividend for the fourth quarter of 2025 was $0.10 per share of Class A common stock and will be paid on December 5, 2025, to stockholders of record as of the close of business on November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72" w:lineRule="exact"/>
        <w:rPr>
          <w:sz w:val="20"/>
          <w:szCs w:val="20"/>
          <w:color w:val="auto"/>
        </w:rPr>
      </w:pPr>
    </w:p>
    <w:p>
      <w:pPr>
        <w:jc w:val="both"/>
        <w:ind w:left="660" w:right="699" w:firstLine="256"/>
        <w:spacing w:after="0" w:line="248" w:lineRule="auto"/>
        <w:rPr>
          <w:sz w:val="20"/>
          <w:szCs w:val="20"/>
          <w:color w:val="auto"/>
        </w:rPr>
      </w:pPr>
      <w:r>
        <w:rPr>
          <w:rFonts w:ascii="Arial" w:cs="Arial" w:eastAsia="Arial" w:hAnsi="Arial"/>
          <w:sz w:val="14"/>
          <w:szCs w:val="14"/>
          <w:i w:val="1"/>
          <w:iCs w:val="1"/>
          <w:color w:val="auto"/>
        </w:rPr>
        <w:t>The following discussion and analysis is designed to provide a better understanding of the consolidated financial condition and results of operations of the Company and the Bank, its wholly owned subsidiary, as of and for the three and the nine months ended September 30, 2025. This discussion and analysis is best read in conjunction with the unaudited consolidated financial statements and related notes included in this Quarterly Report on Form 10-Q (“Form 10-Q”) and the audited consolidated financial statements and related notes included in the Annual Report on Form 10-K (“2024 Form 10-K”) filed with the Securities and Exchange Commission (“SEC”) for the year ended December 31, 2024.</w:t>
      </w:r>
    </w:p>
    <w:p>
      <w:pPr>
        <w:spacing w:after="0" w:line="143"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i w:val="1"/>
          <w:iCs w:val="1"/>
          <w:color w:val="auto"/>
        </w:rPr>
        <w:t>This discussion contains forward-looking statements that involve risks, uncertainties and assumptions that could cause actual results to differ materially from management's expectations. Factors that could cause such differences are discussed in the sections entitled "Forward-Looking Statements" and Item 1A “Risk Factors" below in Part II hereof and in the 2024 Form 10-K filed with the SEC which is available at the SEC’s website www.sec.gov.</w:t>
      </w:r>
    </w:p>
    <w:p>
      <w:pPr>
        <w:spacing w:after="0" w:line="137" w:lineRule="exact"/>
        <w:rPr>
          <w:sz w:val="20"/>
          <w:szCs w:val="20"/>
          <w:color w:val="auto"/>
        </w:rPr>
      </w:pPr>
    </w:p>
    <w:p>
      <w:pPr>
        <w:ind w:left="660" w:right="719" w:firstLine="256"/>
        <w:spacing w:after="0" w:line="273" w:lineRule="auto"/>
        <w:rPr>
          <w:sz w:val="20"/>
          <w:szCs w:val="20"/>
          <w:color w:val="auto"/>
        </w:rPr>
      </w:pPr>
      <w:r>
        <w:rPr>
          <w:rFonts w:ascii="Arial" w:cs="Arial" w:eastAsia="Arial" w:hAnsi="Arial"/>
          <w:sz w:val="14"/>
          <w:szCs w:val="14"/>
          <w:i w:val="1"/>
          <w:iCs w:val="1"/>
          <w:color w:val="auto"/>
        </w:rPr>
        <w:t>Throughout this document, references to “we,” “us,” “our,” and “the Company” generally refer to USCB Financial Holdings, Inc.</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Forward-Looking Statements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This Form 10-Q contains statements that are not historical in nature are intended to be, and are hereby identified as, forward-looking statements for purposes of the safe harbor provided by Section 21E of the Securities Exchange Act of 1934, as amended. The words “may,” “will,” “anticipate,” “could,”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 and potential balance sheet restructuring.</w:t>
      </w:r>
    </w:p>
    <w:p>
      <w:pPr>
        <w:spacing w:after="0" w:line="131"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20" w:lineRule="exact"/>
        <w:rPr>
          <w:sz w:val="20"/>
          <w:szCs w:val="20"/>
          <w:color w:val="auto"/>
        </w:rPr>
      </w:pPr>
    </w:p>
    <w:p>
      <w:pPr>
        <w:ind w:left="1180" w:hanging="261"/>
        <w:spacing w:after="0"/>
        <w:tabs>
          <w:tab w:leader="none" w:pos="11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strength of the United States economy in general and the strength of the local economies in which we conduct</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operations;</w:t>
      </w:r>
    </w:p>
    <w:p>
      <w:pPr>
        <w:ind w:left="920"/>
        <w:spacing w:after="0"/>
        <w:tabs>
          <w:tab w:leader="none" w:pos="1160" w:val="left"/>
        </w:tabs>
        <w:rPr>
          <w:sz w:val="20"/>
          <w:szCs w:val="20"/>
          <w:color w:val="auto"/>
        </w:rPr>
      </w:pPr>
      <w:r>
        <w:rPr>
          <w:rFonts w:ascii="Arial" w:cs="Arial" w:eastAsia="Arial" w:hAnsi="Arial"/>
          <w:sz w:val="14"/>
          <w:szCs w:val="14"/>
          <w:color w:val="auto"/>
        </w:rPr>
        <w:t>•</w:t>
        <w:tab/>
        <w:t>our ability to successfully manage interest rate risk, credit risk, liquidity risk, and other risks inherent to our industry;</w:t>
      </w:r>
    </w:p>
    <w:p>
      <w:pPr>
        <w:ind w:left="1180" w:right="679" w:hanging="261"/>
        <w:spacing w:after="0" w:line="246"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allowance for credit losses and deferred tax asset valuation allowance;</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procedures and processes;</w:t>
      </w:r>
    </w:p>
    <w:p>
      <w:pPr>
        <w:ind w:left="1180" w:right="719" w:hanging="261"/>
        <w:spacing w:after="0" w:line="246"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1180" w:right="679" w:hanging="261"/>
        <w:spacing w:after="0" w:line="238"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adverse changes or conditions in capital and financial markets, including actual or potential stresses in the banking industry;</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deposit attrition and the level of our uninsured deposits;</w:t>
      </w:r>
    </w:p>
    <w:p>
      <w:pPr>
        <w:spacing w:after="0" w:line="9" w:lineRule="exact"/>
        <w:rPr>
          <w:rFonts w:ascii="Arial" w:cs="Arial" w:eastAsia="Arial" w:hAnsi="Arial"/>
          <w:sz w:val="14"/>
          <w:szCs w:val="14"/>
          <w:color w:val="auto"/>
        </w:rPr>
      </w:pPr>
    </w:p>
    <w:p>
      <w:pPr>
        <w:jc w:val="both"/>
        <w:ind w:left="1180" w:right="679" w:hanging="261"/>
        <w:spacing w:after="0" w:line="243"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legislative or regulatory changes, including the enactment of the One Big Beautiful Bill, and changes in accounting principles, policies, practices or guidelines, including the on-going effects of the Current Expected Credit Losses (“CECL”) standard;</w:t>
      </w:r>
    </w:p>
    <w:p>
      <w:pPr>
        <w:spacing w:after="0" w:line="1" w:lineRule="exact"/>
        <w:rPr>
          <w:rFonts w:ascii="Arial" w:cs="Arial" w:eastAsia="Arial" w:hAnsi="Arial"/>
          <w:sz w:val="14"/>
          <w:szCs w:val="14"/>
          <w:color w:val="auto"/>
        </w:rPr>
      </w:pPr>
    </w:p>
    <w:p>
      <w:pPr>
        <w:jc w:val="both"/>
        <w:ind w:left="1180" w:right="699" w:hanging="261"/>
        <w:spacing w:after="0" w:line="243"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lack of a significantly diversified loan portfolio and our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effects of climate change;</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concentration of ownership of our common stock;</w:t>
      </w:r>
    </w:p>
    <w:p>
      <w:pPr>
        <w:spacing w:after="0" w:line="9" w:lineRule="exact"/>
        <w:rPr>
          <w:rFonts w:ascii="Arial" w:cs="Arial" w:eastAsia="Arial" w:hAnsi="Arial"/>
          <w:sz w:val="14"/>
          <w:szCs w:val="14"/>
          <w:color w:val="auto"/>
        </w:rPr>
      </w:pP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fluctuations in the price of our common stock;</w:t>
      </w:r>
    </w:p>
    <w:p>
      <w:pPr>
        <w:ind w:left="1180" w:right="699" w:hanging="261"/>
        <w:spacing w:after="0" w:line="246"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fund or access the capital markets at attractive rates and terms and manage our growth, both organic growth as well as growth through other means, such as future acquisitions;</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effects of potential new or increased tariffs , retaliatory tariffs, and trade restrictions;</w:t>
      </w:r>
    </w:p>
    <w:p>
      <w:pPr>
        <w:ind w:left="1180" w:right="679" w:hanging="261"/>
        <w:spacing w:after="0" w:line="246"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effects of the current federal government shutdown, including, but not limited to, the ability to sell Small Business Administration loans;</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impacts of international hostilities and geopolitical events;</w:t>
      </w:r>
    </w:p>
    <w:p>
      <w:pPr>
        <w:ind w:left="1180" w:right="699" w:hanging="261"/>
        <w:spacing w:after="0" w:line="246" w:lineRule="auto"/>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interest rate spread and net interest margin;</w:t>
      </w:r>
    </w:p>
    <w:p>
      <w:pPr>
        <w:ind w:left="1180" w:hanging="261"/>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loss of key employees;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29" w:name="page30"/>
    <w:bookmarkEnd w:id="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right="699" w:hanging="261"/>
        <w:spacing w:after="0" w:line="256"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spacing w:after="0" w:line="1" w:lineRule="exact"/>
        <w:rPr>
          <w:rFonts w:ascii="Arial" w:cs="Arial" w:eastAsia="Arial" w:hAnsi="Arial"/>
          <w:sz w:val="14"/>
          <w:szCs w:val="14"/>
          <w:color w:val="auto"/>
        </w:rPr>
      </w:pPr>
    </w:p>
    <w:p>
      <w:pPr>
        <w:ind w:left="1180" w:hanging="261"/>
        <w:spacing w:after="0"/>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risks described in this Form 10-Q, the 2024 Form 10-K and other filings we make with the SEC.</w:t>
      </w:r>
    </w:p>
    <w:p>
      <w:pPr>
        <w:spacing w:after="0" w:line="145"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Form 10-Q are made only as of the date hereof, and we undertake no obligation to update or revise any forward-looking statement to reflect events or circumstances after the date on which the statement is made or to reflect the occurrence of unanticipated events, unless required to do so under the federal securities laws. You should also review the risk factors described in the 2024 Form 10-K and in the reports the Company has filed or will file with the SEC.</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Overview</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Company reported net income of $8.9 million or $0.45 per diluted share of common stock for the three months ended September 30, 2025 compared to $6.9 million or $0.35 per diluted share of common stock for the three months ended September 30, 2024. For nine months ended September 30, 2025, the Company reported net income of $24.7 million or $1.23 per diluted share of common stock compared to $17.8 million or $0.90 per diluted share of common stock for the nine months ended September 30, 2024.</w:t>
      </w:r>
    </w:p>
    <w:p>
      <w:pPr>
        <w:spacing w:after="0" w:line="14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In evaluating our financial performance, the Company considers the level of and trends in net interest income, the net interest margin, the cost of deposits and borrowings, levels and composition of non-interest income and non-interest expense, performance ratios, asset quality ratios, regulatory capital ratios, and any significant event or transaction.</w:t>
      </w:r>
    </w:p>
    <w:p>
      <w:pPr>
        <w:spacing w:after="0" w:line="134"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Unless otherwise stated, all period comparisons in the bullet points below are calculated at or for the quarter ended September 30, 2025 compared to at or for the quarter ended September 30, 2024 and as of December 31, 2024 and annualized where appropriate:</w:t>
      </w:r>
    </w:p>
    <w:p>
      <w:pPr>
        <w:spacing w:after="0" w:line="118" w:lineRule="exact"/>
        <w:rPr>
          <w:sz w:val="20"/>
          <w:szCs w:val="20"/>
          <w:color w:val="auto"/>
        </w:rPr>
      </w:pPr>
    </w:p>
    <w:p>
      <w:pPr>
        <w:ind w:left="1180" w:right="679" w:hanging="261"/>
        <w:spacing w:after="0" w:line="276"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interest income for the three months ended September 30, 2025 increased $3.2 million or 17.5% to $21.3 million from $18.1 million for the quarter ended September 30, 2024.</w:t>
      </w:r>
    </w:p>
    <w:p>
      <w:pPr>
        <w:spacing w:after="0" w:line="120" w:lineRule="exact"/>
        <w:rPr>
          <w:rFonts w:ascii="Arial" w:cs="Arial" w:eastAsia="Arial" w:hAnsi="Arial"/>
          <w:sz w:val="14"/>
          <w:szCs w:val="14"/>
          <w:color w:val="auto"/>
        </w:rPr>
      </w:pPr>
    </w:p>
    <w:p>
      <w:pPr>
        <w:ind w:left="1180" w:right="679" w:hanging="261"/>
        <w:spacing w:after="0" w:line="292"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interest margin (“NIM”) expanded to 3.14% for the three months ended September 30, 2025 compared to 3.03% for the three months ended September 30, 2024.</w:t>
      </w:r>
    </w:p>
    <w:p>
      <w:pPr>
        <w:spacing w:after="0" w:line="99" w:lineRule="exact"/>
        <w:rPr>
          <w:rFonts w:ascii="Arial" w:cs="Arial" w:eastAsia="Arial" w:hAnsi="Arial"/>
          <w:sz w:val="14"/>
          <w:szCs w:val="14"/>
          <w:color w:val="auto"/>
        </w:rPr>
      </w:pPr>
    </w:p>
    <w:p>
      <w:pPr>
        <w:ind w:left="1180" w:right="699" w:hanging="261"/>
        <w:spacing w:after="0" w:line="276"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assets were $2.77 billion at September 30, 2025, representing an increase of $264.0 million or 10.5% from September 30, 2024 and an increase of $186.7 million or 9.7% annualized from December 31, 2024.</w:t>
      </w:r>
    </w:p>
    <w:p>
      <w:pPr>
        <w:spacing w:after="0" w:line="120" w:lineRule="exact"/>
        <w:rPr>
          <w:rFonts w:ascii="Arial" w:cs="Arial" w:eastAsia="Arial" w:hAnsi="Arial"/>
          <w:sz w:val="14"/>
          <w:szCs w:val="14"/>
          <w:color w:val="auto"/>
        </w:rPr>
      </w:pPr>
    </w:p>
    <w:p>
      <w:pPr>
        <w:ind w:left="1180" w:right="619" w:hanging="261"/>
        <w:spacing w:after="0" w:line="265"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loans held for investment (net of deferred cost/fees) were $2.13 billion at September 30, 2025, representing an increase of $199.6 million or 10.3% from September 30, 2024 and an increase of $158.1 million or 10.7% annualized from December 31, 2024.</w:t>
      </w:r>
    </w:p>
    <w:p>
      <w:pPr>
        <w:spacing w:after="0" w:line="117" w:lineRule="exact"/>
        <w:rPr>
          <w:rFonts w:ascii="Arial" w:cs="Arial" w:eastAsia="Arial" w:hAnsi="Arial"/>
          <w:sz w:val="14"/>
          <w:szCs w:val="14"/>
          <w:color w:val="auto"/>
        </w:rPr>
      </w:pPr>
    </w:p>
    <w:p>
      <w:pPr>
        <w:ind w:left="1180" w:right="699" w:hanging="261"/>
        <w:spacing w:after="0" w:line="292"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deposits were $2.46 billion at September 30, 2025, representing an increase of $329.0 million or 15.5% from September 30, 2024 and an increase of $281.6 million or 17.3% annualized from December 31, 2024.</w:t>
      </w:r>
    </w:p>
    <w:p>
      <w:pPr>
        <w:spacing w:after="0" w:line="109"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Annualized return on average assets for the quarter ended September 30, 2025 was 1.27% compared to 1.11% for the quarter ended September 30, 2024.</w:t>
      </w:r>
    </w:p>
    <w:p>
      <w:pPr>
        <w:spacing w:after="0" w:line="120" w:lineRule="exact"/>
        <w:rPr>
          <w:rFonts w:ascii="Arial" w:cs="Arial" w:eastAsia="Arial" w:hAnsi="Arial"/>
          <w:sz w:val="14"/>
          <w:szCs w:val="14"/>
          <w:color w:val="auto"/>
        </w:rPr>
      </w:pPr>
    </w:p>
    <w:p>
      <w:pPr>
        <w:ind w:left="1180" w:right="719" w:hanging="261"/>
        <w:spacing w:after="0" w:line="276"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Annualized return on average stockholders’ equity for the quarter ended September 30, 2025 was 15.74% compared to 13.38% for quarter ended September 30, 2024.</w:t>
      </w:r>
    </w:p>
    <w:p>
      <w:pPr>
        <w:spacing w:after="0" w:line="120" w:lineRule="exact"/>
        <w:rPr>
          <w:rFonts w:ascii="Arial" w:cs="Arial" w:eastAsia="Arial" w:hAnsi="Arial"/>
          <w:sz w:val="14"/>
          <w:szCs w:val="14"/>
          <w:color w:val="auto"/>
        </w:rPr>
      </w:pP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ACL to total loans was 1.17% at September 30, 2025 compared to 1.22% at December 31, 2024.</w:t>
      </w:r>
    </w:p>
    <w:p>
      <w:pPr>
        <w:spacing w:after="0" w:line="159" w:lineRule="exact"/>
        <w:rPr>
          <w:rFonts w:ascii="Arial" w:cs="Arial" w:eastAsia="Arial" w:hAnsi="Arial"/>
          <w:sz w:val="14"/>
          <w:szCs w:val="14"/>
          <w:color w:val="auto"/>
        </w:rPr>
      </w:pPr>
    </w:p>
    <w:p>
      <w:pPr>
        <w:ind w:left="1180" w:hanging="261"/>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Non-performing loans to total loans was 0.06% at September 30, 2025 and 0.14% at December 31, 2024.</w:t>
      </w:r>
    </w:p>
    <w:p>
      <w:pPr>
        <w:spacing w:after="0" w:line="169" w:lineRule="exact"/>
        <w:rPr>
          <w:rFonts w:ascii="Arial" w:cs="Arial" w:eastAsia="Arial" w:hAnsi="Arial"/>
          <w:sz w:val="14"/>
          <w:szCs w:val="14"/>
          <w:color w:val="auto"/>
        </w:rPr>
      </w:pPr>
    </w:p>
    <w:p>
      <w:pPr>
        <w:ind w:left="1180" w:right="679" w:hanging="261"/>
        <w:spacing w:after="0" w:line="276"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At September 30, 2025, the total risk-based capital ratios for the Company and the Bank were 14.20% and 13.93%, respectively.</w:t>
      </w:r>
    </w:p>
    <w:p>
      <w:pPr>
        <w:spacing w:after="0" w:line="120"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Tangible book value per common share (a non-GAAP measure) was $11.55 at September 30, 2025, representing an increase of $0.74 or 9.1% annualized from $10.81 at December 31, 2024. At September 30, 2025, tangible book value per common share was negatively affected by ($2.09) due to an accumulated comprehensive loss of $37.8 million. At December 31, 2024, tangible book value per common share was negatively affected by ($2.24) due to</w:t>
      </w:r>
    </w:p>
    <w:p>
      <w:pPr>
        <w:spacing w:after="0" w:line="39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1180" w:right="699"/>
        <w:spacing w:after="0" w:line="276" w:lineRule="auto"/>
        <w:rPr>
          <w:sz w:val="20"/>
          <w:szCs w:val="20"/>
          <w:color w:val="auto"/>
        </w:rPr>
      </w:pPr>
      <w:r>
        <w:rPr>
          <w:rFonts w:ascii="Arial" w:cs="Arial" w:eastAsia="Arial" w:hAnsi="Arial"/>
          <w:sz w:val="14"/>
          <w:szCs w:val="14"/>
          <w:color w:val="auto"/>
        </w:rPr>
        <w:t>an accumulated comprehensive loss of $44.5 million. See “Reconciliation and Management Explanation for Non-GAAP Financial Measures” included in this Form 10-Q for a reconciliation of this non-GAAP financial measure.</w:t>
      </w:r>
    </w:p>
    <w:p>
      <w:pPr>
        <w:spacing w:after="0" w:line="120" w:lineRule="exact"/>
        <w:rPr>
          <w:sz w:val="20"/>
          <w:szCs w:val="20"/>
          <w:color w:val="auto"/>
        </w:rPr>
      </w:pPr>
    </w:p>
    <w:p>
      <w:pPr>
        <w:jc w:val="both"/>
        <w:ind w:left="1180" w:right="659" w:hanging="261"/>
        <w:spacing w:after="0" w:line="248" w:lineRule="auto"/>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On August 14, 2025, the Company entered into a Subordinated Note Purchase Agreement with certain qualified institutional buyers pursuant to which the Company sold and issued $40.0 million in aggregate principal amount of its 7.625% fixed-to-floating rate subordinated notes due August 15, 2035 in a private placement transaction. This transaction was conducted under the provisions of Regulation D promulgated under the Securities Act 1933. The subordinated notes were issued by the Company to the purchasers at a price equal to 100% of their face amount. The majority of the net proceeds were used to repurchase 2.0 million shares of Class A common stock in September 2025, from certain institutional shareholders through privately negotiated transactions, at a weighted average price per share of $17.19. The aggregate purchase price for these transactions was approximately $34.4 million. The repurchases were supplemental and not part of the Company’s two previously announced stock repurchase programs.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59"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The consolidated financial statements are prepared based on the application of U.S. Generally Accepted Accounting Practices (“GAAP”), the most significant of which are described in Note 1 “Summary of Significant Accounting Policies” in the Company’s 2024 Form 10-K and “Summary of Significant Accounting Policies” in Part I in this Form 10-Q . To prepare financial statements in conformity with US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to an understanding of our financial statements. Management has presented the application of these policies to the Audit and Risk Committee of our Board of Directors.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70"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This Form 10-Q includes financial information determined by methods other than in accordance with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section “Reconciliation and Management Explanation of Non-GAAP Financial Measures” included in this Form 10-Q.</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Segment Reporting</w:t>
      </w:r>
    </w:p>
    <w:p>
      <w:pPr>
        <w:spacing w:after="0" w:line="170"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Management monitors the revenue streams for all its various products and services. The identifiable segments are not material and operations are managed and financial performance is evaluated on an overall Company-wide basis. Accordingly, all the financial service operations are considered by management to be aggregated in one reportable operating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31" w:name="page32"/>
    <w:bookmarkEnd w:id="3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Results of Operations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General</w:t>
      </w:r>
    </w:p>
    <w:p>
      <w:pPr>
        <w:spacing w:after="0" w:line="157"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The following tables present selected balance sheet, income statement, and profitability ratios for the dates and periods indicated (in thousands, except ratios):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4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September 30, 2025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2024</w:t>
            </w:r>
          </w:p>
        </w:tc>
      </w:tr>
      <w:tr>
        <w:trPr>
          <w:trHeight w:val="151"/>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0"/>
        </w:trPr>
        <w:tc>
          <w:tcPr>
            <w:tcW w:w="4920" w:type="dxa"/>
            <w:vAlign w:val="bottom"/>
          </w:tcPr>
          <w:p>
            <w:pPr>
              <w:ind w:left="100"/>
              <w:spacing w:after="0"/>
              <w:rPr>
                <w:sz w:val="20"/>
                <w:szCs w:val="20"/>
                <w:color w:val="auto"/>
              </w:rPr>
            </w:pPr>
            <w:r>
              <w:rPr>
                <w:rFonts w:ascii="Arial" w:cs="Arial" w:eastAsia="Arial" w:hAnsi="Arial"/>
                <w:sz w:val="13"/>
                <w:szCs w:val="13"/>
                <w:color w:val="auto"/>
              </w:rPr>
              <w:t>Total assets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2,767,945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2,581,216</w:t>
            </w:r>
          </w:p>
        </w:tc>
        <w:tc>
          <w:tcPr>
            <w:tcW w:w="20" w:type="dxa"/>
            <w:vAlign w:val="bottom"/>
          </w:tcPr>
          <w:p>
            <w:pPr>
              <w:spacing w:after="0"/>
              <w:rPr>
                <w:sz w:val="13"/>
                <w:szCs w:val="13"/>
                <w:color w:val="auto"/>
              </w:rPr>
            </w:pPr>
          </w:p>
        </w:tc>
      </w:tr>
      <w:tr>
        <w:trPr>
          <w:trHeight w:val="160"/>
        </w:trPr>
        <w:tc>
          <w:tcPr>
            <w:tcW w:w="4920" w:type="dxa"/>
            <w:vAlign w:val="bottom"/>
            <w:shd w:val="clear" w:color="auto" w:fill="CCEEFF"/>
          </w:tcPr>
          <w:p>
            <w:pPr>
              <w:ind w:left="100"/>
              <w:spacing w:after="0" w:line="160" w:lineRule="exact"/>
              <w:rPr>
                <w:sz w:val="20"/>
                <w:szCs w:val="20"/>
                <w:color w:val="auto"/>
              </w:rPr>
            </w:pPr>
            <w:r>
              <w:rPr>
                <w:rFonts w:ascii="Arial" w:cs="Arial" w:eastAsia="Arial" w:hAnsi="Arial"/>
                <w:sz w:val="13"/>
                <w:szCs w:val="13"/>
                <w:color w:val="auto"/>
              </w:rPr>
              <w:t xml:space="preserve">Total loans </w:t>
            </w:r>
            <w:r>
              <w:rPr>
                <w:rFonts w:ascii="Arial" w:cs="Arial" w:eastAsia="Arial" w:hAnsi="Arial"/>
                <w:sz w:val="17"/>
                <w:szCs w:val="17"/>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2,130,966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1,972,848</w:t>
            </w:r>
          </w:p>
        </w:tc>
        <w:tc>
          <w:tcPr>
            <w:tcW w:w="20" w:type="dxa"/>
            <w:vAlign w:val="bottom"/>
            <w:shd w:val="clear" w:color="auto" w:fill="CCEEFF"/>
          </w:tcPr>
          <w:p>
            <w:pPr>
              <w:spacing w:after="0"/>
              <w:rPr>
                <w:sz w:val="13"/>
                <w:szCs w:val="13"/>
                <w:color w:val="auto"/>
              </w:rPr>
            </w:pPr>
          </w:p>
        </w:tc>
      </w:tr>
      <w:tr>
        <w:trPr>
          <w:trHeight w:val="171"/>
        </w:trPr>
        <w:tc>
          <w:tcPr>
            <w:tcW w:w="4920" w:type="dxa"/>
            <w:vAlign w:val="bottom"/>
          </w:tcPr>
          <w:p>
            <w:pPr>
              <w:ind w:left="100"/>
              <w:spacing w:after="0"/>
              <w:rPr>
                <w:sz w:val="20"/>
                <w:szCs w:val="20"/>
                <w:color w:val="auto"/>
              </w:rPr>
            </w:pPr>
            <w:r>
              <w:rPr>
                <w:rFonts w:ascii="Arial" w:cs="Arial" w:eastAsia="Arial" w:hAnsi="Arial"/>
                <w:sz w:val="13"/>
                <w:szCs w:val="13"/>
                <w:color w:val="auto"/>
              </w:rPr>
              <w:t>Total deposits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2,455,614</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2,174,004</w:t>
            </w:r>
          </w:p>
        </w:tc>
        <w:tc>
          <w:tcPr>
            <w:tcW w:w="20" w:type="dxa"/>
            <w:vAlign w:val="bottom"/>
          </w:tcPr>
          <w:p>
            <w:pPr>
              <w:spacing w:after="0"/>
              <w:rPr>
                <w:sz w:val="14"/>
                <w:szCs w:val="14"/>
                <w:color w:val="auto"/>
              </w:rPr>
            </w:pPr>
          </w:p>
        </w:tc>
      </w:tr>
      <w:tr>
        <w:trPr>
          <w:trHeight w:val="160"/>
        </w:trPr>
        <w:tc>
          <w:tcPr>
            <w:tcW w:w="49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209,095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215,388</w:t>
            </w:r>
          </w:p>
        </w:tc>
        <w:tc>
          <w:tcPr>
            <w:tcW w:w="20" w:type="dxa"/>
            <w:vAlign w:val="bottom"/>
            <w:shd w:val="clear" w:color="auto" w:fill="CCEEFF"/>
          </w:tcPr>
          <w:p>
            <w:pPr>
              <w:spacing w:after="0"/>
              <w:rPr>
                <w:sz w:val="13"/>
                <w:szCs w:val="13"/>
                <w:color w:val="auto"/>
              </w:rPr>
            </w:pPr>
          </w:p>
        </w:tc>
      </w:tr>
    </w:tbl>
    <w:p>
      <w:pPr>
        <w:spacing w:after="0" w:line="140"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24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(1) Loan amounts include deferred fees/costs.</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1"/>
        </w:trPr>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7"/>
          </w:tcPr>
          <w:p>
            <w:pPr>
              <w:jc w:val="right"/>
              <w:ind w:right="440"/>
              <w:spacing w:after="0"/>
              <w:rPr>
                <w:sz w:val="20"/>
                <w:szCs w:val="20"/>
                <w:color w:val="auto"/>
              </w:rPr>
            </w:pPr>
            <w:r>
              <w:rPr>
                <w:rFonts w:ascii="Arial" w:cs="Arial" w:eastAsia="Arial" w:hAnsi="Arial"/>
                <w:sz w:val="13"/>
                <w:szCs w:val="13"/>
                <w:b w:val="1"/>
                <w:bCs w:val="1"/>
                <w:color w:val="auto"/>
              </w:rPr>
              <w:t>Three Months Ended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5"/>
          </w:tcPr>
          <w:p>
            <w:pPr>
              <w:jc w:val="right"/>
              <w:ind w:right="456"/>
              <w:spacing w:after="0"/>
              <w:rPr>
                <w:sz w:val="20"/>
                <w:szCs w:val="20"/>
                <w:color w:val="auto"/>
              </w:rPr>
            </w:pPr>
            <w:r>
              <w:rPr>
                <w:rFonts w:ascii="Arial" w:cs="Arial" w:eastAsia="Arial" w:hAnsi="Arial"/>
                <w:sz w:val="13"/>
                <w:szCs w:val="13"/>
                <w:b w:val="1"/>
                <w:bCs w:val="1"/>
                <w:color w:val="auto"/>
              </w:rPr>
              <w:t>Nine Months Ended</w:t>
            </w:r>
          </w:p>
        </w:tc>
        <w:tc>
          <w:tcPr>
            <w:tcW w:w="20" w:type="dxa"/>
            <w:vAlign w:val="bottom"/>
          </w:tcPr>
          <w:p>
            <w:pPr>
              <w:spacing w:after="0"/>
              <w:rPr>
                <w:sz w:val="24"/>
                <w:szCs w:val="24"/>
                <w:color w:val="auto"/>
              </w:rPr>
            </w:pPr>
          </w:p>
        </w:tc>
      </w:tr>
      <w:tr>
        <w:trPr>
          <w:trHeight w:val="149"/>
        </w:trPr>
        <w:tc>
          <w:tcPr>
            <w:tcW w:w="3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3"/>
                <w:szCs w:val="13"/>
                <w:b w:val="1"/>
                <w:bCs w:val="1"/>
                <w:color w:val="auto"/>
              </w:rPr>
              <w:t>September 30,</w:t>
            </w:r>
          </w:p>
        </w:tc>
        <w:tc>
          <w:tcPr>
            <w:tcW w:w="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September 30,</w:t>
            </w:r>
          </w:p>
        </w:tc>
        <w:tc>
          <w:tcPr>
            <w:tcW w:w="20" w:type="dxa"/>
            <w:vAlign w:val="bottom"/>
          </w:tcPr>
          <w:p>
            <w:pPr>
              <w:spacing w:after="0"/>
              <w:rPr>
                <w:sz w:val="12"/>
                <w:szCs w:val="12"/>
                <w:color w:val="auto"/>
              </w:rPr>
            </w:pPr>
          </w:p>
        </w:tc>
      </w:tr>
      <w:tr>
        <w:trPr>
          <w:trHeight w:val="171"/>
        </w:trPr>
        <w:tc>
          <w:tcPr>
            <w:tcW w:w="3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2025</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4"/>
                <w:szCs w:val="14"/>
                <w:color w:val="auto"/>
              </w:rPr>
            </w:pPr>
          </w:p>
        </w:tc>
      </w:tr>
      <w:tr>
        <w:trPr>
          <w:trHeight w:val="141"/>
        </w:trPr>
        <w:tc>
          <w:tcPr>
            <w:tcW w:w="32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Consolidated Statements of Operations:</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240" w:type="dxa"/>
            <w:vAlign w:val="bottom"/>
          </w:tcPr>
          <w:p>
            <w:pPr>
              <w:ind w:left="100"/>
              <w:spacing w:after="0"/>
              <w:rPr>
                <w:sz w:val="20"/>
                <w:szCs w:val="20"/>
                <w:color w:val="auto"/>
              </w:rPr>
            </w:pPr>
            <w:r>
              <w:rPr>
                <w:rFonts w:ascii="Arial" w:cs="Arial" w:eastAsia="Arial" w:hAnsi="Arial"/>
                <w:sz w:val="13"/>
                <w:szCs w:val="13"/>
                <w:color w:val="auto"/>
              </w:rPr>
              <w:t>Net interest income before provision for credit losses</w:t>
            </w:r>
          </w:p>
        </w:tc>
        <w:tc>
          <w:tcPr>
            <w:tcW w:w="120" w:type="dxa"/>
            <w:vAlign w:val="bottom"/>
            <w:gridSpan w:val="2"/>
          </w:tcPr>
          <w:p>
            <w:pPr>
              <w:jc w:val="right"/>
              <w:ind w:right="33"/>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21,274</w:t>
            </w:r>
          </w:p>
        </w:tc>
        <w:tc>
          <w:tcPr>
            <w:tcW w:w="20" w:type="dxa"/>
            <w:vAlign w:val="bottom"/>
          </w:tcPr>
          <w:p>
            <w:pPr>
              <w:spacing w:after="0"/>
              <w:rPr>
                <w:sz w:val="13"/>
                <w:szCs w:val="13"/>
                <w:color w:val="auto"/>
              </w:rPr>
            </w:pPr>
          </w:p>
        </w:tc>
        <w:tc>
          <w:tcPr>
            <w:tcW w:w="280" w:type="dxa"/>
            <w:vAlign w:val="bottom"/>
            <w:gridSpan w:val="3"/>
          </w:tcPr>
          <w:p>
            <w:pPr>
              <w:jc w:val="right"/>
              <w:ind w:right="112"/>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18,109</w:t>
            </w:r>
          </w:p>
        </w:tc>
        <w:tc>
          <w:tcPr>
            <w:tcW w:w="300" w:type="dxa"/>
            <w:vAlign w:val="bottom"/>
            <w:gridSpan w:val="3"/>
          </w:tcPr>
          <w:p>
            <w:pPr>
              <w:jc w:val="right"/>
              <w:ind w:right="132"/>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61,423</w:t>
            </w:r>
          </w:p>
        </w:tc>
        <w:tc>
          <w:tcPr>
            <w:tcW w:w="300" w:type="dxa"/>
            <w:vAlign w:val="bottom"/>
            <w:gridSpan w:val="3"/>
          </w:tcPr>
          <w:p>
            <w:pPr>
              <w:jc w:val="right"/>
              <w:ind w:right="15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50,578</w:t>
            </w:r>
          </w:p>
        </w:tc>
        <w:tc>
          <w:tcPr>
            <w:tcW w:w="20" w:type="dxa"/>
            <w:vAlign w:val="bottom"/>
          </w:tcPr>
          <w:p>
            <w:pPr>
              <w:spacing w:after="0"/>
              <w:rPr>
                <w:sz w:val="13"/>
                <w:szCs w:val="13"/>
                <w:color w:val="auto"/>
              </w:rPr>
            </w:pPr>
          </w:p>
        </w:tc>
      </w:tr>
      <w:tr>
        <w:trPr>
          <w:trHeight w:val="160"/>
        </w:trPr>
        <w:tc>
          <w:tcPr>
            <w:tcW w:w="3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non-interest income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3,684</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3,438</w:t>
            </w:r>
          </w:p>
        </w:tc>
        <w:tc>
          <w:tcPr>
            <w:tcW w:w="60" w:type="dxa"/>
            <w:vAlign w:val="bottom"/>
            <w:gridSpan w:val="2"/>
            <w:shd w:val="clear" w:color="auto" w:fill="CCEEFF"/>
          </w:tcPr>
          <w:p>
            <w:pPr>
              <w:spacing w:after="0"/>
              <w:rPr>
                <w:sz w:val="13"/>
                <w:szCs w:val="13"/>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10,770</w:t>
            </w:r>
          </w:p>
        </w:tc>
        <w:tc>
          <w:tcPr>
            <w:tcW w:w="80" w:type="dxa"/>
            <w:vAlign w:val="bottom"/>
            <w:gridSpan w:val="2"/>
            <w:shd w:val="clear" w:color="auto" w:fill="CCEEFF"/>
          </w:tcPr>
          <w:p>
            <w:pPr>
              <w:spacing w:after="0"/>
              <w:rPr>
                <w:sz w:val="13"/>
                <w:szCs w:val="13"/>
                <w:color w:val="auto"/>
              </w:rPr>
            </w:pPr>
          </w:p>
        </w:tc>
        <w:tc>
          <w:tcPr>
            <w:tcW w:w="220" w:type="dxa"/>
            <w:vAlign w:val="bottom"/>
            <w:shd w:val="clear" w:color="auto" w:fill="CCEEFF"/>
          </w:tcPr>
          <w:p>
            <w:pPr>
              <w:jc w:val="right"/>
              <w:ind w:right="153"/>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9,113</w:t>
            </w:r>
          </w:p>
        </w:tc>
        <w:tc>
          <w:tcPr>
            <w:tcW w:w="20" w:type="dxa"/>
            <w:vAlign w:val="bottom"/>
            <w:shd w:val="clear" w:color="auto" w:fill="CCEEFF"/>
          </w:tcPr>
          <w:p>
            <w:pPr>
              <w:spacing w:after="0"/>
              <w:rPr>
                <w:sz w:val="13"/>
                <w:szCs w:val="13"/>
                <w:color w:val="auto"/>
              </w:rPr>
            </w:pPr>
          </w:p>
        </w:tc>
      </w:tr>
      <w:tr>
        <w:trPr>
          <w:trHeight w:val="160"/>
        </w:trPr>
        <w:tc>
          <w:tcPr>
            <w:tcW w:w="3240" w:type="dxa"/>
            <w:vAlign w:val="bottom"/>
          </w:tcPr>
          <w:p>
            <w:pPr>
              <w:ind w:left="100"/>
              <w:spacing w:after="0"/>
              <w:rPr>
                <w:sz w:val="20"/>
                <w:szCs w:val="20"/>
                <w:color w:val="auto"/>
              </w:rPr>
            </w:pPr>
            <w:r>
              <w:rPr>
                <w:rFonts w:ascii="Arial" w:cs="Arial" w:eastAsia="Arial" w:hAnsi="Arial"/>
                <w:sz w:val="13"/>
                <w:szCs w:val="13"/>
                <w:color w:val="auto"/>
              </w:rPr>
              <w:t>Total non-interest expense</w:t>
            </w:r>
          </w:p>
        </w:tc>
        <w:tc>
          <w:tcPr>
            <w:tcW w:w="120" w:type="dxa"/>
            <w:vAlign w:val="bottom"/>
            <w:gridSpan w:val="2"/>
          </w:tcPr>
          <w:p>
            <w:pPr>
              <w:jc w:val="right"/>
              <w:ind w:right="33"/>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13,048</w:t>
            </w:r>
          </w:p>
        </w:tc>
        <w:tc>
          <w:tcPr>
            <w:tcW w:w="20" w:type="dxa"/>
            <w:vAlign w:val="bottom"/>
          </w:tcPr>
          <w:p>
            <w:pPr>
              <w:spacing w:after="0"/>
              <w:rPr>
                <w:sz w:val="13"/>
                <w:szCs w:val="13"/>
                <w:color w:val="auto"/>
              </w:rPr>
            </w:pPr>
          </w:p>
        </w:tc>
        <w:tc>
          <w:tcPr>
            <w:tcW w:w="280" w:type="dxa"/>
            <w:vAlign w:val="bottom"/>
            <w:gridSpan w:val="3"/>
          </w:tcPr>
          <w:p>
            <w:pPr>
              <w:jc w:val="right"/>
              <w:ind w:right="112"/>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11,454</w:t>
            </w:r>
          </w:p>
        </w:tc>
        <w:tc>
          <w:tcPr>
            <w:tcW w:w="300" w:type="dxa"/>
            <w:vAlign w:val="bottom"/>
            <w:gridSpan w:val="3"/>
          </w:tcPr>
          <w:p>
            <w:pPr>
              <w:jc w:val="right"/>
              <w:ind w:right="132"/>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37,734</w:t>
            </w:r>
          </w:p>
        </w:tc>
        <w:tc>
          <w:tcPr>
            <w:tcW w:w="300" w:type="dxa"/>
            <w:vAlign w:val="bottom"/>
            <w:gridSpan w:val="3"/>
          </w:tcPr>
          <w:p>
            <w:pPr>
              <w:jc w:val="right"/>
              <w:ind w:right="15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34,188</w:t>
            </w:r>
          </w:p>
        </w:tc>
        <w:tc>
          <w:tcPr>
            <w:tcW w:w="20" w:type="dxa"/>
            <w:vAlign w:val="bottom"/>
          </w:tcPr>
          <w:p>
            <w:pPr>
              <w:spacing w:after="0"/>
              <w:rPr>
                <w:sz w:val="13"/>
                <w:szCs w:val="13"/>
                <w:color w:val="auto"/>
              </w:rPr>
            </w:pPr>
          </w:p>
        </w:tc>
      </w:tr>
      <w:tr>
        <w:trPr>
          <w:trHeight w:val="160"/>
        </w:trPr>
        <w:tc>
          <w:tcPr>
            <w:tcW w:w="3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8,939</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6,949</w:t>
            </w:r>
          </w:p>
        </w:tc>
        <w:tc>
          <w:tcPr>
            <w:tcW w:w="60" w:type="dxa"/>
            <w:vAlign w:val="bottom"/>
            <w:gridSpan w:val="2"/>
            <w:shd w:val="clear" w:color="auto" w:fill="CCEEFF"/>
          </w:tcPr>
          <w:p>
            <w:pPr>
              <w:spacing w:after="0"/>
              <w:rPr>
                <w:sz w:val="13"/>
                <w:szCs w:val="13"/>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24,737</w:t>
            </w:r>
          </w:p>
        </w:tc>
        <w:tc>
          <w:tcPr>
            <w:tcW w:w="80" w:type="dxa"/>
            <w:vAlign w:val="bottom"/>
            <w:gridSpan w:val="2"/>
            <w:shd w:val="clear" w:color="auto" w:fill="CCEEFF"/>
          </w:tcPr>
          <w:p>
            <w:pPr>
              <w:spacing w:after="0"/>
              <w:rPr>
                <w:sz w:val="13"/>
                <w:szCs w:val="13"/>
                <w:color w:val="auto"/>
              </w:rPr>
            </w:pPr>
          </w:p>
        </w:tc>
        <w:tc>
          <w:tcPr>
            <w:tcW w:w="220" w:type="dxa"/>
            <w:vAlign w:val="bottom"/>
            <w:shd w:val="clear" w:color="auto" w:fill="CCEEFF"/>
          </w:tcPr>
          <w:p>
            <w:pPr>
              <w:jc w:val="right"/>
              <w:ind w:right="153"/>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17,770</w:t>
            </w:r>
          </w:p>
        </w:tc>
        <w:tc>
          <w:tcPr>
            <w:tcW w:w="20" w:type="dxa"/>
            <w:vAlign w:val="bottom"/>
            <w:shd w:val="clear" w:color="auto" w:fill="CCEEFF"/>
          </w:tcPr>
          <w:p>
            <w:pPr>
              <w:spacing w:after="0"/>
              <w:rPr>
                <w:sz w:val="13"/>
                <w:szCs w:val="13"/>
                <w:color w:val="auto"/>
              </w:rPr>
            </w:pPr>
          </w:p>
        </w:tc>
      </w:tr>
      <w:tr>
        <w:trPr>
          <w:trHeight w:val="171"/>
        </w:trPr>
        <w:tc>
          <w:tcPr>
            <w:tcW w:w="3240" w:type="dxa"/>
            <w:vAlign w:val="bottom"/>
          </w:tcPr>
          <w:p>
            <w:pPr>
              <w:spacing w:after="0"/>
              <w:rPr>
                <w:sz w:val="20"/>
                <w:szCs w:val="20"/>
                <w:color w:val="auto"/>
              </w:rPr>
            </w:pPr>
            <w:r>
              <w:rPr>
                <w:rFonts w:ascii="Arial" w:cs="Arial" w:eastAsia="Arial" w:hAnsi="Arial"/>
                <w:sz w:val="13"/>
                <w:szCs w:val="13"/>
                <w:b w:val="1"/>
                <w:bCs w:val="1"/>
                <w:color w:val="auto"/>
              </w:rPr>
              <w:t>Profitability: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Efficiency ratio</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52.28%</w:t>
            </w:r>
          </w:p>
        </w:tc>
        <w:tc>
          <w:tcPr>
            <w:tcW w:w="2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53.16%</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52.27%</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57.27%</w:t>
            </w:r>
          </w:p>
        </w:tc>
        <w:tc>
          <w:tcPr>
            <w:tcW w:w="20" w:type="dxa"/>
            <w:vAlign w:val="bottom"/>
            <w:shd w:val="clear" w:color="auto" w:fill="CCEEFF"/>
          </w:tcPr>
          <w:p>
            <w:pPr>
              <w:spacing w:after="0"/>
              <w:rPr>
                <w:sz w:val="13"/>
                <w:szCs w:val="13"/>
                <w:color w:val="auto"/>
              </w:rPr>
            </w:pPr>
          </w:p>
        </w:tc>
      </w:tr>
      <w:tr>
        <w:trPr>
          <w:trHeight w:val="159"/>
        </w:trPr>
        <w:tc>
          <w:tcPr>
            <w:tcW w:w="3240" w:type="dxa"/>
            <w:vAlign w:val="bottom"/>
          </w:tcPr>
          <w:p>
            <w:pPr>
              <w:ind w:left="100"/>
              <w:spacing w:after="0" w:line="148" w:lineRule="exact"/>
              <w:rPr>
                <w:sz w:val="20"/>
                <w:szCs w:val="20"/>
                <w:color w:val="auto"/>
              </w:rPr>
            </w:pPr>
            <w:r>
              <w:rPr>
                <w:rFonts w:ascii="Arial" w:cs="Arial" w:eastAsia="Arial" w:hAnsi="Arial"/>
                <w:sz w:val="13"/>
                <w:szCs w:val="13"/>
                <w:color w:val="auto"/>
              </w:rPr>
              <w:t>Net interest margin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3.03%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440"/>
              <w:spacing w:after="0"/>
              <w:rPr>
                <w:sz w:val="20"/>
                <w:szCs w:val="20"/>
                <w:color w:val="auto"/>
              </w:rPr>
            </w:pPr>
            <w:r>
              <w:rPr>
                <w:rFonts w:ascii="Arial" w:cs="Arial" w:eastAsia="Arial" w:hAnsi="Arial"/>
                <w:sz w:val="13"/>
                <w:szCs w:val="13"/>
                <w:color w:val="auto"/>
              </w:rPr>
              <w:t>3.17%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2.87%</w:t>
            </w:r>
          </w:p>
        </w:tc>
        <w:tc>
          <w:tcPr>
            <w:tcW w:w="20" w:type="dxa"/>
            <w:vAlign w:val="bottom"/>
          </w:tcPr>
          <w:p>
            <w:pPr>
              <w:spacing w:after="0"/>
              <w:rPr>
                <w:sz w:val="13"/>
                <w:szCs w:val="13"/>
                <w:color w:val="auto"/>
              </w:rPr>
            </w:pPr>
          </w:p>
        </w:tc>
      </w:tr>
    </w:tbl>
    <w:p>
      <w:pPr>
        <w:spacing w:after="0" w:line="138"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Company’s results of operations depend substantially on the levels of our net interest income and non-interest income. Other factors contributing to the results of operations include our provision for credit losses, the level of non-interest expense, and the provision for income taxes.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2025 compared to the three months ended September 30, 2024.</w:t>
      </w:r>
    </w:p>
    <w:p>
      <w:pPr>
        <w:spacing w:after="0" w:line="157"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Net income increased $2.0 million to $8.9 million for the three months ended September 30, 2025 from $6.9 million for the same period in 2024. The $2.0 million or 28.6% increase in net income was primarily driven by an improvement in net interest margin due to reduction in rates paid on interest-bearing liabilities between periods and a decrease in provision for credit losses for the third quarter ended September 30, 2025.</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2025 compared to the nine months ended September 30, 2024</w:t>
      </w:r>
    </w:p>
    <w:p>
      <w:pPr>
        <w:spacing w:after="0" w:line="168"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Net income increased $7.0 million to $24.7 million for the nine months ended September 30, 2025 from $17.8 million for the same period in 2024. The $7.0 million or 39.2% increase in the net income was primarily driven by an improvement in net interest margin due to reduction in rates paid on interest-bearing liabilities between periods. However, the increase in net interest income was partially offset by an increase in non-interest expense between periods. Additionally, increased activity in fee generating transactions (gain on sale of SBA 7a loans, prepayment penalties, title insurance income) contributed to the increase between periods.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Net Interest Income</w:t>
      </w:r>
    </w:p>
    <w:p>
      <w:pPr>
        <w:spacing w:after="0" w:line="168"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Net interest income is the difference between interest earned on interest-earning assets and interest paid on interest-bearing liabilities and is the primary driver of core earnings. Interest income is generated from interest and dividends on interest-earning assets, including loans, investment securities and other short-term investments. Interest expense is incurred from interest paid on interest-bearing liabilities, including interest-bearing deposits, FHLB advances and other borrowings.</w:t>
      </w:r>
    </w:p>
    <w:p>
      <w:pPr>
        <w:spacing w:after="0" w:line="305" w:lineRule="exact"/>
        <w:rPr>
          <w:sz w:val="20"/>
          <w:szCs w:val="20"/>
          <w:color w:val="auto"/>
        </w:rPr>
      </w:pPr>
    </w:p>
    <w:p>
      <w:pPr>
        <w:jc w:val="both"/>
        <w:ind w:left="660" w:right="679" w:firstLine="256"/>
        <w:spacing w:after="0" w:line="282" w:lineRule="auto"/>
        <w:rPr>
          <w:sz w:val="20"/>
          <w:szCs w:val="20"/>
          <w:color w:val="auto"/>
        </w:rPr>
      </w:pPr>
      <w:r>
        <w:rPr>
          <w:rFonts w:ascii="Arial" w:cs="Arial" w:eastAsia="Arial" w:hAnsi="Arial"/>
          <w:sz w:val="13"/>
          <w:szCs w:val="13"/>
          <w:color w:val="auto"/>
        </w:rPr>
        <w:t>To evaluate net interest income, we measure and monitor (i) yields on loans and other interest-earning assets, (ii) the costs of deposits and other funding sources, (iii) net interest spread, and (iv) net interest margin. Net interest spread is equal to the difference between yields earned on interest-earning assets and rates paid on interest-bearing liabilities. Net interest margin is equal to the annualized net interest income divided by average interest -earning assets. Because non-interest-</w:t>
      </w:r>
    </w:p>
    <w:p>
      <w:pPr>
        <w:spacing w:after="0" w:line="200" w:lineRule="exact"/>
        <w:rPr>
          <w:sz w:val="20"/>
          <w:szCs w:val="20"/>
          <w:color w:val="auto"/>
        </w:rPr>
      </w:pPr>
    </w:p>
    <w:p>
      <w:pPr>
        <w:spacing w:after="0" w:line="31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spacing w:after="0" w:line="276" w:lineRule="auto"/>
        <w:rPr>
          <w:sz w:val="20"/>
          <w:szCs w:val="20"/>
          <w:color w:val="auto"/>
        </w:rPr>
      </w:pPr>
      <w:r>
        <w:rPr>
          <w:rFonts w:ascii="Arial" w:cs="Arial" w:eastAsia="Arial" w:hAnsi="Arial"/>
          <w:sz w:val="14"/>
          <w:szCs w:val="14"/>
          <w:color w:val="auto"/>
        </w:rPr>
        <w:t>bearing sources of funds, such as non-interest-bearing deposits and stockholders’ equity, also fund interest-earning assets, net interest margin includes the indirect benefit of these non-interest-bearing funding sources.</w:t>
      </w:r>
    </w:p>
    <w:p>
      <w:pPr>
        <w:spacing w:after="0" w:line="12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Changes in market interest rates and interest rates we earn on interest-earning assets or pay on interest-bearing liabilities, as well as the volume and types of interest-earning assets and interest-bearing and non-interest-bearing liabilities, are usually the largest drivers of periodic changes in net interest spread, net interest margin and net interest income. Our asset liability committee (“ALCO”) has in place asset-liability management techniques to manage major factors that affect net interest income and net interest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33" w:name="page34"/>
    <w:bookmarkEnd w:id="3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The following table contains information related to average balances, average yields earned on assets, and average costs of liabilities for the periods indicated (dollars in thousands):</w:t>
      </w:r>
    </w:p>
    <w:p>
      <w:pPr>
        <w:spacing w:after="0" w:line="33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1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12"/>
          </w:tcPr>
          <w:p>
            <w:pPr>
              <w:ind w:left="520"/>
              <w:spacing w:after="0"/>
              <w:rPr>
                <w:sz w:val="20"/>
                <w:szCs w:val="20"/>
                <w:color w:val="auto"/>
              </w:rPr>
            </w:pPr>
            <w:r>
              <w:rPr>
                <w:rFonts w:ascii="Arial" w:cs="Arial" w:eastAsia="Arial" w:hAnsi="Arial"/>
                <w:sz w:val="11"/>
                <w:szCs w:val="11"/>
                <w:b w:val="1"/>
                <w:bCs w:val="1"/>
                <w:color w:val="auto"/>
              </w:rPr>
              <w:t>Three Months Ended September 30,</w:t>
            </w: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2025</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83"/>
              <w:spacing w:after="0"/>
              <w:rPr>
                <w:sz w:val="20"/>
                <w:szCs w:val="20"/>
                <w:color w:val="auto"/>
              </w:rPr>
            </w:pPr>
            <w:r>
              <w:rPr>
                <w:rFonts w:ascii="Arial" w:cs="Arial" w:eastAsia="Arial" w:hAnsi="Arial"/>
                <w:sz w:val="11"/>
                <w:szCs w:val="11"/>
                <w:b w:val="1"/>
                <w:bCs w:val="1"/>
                <w:color w:val="auto"/>
              </w:rPr>
              <w:t xml:space="preserve">Average </w:t>
            </w:r>
            <w:r>
              <w:rPr>
                <w:rFonts w:ascii="Arial" w:cs="Arial" w:eastAsia="Arial" w:hAnsi="Arial"/>
                <w:sz w:val="14"/>
                <w:szCs w:val="14"/>
                <w:b w:val="1"/>
                <w:bCs w:val="1"/>
                <w:color w:val="auto"/>
                <w:vertAlign w:val="superscript"/>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83"/>
              <w:spacing w:after="0"/>
              <w:rPr>
                <w:sz w:val="20"/>
                <w:szCs w:val="20"/>
                <w:color w:val="auto"/>
              </w:rPr>
            </w:pPr>
            <w:r>
              <w:rPr>
                <w:rFonts w:ascii="Arial" w:cs="Arial" w:eastAsia="Arial" w:hAnsi="Arial"/>
                <w:sz w:val="11"/>
                <w:szCs w:val="11"/>
                <w:b w:val="1"/>
                <w:bCs w:val="1"/>
                <w:color w:val="auto"/>
              </w:rPr>
              <w:t xml:space="preserve">Average </w:t>
            </w:r>
            <w:r>
              <w:rPr>
                <w:rFonts w:ascii="Arial" w:cs="Arial" w:eastAsia="Arial" w:hAnsi="Arial"/>
                <w:sz w:val="14"/>
                <w:szCs w:val="14"/>
                <w:b w:val="1"/>
                <w:bCs w:val="1"/>
                <w:color w:val="auto"/>
                <w:vertAlign w:val="superscript"/>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10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line="137" w:lineRule="exact"/>
              <w:rPr>
                <w:sz w:val="20"/>
                <w:szCs w:val="20"/>
                <w:color w:val="auto"/>
              </w:rPr>
            </w:pPr>
            <w:r>
              <w:rPr>
                <w:rFonts w:ascii="Arial" w:cs="Arial" w:eastAsia="Arial" w:hAnsi="Arial"/>
                <w:sz w:val="11"/>
                <w:szCs w:val="11"/>
                <w:b w:val="1"/>
                <w:bCs w:val="1"/>
                <w:color w:val="auto"/>
                <w:w w:val="97"/>
              </w:rPr>
              <w:t xml:space="preserve">Yield/Rate </w:t>
            </w:r>
            <w:r>
              <w:rPr>
                <w:rFonts w:ascii="Arial" w:cs="Arial" w:eastAsia="Arial" w:hAnsi="Arial"/>
                <w:sz w:val="14"/>
                <w:szCs w:val="14"/>
                <w:color w:val="auto"/>
                <w:w w:val="97"/>
                <w:vertAlign w:val="superscript"/>
              </w:rPr>
              <w:t>(2)</w:t>
            </w: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1"/>
                <w:szCs w:val="11"/>
                <w:b w:val="1"/>
                <w:bCs w:val="1"/>
                <w:color w:val="auto"/>
                <w:w w:val="97"/>
              </w:rPr>
              <w:t xml:space="preserve">Yield/Rate </w:t>
            </w:r>
            <w:r>
              <w:rPr>
                <w:rFonts w:ascii="Arial" w:cs="Arial" w:eastAsia="Arial" w:hAnsi="Arial"/>
                <w:sz w:val="14"/>
                <w:szCs w:val="14"/>
                <w:color w:val="auto"/>
                <w:w w:val="97"/>
                <w:vertAlign w:val="superscript"/>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gridSpan w:val="2"/>
          </w:tcPr>
          <w:p>
            <w:pPr>
              <w:spacing w:after="0"/>
              <w:rPr>
                <w:sz w:val="20"/>
                <w:szCs w:val="20"/>
                <w:color w:val="auto"/>
              </w:rPr>
            </w:pPr>
            <w:r>
              <w:rPr>
                <w:rFonts w:ascii="Arial" w:cs="Arial" w:eastAsia="Arial" w:hAnsi="Arial"/>
                <w:sz w:val="11"/>
                <w:szCs w:val="11"/>
                <w:b w:val="1"/>
                <w:bCs w:val="1"/>
                <w:color w:val="auto"/>
              </w:rPr>
              <w:t>Interest-earning 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2,099,043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32,866</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6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6.21%</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1,878,230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29,819</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gridSpan w:val="2"/>
          </w:tcPr>
          <w:p>
            <w:pPr>
              <w:ind w:left="10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461,303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3,522</w:t>
            </w:r>
          </w:p>
        </w:tc>
        <w:tc>
          <w:tcPr>
            <w:tcW w:w="740" w:type="dxa"/>
            <w:vAlign w:val="bottom"/>
            <w:gridSpan w:val="4"/>
          </w:tcPr>
          <w:p>
            <w:pPr>
              <w:ind w:left="380"/>
              <w:spacing w:after="0"/>
              <w:rPr>
                <w:sz w:val="20"/>
                <w:szCs w:val="20"/>
                <w:color w:val="auto"/>
              </w:rPr>
            </w:pPr>
            <w:r>
              <w:rPr>
                <w:rFonts w:ascii="Arial" w:cs="Arial" w:eastAsia="Arial" w:hAnsi="Arial"/>
                <w:sz w:val="11"/>
                <w:szCs w:val="11"/>
                <w:color w:val="auto"/>
              </w:rPr>
              <w:t>3.03%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419,315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2,754</w:t>
            </w: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2.61%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Other interest-earnings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130,740</w:t>
            </w:r>
          </w:p>
        </w:tc>
        <w:tc>
          <w:tcPr>
            <w:tcW w:w="2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1,332</w:t>
            </w:r>
          </w:p>
        </w:tc>
        <w:tc>
          <w:tcPr>
            <w:tcW w:w="20" w:type="dxa"/>
            <w:vAlign w:val="bottom"/>
            <w:shd w:val="clear" w:color="auto" w:fill="CCEEFF"/>
          </w:tcPr>
          <w:p>
            <w:pPr>
              <w:spacing w:after="0"/>
              <w:rPr>
                <w:sz w:val="13"/>
                <w:szCs w:val="13"/>
                <w:color w:val="auto"/>
              </w:rPr>
            </w:pP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6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4.04%</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80,378</w:t>
            </w:r>
          </w:p>
        </w:tc>
        <w:tc>
          <w:tcPr>
            <w:tcW w:w="2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989</w:t>
            </w:r>
          </w:p>
        </w:tc>
        <w:tc>
          <w:tcPr>
            <w:tcW w:w="20" w:type="dxa"/>
            <w:vAlign w:val="bottom"/>
            <w:shd w:val="clear" w:color="auto" w:fill="CCEEFF"/>
          </w:tcPr>
          <w:p>
            <w:pPr>
              <w:spacing w:after="0"/>
              <w:rPr>
                <w:sz w:val="13"/>
                <w:szCs w:val="13"/>
                <w:color w:val="auto"/>
              </w:rPr>
            </w:pP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520" w:type="dxa"/>
            <w:vAlign w:val="bottom"/>
          </w:tcPr>
          <w:p>
            <w:pPr>
              <w:ind w:left="100"/>
              <w:spacing w:after="0"/>
              <w:rPr>
                <w:sz w:val="20"/>
                <w:szCs w:val="20"/>
                <w:color w:val="auto"/>
              </w:rPr>
            </w:pPr>
            <w:r>
              <w:rPr>
                <w:rFonts w:ascii="Arial" w:cs="Arial" w:eastAsia="Arial" w:hAnsi="Arial"/>
                <w:sz w:val="11"/>
                <w:szCs w:val="11"/>
                <w:color w:val="auto"/>
              </w:rPr>
              <w:t>Total interest-earning assets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2,691,086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37,720</w:t>
            </w:r>
          </w:p>
        </w:tc>
        <w:tc>
          <w:tcPr>
            <w:tcW w:w="740" w:type="dxa"/>
            <w:vAlign w:val="bottom"/>
            <w:gridSpan w:val="4"/>
          </w:tcPr>
          <w:p>
            <w:pPr>
              <w:ind w:left="380"/>
              <w:spacing w:after="0"/>
              <w:rPr>
                <w:sz w:val="20"/>
                <w:szCs w:val="20"/>
                <w:color w:val="auto"/>
              </w:rPr>
            </w:pPr>
            <w:r>
              <w:rPr>
                <w:rFonts w:ascii="Arial" w:cs="Arial" w:eastAsia="Arial" w:hAnsi="Arial"/>
                <w:sz w:val="11"/>
                <w:szCs w:val="11"/>
                <w:color w:val="auto"/>
              </w:rPr>
              <w:t>5.56%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2,377,923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33,562</w:t>
            </w: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5.61%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1"/>
                <w:szCs w:val="11"/>
                <w:color w:val="auto"/>
              </w:rPr>
              <w:t>Non-interest-earning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107,029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107,511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2520" w:type="dxa"/>
            <w:vAlign w:val="bottom"/>
          </w:tcPr>
          <w:p>
            <w:pPr>
              <w:ind w:left="100"/>
              <w:spacing w:after="0"/>
              <w:rPr>
                <w:sz w:val="20"/>
                <w:szCs w:val="20"/>
                <w:color w:val="auto"/>
              </w:rPr>
            </w:pPr>
            <w:r>
              <w:rPr>
                <w:rFonts w:ascii="Arial" w:cs="Arial" w:eastAsia="Arial" w:hAnsi="Arial"/>
                <w:sz w:val="11"/>
                <w:szCs w:val="11"/>
                <w:color w:val="auto"/>
              </w:rPr>
              <w:t>Total assets</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2,798,115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2,485,434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620" w:type="dxa"/>
            <w:vAlign w:val="bottom"/>
            <w:tcBorders>
              <w:top w:val="single" w:sz="8" w:color="CCEEFF"/>
            </w:tcBorders>
            <w:gridSpan w:val="2"/>
            <w:shd w:val="clear" w:color="auto" w:fill="CCEEFF"/>
          </w:tcPr>
          <w:p>
            <w:pPr>
              <w:spacing w:after="0" w:line="100" w:lineRule="exact"/>
              <w:rPr>
                <w:sz w:val="20"/>
                <w:szCs w:val="20"/>
                <w:color w:val="auto"/>
              </w:rPr>
            </w:pPr>
            <w:r>
              <w:rPr>
                <w:rFonts w:ascii="Arial" w:cs="Arial" w:eastAsia="Arial" w:hAnsi="Arial"/>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Arial" w:cs="Arial" w:eastAsia="Arial" w:hAnsi="Arial"/>
                <w:sz w:val="11"/>
                <w:szCs w:val="11"/>
                <w:b w:val="1"/>
                <w:bCs w:val="1"/>
                <w:color w:val="auto"/>
              </w:rPr>
              <w:t>Interest-bearing liabilities: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1"/>
                <w:szCs w:val="11"/>
                <w:color w:val="auto"/>
              </w:rPr>
              <w:t>Interest-bearing demand deposits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47,338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6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2.40%</w:t>
            </w:r>
          </w:p>
        </w:tc>
        <w:tc>
          <w:tcPr>
            <w:tcW w:w="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57,925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411</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gridSpan w:val="2"/>
          </w:tcPr>
          <w:p>
            <w:pPr>
              <w:ind w:left="100"/>
              <w:spacing w:after="0"/>
              <w:rPr>
                <w:sz w:val="20"/>
                <w:szCs w:val="20"/>
                <w:color w:val="auto"/>
              </w:rPr>
            </w:pPr>
            <w:r>
              <w:rPr>
                <w:rFonts w:ascii="Arial" w:cs="Arial" w:eastAsia="Arial" w:hAnsi="Arial"/>
                <w:sz w:val="11"/>
                <w:szCs w:val="11"/>
                <w:color w:val="auto"/>
              </w:rPr>
              <w:t>Saving and money market deposits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1,319,862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10,343</w:t>
            </w:r>
          </w:p>
        </w:tc>
        <w:tc>
          <w:tcPr>
            <w:tcW w:w="740" w:type="dxa"/>
            <w:vAlign w:val="bottom"/>
            <w:gridSpan w:val="4"/>
          </w:tcPr>
          <w:p>
            <w:pPr>
              <w:ind w:left="380"/>
              <w:spacing w:after="0"/>
              <w:rPr>
                <w:sz w:val="20"/>
                <w:szCs w:val="20"/>
                <w:color w:val="auto"/>
              </w:rPr>
            </w:pPr>
            <w:r>
              <w:rPr>
                <w:rFonts w:ascii="Arial" w:cs="Arial" w:eastAsia="Arial" w:hAnsi="Arial"/>
                <w:sz w:val="11"/>
                <w:szCs w:val="11"/>
                <w:color w:val="auto"/>
              </w:rPr>
              <w:t>3.11%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1,084,562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10,064</w:t>
            </w: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3.69%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520,345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5,036</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6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3.84%</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325,580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3,391</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2520" w:type="dxa"/>
            <w:vAlign w:val="bottom"/>
          </w:tcPr>
          <w:p>
            <w:pPr>
              <w:ind w:left="100"/>
              <w:spacing w:after="0"/>
              <w:rPr>
                <w:sz w:val="20"/>
                <w:szCs w:val="20"/>
                <w:color w:val="auto"/>
              </w:rPr>
            </w:pPr>
            <w:r>
              <w:rPr>
                <w:rFonts w:ascii="Arial" w:cs="Arial" w:eastAsia="Arial" w:hAnsi="Arial"/>
                <w:sz w:val="11"/>
                <w:szCs w:val="11"/>
                <w:color w:val="auto"/>
              </w:rPr>
              <w:t>Total interest-bearing deposits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1,887,545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15,665</w:t>
            </w:r>
          </w:p>
        </w:tc>
        <w:tc>
          <w:tcPr>
            <w:tcW w:w="740" w:type="dxa"/>
            <w:vAlign w:val="bottom"/>
            <w:gridSpan w:val="4"/>
          </w:tcPr>
          <w:p>
            <w:pPr>
              <w:ind w:left="380"/>
              <w:spacing w:after="0"/>
              <w:rPr>
                <w:sz w:val="20"/>
                <w:szCs w:val="20"/>
                <w:color w:val="auto"/>
              </w:rPr>
            </w:pPr>
            <w:r>
              <w:rPr>
                <w:rFonts w:ascii="Arial" w:cs="Arial" w:eastAsia="Arial" w:hAnsi="Arial"/>
                <w:sz w:val="11"/>
                <w:szCs w:val="11"/>
                <w:color w:val="auto"/>
              </w:rPr>
              <w:t>3.29%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1,468,067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13,866</w:t>
            </w:r>
          </w:p>
        </w:tc>
        <w:tc>
          <w:tcPr>
            <w:tcW w:w="740" w:type="dxa"/>
            <w:vAlign w:val="bottom"/>
            <w:gridSpan w:val="4"/>
          </w:tcPr>
          <w:p>
            <w:pPr>
              <w:jc w:val="right"/>
              <w:spacing w:after="0"/>
              <w:rPr>
                <w:sz w:val="20"/>
                <w:szCs w:val="20"/>
                <w:color w:val="auto"/>
              </w:rPr>
            </w:pPr>
            <w:r>
              <w:rPr>
                <w:rFonts w:ascii="Arial" w:cs="Arial" w:eastAsia="Arial" w:hAnsi="Arial"/>
                <w:sz w:val="11"/>
                <w:szCs w:val="11"/>
                <w:color w:val="auto"/>
              </w:rPr>
              <w:t>3.76%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1"/>
                <w:szCs w:val="11"/>
                <w:color w:val="auto"/>
              </w:rPr>
              <w:t>FHLB advances and other borrowings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40,065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377</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6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3.73%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156,043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1,587</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Subordinated notes</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26,029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404</w:t>
            </w:r>
          </w:p>
        </w:tc>
        <w:tc>
          <w:tcPr>
            <w:tcW w:w="740" w:type="dxa"/>
            <w:vAlign w:val="bottom"/>
            <w:tcBorders>
              <w:bottom w:val="single" w:sz="8" w:color="CCEEFF"/>
            </w:tcBorders>
            <w:gridSpan w:val="4"/>
          </w:tcPr>
          <w:p>
            <w:pPr>
              <w:ind w:left="380"/>
              <w:spacing w:after="0"/>
              <w:rPr>
                <w:sz w:val="20"/>
                <w:szCs w:val="20"/>
                <w:color w:val="auto"/>
              </w:rPr>
            </w:pPr>
            <w:r>
              <w:rPr>
                <w:rFonts w:ascii="Arial" w:cs="Arial" w:eastAsia="Arial" w:hAnsi="Arial"/>
                <w:sz w:val="11"/>
                <w:szCs w:val="11"/>
                <w:color w:val="auto"/>
              </w:rPr>
              <w:t>6.16%</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4"/>
          </w:tcPr>
          <w:p>
            <w:pPr>
              <w:jc w:val="right"/>
              <w:spacing w:after="0"/>
              <w:rPr>
                <w:sz w:val="20"/>
                <w:szCs w:val="20"/>
                <w:color w:val="auto"/>
              </w:rPr>
            </w:pPr>
            <w:r>
              <w:rPr>
                <w:rFonts w:ascii="Arial" w:cs="Arial" w:eastAsia="Arial" w:hAnsi="Arial"/>
                <w:sz w:val="11"/>
                <w:szCs w:val="11"/>
                <w:color w:val="auto"/>
              </w:rPr>
              <w:t>-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00" w:type="dxa"/>
            <w:vAlign w:val="bottom"/>
            <w:shd w:val="clear" w:color="auto" w:fill="CCEEFF"/>
          </w:tcPr>
          <w:p>
            <w:pPr>
              <w:spacing w:after="0"/>
              <w:rPr>
                <w:sz w:val="11"/>
                <w:szCs w:val="11"/>
                <w:color w:val="auto"/>
              </w:rPr>
            </w:pPr>
          </w:p>
        </w:tc>
        <w:tc>
          <w:tcPr>
            <w:tcW w:w="2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interest-bearing liabilities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1,953,639</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16,446</w:t>
            </w:r>
          </w:p>
        </w:tc>
        <w:tc>
          <w:tcPr>
            <w:tcW w:w="20" w:type="dxa"/>
            <w:vAlign w:val="bottom"/>
            <w:shd w:val="clear" w:color="auto" w:fill="CCEEFF"/>
          </w:tcPr>
          <w:p>
            <w:pPr>
              <w:spacing w:after="0"/>
              <w:rPr>
                <w:sz w:val="11"/>
                <w:szCs w:val="11"/>
                <w:color w:val="auto"/>
              </w:rPr>
            </w:pPr>
          </w:p>
        </w:tc>
        <w:tc>
          <w:tcPr>
            <w:tcW w:w="40" w:type="dxa"/>
            <w:vAlign w:val="bottom"/>
            <w:gridSpan w:val="2"/>
            <w:shd w:val="clear" w:color="auto" w:fill="CCEEFF"/>
          </w:tcPr>
          <w:p>
            <w:pPr>
              <w:spacing w:after="0"/>
              <w:rPr>
                <w:sz w:val="11"/>
                <w:szCs w:val="11"/>
                <w:color w:val="auto"/>
              </w:rPr>
            </w:pPr>
          </w:p>
        </w:tc>
        <w:tc>
          <w:tcPr>
            <w:tcW w:w="6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3.34%</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1,624,110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15,453</w:t>
            </w:r>
          </w:p>
        </w:tc>
        <w:tc>
          <w:tcPr>
            <w:tcW w:w="20" w:type="dxa"/>
            <w:vAlign w:val="bottom"/>
            <w:shd w:val="clear" w:color="auto" w:fill="CCEEFF"/>
          </w:tcPr>
          <w:p>
            <w:pPr>
              <w:spacing w:after="0"/>
              <w:rPr>
                <w:sz w:val="11"/>
                <w:szCs w:val="11"/>
                <w:color w:val="auto"/>
              </w:rPr>
            </w:pPr>
          </w:p>
        </w:tc>
        <w:tc>
          <w:tcPr>
            <w:tcW w:w="40" w:type="dxa"/>
            <w:vAlign w:val="bottom"/>
            <w:gridSpan w:val="2"/>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gridSpan w:val="2"/>
          </w:tcPr>
          <w:p>
            <w:pPr>
              <w:ind w:left="100"/>
              <w:spacing w:after="0"/>
              <w:rPr>
                <w:sz w:val="20"/>
                <w:szCs w:val="20"/>
                <w:color w:val="auto"/>
              </w:rPr>
            </w:pPr>
            <w:r>
              <w:rPr>
                <w:rFonts w:ascii="Arial" w:cs="Arial" w:eastAsia="Arial" w:hAnsi="Arial"/>
                <w:sz w:val="11"/>
                <w:szCs w:val="11"/>
                <w:color w:val="auto"/>
              </w:rPr>
              <w:t>Non-interest-bearing demand deposits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569,522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609,456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1"/>
                <w:szCs w:val="11"/>
                <w:color w:val="auto"/>
              </w:rPr>
              <w:t>Other non-interest-bearing liabilities</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49,638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45,227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0" w:type="dxa"/>
            <w:vAlign w:val="bottom"/>
          </w:tcPr>
          <w:p>
            <w:pPr>
              <w:spacing w:after="0"/>
              <w:rPr>
                <w:sz w:val="13"/>
                <w:szCs w:val="13"/>
                <w:color w:val="auto"/>
              </w:rPr>
            </w:pPr>
          </w:p>
        </w:tc>
        <w:tc>
          <w:tcPr>
            <w:tcW w:w="2520" w:type="dxa"/>
            <w:vAlign w:val="bottom"/>
          </w:tcPr>
          <w:p>
            <w:pPr>
              <w:ind w:left="100"/>
              <w:spacing w:after="0"/>
              <w:rPr>
                <w:sz w:val="20"/>
                <w:szCs w:val="20"/>
                <w:color w:val="auto"/>
              </w:rPr>
            </w:pPr>
            <w:r>
              <w:rPr>
                <w:rFonts w:ascii="Arial" w:cs="Arial" w:eastAsia="Arial" w:hAnsi="Arial"/>
                <w:sz w:val="11"/>
                <w:szCs w:val="11"/>
                <w:color w:val="auto"/>
              </w:rPr>
              <w:t>Total liabilities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2,572,799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2,278,793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tcBorders>
              <w:bottom w:val="single" w:sz="8" w:color="CCEEFF"/>
            </w:tcBorders>
            <w:shd w:val="clear" w:color="auto" w:fill="CCEEFF"/>
          </w:tcPr>
          <w:p>
            <w:pPr>
              <w:spacing w:after="0"/>
              <w:rPr>
                <w:sz w:val="12"/>
                <w:szCs w:val="12"/>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Stockholders' equity</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225,316</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206,641</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2520" w:type="dxa"/>
            <w:vAlign w:val="bottom"/>
          </w:tcPr>
          <w:p>
            <w:pPr>
              <w:ind w:left="100"/>
              <w:spacing w:after="0"/>
              <w:rPr>
                <w:sz w:val="20"/>
                <w:szCs w:val="20"/>
                <w:color w:val="auto"/>
              </w:rPr>
            </w:pPr>
            <w:r>
              <w:rPr>
                <w:rFonts w:ascii="Arial" w:cs="Arial" w:eastAsia="Arial" w:hAnsi="Arial"/>
                <w:sz w:val="11"/>
                <w:szCs w:val="11"/>
                <w:color w:val="auto"/>
              </w:rPr>
              <w:t>Total liabilities and stockholders' equity</w:t>
            </w:r>
          </w:p>
        </w:tc>
        <w:tc>
          <w:tcPr>
            <w:tcW w:w="10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2,798,115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2,485,434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620" w:type="dxa"/>
            <w:vAlign w:val="bottom"/>
            <w:tcBorders>
              <w:top w:val="single" w:sz="8" w:color="CCEEFF"/>
            </w:tcBorders>
            <w:gridSpan w:val="2"/>
            <w:shd w:val="clear" w:color="auto" w:fill="CCEEFF"/>
          </w:tcPr>
          <w:p>
            <w:pPr>
              <w:spacing w:after="0" w:line="100" w:lineRule="exact"/>
              <w:rPr>
                <w:sz w:val="20"/>
                <w:szCs w:val="20"/>
                <w:color w:val="auto"/>
              </w:rPr>
            </w:pPr>
            <w:r>
              <w:rPr>
                <w:rFonts w:ascii="Arial" w:cs="Arial" w:eastAsia="Arial" w:hAnsi="Arial"/>
                <w:sz w:val="11"/>
                <w:szCs w:val="11"/>
                <w:color w:val="auto"/>
              </w:rPr>
              <w:t>Net interest income</w:t>
            </w: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bottom w:val="single" w:sz="8" w:color="auto"/>
            </w:tcBorders>
            <w:gridSpan w:val="2"/>
            <w:shd w:val="clear" w:color="auto" w:fill="CCEEFF"/>
          </w:tcPr>
          <w:p>
            <w:pPr>
              <w:jc w:val="right"/>
              <w:ind w:right="29"/>
              <w:spacing w:after="0" w:line="100" w:lineRule="exact"/>
              <w:rPr>
                <w:sz w:val="20"/>
                <w:szCs w:val="20"/>
                <w:color w:val="auto"/>
              </w:rPr>
            </w:pPr>
            <w:r>
              <w:rPr>
                <w:rFonts w:ascii="Arial" w:cs="Arial" w:eastAsia="Arial" w:hAnsi="Arial"/>
                <w:sz w:val="11"/>
                <w:szCs w:val="11"/>
                <w:color w:val="auto"/>
              </w:rPr>
              <w:t>$</w:t>
            </w:r>
          </w:p>
        </w:tc>
        <w:tc>
          <w:tcPr>
            <w:tcW w:w="720" w:type="dxa"/>
            <w:vAlign w:val="bottom"/>
            <w:tcBorders>
              <w:top w:val="single" w:sz="8" w:color="CCEEFF"/>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21,274</w:t>
            </w: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auto"/>
            </w:tcBorders>
            <w:shd w:val="clear" w:color="auto" w:fill="CCEEFF"/>
          </w:tcPr>
          <w:p>
            <w:pPr>
              <w:jc w:val="right"/>
              <w:ind w:right="29"/>
              <w:spacing w:after="0" w:line="100"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CCEEFF"/>
              <w:bottom w:val="single" w:sz="8" w:color="auto"/>
            </w:tcBorders>
            <w:shd w:val="clear" w:color="auto" w:fill="CCEEFF"/>
          </w:tcPr>
          <w:p>
            <w:pPr>
              <w:jc w:val="right"/>
              <w:spacing w:after="0" w:line="100" w:lineRule="exact"/>
              <w:rPr>
                <w:sz w:val="20"/>
                <w:szCs w:val="20"/>
                <w:color w:val="auto"/>
              </w:rPr>
            </w:pPr>
            <w:r>
              <w:rPr>
                <w:rFonts w:ascii="Arial" w:cs="Arial" w:eastAsia="Arial" w:hAnsi="Arial"/>
                <w:sz w:val="11"/>
                <w:szCs w:val="11"/>
                <w:color w:val="auto"/>
              </w:rPr>
              <w:t>18,109</w:t>
            </w: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line="140" w:lineRule="exact"/>
              <w:rPr>
                <w:sz w:val="20"/>
                <w:szCs w:val="20"/>
                <w:color w:val="auto"/>
              </w:rPr>
            </w:pPr>
            <w:r>
              <w:rPr>
                <w:rFonts w:ascii="Arial" w:cs="Arial" w:eastAsia="Arial" w:hAnsi="Arial"/>
                <w:sz w:val="11"/>
                <w:szCs w:val="11"/>
                <w:color w:val="auto"/>
              </w:rPr>
              <w:t xml:space="preserve">Net interest spread </w:t>
            </w:r>
            <w:r>
              <w:rPr>
                <w:rFonts w:ascii="Arial" w:cs="Arial" w:eastAsia="Arial" w:hAnsi="Arial"/>
                <w:sz w:val="14"/>
                <w:szCs w:val="14"/>
                <w:color w:val="auto"/>
                <w:vertAlign w:val="superscript"/>
              </w:rPr>
              <w:t>(5)</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6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720" w:type="dxa"/>
            <w:vAlign w:val="bottom"/>
            <w:gridSpan w:val="3"/>
          </w:tcPr>
          <w:p>
            <w:pPr>
              <w:ind w:left="360"/>
              <w:spacing w:after="0" w:line="100" w:lineRule="exact"/>
              <w:rPr>
                <w:sz w:val="20"/>
                <w:szCs w:val="20"/>
                <w:color w:val="auto"/>
              </w:rPr>
            </w:pPr>
            <w:r>
              <w:rPr>
                <w:rFonts w:ascii="Arial" w:cs="Arial" w:eastAsia="Arial" w:hAnsi="Arial"/>
                <w:sz w:val="11"/>
                <w:szCs w:val="11"/>
                <w:color w:val="auto"/>
              </w:rPr>
              <w:t>2.22%</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720" w:type="dxa"/>
            <w:vAlign w:val="bottom"/>
            <w:gridSpan w:val="3"/>
          </w:tcPr>
          <w:p>
            <w:pPr>
              <w:jc w:val="right"/>
              <w:spacing w:after="0" w:line="100" w:lineRule="exact"/>
              <w:rPr>
                <w:sz w:val="20"/>
                <w:szCs w:val="20"/>
                <w:color w:val="auto"/>
              </w:rPr>
            </w:pPr>
            <w:r>
              <w:rPr>
                <w:rFonts w:ascii="Arial" w:cs="Arial" w:eastAsia="Arial" w:hAnsi="Arial"/>
                <w:sz w:val="11"/>
                <w:szCs w:val="11"/>
                <w:color w:val="auto"/>
              </w:rPr>
              <w:t>1.82%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gridSpan w:val="4"/>
            <w:shd w:val="clear" w:color="auto" w:fill="CCEEFF"/>
          </w:tcPr>
          <w:p>
            <w:pPr>
              <w:ind w:left="380"/>
              <w:spacing w:after="0"/>
              <w:rPr>
                <w:sz w:val="20"/>
                <w:szCs w:val="20"/>
                <w:color w:val="auto"/>
              </w:rPr>
            </w:pPr>
            <w:r>
              <w:rPr>
                <w:rFonts w:ascii="Arial" w:cs="Arial" w:eastAsia="Arial" w:hAnsi="Arial"/>
                <w:sz w:val="11"/>
                <w:szCs w:val="11"/>
                <w:color w:val="auto"/>
              </w:rPr>
              <w:t>3.14%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3.03%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23" w:lineRule="exact"/>
        <w:rPr>
          <w:rFonts w:ascii="Arial" w:cs="Arial" w:eastAsia="Arial" w:hAnsi="Arial"/>
          <w:sz w:val="11"/>
          <w:szCs w:val="11"/>
          <w:color w:val="auto"/>
        </w:rPr>
      </w:pPr>
    </w:p>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Annualized.</w:t>
      </w:r>
    </w:p>
    <w:p>
      <w:pPr>
        <w:spacing w:after="0" w:line="33" w:lineRule="exact"/>
        <w:rPr>
          <w:rFonts w:ascii="Arial" w:cs="Arial" w:eastAsia="Arial" w:hAnsi="Arial"/>
          <w:sz w:val="11"/>
          <w:szCs w:val="11"/>
          <w:color w:val="auto"/>
        </w:rPr>
      </w:pPr>
    </w:p>
    <w:p>
      <w:pPr>
        <w:ind w:left="660" w:right="739" w:firstLine="3"/>
        <w:spacing w:after="0" w:line="286" w:lineRule="auto"/>
        <w:tabs>
          <w:tab w:leader="none" w:pos="864" w:val="left"/>
        </w:tabs>
        <w:numPr>
          <w:ilvl w:val="0"/>
          <w:numId w:val="22"/>
        </w:numPr>
        <w:rPr>
          <w:rFonts w:ascii="Arial" w:cs="Arial" w:eastAsia="Arial" w:hAnsi="Arial"/>
          <w:sz w:val="11"/>
          <w:szCs w:val="11"/>
          <w:color w:val="auto"/>
        </w:rPr>
      </w:pPr>
      <w:r>
        <w:rPr>
          <w:rFonts w:ascii="Arial" w:cs="Arial" w:eastAsia="Arial" w:hAnsi="Arial"/>
          <w:sz w:val="11"/>
          <w:szCs w:val="11"/>
          <w:color w:val="auto"/>
        </w:rPr>
        <w:t>Average loan balances include deferred fees/costs and non-accrual loans. Interest income on loans includes accretion of deferred loan fees, net of deferred loan costs.</w:t>
      </w:r>
    </w:p>
    <w:p>
      <w:pPr>
        <w:spacing w:after="0" w:line="18" w:lineRule="exact"/>
        <w:rPr>
          <w:rFonts w:ascii="Arial" w:cs="Arial" w:eastAsia="Arial" w:hAnsi="Arial"/>
          <w:sz w:val="11"/>
          <w:szCs w:val="11"/>
          <w:color w:val="auto"/>
        </w:rPr>
      </w:pPr>
    </w:p>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23" w:lineRule="exact"/>
        <w:rPr>
          <w:rFonts w:ascii="Arial" w:cs="Arial" w:eastAsia="Arial" w:hAnsi="Arial"/>
          <w:sz w:val="11"/>
          <w:szCs w:val="11"/>
          <w:color w:val="auto"/>
        </w:rPr>
      </w:pPr>
    </w:p>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Net interest spread is the weighted average yield on total interest-earning assets minus the weightedaverage rate on total interest-bearing liabilities.</w:t>
      </w:r>
    </w:p>
    <w:p>
      <w:pPr>
        <w:spacing w:after="0" w:line="65" w:lineRule="exact"/>
        <w:rPr>
          <w:rFonts w:ascii="Arial" w:cs="Arial" w:eastAsia="Arial" w:hAnsi="Arial"/>
          <w:sz w:val="11"/>
          <w:szCs w:val="11"/>
          <w:color w:val="auto"/>
        </w:rPr>
      </w:pPr>
    </w:p>
    <w:p>
      <w:pPr>
        <w:ind w:left="860" w:hanging="197"/>
        <w:spacing w:after="0"/>
        <w:tabs>
          <w:tab w:leader="none" w:pos="860" w:val="left"/>
        </w:tabs>
        <w:numPr>
          <w:ilvl w:val="0"/>
          <w:numId w:val="22"/>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34" w:name="page35"/>
    <w:bookmarkEnd w:id="3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12"/>
          </w:tcPr>
          <w:p>
            <w:pPr>
              <w:ind w:left="20"/>
              <w:spacing w:after="0"/>
              <w:rPr>
                <w:sz w:val="20"/>
                <w:szCs w:val="20"/>
                <w:color w:val="auto"/>
              </w:rPr>
            </w:pPr>
            <w:r>
              <w:rPr>
                <w:rFonts w:ascii="Arial" w:cs="Arial" w:eastAsia="Arial" w:hAnsi="Arial"/>
                <w:sz w:val="11"/>
                <w:szCs w:val="11"/>
                <w:b w:val="1"/>
                <w:bCs w:val="1"/>
                <w:color w:val="auto"/>
              </w:rPr>
              <w:t>Nine Months Ended September 30,</w:t>
            </w: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5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70" w:type="dxa"/>
            <w:vAlign w:val="bottom"/>
            <w:gridSpan w:val="2"/>
          </w:tcPr>
          <w:p>
            <w:pPr>
              <w:jc w:val="center"/>
              <w:ind w:right="130"/>
              <w:spacing w:after="0"/>
              <w:rPr>
                <w:sz w:val="20"/>
                <w:szCs w:val="20"/>
                <w:color w:val="auto"/>
              </w:rPr>
            </w:pPr>
            <w:r>
              <w:rPr>
                <w:rFonts w:ascii="Arial" w:cs="Arial" w:eastAsia="Arial" w:hAnsi="Arial"/>
                <w:sz w:val="11"/>
                <w:szCs w:val="11"/>
                <w:b w:val="1"/>
                <w:bCs w:val="1"/>
                <w:color w:val="auto"/>
              </w:rPr>
              <w:t>Average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rPr>
              <w:t>Average</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770" w:type="dxa"/>
            <w:vAlign w:val="bottom"/>
            <w:gridSpan w:val="2"/>
          </w:tcPr>
          <w:p>
            <w:pPr>
              <w:jc w:val="center"/>
              <w:ind w:right="130"/>
              <w:spacing w:after="0" w:line="137" w:lineRule="exact"/>
              <w:rPr>
                <w:sz w:val="20"/>
                <w:szCs w:val="20"/>
                <w:color w:val="auto"/>
              </w:rPr>
            </w:pPr>
            <w:r>
              <w:rPr>
                <w:rFonts w:ascii="Arial" w:cs="Arial" w:eastAsia="Arial" w:hAnsi="Arial"/>
                <w:sz w:val="11"/>
                <w:szCs w:val="11"/>
                <w:b w:val="1"/>
                <w:bCs w:val="1"/>
                <w:color w:val="auto"/>
                <w:w w:val="95"/>
              </w:rPr>
              <w:t xml:space="preserve">Balance </w:t>
            </w:r>
            <w:r>
              <w:rPr>
                <w:rFonts w:ascii="Arial" w:cs="Arial" w:eastAsia="Arial" w:hAnsi="Arial"/>
                <w:sz w:val="14"/>
                <w:szCs w:val="14"/>
                <w:b w:val="1"/>
                <w:bCs w:val="1"/>
                <w:color w:val="auto"/>
                <w:w w:val="95"/>
                <w:vertAlign w:val="superscript"/>
              </w:rPr>
              <w:t>(1)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63"/>
              <w:spacing w:after="0"/>
              <w:rPr>
                <w:sz w:val="20"/>
                <w:szCs w:val="20"/>
                <w:color w:val="auto"/>
              </w:rPr>
            </w:pPr>
            <w:r>
              <w:rPr>
                <w:rFonts w:ascii="Arial" w:cs="Arial" w:eastAsia="Arial" w:hAnsi="Arial"/>
                <w:sz w:val="11"/>
                <w:szCs w:val="11"/>
                <w:b w:val="1"/>
                <w:bCs w:val="1"/>
                <w:color w:val="auto"/>
              </w:rPr>
              <w:t>Interest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jc w:val="right"/>
              <w:ind w:right="23"/>
              <w:spacing w:after="0" w:line="137" w:lineRule="exact"/>
              <w:rPr>
                <w:sz w:val="20"/>
                <w:szCs w:val="20"/>
                <w:color w:val="auto"/>
              </w:rPr>
            </w:pPr>
            <w:r>
              <w:rPr>
                <w:rFonts w:ascii="Arial" w:cs="Arial" w:eastAsia="Arial" w:hAnsi="Arial"/>
                <w:sz w:val="11"/>
                <w:szCs w:val="11"/>
                <w:b w:val="1"/>
                <w:bCs w:val="1"/>
                <w:color w:val="auto"/>
              </w:rPr>
              <w:t xml:space="preserve">Yield/Rate </w:t>
            </w:r>
            <w:r>
              <w:rPr>
                <w:rFonts w:ascii="Arial" w:cs="Arial" w:eastAsia="Arial" w:hAnsi="Arial"/>
                <w:sz w:val="14"/>
                <w:szCs w:val="14"/>
                <w:b w:val="1"/>
                <w:bCs w:val="1"/>
                <w:color w:val="auto"/>
                <w:vertAlign w:val="superscript"/>
              </w:rPr>
              <w:t>(2)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jc w:val="center"/>
              <w:ind w:right="140"/>
              <w:spacing w:after="0" w:line="137" w:lineRule="exact"/>
              <w:rPr>
                <w:sz w:val="20"/>
                <w:szCs w:val="20"/>
                <w:color w:val="auto"/>
              </w:rPr>
            </w:pPr>
            <w:r>
              <w:rPr>
                <w:rFonts w:ascii="Arial" w:cs="Arial" w:eastAsia="Arial" w:hAnsi="Arial"/>
                <w:sz w:val="11"/>
                <w:szCs w:val="11"/>
                <w:b w:val="1"/>
                <w:bCs w:val="1"/>
                <w:color w:val="auto"/>
                <w:w w:val="98"/>
              </w:rPr>
              <w:t xml:space="preserve">Balance </w:t>
            </w:r>
            <w:r>
              <w:rPr>
                <w:rFonts w:ascii="Arial" w:cs="Arial" w:eastAsia="Arial" w:hAnsi="Arial"/>
                <w:sz w:val="14"/>
                <w:szCs w:val="14"/>
                <w:b w:val="1"/>
                <w:bCs w:val="1"/>
                <w:color w:val="auto"/>
                <w:w w:val="98"/>
                <w:vertAlign w:val="superscript"/>
              </w:rPr>
              <w:t>(1)</w:t>
            </w:r>
          </w:p>
        </w:tc>
        <w:tc>
          <w:tcPr>
            <w:tcW w:w="80" w:type="dxa"/>
            <w:vAlign w:val="bottom"/>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1"/>
                <w:szCs w:val="11"/>
                <w:color w:val="auto"/>
              </w:rPr>
            </w:pPr>
          </w:p>
        </w:tc>
        <w:tc>
          <w:tcPr>
            <w:tcW w:w="840" w:type="dxa"/>
            <w:vAlign w:val="bottom"/>
            <w:gridSpan w:val="2"/>
          </w:tcPr>
          <w:p>
            <w:pPr>
              <w:ind w:left="80"/>
              <w:spacing w:after="0" w:line="137" w:lineRule="exact"/>
              <w:rPr>
                <w:sz w:val="20"/>
                <w:szCs w:val="20"/>
                <w:color w:val="auto"/>
              </w:rPr>
            </w:pPr>
            <w:r>
              <w:rPr>
                <w:rFonts w:ascii="Arial" w:cs="Arial" w:eastAsia="Arial" w:hAnsi="Arial"/>
                <w:sz w:val="11"/>
                <w:szCs w:val="11"/>
                <w:b w:val="1"/>
                <w:bCs w:val="1"/>
                <w:color w:val="auto"/>
              </w:rPr>
              <w:t xml:space="preserve">Yield/Rate </w:t>
            </w:r>
            <w:r>
              <w:rPr>
                <w:rFonts w:ascii="Arial" w:cs="Arial" w:eastAsia="Arial" w:hAnsi="Arial"/>
                <w:sz w:val="14"/>
                <w:szCs w:val="14"/>
                <w:b w:val="1"/>
                <w:bCs w:val="1"/>
                <w:color w:val="auto"/>
                <w:vertAlign w:val="superscript"/>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5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Assets</w:t>
            </w:r>
          </w:p>
        </w:tc>
        <w:tc>
          <w:tcPr>
            <w:tcW w:w="20" w:type="dxa"/>
            <w:vAlign w:val="bottom"/>
            <w:tcBorders>
              <w:top w:val="single" w:sz="8" w:color="auto"/>
            </w:tcBorders>
            <w:shd w:val="clear" w:color="auto" w:fill="CCEEFF"/>
          </w:tcPr>
          <w:p>
            <w:pPr>
              <w:spacing w:after="0"/>
              <w:rPr>
                <w:sz w:val="12"/>
                <w:szCs w:val="12"/>
                <w:color w:val="auto"/>
              </w:rPr>
            </w:pPr>
          </w:p>
        </w:tc>
        <w:tc>
          <w:tcPr>
            <w:tcW w:w="110" w:type="dxa"/>
            <w:vAlign w:val="bottom"/>
            <w:tcBorders>
              <w:top w:val="single" w:sz="8" w:color="auto"/>
            </w:tcBorders>
            <w:shd w:val="clear" w:color="auto" w:fill="CCEEFF"/>
          </w:tcPr>
          <w:p>
            <w:pPr>
              <w:spacing w:after="0"/>
              <w:rPr>
                <w:sz w:val="12"/>
                <w:szCs w:val="12"/>
                <w:color w:val="auto"/>
              </w:rPr>
            </w:pPr>
          </w:p>
        </w:tc>
        <w:tc>
          <w:tcPr>
            <w:tcW w:w="75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520" w:type="dxa"/>
            <w:vAlign w:val="bottom"/>
            <w:gridSpan w:val="2"/>
          </w:tcPr>
          <w:p>
            <w:pPr>
              <w:ind w:left="40"/>
              <w:spacing w:after="0"/>
              <w:rPr>
                <w:sz w:val="20"/>
                <w:szCs w:val="20"/>
                <w:color w:val="auto"/>
              </w:rPr>
            </w:pPr>
            <w:r>
              <w:rPr>
                <w:rFonts w:ascii="Arial" w:cs="Arial" w:eastAsia="Arial" w:hAnsi="Arial"/>
                <w:sz w:val="11"/>
                <w:szCs w:val="11"/>
                <w:b w:val="1"/>
                <w:bCs w:val="1"/>
                <w:color w:val="auto"/>
              </w:rPr>
              <w:t>Interest-earning assets:</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(3)</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5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2,048,192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95,057</w:t>
            </w:r>
          </w:p>
        </w:tc>
        <w:tc>
          <w:tcPr>
            <w:tcW w:w="80" w:type="dxa"/>
            <w:vAlign w:val="bottom"/>
            <w:gridSpan w:val="3"/>
            <w:shd w:val="clear" w:color="auto" w:fill="CCEEFF"/>
          </w:tcPr>
          <w:p>
            <w:pPr>
              <w:spacing w:after="0"/>
              <w:rPr>
                <w:sz w:val="14"/>
                <w:szCs w:val="14"/>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6.21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1,829,593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84,479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6.17</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520" w:type="dxa"/>
            <w:vAlign w:val="bottom"/>
            <w:gridSpan w:val="2"/>
          </w:tcPr>
          <w:p>
            <w:pPr>
              <w:ind w:left="14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(4)</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449,376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9,978</w:t>
            </w:r>
          </w:p>
        </w:tc>
        <w:tc>
          <w:tcPr>
            <w:tcW w:w="800" w:type="dxa"/>
            <w:vAlign w:val="bottom"/>
            <w:gridSpan w:val="4"/>
          </w:tcPr>
          <w:p>
            <w:pPr>
              <w:ind w:left="480"/>
              <w:spacing w:after="0"/>
              <w:rPr>
                <w:sz w:val="20"/>
                <w:szCs w:val="20"/>
                <w:color w:val="auto"/>
              </w:rPr>
            </w:pPr>
            <w:r>
              <w:rPr>
                <w:rFonts w:ascii="Arial" w:cs="Arial" w:eastAsia="Arial" w:hAnsi="Arial"/>
                <w:sz w:val="11"/>
                <w:szCs w:val="11"/>
                <w:color w:val="auto"/>
              </w:rPr>
              <w:t>2.97</w:t>
            </w:r>
          </w:p>
        </w:tc>
        <w:tc>
          <w:tcPr>
            <w:tcW w:w="120" w:type="dxa"/>
            <w:vAlign w:val="bottom"/>
          </w:tcPr>
          <w:p>
            <w:pPr>
              <w:jc w:val="right"/>
              <w:spacing w:after="0"/>
              <w:rPr>
                <w:sz w:val="20"/>
                <w:szCs w:val="20"/>
                <w:color w:val="auto"/>
              </w:rPr>
            </w:pPr>
            <w:r>
              <w:rPr>
                <w:rFonts w:ascii="Arial" w:cs="Arial" w:eastAsia="Arial" w:hAnsi="Arial"/>
                <w:sz w:val="11"/>
                <w:szCs w:val="11"/>
                <w:color w:val="auto"/>
                <w:highlight w:val="white"/>
                <w:w w:val="81"/>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426,594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8,634</w:t>
            </w:r>
          </w:p>
        </w:tc>
        <w:tc>
          <w:tcPr>
            <w:tcW w:w="2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2.70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Other interest-earnings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90,169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2,817</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4.18</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101,919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3,953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5.18</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Total interest-earning assets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2,587,737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107,852</w:t>
            </w:r>
          </w:p>
        </w:tc>
        <w:tc>
          <w:tcPr>
            <w:tcW w:w="800" w:type="dxa"/>
            <w:vAlign w:val="bottom"/>
            <w:gridSpan w:val="4"/>
          </w:tcPr>
          <w:p>
            <w:pPr>
              <w:ind w:left="480"/>
              <w:spacing w:after="0"/>
              <w:rPr>
                <w:sz w:val="20"/>
                <w:szCs w:val="20"/>
                <w:color w:val="auto"/>
              </w:rPr>
            </w:pPr>
            <w:r>
              <w:rPr>
                <w:rFonts w:ascii="Arial" w:cs="Arial" w:eastAsia="Arial" w:hAnsi="Arial"/>
                <w:sz w:val="11"/>
                <w:szCs w:val="11"/>
                <w:color w:val="auto"/>
              </w:rPr>
              <w:t>5.57</w:t>
            </w:r>
          </w:p>
        </w:tc>
        <w:tc>
          <w:tcPr>
            <w:tcW w:w="120" w:type="dxa"/>
            <w:vAlign w:val="bottom"/>
          </w:tcPr>
          <w:p>
            <w:pPr>
              <w:jc w:val="right"/>
              <w:spacing w:after="0"/>
              <w:rPr>
                <w:sz w:val="20"/>
                <w:szCs w:val="20"/>
                <w:color w:val="auto"/>
              </w:rPr>
            </w:pPr>
            <w:r>
              <w:rPr>
                <w:rFonts w:ascii="Arial" w:cs="Arial" w:eastAsia="Arial" w:hAnsi="Arial"/>
                <w:sz w:val="11"/>
                <w:szCs w:val="11"/>
                <w:color w:val="auto"/>
                <w:highlight w:val="white"/>
                <w:w w:val="81"/>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2,358,106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97,066</w:t>
            </w:r>
          </w:p>
        </w:tc>
        <w:tc>
          <w:tcPr>
            <w:tcW w:w="2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5.50</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Non-interest earning assets</w:t>
            </w:r>
          </w:p>
        </w:tc>
        <w:tc>
          <w:tcPr>
            <w:tcW w:w="20" w:type="dxa"/>
            <w:vAlign w:val="bottom"/>
            <w:tcBorders>
              <w:bottom w:val="single" w:sz="8" w:color="auto"/>
            </w:tcBorders>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106,933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108,902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Total assets</w:t>
            </w:r>
          </w:p>
        </w:tc>
        <w:tc>
          <w:tcPr>
            <w:tcW w:w="13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2,694,670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1"/>
                <w:szCs w:val="11"/>
                <w:color w:val="auto"/>
                <w:highlight w:val="white"/>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2,467,008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highlight w:val="white"/>
                <w:w w:val="97"/>
              </w:rPr>
              <w:t>$</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520" w:type="dxa"/>
            <w:vAlign w:val="bottom"/>
            <w:tcBorders>
              <w:top w:val="single" w:sz="8" w:color="CCEEFF"/>
            </w:tcBorders>
            <w:gridSpan w:val="2"/>
            <w:shd w:val="clear" w:color="auto" w:fill="CCEEFF"/>
          </w:tcPr>
          <w:p>
            <w:pPr>
              <w:ind w:left="40"/>
              <w:spacing w:after="0" w:line="110" w:lineRule="exact"/>
              <w:rPr>
                <w:sz w:val="20"/>
                <w:szCs w:val="20"/>
                <w:color w:val="auto"/>
              </w:rPr>
            </w:pPr>
            <w:r>
              <w:rPr>
                <w:rFonts w:ascii="Arial" w:cs="Arial" w:eastAsia="Arial" w:hAnsi="Arial"/>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9"/>
                <w:szCs w:val="9"/>
                <w:color w:val="auto"/>
              </w:rPr>
            </w:pPr>
          </w:p>
        </w:tc>
        <w:tc>
          <w:tcPr>
            <w:tcW w:w="110" w:type="dxa"/>
            <w:vAlign w:val="bottom"/>
            <w:tcBorders>
              <w:top w:val="single" w:sz="8" w:color="auto"/>
            </w:tcBorders>
            <w:shd w:val="clear" w:color="auto" w:fill="CCEEFF"/>
          </w:tcPr>
          <w:p>
            <w:pPr>
              <w:spacing w:after="0"/>
              <w:rPr>
                <w:sz w:val="9"/>
                <w:szCs w:val="9"/>
                <w:color w:val="auto"/>
              </w:rPr>
            </w:pPr>
          </w:p>
        </w:tc>
        <w:tc>
          <w:tcPr>
            <w:tcW w:w="75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520" w:type="dxa"/>
            <w:vAlign w:val="bottom"/>
            <w:gridSpan w:val="2"/>
          </w:tcPr>
          <w:p>
            <w:pPr>
              <w:ind w:left="40"/>
              <w:spacing w:after="0"/>
              <w:rPr>
                <w:sz w:val="20"/>
                <w:szCs w:val="20"/>
                <w:color w:val="auto"/>
              </w:rPr>
            </w:pPr>
            <w:r>
              <w:rPr>
                <w:rFonts w:ascii="Arial" w:cs="Arial" w:eastAsia="Arial" w:hAnsi="Arial"/>
                <w:sz w:val="11"/>
                <w:szCs w:val="11"/>
                <w:b w:val="1"/>
                <w:bCs w:val="1"/>
                <w:color w:val="auto"/>
              </w:rPr>
              <w:t>Interest-bearing liabilities: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Interest-bearing demand deposits</w:t>
            </w: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5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49,191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909</w:t>
            </w:r>
          </w:p>
        </w:tc>
        <w:tc>
          <w:tcPr>
            <w:tcW w:w="80" w:type="dxa"/>
            <w:vAlign w:val="bottom"/>
            <w:gridSpan w:val="3"/>
            <w:shd w:val="clear" w:color="auto" w:fill="CCEEFF"/>
          </w:tcPr>
          <w:p>
            <w:pPr>
              <w:spacing w:after="0"/>
              <w:rPr>
                <w:sz w:val="13"/>
                <w:szCs w:val="13"/>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2.47</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55,887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2.80</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gridSpan w:val="2"/>
          </w:tcPr>
          <w:p>
            <w:pPr>
              <w:ind w:left="140"/>
              <w:spacing w:after="0"/>
              <w:rPr>
                <w:sz w:val="20"/>
                <w:szCs w:val="20"/>
                <w:color w:val="auto"/>
              </w:rPr>
            </w:pPr>
            <w:r>
              <w:rPr>
                <w:rFonts w:ascii="Arial" w:cs="Arial" w:eastAsia="Arial" w:hAnsi="Arial"/>
                <w:sz w:val="11"/>
                <w:szCs w:val="11"/>
                <w:color w:val="auto"/>
              </w:rPr>
              <w:t>Saving and money market deposits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1,243,911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29,088</w:t>
            </w:r>
          </w:p>
        </w:tc>
        <w:tc>
          <w:tcPr>
            <w:tcW w:w="800" w:type="dxa"/>
            <w:vAlign w:val="bottom"/>
            <w:gridSpan w:val="4"/>
          </w:tcPr>
          <w:p>
            <w:pPr>
              <w:ind w:left="480"/>
              <w:spacing w:after="0"/>
              <w:rPr>
                <w:sz w:val="20"/>
                <w:szCs w:val="20"/>
                <w:color w:val="auto"/>
              </w:rPr>
            </w:pPr>
            <w:r>
              <w:rPr>
                <w:rFonts w:ascii="Arial" w:cs="Arial" w:eastAsia="Arial" w:hAnsi="Arial"/>
                <w:sz w:val="11"/>
                <w:szCs w:val="11"/>
                <w:color w:val="auto"/>
              </w:rPr>
              <w:t>3.13</w:t>
            </w:r>
          </w:p>
        </w:tc>
        <w:tc>
          <w:tcPr>
            <w:tcW w:w="120" w:type="dxa"/>
            <w:vAlign w:val="bottom"/>
          </w:tcPr>
          <w:p>
            <w:pPr>
              <w:jc w:val="right"/>
              <w:spacing w:after="0"/>
              <w:rPr>
                <w:sz w:val="20"/>
                <w:szCs w:val="20"/>
                <w:color w:val="auto"/>
              </w:rPr>
            </w:pPr>
            <w:r>
              <w:rPr>
                <w:rFonts w:ascii="Arial" w:cs="Arial" w:eastAsia="Arial" w:hAnsi="Arial"/>
                <w:sz w:val="11"/>
                <w:szCs w:val="11"/>
                <w:color w:val="auto"/>
                <w:highlight w:val="white"/>
                <w:w w:val="81"/>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1,094,433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30,529</w:t>
            </w:r>
          </w:p>
        </w:tc>
        <w:tc>
          <w:tcPr>
            <w:tcW w:w="2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3.73</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457,847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13,297</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3.88</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321,470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9,907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4.12</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Total interest-bearing deposits</w:t>
            </w: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1,750,949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43,294</w:t>
            </w:r>
          </w:p>
        </w:tc>
        <w:tc>
          <w:tcPr>
            <w:tcW w:w="800" w:type="dxa"/>
            <w:vAlign w:val="bottom"/>
            <w:gridSpan w:val="4"/>
          </w:tcPr>
          <w:p>
            <w:pPr>
              <w:ind w:left="480"/>
              <w:spacing w:after="0"/>
              <w:rPr>
                <w:sz w:val="20"/>
                <w:szCs w:val="20"/>
                <w:color w:val="auto"/>
              </w:rPr>
            </w:pPr>
            <w:r>
              <w:rPr>
                <w:rFonts w:ascii="Arial" w:cs="Arial" w:eastAsia="Arial" w:hAnsi="Arial"/>
                <w:sz w:val="11"/>
                <w:szCs w:val="11"/>
                <w:color w:val="auto"/>
              </w:rPr>
              <w:t>3.31</w:t>
            </w:r>
          </w:p>
        </w:tc>
        <w:tc>
          <w:tcPr>
            <w:tcW w:w="120" w:type="dxa"/>
            <w:vAlign w:val="bottom"/>
          </w:tcPr>
          <w:p>
            <w:pPr>
              <w:jc w:val="right"/>
              <w:spacing w:after="0"/>
              <w:rPr>
                <w:sz w:val="20"/>
                <w:szCs w:val="20"/>
                <w:color w:val="auto"/>
              </w:rPr>
            </w:pPr>
            <w:r>
              <w:rPr>
                <w:rFonts w:ascii="Arial" w:cs="Arial" w:eastAsia="Arial" w:hAnsi="Arial"/>
                <w:sz w:val="11"/>
                <w:szCs w:val="11"/>
                <w:color w:val="auto"/>
                <w:highlight w:val="white"/>
                <w:w w:val="81"/>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1,471,790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41,607</w:t>
            </w:r>
          </w:p>
        </w:tc>
        <w:tc>
          <w:tcPr>
            <w:tcW w:w="2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3.78</w:t>
            </w: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FHLB advances</w:t>
            </w: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5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98,151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2,731</w:t>
            </w:r>
          </w:p>
        </w:tc>
        <w:tc>
          <w:tcPr>
            <w:tcW w:w="80" w:type="dxa"/>
            <w:vAlign w:val="bottom"/>
            <w:gridSpan w:val="3"/>
            <w:shd w:val="clear" w:color="auto" w:fill="CCEEFF"/>
          </w:tcPr>
          <w:p>
            <w:pPr>
              <w:spacing w:after="0"/>
              <w:rPr>
                <w:sz w:val="13"/>
                <w:szCs w:val="13"/>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3.72</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160,726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4,881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4.06</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gridSpan w:val="2"/>
          </w:tcPr>
          <w:p>
            <w:pPr>
              <w:ind w:left="140"/>
              <w:spacing w:after="0"/>
              <w:rPr>
                <w:sz w:val="20"/>
                <w:szCs w:val="20"/>
                <w:color w:val="auto"/>
              </w:rPr>
            </w:pPr>
            <w:r>
              <w:rPr>
                <w:rFonts w:ascii="Arial" w:cs="Arial" w:eastAsia="Arial" w:hAnsi="Arial"/>
                <w:sz w:val="11"/>
                <w:szCs w:val="11"/>
                <w:color w:val="auto"/>
              </w:rPr>
              <w:t>Subordinated notes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8,771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404</w:t>
            </w:r>
          </w:p>
        </w:tc>
        <w:tc>
          <w:tcPr>
            <w:tcW w:w="800" w:type="dxa"/>
            <w:vAlign w:val="bottom"/>
            <w:gridSpan w:val="4"/>
          </w:tcPr>
          <w:p>
            <w:pPr>
              <w:ind w:left="480"/>
              <w:spacing w:after="0"/>
              <w:rPr>
                <w:sz w:val="20"/>
                <w:szCs w:val="20"/>
                <w:color w:val="auto"/>
              </w:rPr>
            </w:pPr>
            <w:r>
              <w:rPr>
                <w:rFonts w:ascii="Arial" w:cs="Arial" w:eastAsia="Arial" w:hAnsi="Arial"/>
                <w:sz w:val="11"/>
                <w:szCs w:val="11"/>
                <w:color w:val="auto"/>
              </w:rPr>
              <w:t>6.16</w:t>
            </w:r>
          </w:p>
        </w:tc>
        <w:tc>
          <w:tcPr>
            <w:tcW w:w="120" w:type="dxa"/>
            <w:vAlign w:val="bottom"/>
          </w:tcPr>
          <w:p>
            <w:pPr>
              <w:jc w:val="right"/>
              <w:spacing w:after="0"/>
              <w:rPr>
                <w:sz w:val="20"/>
                <w:szCs w:val="20"/>
                <w:color w:val="auto"/>
              </w:rPr>
            </w:pPr>
            <w:r>
              <w:rPr>
                <w:rFonts w:ascii="Arial" w:cs="Arial" w:eastAsia="Arial" w:hAnsi="Arial"/>
                <w:sz w:val="11"/>
                <w:szCs w:val="11"/>
                <w:color w:val="auto"/>
                <w:highlight w:val="white"/>
                <w:w w:val="81"/>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740" w:type="dxa"/>
            <w:vAlign w:val="bottom"/>
            <w:gridSpan w:val="2"/>
          </w:tcPr>
          <w:p>
            <w:pPr>
              <w:jc w:val="right"/>
              <w:ind w:right="43"/>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interest-bearing liabilities</w:t>
            </w:r>
          </w:p>
        </w:tc>
        <w:tc>
          <w:tcPr>
            <w:tcW w:w="20" w:type="dxa"/>
            <w:vAlign w:val="bottom"/>
            <w:tcBorders>
              <w:top w:val="single" w:sz="8" w:color="auto"/>
            </w:tcBorders>
            <w:shd w:val="clear" w:color="auto" w:fill="CCEEFF"/>
          </w:tcPr>
          <w:p>
            <w:pPr>
              <w:spacing w:after="0"/>
              <w:rPr>
                <w:sz w:val="13"/>
                <w:szCs w:val="13"/>
                <w:color w:val="auto"/>
              </w:rPr>
            </w:pPr>
          </w:p>
        </w:tc>
        <w:tc>
          <w:tcPr>
            <w:tcW w:w="110" w:type="dxa"/>
            <w:vAlign w:val="bottom"/>
            <w:tcBorders>
              <w:top w:val="single" w:sz="8" w:color="auto"/>
            </w:tcBorders>
            <w:shd w:val="clear" w:color="auto" w:fill="CCEEFF"/>
          </w:tcPr>
          <w:p>
            <w:pPr>
              <w:spacing w:after="0"/>
              <w:rPr>
                <w:sz w:val="13"/>
                <w:szCs w:val="13"/>
                <w:color w:val="auto"/>
              </w:rPr>
            </w:pPr>
          </w:p>
        </w:tc>
        <w:tc>
          <w:tcPr>
            <w:tcW w:w="75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1,857,871</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46,429</w:t>
            </w:r>
          </w:p>
        </w:tc>
        <w:tc>
          <w:tcPr>
            <w:tcW w:w="60" w:type="dxa"/>
            <w:vAlign w:val="bottom"/>
            <w:tcBorders>
              <w:top w:val="single" w:sz="8" w:color="auto"/>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3.34</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1,632,516</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46,488</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1"/>
                <w:szCs w:val="11"/>
                <w:color w:val="auto"/>
              </w:rPr>
              <w:t>3.80</w:t>
            </w: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gridSpan w:val="2"/>
          </w:tcPr>
          <w:p>
            <w:pPr>
              <w:ind w:left="140"/>
              <w:spacing w:after="0"/>
              <w:rPr>
                <w:sz w:val="20"/>
                <w:szCs w:val="20"/>
                <w:color w:val="auto"/>
              </w:rPr>
            </w:pPr>
            <w:r>
              <w:rPr>
                <w:rFonts w:ascii="Arial" w:cs="Arial" w:eastAsia="Arial" w:hAnsi="Arial"/>
                <w:sz w:val="11"/>
                <w:szCs w:val="11"/>
                <w:color w:val="auto"/>
              </w:rPr>
              <w:t>Non-interest bearing demand deposits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570,918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598,294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Other non-interest-bearing liabilities</w:t>
            </w: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41,422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37,045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Total liabilities</w:t>
            </w: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2,470,211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2,267,855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Stockholders' equity</w:t>
            </w: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75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224,459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199,153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1"/>
                <w:szCs w:val="11"/>
                <w:color w:val="auto"/>
              </w:rPr>
              <w:t>Total liabilities and stockholders' equity</w:t>
            </w:r>
          </w:p>
        </w:tc>
        <w:tc>
          <w:tcPr>
            <w:tcW w:w="13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50" w:type="dxa"/>
            <w:vAlign w:val="bottom"/>
          </w:tcPr>
          <w:p>
            <w:pPr>
              <w:jc w:val="right"/>
              <w:ind w:right="3"/>
              <w:spacing w:after="0"/>
              <w:rPr>
                <w:sz w:val="20"/>
                <w:szCs w:val="20"/>
                <w:color w:val="auto"/>
              </w:rPr>
            </w:pPr>
            <w:r>
              <w:rPr>
                <w:rFonts w:ascii="Arial" w:cs="Arial" w:eastAsia="Arial" w:hAnsi="Arial"/>
                <w:sz w:val="11"/>
                <w:szCs w:val="11"/>
                <w:color w:val="auto"/>
              </w:rPr>
              <w:t>2,694,670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3"/>
          </w:tcPr>
          <w:p>
            <w:pPr>
              <w:jc w:val="right"/>
              <w:spacing w:after="0"/>
              <w:rPr>
                <w:sz w:val="20"/>
                <w:szCs w:val="20"/>
                <w:color w:val="auto"/>
              </w:rPr>
            </w:pPr>
            <w:r>
              <w:rPr>
                <w:rFonts w:ascii="Arial" w:cs="Arial" w:eastAsia="Arial" w:hAnsi="Arial"/>
                <w:sz w:val="11"/>
                <w:szCs w:val="11"/>
                <w:color w:val="auto"/>
                <w:highlight w:val="white"/>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2,467,008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520" w:type="dxa"/>
            <w:vAlign w:val="bottom"/>
            <w:tcBorders>
              <w:top w:val="single" w:sz="8" w:color="CCEEFF"/>
            </w:tcBorders>
            <w:gridSpan w:val="2"/>
            <w:shd w:val="clear" w:color="auto" w:fill="CCEEFF"/>
          </w:tcPr>
          <w:p>
            <w:pPr>
              <w:ind w:left="40"/>
              <w:spacing w:after="0" w:line="122" w:lineRule="exact"/>
              <w:rPr>
                <w:sz w:val="20"/>
                <w:szCs w:val="20"/>
                <w:color w:val="auto"/>
              </w:rPr>
            </w:pPr>
            <w:r>
              <w:rPr>
                <w:rFonts w:ascii="Arial" w:cs="Arial" w:eastAsia="Arial" w:hAnsi="Arial"/>
                <w:sz w:val="11"/>
                <w:szCs w:val="11"/>
                <w:color w:val="auto"/>
              </w:rPr>
              <w:t>Net interest income</w:t>
            </w:r>
          </w:p>
        </w:tc>
        <w:tc>
          <w:tcPr>
            <w:tcW w:w="20" w:type="dxa"/>
            <w:vAlign w:val="bottom"/>
            <w:tcBorders>
              <w:top w:val="single" w:sz="8" w:color="CCEEFF"/>
            </w:tcBorders>
            <w:shd w:val="clear" w:color="auto" w:fill="CCEEFF"/>
          </w:tcPr>
          <w:p>
            <w:pPr>
              <w:spacing w:after="0"/>
              <w:rPr>
                <w:sz w:val="11"/>
                <w:szCs w:val="11"/>
                <w:color w:val="auto"/>
              </w:rPr>
            </w:pPr>
          </w:p>
        </w:tc>
        <w:tc>
          <w:tcPr>
            <w:tcW w:w="110" w:type="dxa"/>
            <w:vAlign w:val="bottom"/>
            <w:tcBorders>
              <w:top w:val="single" w:sz="8" w:color="auto"/>
            </w:tcBorders>
            <w:shd w:val="clear" w:color="auto" w:fill="CCEEFF"/>
          </w:tcPr>
          <w:p>
            <w:pPr>
              <w:spacing w:after="0"/>
              <w:rPr>
                <w:sz w:val="11"/>
                <w:szCs w:val="11"/>
                <w:color w:val="auto"/>
              </w:rPr>
            </w:pPr>
          </w:p>
        </w:tc>
        <w:tc>
          <w:tcPr>
            <w:tcW w:w="75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6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61,423</w:t>
            </w:r>
          </w:p>
        </w:tc>
        <w:tc>
          <w:tcPr>
            <w:tcW w:w="40" w:type="dxa"/>
            <w:vAlign w:val="bottom"/>
            <w:tcBorders>
              <w:top w:val="single" w:sz="8" w:color="CCEEFF"/>
              <w:bottom w:val="single" w:sz="8" w:color="auto"/>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60" w:type="dxa"/>
            <w:vAlign w:val="bottom"/>
            <w:tcBorders>
              <w:top w:val="single" w:sz="8" w:color="CCEEFF"/>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50,578</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20" w:type="dxa"/>
            <w:vAlign w:val="bottom"/>
            <w:gridSpan w:val="2"/>
            <w:vMerge w:val="restart"/>
          </w:tcPr>
          <w:p>
            <w:pPr>
              <w:ind w:left="40"/>
              <w:spacing w:after="0"/>
              <w:rPr>
                <w:sz w:val="20"/>
                <w:szCs w:val="20"/>
                <w:color w:val="auto"/>
              </w:rPr>
            </w:pPr>
            <w:r>
              <w:rPr>
                <w:rFonts w:ascii="Arial" w:cs="Arial" w:eastAsia="Arial" w:hAnsi="Arial"/>
                <w:sz w:val="11"/>
                <w:szCs w:val="11"/>
                <w:color w:val="auto"/>
              </w:rPr>
              <w:t xml:space="preserve">Net interest spread </w:t>
            </w:r>
            <w:r>
              <w:rPr>
                <w:rFonts w:ascii="Arial" w:cs="Arial" w:eastAsia="Arial" w:hAnsi="Arial"/>
                <w:sz w:val="14"/>
                <w:szCs w:val="14"/>
                <w:color w:val="auto"/>
                <w:vertAlign w:val="superscript"/>
              </w:rPr>
              <w:t>(5)</w:t>
            </w: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5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75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gridSpan w:val="4"/>
          </w:tcPr>
          <w:p>
            <w:pPr>
              <w:ind w:left="480"/>
              <w:spacing w:after="0" w:line="122" w:lineRule="exact"/>
              <w:rPr>
                <w:sz w:val="20"/>
                <w:szCs w:val="20"/>
                <w:color w:val="auto"/>
              </w:rPr>
            </w:pPr>
            <w:r>
              <w:rPr>
                <w:rFonts w:ascii="Arial" w:cs="Arial" w:eastAsia="Arial" w:hAnsi="Arial"/>
                <w:sz w:val="11"/>
                <w:szCs w:val="11"/>
                <w:color w:val="auto"/>
              </w:rPr>
              <w:t>2.23</w:t>
            </w:r>
          </w:p>
        </w:tc>
        <w:tc>
          <w:tcPr>
            <w:tcW w:w="120" w:type="dxa"/>
            <w:vAlign w:val="bottom"/>
          </w:tcPr>
          <w:p>
            <w:pPr>
              <w:jc w:val="right"/>
              <w:spacing w:after="0" w:line="122" w:lineRule="exact"/>
              <w:rPr>
                <w:sz w:val="20"/>
                <w:szCs w:val="20"/>
                <w:color w:val="auto"/>
              </w:rPr>
            </w:pPr>
            <w:r>
              <w:rPr>
                <w:rFonts w:ascii="Arial" w:cs="Arial" w:eastAsia="Arial" w:hAnsi="Arial"/>
                <w:sz w:val="11"/>
                <w:szCs w:val="11"/>
                <w:color w:val="auto"/>
                <w:highlight w:val="white"/>
                <w:w w:val="81"/>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tcPr>
          <w:p>
            <w:pPr>
              <w:ind w:left="420"/>
              <w:spacing w:after="0" w:line="122" w:lineRule="exact"/>
              <w:rPr>
                <w:sz w:val="20"/>
                <w:szCs w:val="20"/>
                <w:color w:val="auto"/>
              </w:rPr>
            </w:pPr>
            <w:r>
              <w:rPr>
                <w:rFonts w:ascii="Arial" w:cs="Arial" w:eastAsia="Arial" w:hAnsi="Arial"/>
                <w:sz w:val="11"/>
                <w:szCs w:val="11"/>
                <w:color w:val="auto"/>
              </w:rPr>
              <w:t>1.70</w:t>
            </w:r>
          </w:p>
        </w:tc>
        <w:tc>
          <w:tcPr>
            <w:tcW w:w="12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(6)</w:t>
            </w: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gridSpan w:val="3"/>
            <w:shd w:val="clear" w:color="auto" w:fill="CCEEFF"/>
          </w:tcPr>
          <w:p>
            <w:pPr>
              <w:spacing w:after="0"/>
              <w:rPr>
                <w:sz w:val="14"/>
                <w:szCs w:val="14"/>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3.17</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shd w:val="clear" w:color="auto" w:fill="CCEEFF"/>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1"/>
                <w:szCs w:val="11"/>
                <w:color w:val="auto"/>
              </w:rPr>
              <w:t>2.87</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shd w:val="clear" w:color="auto" w:fill="CCEEFF"/>
              </w:rPr>
              <w:t>%</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900" w:hanging="205"/>
        <w:spacing w:after="0"/>
        <w:tabs>
          <w:tab w:leader="none" w:pos="9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Average balances - Daily average balances are used to calculate yields/rates.</w:t>
      </w:r>
    </w:p>
    <w:p>
      <w:pPr>
        <w:spacing w:after="0" w:line="33" w:lineRule="exact"/>
        <w:rPr>
          <w:rFonts w:ascii="Arial" w:cs="Arial" w:eastAsia="Arial" w:hAnsi="Arial"/>
          <w:sz w:val="11"/>
          <w:szCs w:val="11"/>
          <w:color w:val="auto"/>
        </w:rPr>
      </w:pPr>
    </w:p>
    <w:p>
      <w:pPr>
        <w:ind w:left="900" w:hanging="205"/>
        <w:spacing w:after="0"/>
        <w:tabs>
          <w:tab w:leader="none" w:pos="9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Annualized.</w:t>
      </w:r>
    </w:p>
    <w:p>
      <w:pPr>
        <w:spacing w:after="0" w:line="44" w:lineRule="exact"/>
        <w:rPr>
          <w:rFonts w:ascii="Arial" w:cs="Arial" w:eastAsia="Arial" w:hAnsi="Arial"/>
          <w:sz w:val="11"/>
          <w:szCs w:val="11"/>
          <w:color w:val="auto"/>
        </w:rPr>
      </w:pPr>
    </w:p>
    <w:p>
      <w:pPr>
        <w:ind w:left="700" w:right="719" w:hanging="5"/>
        <w:spacing w:after="0" w:line="273" w:lineRule="auto"/>
        <w:tabs>
          <w:tab w:leader="none" w:pos="904" w:val="left"/>
        </w:tabs>
        <w:numPr>
          <w:ilvl w:val="0"/>
          <w:numId w:val="23"/>
        </w:numPr>
        <w:rPr>
          <w:rFonts w:ascii="Arial" w:cs="Arial" w:eastAsia="Arial" w:hAnsi="Arial"/>
          <w:sz w:val="11"/>
          <w:szCs w:val="11"/>
          <w:color w:val="auto"/>
        </w:rPr>
      </w:pPr>
      <w:r>
        <w:rPr>
          <w:rFonts w:ascii="Arial" w:cs="Arial" w:eastAsia="Arial" w:hAnsi="Arial"/>
          <w:sz w:val="11"/>
          <w:szCs w:val="11"/>
          <w:color w:val="auto"/>
        </w:rPr>
        <w:t>Average loan balances include deferred fees/costs and non-accrual loans. Interest income on loans includes accretion of deferred loan fees, net of deferred loan costs.</w:t>
      </w:r>
    </w:p>
    <w:p>
      <w:pPr>
        <w:ind w:left="900" w:hanging="205"/>
        <w:spacing w:after="0"/>
        <w:tabs>
          <w:tab w:leader="none" w:pos="9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33" w:lineRule="exact"/>
        <w:rPr>
          <w:rFonts w:ascii="Arial" w:cs="Arial" w:eastAsia="Arial" w:hAnsi="Arial"/>
          <w:sz w:val="11"/>
          <w:szCs w:val="11"/>
          <w:color w:val="auto"/>
        </w:rPr>
      </w:pPr>
    </w:p>
    <w:p>
      <w:pPr>
        <w:ind w:left="700" w:right="1159" w:hanging="5"/>
        <w:spacing w:after="0" w:line="262" w:lineRule="auto"/>
        <w:tabs>
          <w:tab w:leader="none" w:pos="904" w:val="left"/>
        </w:tabs>
        <w:numPr>
          <w:ilvl w:val="0"/>
          <w:numId w:val="23"/>
        </w:numPr>
        <w:rPr>
          <w:rFonts w:ascii="Arial" w:cs="Arial" w:eastAsia="Arial" w:hAnsi="Arial"/>
          <w:sz w:val="11"/>
          <w:szCs w:val="11"/>
          <w:color w:val="auto"/>
        </w:rPr>
      </w:pPr>
      <w:r>
        <w:rPr>
          <w:rFonts w:ascii="Arial" w:cs="Arial" w:eastAsia="Arial" w:hAnsi="Arial"/>
          <w:sz w:val="11"/>
          <w:szCs w:val="11"/>
          <w:color w:val="auto"/>
        </w:rPr>
        <w:t>Net interest spread is the weighted average yield on total interest-earning assets minus the weightedaverage rate on total interest-bearing liabilities.</w:t>
      </w:r>
    </w:p>
    <w:p>
      <w:pPr>
        <w:ind w:left="900" w:hanging="205"/>
        <w:spacing w:after="0"/>
        <w:tabs>
          <w:tab w:leader="none" w:pos="9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average total interest-earning assets.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2025 compared to the three months ended September 30, 2024.</w:t>
      </w:r>
    </w:p>
    <w:p>
      <w:pPr>
        <w:spacing w:after="0" w:line="157"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Net interest income before the provision for credit losses was $21.3 million for the three months ended September 30, 2025 as compared to $18.1 million for the same period 2024. The increase of $3.2 million or 17.5% was primarily driven by higher income from an expanded loan portfolio, and a reduction in rates paid on interest-bearing liabilities between the periods.</w:t>
      </w:r>
    </w:p>
    <w:p>
      <w:pPr>
        <w:spacing w:after="0" w:line="135"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Net interest margin (“NIM”) was 3.14% for the three months ended September 30, 2025 and 3.03% for the same period in 2024. The 11-basis-point increase primarily reflects a reduction in the weighted average rate paid on interest-bearing liabilities that outweighed the decline in the yield on interest-bearing assets. Additionally, the balance of interest-bearing assets grew more rapidly than the balance of interest-bearing liabilities.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2025 compared to the nine months ended September 30, 2024</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Net interest income before the provision for credit losses was $61.4 million for the nine months ended September 30, 2025, an increase of $10.8 million or 21.4%, from $50.6 million for the same period in 2024. This growth was primarily driven by higher income from an expanded loan portfolio and a reduction in the weighted average rates paid on interest-bearing liabilities between periods.</w:t>
      </w:r>
    </w:p>
    <w:p>
      <w:pPr>
        <w:spacing w:after="0" w:line="13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 NIM was 3.17% for the nine months ended September 30, 2025 and 2.87% for the same period in 2024. The NIM expansion of 30 basis points reflects both higher loan yields and growth in the loan average balance, along with a decrease in interest rate paid on interest-bearing liabilities.</w:t>
      </w:r>
    </w:p>
    <w:p>
      <w:pPr>
        <w:spacing w:after="0" w:line="34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35" w:name="page36"/>
    <w:bookmarkEnd w:id="3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Credit Losses</w:t>
      </w:r>
    </w:p>
    <w:p>
      <w:pPr>
        <w:spacing w:after="0" w:line="168" w:lineRule="exact"/>
        <w:rPr>
          <w:sz w:val="20"/>
          <w:szCs w:val="20"/>
          <w:color w:val="auto"/>
        </w:rPr>
      </w:pPr>
    </w:p>
    <w:p>
      <w:pPr>
        <w:jc w:val="both"/>
        <w:ind w:left="660" w:right="619" w:firstLine="256"/>
        <w:spacing w:after="0" w:line="251" w:lineRule="auto"/>
        <w:rPr>
          <w:sz w:val="20"/>
          <w:szCs w:val="20"/>
          <w:color w:val="auto"/>
        </w:rPr>
      </w:pPr>
      <w:r>
        <w:rPr>
          <w:rFonts w:ascii="Arial" w:cs="Arial" w:eastAsia="Arial" w:hAnsi="Arial"/>
          <w:sz w:val="14"/>
          <w:szCs w:val="14"/>
          <w:color w:val="auto"/>
        </w:rPr>
        <w:t>The provision for credit losses represents a charge to earnings necessary to maintain an allowance for credit losses at a level that, in management's evaluation, is adequate to provide coverage for all expected credit losses. The provision for credit losses is impacted by variations in the size and composition of our loan and debt securities portfolio, recent historical and projected future economic conditions, our internal assessment of the credit quality of the loan and debt securities portfolios and net charge-offs.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2025 compared to the three months ended September 30, 2024.</w:t>
      </w:r>
    </w:p>
    <w:p>
      <w:pPr>
        <w:spacing w:after="0" w:line="157"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The provision for credit loss was $105 thousand for the three months ended September 30, 2025 compared to $931 thousand for the same period in 2024. The significant decrease in provision expense was primarily attributable to slower loan portfolio growth during the third quarter of 2025.</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2025 compared to the nine months ended September 30, 2024</w:t>
      </w:r>
    </w:p>
    <w:p>
      <w:pPr>
        <w:spacing w:after="0" w:line="157"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The provision for credit loss was $1.8 million for the nine months ended September 30, 2025 compared to $2.1 million for the same period in 2024. The decrease in the provision for credit losses was due to release of reserves related to individually evaluated loans, following two charge-offs recorded during the nine months ended September 30, 2025.</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Income</w:t>
      </w:r>
    </w:p>
    <w:p>
      <w:pPr>
        <w:spacing w:after="0" w:line="157" w:lineRule="exact"/>
        <w:rPr>
          <w:sz w:val="20"/>
          <w:szCs w:val="20"/>
          <w:color w:val="auto"/>
        </w:rPr>
      </w:pPr>
    </w:p>
    <w:p>
      <w:pPr>
        <w:jc w:val="both"/>
        <w:ind w:left="660" w:right="659" w:firstLine="256"/>
        <w:spacing w:after="0" w:line="261" w:lineRule="auto"/>
        <w:rPr>
          <w:sz w:val="20"/>
          <w:szCs w:val="20"/>
          <w:color w:val="auto"/>
        </w:rPr>
      </w:pPr>
      <w:r>
        <w:rPr>
          <w:rFonts w:ascii="Arial" w:cs="Arial" w:eastAsia="Arial" w:hAnsi="Arial"/>
          <w:sz w:val="14"/>
          <w:szCs w:val="14"/>
          <w:color w:val="auto"/>
        </w:rPr>
        <w:t>Our services and products generate service charges and fees, mainly from our depository accounts. We also generate income from gain on sale of loans though the SBA 7a loan program and the monetization fees earned through our loan swap program. In addition, we own and are beneficiaries of the life insurance policies on some of our employees, which policies generate income from the increase in the cash surrender values.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income for the dates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22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8"/>
              </w:rPr>
              <w:t>Three Months Ended September 30,</w:t>
            </w:r>
          </w:p>
        </w:tc>
        <w:tc>
          <w:tcPr>
            <w:tcW w:w="40" w:type="dxa"/>
            <w:vAlign w:val="bottom"/>
          </w:tcPr>
          <w:p>
            <w:pPr>
              <w:spacing w:after="0"/>
              <w:rPr>
                <w:sz w:val="13"/>
                <w:szCs w:val="13"/>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20" w:type="dxa"/>
            <w:vAlign w:val="bottom"/>
          </w:tcPr>
          <w:p>
            <w:pPr>
              <w:spacing w:after="0"/>
              <w:rPr>
                <w:sz w:val="13"/>
                <w:szCs w:val="13"/>
                <w:color w:val="auto"/>
              </w:rPr>
            </w:pPr>
          </w:p>
        </w:tc>
      </w:tr>
      <w:tr>
        <w:trPr>
          <w:trHeight w:val="152"/>
        </w:trPr>
        <w:tc>
          <w:tcPr>
            <w:tcW w:w="31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3"/>
                <w:szCs w:val="13"/>
                <w:color w:val="auto"/>
              </w:rPr>
            </w:pPr>
          </w:p>
        </w:tc>
      </w:tr>
      <w:tr>
        <w:trPr>
          <w:trHeight w:val="149"/>
        </w:trPr>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rPr>
              <w:t>Service fees</w:t>
            </w:r>
          </w:p>
        </w:tc>
        <w:tc>
          <w:tcPr>
            <w:tcW w:w="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2,661</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2,544</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7,394</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6,172</w:t>
            </w:r>
          </w:p>
        </w:tc>
        <w:tc>
          <w:tcPr>
            <w:tcW w:w="20" w:type="dxa"/>
            <w:vAlign w:val="bottom"/>
            <w:shd w:val="clear" w:color="auto" w:fill="CCEEFF"/>
          </w:tcPr>
          <w:p>
            <w:pPr>
              <w:spacing w:after="0"/>
              <w:rPr>
                <w:sz w:val="12"/>
                <w:szCs w:val="12"/>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3"/>
                <w:szCs w:val="13"/>
                <w:color w:val="auto"/>
              </w:rPr>
              <w:t>(Loss) gain on sale of securities available for sale, net</w:t>
            </w:r>
          </w:p>
        </w:tc>
        <w:tc>
          <w:tcPr>
            <w:tcW w:w="7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(28)</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3"/>
                <w:szCs w:val="13"/>
                <w:color w:val="auto"/>
              </w:rPr>
            </w:pPr>
          </w:p>
        </w:tc>
      </w:tr>
      <w:tr>
        <w:trPr>
          <w:trHeight w:val="160"/>
        </w:trPr>
        <w:tc>
          <w:tcPr>
            <w:tcW w:w="3160" w:type="dxa"/>
            <w:vAlign w:val="bottom"/>
            <w:shd w:val="clear" w:color="auto" w:fill="CCEEFF"/>
          </w:tcPr>
          <w:p>
            <w:pPr>
              <w:spacing w:after="0"/>
              <w:rPr>
                <w:sz w:val="20"/>
                <w:szCs w:val="20"/>
                <w:color w:val="auto"/>
              </w:rPr>
            </w:pPr>
            <w:r>
              <w:rPr>
                <w:rFonts w:ascii="Arial" w:cs="Arial" w:eastAsia="Arial" w:hAnsi="Arial"/>
                <w:sz w:val="13"/>
                <w:szCs w:val="13"/>
                <w:color w:val="auto"/>
              </w:rPr>
              <w:t>Gain on sale of loans held for sale, net</w:t>
            </w: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20" w:type="dxa"/>
            <w:vAlign w:val="bottom"/>
            <w:shd w:val="clear" w:color="auto" w:fill="CCEEFF"/>
          </w:tcPr>
          <w:p>
            <w:pPr>
              <w:spacing w:after="0"/>
              <w:rPr>
                <w:sz w:val="13"/>
                <w:szCs w:val="13"/>
                <w:color w:val="auto"/>
              </w:rPr>
            </w:pPr>
          </w:p>
        </w:tc>
      </w:tr>
      <w:tr>
        <w:trPr>
          <w:trHeight w:val="160"/>
        </w:trPr>
        <w:tc>
          <w:tcPr>
            <w:tcW w:w="31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non-interest income</w:t>
            </w:r>
          </w:p>
        </w:tc>
        <w:tc>
          <w:tcPr>
            <w:tcW w:w="7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923</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785</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2,600</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2,334</w:t>
            </w:r>
          </w:p>
        </w:tc>
        <w:tc>
          <w:tcPr>
            <w:tcW w:w="20" w:type="dxa"/>
            <w:vAlign w:val="bottom"/>
          </w:tcPr>
          <w:p>
            <w:pPr>
              <w:spacing w:after="0"/>
              <w:rPr>
                <w:sz w:val="13"/>
                <w:szCs w:val="13"/>
                <w:color w:val="auto"/>
              </w:rPr>
            </w:pPr>
          </w:p>
        </w:tc>
      </w:tr>
      <w:tr>
        <w:trPr>
          <w:trHeight w:val="140"/>
        </w:trPr>
        <w:tc>
          <w:tcPr>
            <w:tcW w:w="3160" w:type="dxa"/>
            <w:vAlign w:val="bottom"/>
            <w:shd w:val="clear" w:color="auto" w:fill="CCEEFF"/>
          </w:tcPr>
          <w:p>
            <w:pPr>
              <w:ind w:left="100"/>
              <w:spacing w:after="0" w:line="140" w:lineRule="exact"/>
              <w:rPr>
                <w:sz w:val="20"/>
                <w:szCs w:val="20"/>
                <w:color w:val="auto"/>
              </w:rPr>
            </w:pPr>
            <w:r>
              <w:rPr>
                <w:rFonts w:ascii="Arial" w:cs="Arial" w:eastAsia="Arial" w:hAnsi="Arial"/>
                <w:sz w:val="13"/>
                <w:szCs w:val="13"/>
                <w:color w:val="auto"/>
              </w:rPr>
              <w:t>Total non-interest income</w:t>
            </w:r>
          </w:p>
        </w:tc>
        <w:tc>
          <w:tcPr>
            <w:tcW w:w="72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8"/>
              </w:rPr>
              <w:t>3,684</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6"/>
              <w:spacing w:after="0" w:line="140"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3,438</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6"/>
              <w:spacing w:after="0" w:line="140"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10,770</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9,113</w:t>
            </w:r>
          </w:p>
        </w:tc>
        <w:tc>
          <w:tcPr>
            <w:tcW w:w="20" w:type="dxa"/>
            <w:vAlign w:val="bottom"/>
            <w:shd w:val="clear" w:color="auto" w:fill="CCEEFF"/>
          </w:tcPr>
          <w:p>
            <w:pPr>
              <w:spacing w:after="0"/>
              <w:rPr>
                <w:sz w:val="12"/>
                <w:szCs w:val="12"/>
                <w:color w:val="auto"/>
              </w:rPr>
            </w:pPr>
          </w:p>
        </w:tc>
      </w:tr>
      <w:tr>
        <w:trPr>
          <w:trHeight w:val="20"/>
        </w:trPr>
        <w:tc>
          <w:tcPr>
            <w:tcW w:w="3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2025 compared to the three months ended September 30, 2024.</w:t>
      </w:r>
    </w:p>
    <w:p>
      <w:pPr>
        <w:spacing w:after="0" w:line="168"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Non-interest income for the three months ended September 30, 2025 increased $246 thousand or 7.2%, compared to the same period in 2024. This increase was primarily driven by growth in prepayment penalties and wire transfer fees reported under the service fees category and income from bank owned life insurance reported under other non-interest income.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2025 compared to the nine months ended September 30, 2024</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Non-interest income for the nine months ended September 30, 2025 increased $1.7 million or 18.2%, compared to the same period in 2024. This increase was primarily driven by growth in prepayment penalties and title insurance income reported under the service fees category combined with an increase in the gain on sale of loans as well as income from bank owned life insurance reported under other non-interest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36" w:name="page37"/>
    <w:bookmarkEnd w:id="3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Non-Interest Expense</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components of non-interest expense for the dates indicated (in thousands):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2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8"/>
              </w:rPr>
              <w:t>Three Months Ended September 30,</w:t>
            </w:r>
          </w:p>
        </w:tc>
        <w:tc>
          <w:tcPr>
            <w:tcW w:w="40" w:type="dxa"/>
            <w:vAlign w:val="bottom"/>
          </w:tcPr>
          <w:p>
            <w:pPr>
              <w:spacing w:after="0"/>
              <w:rPr>
                <w:sz w:val="13"/>
                <w:szCs w:val="13"/>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20" w:type="dxa"/>
            <w:vAlign w:val="bottom"/>
          </w:tcPr>
          <w:p>
            <w:pPr>
              <w:spacing w:after="0"/>
              <w:rPr>
                <w:sz w:val="13"/>
                <w:szCs w:val="13"/>
                <w:color w:val="auto"/>
              </w:rPr>
            </w:pPr>
          </w:p>
        </w:tc>
      </w:tr>
      <w:tr>
        <w:trPr>
          <w:trHeight w:val="151"/>
        </w:trPr>
        <w:tc>
          <w:tcPr>
            <w:tcW w:w="10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2025</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3"/>
                <w:szCs w:val="13"/>
                <w:color w:val="auto"/>
              </w:rPr>
            </w:pPr>
          </w:p>
        </w:tc>
      </w:tr>
      <w:tr>
        <w:trPr>
          <w:trHeight w:val="140"/>
        </w:trPr>
        <w:tc>
          <w:tcPr>
            <w:tcW w:w="316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Salaries and employee benefits</w:t>
            </w:r>
          </w:p>
        </w:tc>
        <w:tc>
          <w:tcPr>
            <w:tcW w:w="14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7,909</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6"/>
              <w:spacing w:after="0" w:line="140"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7,200</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6"/>
              <w:spacing w:after="0" w:line="140"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23,499</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20,863</w:t>
            </w:r>
          </w:p>
        </w:tc>
        <w:tc>
          <w:tcPr>
            <w:tcW w:w="20" w:type="dxa"/>
            <w:vAlign w:val="bottom"/>
            <w:shd w:val="clear" w:color="auto" w:fill="CCEEFF"/>
          </w:tcPr>
          <w:p>
            <w:pPr>
              <w:spacing w:after="0"/>
              <w:rPr>
                <w:sz w:val="12"/>
                <w:szCs w:val="12"/>
                <w:color w:val="auto"/>
              </w:rPr>
            </w:pPr>
          </w:p>
        </w:tc>
      </w:tr>
      <w:tr>
        <w:trPr>
          <w:trHeight w:val="160"/>
        </w:trPr>
        <w:tc>
          <w:tcPr>
            <w:tcW w:w="3160" w:type="dxa"/>
            <w:vAlign w:val="bottom"/>
            <w:gridSpan w:val="2"/>
          </w:tcPr>
          <w:p>
            <w:pPr>
              <w:spacing w:after="0"/>
              <w:rPr>
                <w:sz w:val="20"/>
                <w:szCs w:val="20"/>
                <w:color w:val="auto"/>
              </w:rPr>
            </w:pPr>
            <w:r>
              <w:rPr>
                <w:rFonts w:ascii="Arial" w:cs="Arial" w:eastAsia="Arial" w:hAnsi="Arial"/>
                <w:sz w:val="13"/>
                <w:szCs w:val="13"/>
                <w:color w:val="auto"/>
              </w:rPr>
              <w:t>Occupancy</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1,382</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1,341</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4,003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3,921</w:t>
            </w:r>
          </w:p>
        </w:tc>
        <w:tc>
          <w:tcPr>
            <w:tcW w:w="20" w:type="dxa"/>
            <w:vAlign w:val="bottom"/>
          </w:tcPr>
          <w:p>
            <w:pPr>
              <w:spacing w:after="0"/>
              <w:rPr>
                <w:sz w:val="13"/>
                <w:szCs w:val="13"/>
                <w:color w:val="auto"/>
              </w:rPr>
            </w:pPr>
          </w:p>
        </w:tc>
      </w:tr>
      <w:tr>
        <w:trPr>
          <w:trHeight w:val="171"/>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Regulatory assessment and fees</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w:t>
            </w:r>
          </w:p>
        </w:tc>
        <w:tc>
          <w:tcPr>
            <w:tcW w:w="20" w:type="dxa"/>
            <w:vAlign w:val="bottom"/>
            <w:shd w:val="clear" w:color="auto" w:fill="CCEEFF"/>
          </w:tcPr>
          <w:p>
            <w:pPr>
              <w:spacing w:after="0"/>
              <w:rPr>
                <w:sz w:val="14"/>
                <w:szCs w:val="14"/>
                <w:color w:val="auto"/>
              </w:rPr>
            </w:pPr>
          </w:p>
        </w:tc>
      </w:tr>
      <w:tr>
        <w:trPr>
          <w:trHeight w:val="160"/>
        </w:trPr>
        <w:tc>
          <w:tcPr>
            <w:tcW w:w="3160" w:type="dxa"/>
            <w:vAlign w:val="bottom"/>
            <w:gridSpan w:val="2"/>
          </w:tcPr>
          <w:p>
            <w:pPr>
              <w:spacing w:after="0"/>
              <w:rPr>
                <w:sz w:val="20"/>
                <w:szCs w:val="20"/>
                <w:color w:val="auto"/>
              </w:rPr>
            </w:pPr>
            <w:r>
              <w:rPr>
                <w:rFonts w:ascii="Arial" w:cs="Arial" w:eastAsia="Arial" w:hAnsi="Arial"/>
                <w:sz w:val="13"/>
                <w:szCs w:val="13"/>
                <w:color w:val="auto"/>
              </w:rPr>
              <w:t>Consulting and legal fees</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585</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161</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1,041</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1,016</w:t>
            </w:r>
          </w:p>
        </w:tc>
        <w:tc>
          <w:tcPr>
            <w:tcW w:w="20" w:type="dxa"/>
            <w:vAlign w:val="bottom"/>
          </w:tcPr>
          <w:p>
            <w:pPr>
              <w:spacing w:after="0"/>
              <w:rPr>
                <w:sz w:val="13"/>
                <w:szCs w:val="13"/>
                <w:color w:val="auto"/>
              </w:rPr>
            </w:pPr>
          </w:p>
        </w:tc>
      </w:tr>
      <w:tr>
        <w:trPr>
          <w:trHeight w:val="160"/>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Network and information technology services</w:t>
            </w: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1,725</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1,499</w:t>
            </w:r>
          </w:p>
        </w:tc>
        <w:tc>
          <w:tcPr>
            <w:tcW w:w="20" w:type="dxa"/>
            <w:vAlign w:val="bottom"/>
            <w:shd w:val="clear" w:color="auto" w:fill="CCEEFF"/>
          </w:tcPr>
          <w:p>
            <w:pPr>
              <w:spacing w:after="0"/>
              <w:rPr>
                <w:sz w:val="13"/>
                <w:szCs w:val="13"/>
                <w:color w:val="auto"/>
              </w:rPr>
            </w:pPr>
          </w:p>
        </w:tc>
      </w:tr>
      <w:tr>
        <w:trPr>
          <w:trHeight w:val="160"/>
        </w:trPr>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operating</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2,139</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1,787</w:t>
            </w:r>
          </w:p>
        </w:tc>
        <w:tc>
          <w:tcPr>
            <w:tcW w:w="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6,272</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5,528</w:t>
            </w:r>
          </w:p>
        </w:tc>
        <w:tc>
          <w:tcPr>
            <w:tcW w:w="20" w:type="dxa"/>
            <w:vAlign w:val="bottom"/>
          </w:tcPr>
          <w:p>
            <w:pPr>
              <w:spacing w:after="0"/>
              <w:rPr>
                <w:sz w:val="13"/>
                <w:szCs w:val="13"/>
                <w:color w:val="auto"/>
              </w:rPr>
            </w:pPr>
          </w:p>
        </w:tc>
      </w:tr>
      <w:tr>
        <w:trPr>
          <w:trHeight w:val="161"/>
        </w:trPr>
        <w:tc>
          <w:tcPr>
            <w:tcW w:w="10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Total non-interest expense</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13,048</w:t>
            </w: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11,454</w:t>
            </w:r>
          </w:p>
        </w:tc>
        <w:tc>
          <w:tcPr>
            <w:tcW w:w="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37,734</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34,188</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2025 compared to the three months ended September 30, 2024.</w:t>
      </w:r>
    </w:p>
    <w:p>
      <w:pPr>
        <w:spacing w:after="0" w:line="168"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Non-interest expense for the three months ended September 30, 2025, increased $1.6 million, or 13.9%, compared to the same period in 2024. The increase was primarily driven by a $709 thousand rise in salaries and employee benefits, reflecting merit increases, new hires and higher stock-based compensation expense. Consulting and legal fees increased $424 thousand due to the administration expense related to the interest rate collars and the third quarter of 2024 included a legal expense reimbursement, which reduced expenses in that period and contributed to the year-over-year increase. Additionally, other operating expense increased by $352 thousand, primarily due to the absence of a reimbursement for force-placed insurance that was received in the third quarter of 2024. These prior-period reimbursements had the effect of lowering reported expenses, making the current period’s expenses appear higher by comparison.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2025 compared to the nine months ended September 30, 2024</w:t>
      </w:r>
    </w:p>
    <w:p>
      <w:pPr>
        <w:spacing w:after="0" w:line="168"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Non-interest expense for the nine months ended September 30, 2025 increased $3.5 million or 10.4%, compared to the same period in 2024. The increase was primarily driven by an increase of $2.6 million in salaries and employee benefits due to an increase of $1.0 million in merit increases and new full-time employee salaries, and $1.5 million in stock-based compensation expenses. Additionally, other operating expenses increased $744 thousand due to increase of $276 thousand due to item processing and internet banking fees, $160 thousand in board of directors’ expenses, $147 thousand in shareholders expense and $103 thousand in forced placed insurance.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Provision for Income Tax</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Fluctuations in the effective tax rate reflect the effect of the differences in the inclusion or deductibility of certain income and expenses for income tax purposes. Therefore, future decisions on the investments we choose will affect our effective tax rate. The cash surrender value of bank-owned life insurance policies covering key employees, purchasing municipal bonds, and overall levels of taxable income will be important elements in determining our effective tax rate.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Three months ended September 30, 2025 compared to the three months ended September 30, 2024.</w:t>
      </w:r>
    </w:p>
    <w:p>
      <w:pPr>
        <w:spacing w:after="0" w:line="168"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Income tax expense for the three months ended September 30, 2025 was $2.9 million as compared to $2.2 million for the same period in 2024 and reflected the increased level of pre-tax net income experienced during the 2025 period. The effective tax rate for the three months ended September 30, 2025 was 24.28% compared to 24.15% for the same period in 2024.</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Nine months ended September 30, 2025 compared to the nine months ended September 30, 2024</w:t>
      </w:r>
    </w:p>
    <w:p>
      <w:pPr>
        <w:spacing w:after="0" w:line="16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Income tax expense for the nine months ended September 30, 2025 was $7.9 million as compared to $5.6 million for the same period in 2024 and reflected the substantially increased level of pre-tax net income experienced during the 2025 period. The effective tax rate for the nine months ended September 30, 2025 was 24.22% compared to 23.98% for the same period in 2024.</w:t>
      </w:r>
    </w:p>
    <w:p>
      <w:pPr>
        <w:spacing w:after="0" w:line="137" w:lineRule="exact"/>
        <w:rPr>
          <w:sz w:val="20"/>
          <w:szCs w:val="20"/>
          <w:color w:val="auto"/>
        </w:rPr>
      </w:pPr>
    </w:p>
    <w:p>
      <w:pPr>
        <w:ind w:left="660" w:right="719" w:firstLine="256"/>
        <w:spacing w:after="0" w:line="292" w:lineRule="auto"/>
        <w:rPr>
          <w:sz w:val="20"/>
          <w:szCs w:val="20"/>
          <w:color w:val="auto"/>
        </w:rPr>
      </w:pPr>
      <w:r>
        <w:rPr>
          <w:rFonts w:ascii="Arial" w:cs="Arial" w:eastAsia="Arial" w:hAnsi="Arial"/>
          <w:sz w:val="14"/>
          <w:szCs w:val="14"/>
          <w:color w:val="auto"/>
        </w:rPr>
        <w:t>For a further discussion of income taxes, see Note 4 “Income Taxes” to the unaudited Consolidated Financial Statements in Item 1 of Part I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37" w:name="page38"/>
    <w:bookmarkEnd w:id="3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Analysis of Financial Condition</w:t>
      </w:r>
    </w:p>
    <w:p>
      <w:pPr>
        <w:spacing w:after="0" w:line="170" w:lineRule="exact"/>
        <w:rPr>
          <w:sz w:val="20"/>
          <w:szCs w:val="20"/>
          <w:color w:val="auto"/>
        </w:rPr>
      </w:pPr>
    </w:p>
    <w:p>
      <w:pPr>
        <w:jc w:val="both"/>
        <w:ind w:left="660" w:right="619" w:firstLine="256"/>
        <w:spacing w:after="0" w:line="251" w:lineRule="auto"/>
        <w:rPr>
          <w:sz w:val="20"/>
          <w:szCs w:val="20"/>
          <w:color w:val="auto"/>
        </w:rPr>
      </w:pPr>
      <w:r>
        <w:rPr>
          <w:rFonts w:ascii="Arial" w:cs="Arial" w:eastAsia="Arial" w:hAnsi="Arial"/>
          <w:sz w:val="14"/>
          <w:szCs w:val="14"/>
          <w:color w:val="auto"/>
        </w:rPr>
        <w:t>Total assets at September 30, 2025 were $2.77 billion, an increase of $186.7 million, or 9.7% annualized, over total assets of $2.58 billion at December 31, 2024. Total loans, net of deferred fees/costs, increased $158.1 million, or 10.7% annualized, to $2.13 billion at September 30, 2025 compared to $1.97 billion at December 31, 2024. Total deposits increased by $281.6 million, or 17.3% annualized, to $2.46 billion at September 30, 2025 compared to $2.17 billion December 31, 2024.</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57" w:lineRule="exact"/>
        <w:rPr>
          <w:sz w:val="20"/>
          <w:szCs w:val="20"/>
          <w:color w:val="auto"/>
        </w:rPr>
      </w:pPr>
    </w:p>
    <w:p>
      <w:pPr>
        <w:jc w:val="both"/>
        <w:ind w:left="660" w:right="679" w:firstLine="256"/>
        <w:spacing w:after="0" w:line="255" w:lineRule="auto"/>
        <w:rPr>
          <w:sz w:val="20"/>
          <w:szCs w:val="20"/>
          <w:color w:val="auto"/>
        </w:rPr>
      </w:pPr>
      <w:r>
        <w:rPr>
          <w:rFonts w:ascii="Arial" w:cs="Arial" w:eastAsia="Arial" w:hAnsi="Arial"/>
          <w:sz w:val="14"/>
          <w:szCs w:val="14"/>
          <w:color w:val="auto"/>
        </w:rPr>
        <w:t>The investment portfolio is used and managed to provide liquidity through cash flows, marketability and, if necessary, collateral for borrowings. The investment portfolio is also used as a tool to manage interest rate risk and the Company’s capital market risk exposure. The philosophy of the portfolio is to maximize the Company’s profitability taking into consideration the Company’s risk appetite and tolerance, manage it’s asset composition and diversification, and maintain adequate risk-based capital ratios.</w:t>
      </w:r>
    </w:p>
    <w:p>
      <w:pPr>
        <w:spacing w:after="0" w:line="126" w:lineRule="exact"/>
        <w:rPr>
          <w:sz w:val="20"/>
          <w:szCs w:val="20"/>
          <w:color w:val="auto"/>
        </w:rPr>
      </w:pPr>
    </w:p>
    <w:p>
      <w:pPr>
        <w:jc w:val="both"/>
        <w:ind w:left="660" w:right="699" w:firstLine="256"/>
        <w:spacing w:after="0" w:line="250" w:lineRule="auto"/>
        <w:rPr>
          <w:sz w:val="20"/>
          <w:szCs w:val="20"/>
          <w:color w:val="auto"/>
        </w:rPr>
      </w:pPr>
      <w:r>
        <w:rPr>
          <w:rFonts w:ascii="Arial" w:cs="Arial" w:eastAsia="Arial" w:hAnsi="Arial"/>
          <w:sz w:val="14"/>
          <w:szCs w:val="14"/>
          <w:color w:val="auto"/>
        </w:rPr>
        <w:t>The investment portfolio is managed in accordance with the Board approved Asset and Liability Management (“ALM”) policy, which includes investment guidelines. Such policy is reviewed at least annually or more frequently if deemed necessary, depending on market conditions and/or unexpected events. The investment portfolio composition is subject to change depending on the funding and liquidity needs of the Company, and the interest risk management objective directed by the Asset-Liability Committee (“ALCO”). The portfolio of investments also can be used to modify the duration of the balance sheet. The allocation of cash into securities takes into consideration anticipated future cash flows (uses and sources) and all available sources of credit.</w:t>
      </w:r>
    </w:p>
    <w:p>
      <w:pPr>
        <w:spacing w:after="0" w:line="138"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Our investment portfolio consists primarily of securities issued by the U.S. Government and U.S. Government Agencies and mortgage-backed securities, collateralized mortgage obligations, corporate bonds, municipal securities, other debt securities all with varying contractual maturities and coupons. Due to the optionality embedded in these securities, the contractual maturities do not necessarily represent the expected life of the portfolio. Some of these securities will be called or paid down prior to maturity depending on capital market conditions and expectations. The investment portfolio is regularly reviewed by the Chief Financial Officer, Treasurer, and the ALCO of the Company to ensure an appropriate risk and return profile as well as for adherence to the Company’s investment policy.</w:t>
      </w:r>
    </w:p>
    <w:p>
      <w:pPr>
        <w:spacing w:after="0" w:line="138" w:lineRule="exact"/>
        <w:rPr>
          <w:sz w:val="20"/>
          <w:szCs w:val="20"/>
          <w:color w:val="auto"/>
        </w:rPr>
      </w:pPr>
    </w:p>
    <w:p>
      <w:pPr>
        <w:jc w:val="both"/>
        <w:ind w:left="660" w:right="639" w:firstLine="256"/>
        <w:spacing w:after="0" w:line="251" w:lineRule="auto"/>
        <w:rPr>
          <w:sz w:val="20"/>
          <w:szCs w:val="20"/>
          <w:color w:val="auto"/>
        </w:rPr>
      </w:pPr>
      <w:r>
        <w:rPr>
          <w:rFonts w:ascii="Arial" w:cs="Arial" w:eastAsia="Arial" w:hAnsi="Arial"/>
          <w:sz w:val="14"/>
          <w:szCs w:val="14"/>
          <w:color w:val="auto"/>
        </w:rPr>
        <w:t>When evaluating AFS debt securities under ASC Topic 326, the Company evaluates whether the decline in fair value is attributable to credit losses or other factors like interest rate risk, using both quantitative and qualitative analyses, including company performance analysis, review of credit ratings, vintage bonds, remaining payment terms, prepayment speeds and analysis of macro-economic conditions. As a result of this evaluation, the Company concluded that no allowance was required on AFS securities as of September 30, 2025.</w:t>
      </w:r>
    </w:p>
    <w:p>
      <w:pPr>
        <w:spacing w:after="0" w:line="140"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At quarter end, HTM securities included $147.3 million of U.S. Government and U.S. Government Agencies issued bonds and mortgage-backed securities. Because of the explicit and/or implicit guarantee on these bonds, the Company holds no reserves on these holdings. The remaining portion of the HTM portfolio is made up of $9.1 million in investment grade corporate bonds. For the portion of the HTM exposed to non-government credit risk, the Company utilized the PD/LGD methodology to estimate a $5 thousand ACL as of September 30, 2025. The book value for debt securities classified as HTM represents amortized cost less ACL.</w:t>
      </w:r>
    </w:p>
    <w:p>
      <w:pPr>
        <w:spacing w:after="0" w:line="13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Aggregate AFS and HTM investment securities increased $55.6 million, or 17.5% annualized, to $480.5 million at September 30, 2025 from $424.9 million at December 31, 2024. Investment securities increased due to reinvestment of payments received and investment of excess in cash balances into high credit quality investment securities to increase the Company’s profitability and modify the Company’s balance sheet duration according to the ALM policy.</w:t>
      </w:r>
    </w:p>
    <w:p>
      <w:pPr>
        <w:spacing w:after="0" w:line="135" w:lineRule="exact"/>
        <w:rPr>
          <w:sz w:val="20"/>
          <w:szCs w:val="20"/>
          <w:color w:val="auto"/>
        </w:rPr>
      </w:pPr>
    </w:p>
    <w:p>
      <w:pPr>
        <w:jc w:val="both"/>
        <w:ind w:left="660" w:right="679" w:firstLine="256"/>
        <w:spacing w:after="0" w:line="276" w:lineRule="auto"/>
        <w:rPr>
          <w:sz w:val="20"/>
          <w:szCs w:val="20"/>
          <w:color w:val="auto"/>
        </w:rPr>
      </w:pPr>
      <w:r>
        <w:rPr>
          <w:rFonts w:ascii="Arial" w:cs="Arial" w:eastAsia="Arial" w:hAnsi="Arial"/>
          <w:sz w:val="14"/>
          <w:szCs w:val="14"/>
          <w:color w:val="auto"/>
        </w:rPr>
        <w:t>As of September 30, 2025, investment securities with a market value of $49.7 million were pledged to secure public deposits. The investment portfolio does not contain any tax-exempt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38" w:name="page39"/>
    <w:bookmarkEnd w:id="3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59" w:firstLine="256"/>
        <w:spacing w:after="0" w:line="276" w:lineRule="auto"/>
        <w:rPr>
          <w:sz w:val="20"/>
          <w:szCs w:val="20"/>
          <w:color w:val="auto"/>
        </w:rPr>
      </w:pPr>
      <w:r>
        <w:rPr>
          <w:rFonts w:ascii="Arial" w:cs="Arial" w:eastAsia="Arial" w:hAnsi="Arial"/>
          <w:sz w:val="14"/>
          <w:szCs w:val="14"/>
          <w:color w:val="auto"/>
        </w:rPr>
        <w:t>The following table presents the amortized cost and fair value of investment securities for the dates indicated (dollars in thousands):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right"/>
              <w:ind w:right="296"/>
              <w:spacing w:after="0"/>
              <w:rPr>
                <w:sz w:val="20"/>
                <w:szCs w:val="20"/>
                <w:color w:val="auto"/>
              </w:rPr>
            </w:pPr>
            <w:r>
              <w:rPr>
                <w:rFonts w:ascii="Arial" w:cs="Arial" w:eastAsia="Arial" w:hAnsi="Arial"/>
                <w:sz w:val="13"/>
                <w:szCs w:val="13"/>
                <w:b w:val="1"/>
                <w:bCs w:val="1"/>
                <w:color w:val="auto"/>
              </w:rPr>
              <w:t>September 30, 2025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ind w:right="316"/>
              <w:spacing w:after="0"/>
              <w:rPr>
                <w:sz w:val="20"/>
                <w:szCs w:val="20"/>
                <w:color w:val="auto"/>
              </w:rPr>
            </w:pPr>
            <w:r>
              <w:rPr>
                <w:rFonts w:ascii="Arial" w:cs="Arial" w:eastAsia="Arial" w:hAnsi="Arial"/>
                <w:sz w:val="13"/>
                <w:szCs w:val="13"/>
                <w:b w:val="1"/>
                <w:bCs w:val="1"/>
                <w:color w:val="auto"/>
              </w:rPr>
              <w:t>December 31, 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8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11,965</w:t>
            </w:r>
          </w:p>
        </w:tc>
        <w:tc>
          <w:tcPr>
            <w:tcW w:w="20" w:type="dxa"/>
            <w:vAlign w:val="bottom"/>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14,279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12,625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100,830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81,695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101,808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78,905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60,915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51,318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58,995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46,933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145,991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138,517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86,604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78,739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22,838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18,915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24,925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19,311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800" w:type="dxa"/>
            <w:vAlign w:val="bottom"/>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22,046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21,769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24,314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23,708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8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365,763</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324,179</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310,925</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260,221</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3"/>
                <w:szCs w:val="13"/>
                <w:b w:val="1"/>
                <w:bCs w:val="1"/>
                <w:color w:val="auto"/>
              </w:rPr>
              <w:t>Held-to-maturity: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8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Agency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41,500</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38,046</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42,538</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37,444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52,766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47,376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56,987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49,259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37,880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34,915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40,681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36,121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15,135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14,002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15,272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360"/>
              <w:spacing w:after="0"/>
              <w:rPr>
                <w:sz w:val="20"/>
                <w:szCs w:val="20"/>
                <w:color w:val="auto"/>
              </w:rPr>
            </w:pPr>
            <w:r>
              <w:rPr>
                <w:rFonts w:ascii="Arial" w:cs="Arial" w:eastAsia="Arial" w:hAnsi="Arial"/>
                <w:sz w:val="13"/>
                <w:szCs w:val="13"/>
                <w:color w:val="auto"/>
              </w:rPr>
              <w:t>13,887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8,960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9,222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800" w:type="dxa"/>
            <w:vAlign w:val="bottom"/>
          </w:tcPr>
          <w:p>
            <w:pPr>
              <w:spacing w:after="0"/>
              <w:rPr>
                <w:sz w:val="17"/>
                <w:szCs w:val="17"/>
                <w:color w:val="auto"/>
              </w:rPr>
            </w:pPr>
          </w:p>
        </w:tc>
        <w:tc>
          <w:tcPr>
            <w:tcW w:w="140" w:type="dxa"/>
            <w:vAlign w:val="bottom"/>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156,370</w:t>
            </w:r>
          </w:p>
        </w:tc>
        <w:tc>
          <w:tcPr>
            <w:tcW w:w="20" w:type="dxa"/>
            <w:vAlign w:val="bottom"/>
          </w:tcPr>
          <w:p>
            <w:pPr>
              <w:spacing w:after="0"/>
              <w:rPr>
                <w:sz w:val="17"/>
                <w:szCs w:val="17"/>
                <w:color w:val="auto"/>
              </w:rPr>
            </w:pP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143,299</w:t>
            </w:r>
          </w:p>
        </w:tc>
        <w:tc>
          <w:tcPr>
            <w:tcW w:w="1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164,700</w:t>
            </w:r>
          </w:p>
        </w:tc>
        <w:tc>
          <w:tcPr>
            <w:tcW w:w="20" w:type="dxa"/>
            <w:vAlign w:val="bottom"/>
          </w:tcPr>
          <w:p>
            <w:pPr>
              <w:spacing w:after="0"/>
              <w:rPr>
                <w:sz w:val="17"/>
                <w:szCs w:val="17"/>
                <w:color w:val="auto"/>
              </w:rPr>
            </w:pPr>
          </w:p>
        </w:tc>
        <w:tc>
          <w:tcPr>
            <w:tcW w:w="180" w:type="dxa"/>
            <w:vAlign w:val="bottom"/>
            <w:gridSpan w:val="3"/>
          </w:tcPr>
          <w:p>
            <w:pPr>
              <w:jc w:val="right"/>
              <w:ind w:right="5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145,540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3800" w:type="dxa"/>
            <w:vAlign w:val="bottom"/>
            <w:tcBorders>
              <w:top w:val="single" w:sz="8" w:color="CCEEFF"/>
              <w:bottom w:val="single" w:sz="8" w:color="CCEEFF"/>
            </w:tcBorders>
            <w:shd w:val="clear" w:color="auto" w:fill="CCEEFF"/>
          </w:tcPr>
          <w:p>
            <w:pPr>
              <w:spacing w:after="0" w:line="111" w:lineRule="exact"/>
              <w:rPr>
                <w:sz w:val="20"/>
                <w:szCs w:val="20"/>
                <w:color w:val="auto"/>
              </w:rPr>
            </w:pPr>
            <w:r>
              <w:rPr>
                <w:rFonts w:ascii="Arial" w:cs="Arial" w:eastAsia="Arial" w:hAnsi="Arial"/>
                <w:sz w:val="12"/>
                <w:szCs w:val="12"/>
                <w:color w:val="auto"/>
              </w:rPr>
              <w:t>Allowance for credit losses - securities held-to-maturity</w:t>
            </w:r>
          </w:p>
        </w:tc>
        <w:tc>
          <w:tcPr>
            <w:tcW w:w="20" w:type="dxa"/>
            <w:vAlign w:val="bottom"/>
            <w:tcBorders>
              <w:top w:val="single" w:sz="8" w:color="CCEEFF"/>
              <w:bottom w:val="single" w:sz="8" w:color="auto"/>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spacing w:after="0"/>
              <w:rPr>
                <w:sz w:val="9"/>
                <w:szCs w:val="9"/>
                <w:color w:val="auto"/>
              </w:rPr>
            </w:pPr>
          </w:p>
        </w:tc>
        <w:tc>
          <w:tcPr>
            <w:tcW w:w="800" w:type="dxa"/>
            <w:vAlign w:val="bottom"/>
            <w:tcBorders>
              <w:top w:val="single" w:sz="8" w:color="auto"/>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(5)</w:t>
            </w:r>
          </w:p>
        </w:tc>
        <w:tc>
          <w:tcPr>
            <w:tcW w:w="20" w:type="dxa"/>
            <w:vAlign w:val="bottom"/>
            <w:tcBorders>
              <w:top w:val="single" w:sz="8" w:color="auto"/>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820" w:type="dxa"/>
            <w:vAlign w:val="bottom"/>
            <w:tcBorders>
              <w:top w:val="single" w:sz="8" w:color="auto"/>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auto"/>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spacing w:after="0"/>
              <w:rPr>
                <w:sz w:val="9"/>
                <w:szCs w:val="9"/>
                <w:color w:val="auto"/>
              </w:rPr>
            </w:pPr>
          </w:p>
        </w:tc>
        <w:tc>
          <w:tcPr>
            <w:tcW w:w="840" w:type="dxa"/>
            <w:vAlign w:val="bottom"/>
            <w:tcBorders>
              <w:top w:val="single" w:sz="8" w:color="auto"/>
              <w:bottom w:val="single" w:sz="8" w:color="auto"/>
            </w:tcBorders>
            <w:gridSpan w:val="2"/>
            <w:shd w:val="clear" w:color="auto" w:fill="CCEEFF"/>
          </w:tcPr>
          <w:p>
            <w:pPr>
              <w:jc w:val="right"/>
              <w:ind w:right="20"/>
              <w:spacing w:after="0" w:line="111" w:lineRule="exact"/>
              <w:rPr>
                <w:sz w:val="20"/>
                <w:szCs w:val="20"/>
                <w:color w:val="auto"/>
              </w:rPr>
            </w:pPr>
            <w:r>
              <w:rPr>
                <w:rFonts w:ascii="Arial" w:cs="Arial" w:eastAsia="Arial" w:hAnsi="Arial"/>
                <w:sz w:val="12"/>
                <w:szCs w:val="12"/>
                <w:color w:val="auto"/>
              </w:rPr>
              <w:t>(6)</w:t>
            </w:r>
          </w:p>
        </w:tc>
        <w:tc>
          <w:tcPr>
            <w:tcW w:w="40" w:type="dxa"/>
            <w:vAlign w:val="bottom"/>
            <w:tcBorders>
              <w:top w:val="single" w:sz="8" w:color="CCEEFF"/>
              <w:bottom w:val="single" w:sz="8" w:color="auto"/>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CCEEFF"/>
            </w:tcBorders>
            <w:shd w:val="clear" w:color="auto" w:fill="CCEEFF"/>
          </w:tcPr>
          <w:p>
            <w:pPr>
              <w:spacing w:after="0"/>
              <w:rPr>
                <w:sz w:val="9"/>
                <w:szCs w:val="9"/>
                <w:color w:val="auto"/>
              </w:rPr>
            </w:pPr>
          </w:p>
        </w:tc>
        <w:tc>
          <w:tcPr>
            <w:tcW w:w="780" w:type="dxa"/>
            <w:vAlign w:val="bottom"/>
            <w:tcBorders>
              <w:top w:val="single" w:sz="8" w:color="auto"/>
              <w:bottom w:val="single" w:sz="8" w:color="CCEEFF"/>
            </w:tcBorders>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800" w:type="dxa"/>
            <w:vAlign w:val="bottom"/>
          </w:tcPr>
          <w:p>
            <w:pPr>
              <w:spacing w:after="0"/>
              <w:rPr>
                <w:sz w:val="20"/>
                <w:szCs w:val="20"/>
                <w:color w:val="auto"/>
              </w:rPr>
            </w:pPr>
            <w:r>
              <w:rPr>
                <w:rFonts w:ascii="Arial" w:cs="Arial" w:eastAsia="Arial" w:hAnsi="Arial"/>
                <w:sz w:val="13"/>
                <w:szCs w:val="13"/>
                <w:color w:val="auto"/>
              </w:rPr>
              <w:t>Securities held-to maturity, net of allowance for credit losses</w:t>
            </w:r>
          </w:p>
        </w:tc>
        <w:tc>
          <w:tcPr>
            <w:tcW w:w="1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156,365</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164,694</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following table shows the weighted average yields, categorized by contractual maturity, for investment securities as of September 30, 2025 (in thousands, except yields):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183"/>
              <w:spacing w:after="0"/>
              <w:rPr>
                <w:sz w:val="20"/>
                <w:szCs w:val="20"/>
                <w:color w:val="auto"/>
              </w:rPr>
            </w:pPr>
            <w:r>
              <w:rPr>
                <w:rFonts w:ascii="Arial" w:cs="Arial" w:eastAsia="Arial" w:hAnsi="Arial"/>
                <w:sz w:val="11"/>
                <w:szCs w:val="11"/>
                <w:b w:val="1"/>
                <w:bCs w:val="1"/>
                <w:color w:val="auto"/>
              </w:rPr>
              <w:t>After 1 year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163"/>
              <w:spacing w:after="0"/>
              <w:rPr>
                <w:sz w:val="20"/>
                <w:szCs w:val="20"/>
                <w:color w:val="auto"/>
              </w:rPr>
            </w:pPr>
            <w:r>
              <w:rPr>
                <w:rFonts w:ascii="Arial" w:cs="Arial" w:eastAsia="Arial" w:hAnsi="Arial"/>
                <w:sz w:val="11"/>
                <w:szCs w:val="11"/>
                <w:b w:val="1"/>
                <w:bCs w:val="1"/>
                <w:color w:val="auto"/>
              </w:rPr>
              <w:t>After 5 years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37"/>
        </w:trPr>
        <w:tc>
          <w:tcPr>
            <w:tcW w:w="18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1"/>
                <w:szCs w:val="11"/>
                <w:b w:val="1"/>
                <w:bCs w:val="1"/>
                <w:color w:val="auto"/>
              </w:rPr>
              <w:t>Within 1 year</w:t>
            </w: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1"/>
                <w:szCs w:val="11"/>
                <w:b w:val="1"/>
                <w:bCs w:val="1"/>
                <w:color w:val="auto"/>
              </w:rPr>
              <w:t>through 5 years</w:t>
            </w: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1"/>
                <w:szCs w:val="11"/>
                <w:b w:val="1"/>
                <w:bCs w:val="1"/>
                <w:color w:val="auto"/>
              </w:rPr>
              <w:t>through 10 years</w:t>
            </w:r>
          </w:p>
        </w:tc>
        <w:tc>
          <w:tcPr>
            <w:tcW w:w="80" w:type="dxa"/>
            <w:vAlign w:val="bottom"/>
          </w:tcPr>
          <w:p>
            <w:pPr>
              <w:spacing w:after="0"/>
              <w:rPr>
                <w:sz w:val="11"/>
                <w:szCs w:val="11"/>
                <w:color w:val="auto"/>
              </w:rPr>
            </w:pPr>
          </w:p>
        </w:tc>
        <w:tc>
          <w:tcPr>
            <w:tcW w:w="1180" w:type="dxa"/>
            <w:vAlign w:val="bottom"/>
            <w:tcBorders>
              <w:bottom w:val="single" w:sz="8" w:color="auto"/>
            </w:tcBorders>
            <w:gridSpan w:val="3"/>
          </w:tcPr>
          <w:p>
            <w:pPr>
              <w:ind w:left="220"/>
              <w:spacing w:after="0"/>
              <w:rPr>
                <w:sz w:val="20"/>
                <w:szCs w:val="20"/>
                <w:color w:val="auto"/>
              </w:rPr>
            </w:pPr>
            <w:r>
              <w:rPr>
                <w:rFonts w:ascii="Arial" w:cs="Arial" w:eastAsia="Arial" w:hAnsi="Arial"/>
                <w:sz w:val="11"/>
                <w:szCs w:val="11"/>
                <w:b w:val="1"/>
                <w:bCs w:val="1"/>
                <w:color w:val="auto"/>
              </w:rPr>
              <w:t>After 10 years</w:t>
            </w:r>
          </w:p>
        </w:tc>
        <w:tc>
          <w:tcPr>
            <w:tcW w:w="20" w:type="dxa"/>
            <w:vAlign w:val="bottom"/>
          </w:tcPr>
          <w:p>
            <w:pPr>
              <w:spacing w:after="0"/>
              <w:rPr>
                <w:sz w:val="11"/>
                <w:szCs w:val="11"/>
                <w:color w:val="auto"/>
              </w:rPr>
            </w:pPr>
          </w:p>
        </w:tc>
        <w:tc>
          <w:tcPr>
            <w:tcW w:w="760" w:type="dxa"/>
            <w:vAlign w:val="bottom"/>
            <w:tcBorders>
              <w:bottom w:val="single" w:sz="8" w:color="auto"/>
            </w:tcBorders>
            <w:gridSpan w:val="3"/>
          </w:tcPr>
          <w:p>
            <w:pPr>
              <w:ind w:left="460"/>
              <w:spacing w:after="0"/>
              <w:rPr>
                <w:sz w:val="20"/>
                <w:szCs w:val="20"/>
                <w:color w:val="auto"/>
              </w:rPr>
            </w:pPr>
            <w:r>
              <w:rPr>
                <w:rFonts w:ascii="Arial" w:cs="Arial" w:eastAsia="Arial" w:hAnsi="Arial"/>
                <w:sz w:val="11"/>
                <w:szCs w:val="11"/>
                <w:b w:val="1"/>
                <w:bCs w:val="1"/>
                <w:color w:val="auto"/>
              </w:rPr>
              <w:t>Total</w:t>
            </w:r>
          </w:p>
        </w:tc>
        <w:tc>
          <w:tcPr>
            <w:tcW w:w="440" w:type="dxa"/>
            <w:vAlign w:val="bottom"/>
            <w:tcBorders>
              <w:bottom w:val="single" w:sz="8" w:color="auto"/>
            </w:tcBorders>
          </w:tcPr>
          <w:p>
            <w:pPr>
              <w:spacing w:after="0"/>
              <w:rPr>
                <w:sz w:val="11"/>
                <w:szCs w:val="11"/>
                <w:color w:val="auto"/>
              </w:rPr>
            </w:pPr>
          </w:p>
        </w:tc>
      </w:tr>
      <w:tr>
        <w:trPr>
          <w:trHeight w:val="174"/>
        </w:trPr>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Amortized</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Amortized</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1"/>
                <w:szCs w:val="11"/>
                <w:b w:val="1"/>
                <w:bCs w:val="1"/>
                <w:color w:val="auto"/>
              </w:rPr>
              <w:t>Amortized</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b w:val="1"/>
                <w:bCs w:val="1"/>
                <w:color w:val="auto"/>
              </w:rPr>
              <w:t>Amortized</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Amortized</w:t>
            </w:r>
          </w:p>
        </w:tc>
        <w:tc>
          <w:tcPr>
            <w:tcW w:w="440" w:type="dxa"/>
            <w:vAlign w:val="bottom"/>
          </w:tcPr>
          <w:p>
            <w:pPr>
              <w:spacing w:after="0"/>
              <w:rPr>
                <w:sz w:val="15"/>
                <w:szCs w:val="15"/>
                <w:color w:val="auto"/>
              </w:rPr>
            </w:pPr>
          </w:p>
        </w:tc>
      </w:tr>
      <w:tr>
        <w:trPr>
          <w:trHeight w:val="137"/>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Cost</w:t>
            </w:r>
          </w:p>
        </w:tc>
        <w:tc>
          <w:tcPr>
            <w:tcW w:w="48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1"/>
                <w:szCs w:val="11"/>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43"/>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1"/>
                <w:szCs w:val="11"/>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c>
          <w:tcPr>
            <w:tcW w:w="80" w:type="dxa"/>
            <w:vAlign w:val="bottom"/>
          </w:tcPr>
          <w:p>
            <w:pPr>
              <w:spacing w:after="0"/>
              <w:rPr>
                <w:sz w:val="11"/>
                <w:szCs w:val="11"/>
                <w:color w:val="auto"/>
              </w:rPr>
            </w:pPr>
          </w:p>
        </w:tc>
        <w:tc>
          <w:tcPr>
            <w:tcW w:w="680" w:type="dxa"/>
            <w:vAlign w:val="bottom"/>
          </w:tcPr>
          <w:p>
            <w:pPr>
              <w:ind w:left="220"/>
              <w:spacing w:after="0"/>
              <w:rPr>
                <w:sz w:val="20"/>
                <w:szCs w:val="20"/>
                <w:color w:val="auto"/>
              </w:rPr>
            </w:pPr>
            <w:r>
              <w:rPr>
                <w:rFonts w:ascii="Arial" w:cs="Arial" w:eastAsia="Arial" w:hAnsi="Arial"/>
                <w:sz w:val="11"/>
                <w:szCs w:val="11"/>
                <w:b w:val="1"/>
                <w:bCs w:val="1"/>
                <w:color w:val="auto"/>
              </w:rPr>
              <w:t>Cost</w:t>
            </w:r>
          </w:p>
        </w:tc>
        <w:tc>
          <w:tcPr>
            <w:tcW w:w="20" w:type="dxa"/>
            <w:vAlign w:val="bottom"/>
          </w:tcPr>
          <w:p>
            <w:pPr>
              <w:spacing w:after="0"/>
              <w:rPr>
                <w:sz w:val="11"/>
                <w:szCs w:val="11"/>
                <w:color w:val="auto"/>
              </w:rPr>
            </w:pPr>
          </w:p>
        </w:tc>
        <w:tc>
          <w:tcPr>
            <w:tcW w:w="48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c>
          <w:tcPr>
            <w:tcW w:w="20" w:type="dxa"/>
            <w:vAlign w:val="bottom"/>
          </w:tcPr>
          <w:p>
            <w:pPr>
              <w:spacing w:after="0"/>
              <w:rPr>
                <w:sz w:val="11"/>
                <w:szCs w:val="11"/>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rPr>
              <w:t>Cost</w:t>
            </w:r>
          </w:p>
        </w:tc>
        <w:tc>
          <w:tcPr>
            <w:tcW w:w="440" w:type="dxa"/>
            <w:vAlign w:val="bottom"/>
          </w:tcPr>
          <w:p>
            <w:pPr>
              <w:jc w:val="right"/>
              <w:ind w:right="43"/>
              <w:spacing w:after="0"/>
              <w:rPr>
                <w:sz w:val="20"/>
                <w:szCs w:val="20"/>
                <w:color w:val="auto"/>
              </w:rPr>
            </w:pPr>
            <w:r>
              <w:rPr>
                <w:rFonts w:ascii="Arial" w:cs="Arial" w:eastAsia="Arial" w:hAnsi="Arial"/>
                <w:sz w:val="11"/>
                <w:szCs w:val="11"/>
                <w:b w:val="1"/>
                <w:bCs w:val="1"/>
                <w:color w:val="auto"/>
              </w:rPr>
              <w:t>Yield</w:t>
            </w:r>
          </w:p>
        </w:tc>
      </w:tr>
      <w:tr>
        <w:trPr>
          <w:trHeight w:val="119"/>
        </w:trPr>
        <w:tc>
          <w:tcPr>
            <w:tcW w:w="1840" w:type="dxa"/>
            <w:vAlign w:val="bottom"/>
            <w:tcBorders>
              <w:top w:val="single" w:sz="8" w:color="CCEEFF"/>
            </w:tcBorders>
            <w:shd w:val="clear" w:color="auto" w:fill="CCEEFF"/>
          </w:tcPr>
          <w:p>
            <w:pPr>
              <w:ind w:left="40"/>
              <w:spacing w:after="0" w:line="119" w:lineRule="exact"/>
              <w:rPr>
                <w:sz w:val="20"/>
                <w:szCs w:val="20"/>
                <w:color w:val="auto"/>
              </w:rPr>
            </w:pPr>
            <w:r>
              <w:rPr>
                <w:rFonts w:ascii="Arial" w:cs="Arial" w:eastAsia="Arial" w:hAnsi="Arial"/>
                <w:sz w:val="11"/>
                <w:szCs w:val="11"/>
                <w:b w:val="1"/>
                <w:bCs w:val="1"/>
                <w:color w:val="auto"/>
              </w:rPr>
              <w:t>Available-for-sale:</w:t>
            </w: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r>
      <w:tr>
        <w:trPr>
          <w:trHeight w:val="149"/>
        </w:trPr>
        <w:tc>
          <w:tcPr>
            <w:tcW w:w="1840" w:type="dxa"/>
            <w:vAlign w:val="bottom"/>
          </w:tcPr>
          <w:p>
            <w:pPr>
              <w:ind w:left="40"/>
              <w:spacing w:after="0"/>
              <w:rPr>
                <w:sz w:val="20"/>
                <w:szCs w:val="20"/>
                <w:color w:val="auto"/>
              </w:rPr>
            </w:pPr>
            <w:r>
              <w:rPr>
                <w:rFonts w:ascii="Arial" w:cs="Arial" w:eastAsia="Arial" w:hAnsi="Arial"/>
                <w:sz w:val="11"/>
                <w:szCs w:val="11"/>
                <w:color w:val="auto"/>
              </w:rPr>
              <w:t>U.S. Government Agency</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500" w:type="dxa"/>
            <w:vAlign w:val="bottom"/>
          </w:tcPr>
          <w:p>
            <w:pPr>
              <w:ind w:left="4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
              <w:spacing w:after="0"/>
              <w:rPr>
                <w:sz w:val="20"/>
                <w:szCs w:val="20"/>
                <w:color w:val="auto"/>
              </w:rPr>
            </w:pPr>
            <w:r>
              <w:rPr>
                <w:rFonts w:ascii="Arial" w:cs="Arial" w:eastAsia="Arial" w:hAnsi="Arial"/>
                <w:sz w:val="11"/>
                <w:szCs w:val="11"/>
                <w:color w:val="auto"/>
              </w:rPr>
              <w:t>-</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2,390</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2.90%</w:t>
            </w:r>
          </w:p>
        </w:tc>
        <w:tc>
          <w:tcPr>
            <w:tcW w:w="760" w:type="dxa"/>
            <w:vAlign w:val="bottom"/>
            <w:gridSpan w:val="2"/>
          </w:tcPr>
          <w:p>
            <w:pPr>
              <w:jc w:val="right"/>
              <w:ind w:right="3"/>
              <w:spacing w:after="0"/>
              <w:rPr>
                <w:sz w:val="20"/>
                <w:szCs w:val="20"/>
                <w:color w:val="auto"/>
              </w:rPr>
            </w:pPr>
            <w:r>
              <w:rPr>
                <w:rFonts w:ascii="Arial" w:cs="Arial" w:eastAsia="Arial" w:hAnsi="Arial"/>
                <w:sz w:val="11"/>
                <w:szCs w:val="11"/>
                <w:color w:val="auto"/>
              </w:rPr>
              <w:t>$   10,753</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2.62%</w:t>
            </w:r>
          </w:p>
        </w:tc>
        <w:tc>
          <w:tcPr>
            <w:tcW w:w="720" w:type="dxa"/>
            <w:vAlign w:val="bottom"/>
            <w:gridSpan w:val="2"/>
          </w:tcPr>
          <w:p>
            <w:pPr>
              <w:jc w:val="right"/>
              <w:ind w:right="3"/>
              <w:spacing w:after="0"/>
              <w:rPr>
                <w:sz w:val="20"/>
                <w:szCs w:val="20"/>
                <w:color w:val="auto"/>
              </w:rPr>
            </w:pPr>
            <w:r>
              <w:rPr>
                <w:rFonts w:ascii="Arial" w:cs="Arial" w:eastAsia="Arial" w:hAnsi="Arial"/>
                <w:sz w:val="11"/>
                <w:szCs w:val="11"/>
                <w:color w:val="auto"/>
              </w:rPr>
              <w:t>$   13,143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2.68%</w:t>
            </w:r>
          </w:p>
        </w:tc>
      </w:tr>
      <w:tr>
        <w:trPr>
          <w:trHeight w:val="160"/>
        </w:trPr>
        <w:tc>
          <w:tcPr>
            <w:tcW w:w="1840" w:type="dxa"/>
            <w:vAlign w:val="bottom"/>
            <w:shd w:val="clear" w:color="auto" w:fill="CCEEFF"/>
          </w:tcPr>
          <w:p>
            <w:pPr>
              <w:ind w:left="40"/>
              <w:spacing w:after="0"/>
              <w:rPr>
                <w:sz w:val="20"/>
                <w:szCs w:val="20"/>
                <w:color w:val="auto"/>
              </w:rPr>
            </w:pPr>
            <w:r>
              <w:rPr>
                <w:rFonts w:ascii="Arial" w:cs="Arial" w:eastAsia="Arial" w:hAnsi="Arial"/>
                <w:sz w:val="11"/>
                <w:szCs w:val="11"/>
                <w:color w:val="auto"/>
                <w:shd w:val="clear" w:color="auto" w:fill="CCEEFF"/>
              </w:rPr>
              <w:t>Collateralized mortgage obligations</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shd w:val="clear" w:color="auto" w:fill="CCEEFF"/>
              </w:rPr>
              <w:t>100,830</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100,830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r>
      <w:tr>
        <w:trPr>
          <w:trHeight w:val="149"/>
        </w:trPr>
        <w:tc>
          <w:tcPr>
            <w:tcW w:w="1840" w:type="dxa"/>
            <w:vAlign w:val="bottom"/>
          </w:tcPr>
          <w:p>
            <w:pPr>
              <w:ind w:left="40"/>
              <w:spacing w:after="0"/>
              <w:rPr>
                <w:sz w:val="20"/>
                <w:szCs w:val="20"/>
                <w:color w:val="auto"/>
              </w:rPr>
            </w:pPr>
            <w:r>
              <w:rPr>
                <w:rFonts w:ascii="Arial" w:cs="Arial" w:eastAsia="Arial" w:hAnsi="Arial"/>
                <w:sz w:val="11"/>
                <w:szCs w:val="11"/>
                <w:color w:val="auto"/>
              </w:rPr>
              <w:t>MBS - residential</w:t>
            </w:r>
          </w:p>
        </w:tc>
        <w:tc>
          <w:tcPr>
            <w:tcW w:w="10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4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3"/>
              <w:spacing w:after="0"/>
              <w:rPr>
                <w:sz w:val="20"/>
                <w:szCs w:val="20"/>
                <w:color w:val="auto"/>
              </w:rPr>
            </w:pPr>
            <w:r>
              <w:rPr>
                <w:rFonts w:ascii="Arial" w:cs="Arial" w:eastAsia="Arial" w:hAnsi="Arial"/>
                <w:sz w:val="11"/>
                <w:szCs w:val="11"/>
                <w:color w:val="auto"/>
              </w:rPr>
              <w:t>60,915</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1.86%</w:t>
            </w:r>
          </w:p>
        </w:tc>
        <w:tc>
          <w:tcPr>
            <w:tcW w:w="720" w:type="dxa"/>
            <w:vAlign w:val="bottom"/>
            <w:gridSpan w:val="2"/>
          </w:tcPr>
          <w:p>
            <w:pPr>
              <w:jc w:val="right"/>
              <w:ind w:right="3"/>
              <w:spacing w:after="0"/>
              <w:rPr>
                <w:sz w:val="20"/>
                <w:szCs w:val="20"/>
                <w:color w:val="auto"/>
              </w:rPr>
            </w:pPr>
            <w:r>
              <w:rPr>
                <w:rFonts w:ascii="Arial" w:cs="Arial" w:eastAsia="Arial" w:hAnsi="Arial"/>
                <w:sz w:val="11"/>
                <w:szCs w:val="11"/>
                <w:color w:val="auto"/>
              </w:rPr>
              <w:t>60,915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1.86%</w:t>
            </w:r>
          </w:p>
        </w:tc>
      </w:tr>
      <w:tr>
        <w:trPr>
          <w:trHeight w:val="139"/>
        </w:trPr>
        <w:tc>
          <w:tcPr>
            <w:tcW w:w="1840" w:type="dxa"/>
            <w:vAlign w:val="bottom"/>
            <w:shd w:val="clear" w:color="auto" w:fill="CCEEFF"/>
          </w:tcPr>
          <w:p>
            <w:pPr>
              <w:ind w:left="40"/>
              <w:spacing w:after="0"/>
              <w:rPr>
                <w:sz w:val="20"/>
                <w:szCs w:val="20"/>
                <w:color w:val="auto"/>
              </w:rPr>
            </w:pPr>
            <w:r>
              <w:rPr>
                <w:rFonts w:ascii="Arial" w:cs="Arial" w:eastAsia="Arial" w:hAnsi="Arial"/>
                <w:sz w:val="11"/>
                <w:szCs w:val="11"/>
                <w:color w:val="auto"/>
              </w:rPr>
              <w:t>MBS - commercial</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shd w:val="clear" w:color="auto" w:fill="CCEEFF"/>
              </w:rPr>
              <w:t>145,991</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3.67%</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145,991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3.67%</w:t>
            </w:r>
          </w:p>
        </w:tc>
      </w:tr>
      <w:tr>
        <w:trPr>
          <w:trHeight w:val="149"/>
        </w:trPr>
        <w:tc>
          <w:tcPr>
            <w:tcW w:w="1840" w:type="dxa"/>
            <w:vAlign w:val="bottom"/>
          </w:tcPr>
          <w:p>
            <w:pPr>
              <w:ind w:left="40"/>
              <w:spacing w:after="0"/>
              <w:rPr>
                <w:sz w:val="20"/>
                <w:szCs w:val="20"/>
                <w:color w:val="auto"/>
              </w:rPr>
            </w:pPr>
            <w:r>
              <w:rPr>
                <w:rFonts w:ascii="Arial" w:cs="Arial" w:eastAsia="Arial" w:hAnsi="Arial"/>
                <w:sz w:val="11"/>
                <w:szCs w:val="11"/>
                <w:color w:val="auto"/>
              </w:rPr>
              <w:t>Municipal securities</w:t>
            </w:r>
          </w:p>
        </w:tc>
        <w:tc>
          <w:tcPr>
            <w:tcW w:w="10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40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22,838</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1.45%</w:t>
            </w:r>
          </w:p>
        </w:tc>
        <w:tc>
          <w:tcPr>
            <w:tcW w:w="760" w:type="dxa"/>
            <w:vAlign w:val="bottom"/>
            <w:gridSpan w:val="2"/>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3"/>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3"/>
              <w:spacing w:after="0"/>
              <w:rPr>
                <w:sz w:val="20"/>
                <w:szCs w:val="20"/>
                <w:color w:val="auto"/>
              </w:rPr>
            </w:pPr>
            <w:r>
              <w:rPr>
                <w:rFonts w:ascii="Arial" w:cs="Arial" w:eastAsia="Arial" w:hAnsi="Arial"/>
                <w:sz w:val="11"/>
                <w:szCs w:val="11"/>
                <w:color w:val="auto"/>
              </w:rPr>
              <w:t>22,838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1.45%</w:t>
            </w:r>
          </w:p>
        </w:tc>
      </w:tr>
      <w:tr>
        <w:trPr>
          <w:trHeight w:val="139"/>
        </w:trPr>
        <w:tc>
          <w:tcPr>
            <w:tcW w:w="1840" w:type="dxa"/>
            <w:vAlign w:val="bottom"/>
            <w:shd w:val="clear" w:color="auto" w:fill="CCEEFF"/>
          </w:tcPr>
          <w:p>
            <w:pPr>
              <w:ind w:left="40"/>
              <w:spacing w:after="0"/>
              <w:rPr>
                <w:sz w:val="20"/>
                <w:szCs w:val="20"/>
                <w:color w:val="auto"/>
              </w:rPr>
            </w:pPr>
            <w:r>
              <w:rPr>
                <w:rFonts w:ascii="Arial" w:cs="Arial" w:eastAsia="Arial" w:hAnsi="Arial"/>
                <w:sz w:val="11"/>
                <w:szCs w:val="11"/>
                <w:color w:val="auto"/>
              </w:rPr>
              <w:t>Bank subordinated debt securities</w:t>
            </w: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1"/>
                <w:szCs w:val="11"/>
                <w:color w:val="auto"/>
              </w:rPr>
              <w:t>1,983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7.97%</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20,063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w:t>
            </w:r>
          </w:p>
        </w:tc>
        <w:tc>
          <w:tcPr>
            <w:tcW w:w="8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22,046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5.52%</w:t>
            </w:r>
          </w:p>
        </w:tc>
      </w:tr>
    </w:tbl>
    <w:p>
      <w:pPr>
        <w:spacing w:after="0" w:line="15" w:lineRule="exact"/>
        <w:rPr>
          <w:sz w:val="20"/>
          <w:szCs w:val="20"/>
          <w:color w:val="auto"/>
        </w:rPr>
      </w:pPr>
    </w:p>
    <w:p>
      <w:pPr>
        <w:ind w:left="3160" w:hanging="630"/>
        <w:spacing w:after="0"/>
        <w:tabs>
          <w:tab w:leader="none" w:pos="31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  $   1,9837.97%  $   45,2913.21%  $  318,4892.59% $  365,7632.70%</w:t>
      </w:r>
    </w:p>
    <w:p>
      <w:pPr>
        <w:spacing w:after="0" w:line="8" w:lineRule="exact"/>
        <w:rPr>
          <w:sz w:val="20"/>
          <w:szCs w:val="20"/>
          <w:color w:val="auto"/>
        </w:rPr>
      </w:pPr>
    </w:p>
    <w:tbl>
      <w:tblPr>
        <w:tblLayout w:type="fixed"/>
        <w:tblInd w:w="660" w:type="dxa"/>
        <w:tblCellMar>
          <w:top w:w="0" w:type="dxa"/>
          <w:left w:w="0" w:type="dxa"/>
          <w:bottom w:w="0" w:type="dxa"/>
          <w:right w:w="0" w:type="dxa"/>
        </w:tblCellMar>
      </w:tblPr>
      <w:tr>
        <w:trPr>
          <w:trHeight w:val="129"/>
        </w:trPr>
        <w:tc>
          <w:tcPr>
            <w:tcW w:w="18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Held-to-maturity:</w:t>
            </w: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r>
      <w:tr>
        <w:trPr>
          <w:trHeight w:val="149"/>
        </w:trPr>
        <w:tc>
          <w:tcPr>
            <w:tcW w:w="1860" w:type="dxa"/>
            <w:vAlign w:val="bottom"/>
            <w:gridSpan w:val="2"/>
          </w:tcPr>
          <w:p>
            <w:pPr>
              <w:ind w:left="40"/>
              <w:spacing w:after="0"/>
              <w:rPr>
                <w:sz w:val="20"/>
                <w:szCs w:val="20"/>
                <w:color w:val="auto"/>
              </w:rPr>
            </w:pPr>
            <w:r>
              <w:rPr>
                <w:rFonts w:ascii="Arial" w:cs="Arial" w:eastAsia="Arial" w:hAnsi="Arial"/>
                <w:sz w:val="11"/>
                <w:szCs w:val="11"/>
                <w:color w:val="auto"/>
              </w:rPr>
              <w:t>U.S. Government Agency</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2,998</w:t>
            </w:r>
          </w:p>
        </w:tc>
        <w:tc>
          <w:tcPr>
            <w:tcW w:w="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0.64%</w:t>
            </w:r>
          </w:p>
        </w:tc>
        <w:tc>
          <w:tcPr>
            <w:tcW w:w="2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13,873</w:t>
            </w:r>
          </w:p>
        </w:tc>
        <w:tc>
          <w:tcPr>
            <w:tcW w:w="500" w:type="dxa"/>
            <w:vAlign w:val="bottom"/>
          </w:tcPr>
          <w:p>
            <w:pPr>
              <w:jc w:val="right"/>
              <w:spacing w:after="0"/>
              <w:rPr>
                <w:sz w:val="20"/>
                <w:szCs w:val="20"/>
                <w:color w:val="auto"/>
              </w:rPr>
            </w:pPr>
            <w:r>
              <w:rPr>
                <w:rFonts w:ascii="Arial" w:cs="Arial" w:eastAsia="Arial" w:hAnsi="Arial"/>
                <w:sz w:val="11"/>
                <w:szCs w:val="11"/>
                <w:color w:val="auto"/>
              </w:rPr>
              <w:t>1.22%</w:t>
            </w:r>
          </w:p>
        </w:tc>
        <w:tc>
          <w:tcPr>
            <w:tcW w:w="1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10,885</w:t>
            </w: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1.59%</w:t>
            </w: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13,744</w:t>
            </w:r>
          </w:p>
        </w:tc>
        <w:tc>
          <w:tcPr>
            <w:tcW w:w="500" w:type="dxa"/>
            <w:vAlign w:val="bottom"/>
          </w:tcPr>
          <w:p>
            <w:pPr>
              <w:jc w:val="right"/>
              <w:spacing w:after="0"/>
              <w:rPr>
                <w:sz w:val="20"/>
                <w:szCs w:val="20"/>
                <w:color w:val="auto"/>
              </w:rPr>
            </w:pPr>
            <w:r>
              <w:rPr>
                <w:rFonts w:ascii="Arial" w:cs="Arial" w:eastAsia="Arial" w:hAnsi="Arial"/>
                <w:sz w:val="11"/>
                <w:szCs w:val="11"/>
                <w:color w:val="auto"/>
              </w:rPr>
              <w:t>2.07%</w:t>
            </w: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00" w:type="dxa"/>
            <w:vAlign w:val="bottom"/>
          </w:tcPr>
          <w:p>
            <w:pPr>
              <w:ind w:left="180"/>
              <w:spacing w:after="0"/>
              <w:rPr>
                <w:sz w:val="20"/>
                <w:szCs w:val="20"/>
                <w:color w:val="auto"/>
              </w:rPr>
            </w:pPr>
            <w:r>
              <w:rPr>
                <w:rFonts w:ascii="Arial" w:cs="Arial" w:eastAsia="Arial" w:hAnsi="Arial"/>
                <w:sz w:val="11"/>
                <w:szCs w:val="11"/>
                <w:color w:val="auto"/>
              </w:rPr>
              <w:t>41,500</w:t>
            </w:r>
          </w:p>
        </w:tc>
        <w:tc>
          <w:tcPr>
            <w:tcW w:w="500" w:type="dxa"/>
            <w:vAlign w:val="bottom"/>
          </w:tcPr>
          <w:p>
            <w:pPr>
              <w:jc w:val="right"/>
              <w:spacing w:after="0"/>
              <w:rPr>
                <w:sz w:val="20"/>
                <w:szCs w:val="20"/>
                <w:color w:val="auto"/>
              </w:rPr>
            </w:pPr>
            <w:r>
              <w:rPr>
                <w:rFonts w:ascii="Arial" w:cs="Arial" w:eastAsia="Arial" w:hAnsi="Arial"/>
                <w:sz w:val="11"/>
                <w:szCs w:val="11"/>
                <w:color w:val="auto"/>
              </w:rPr>
              <w:t>1.56%</w:t>
            </w:r>
          </w:p>
        </w:tc>
      </w:tr>
      <w:tr>
        <w:trPr>
          <w:trHeight w:val="160"/>
        </w:trPr>
        <w:tc>
          <w:tcPr>
            <w:tcW w:w="1840" w:type="dxa"/>
            <w:vAlign w:val="bottom"/>
            <w:shd w:val="clear" w:color="auto" w:fill="CCEEFF"/>
          </w:tcPr>
          <w:p>
            <w:pPr>
              <w:ind w:left="40"/>
              <w:spacing w:after="0"/>
              <w:rPr>
                <w:sz w:val="20"/>
                <w:szCs w:val="20"/>
                <w:color w:val="auto"/>
              </w:rPr>
            </w:pPr>
            <w:r>
              <w:rPr>
                <w:rFonts w:ascii="Arial" w:cs="Arial" w:eastAsia="Arial" w:hAnsi="Arial"/>
                <w:sz w:val="11"/>
                <w:szCs w:val="11"/>
                <w:color w:val="auto"/>
                <w:shd w:val="clear" w:color="auto" w:fill="CCEEFF"/>
              </w:rPr>
              <w:t>Collateralized mortgage obligations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52,766</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52,766</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w:t>
            </w:r>
          </w:p>
        </w:tc>
      </w:tr>
      <w:tr>
        <w:trPr>
          <w:trHeight w:val="139"/>
        </w:trPr>
        <w:tc>
          <w:tcPr>
            <w:tcW w:w="1860" w:type="dxa"/>
            <w:vAlign w:val="bottom"/>
            <w:gridSpan w:val="2"/>
          </w:tcPr>
          <w:p>
            <w:pPr>
              <w:ind w:left="40"/>
              <w:spacing w:after="0"/>
              <w:rPr>
                <w:sz w:val="20"/>
                <w:szCs w:val="20"/>
                <w:color w:val="auto"/>
              </w:rPr>
            </w:pPr>
            <w:r>
              <w:rPr>
                <w:rFonts w:ascii="Arial" w:cs="Arial" w:eastAsia="Arial" w:hAnsi="Arial"/>
                <w:sz w:val="11"/>
                <w:szCs w:val="11"/>
                <w:color w:val="auto"/>
              </w:rPr>
              <w:t>MBS - residential</w:t>
            </w:r>
          </w:p>
        </w:tc>
        <w:tc>
          <w:tcPr>
            <w:tcW w:w="100" w:type="dxa"/>
            <w:vAlign w:val="bottom"/>
          </w:tcPr>
          <w:p>
            <w:pPr>
              <w:spacing w:after="0"/>
              <w:rPr>
                <w:sz w:val="12"/>
                <w:szCs w:val="12"/>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5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4,597</w:t>
            </w:r>
          </w:p>
        </w:tc>
        <w:tc>
          <w:tcPr>
            <w:tcW w:w="500" w:type="dxa"/>
            <w:vAlign w:val="bottom"/>
          </w:tcPr>
          <w:p>
            <w:pPr>
              <w:jc w:val="right"/>
              <w:spacing w:after="0"/>
              <w:rPr>
                <w:sz w:val="20"/>
                <w:szCs w:val="20"/>
                <w:color w:val="auto"/>
              </w:rPr>
            </w:pPr>
            <w:r>
              <w:rPr>
                <w:rFonts w:ascii="Arial" w:cs="Arial" w:eastAsia="Arial" w:hAnsi="Arial"/>
                <w:sz w:val="11"/>
                <w:szCs w:val="11"/>
                <w:color w:val="auto"/>
              </w:rPr>
              <w:t>1.85%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5,052</w:t>
            </w:r>
          </w:p>
        </w:tc>
        <w:tc>
          <w:tcPr>
            <w:tcW w:w="580" w:type="dxa"/>
            <w:vAlign w:val="bottom"/>
          </w:tcPr>
          <w:p>
            <w:pPr>
              <w:jc w:val="right"/>
              <w:ind w:right="43"/>
              <w:spacing w:after="0"/>
              <w:rPr>
                <w:sz w:val="20"/>
                <w:szCs w:val="20"/>
                <w:color w:val="auto"/>
              </w:rPr>
            </w:pPr>
            <w:r>
              <w:rPr>
                <w:rFonts w:ascii="Arial" w:cs="Arial" w:eastAsia="Arial" w:hAnsi="Arial"/>
                <w:sz w:val="11"/>
                <w:szCs w:val="11"/>
                <w:color w:val="auto"/>
              </w:rPr>
              <w:t>1.62%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
              <w:spacing w:after="0"/>
              <w:rPr>
                <w:sz w:val="20"/>
                <w:szCs w:val="20"/>
                <w:color w:val="auto"/>
              </w:rPr>
            </w:pPr>
            <w:r>
              <w:rPr>
                <w:rFonts w:ascii="Arial" w:cs="Arial" w:eastAsia="Arial" w:hAnsi="Arial"/>
                <w:sz w:val="11"/>
                <w:szCs w:val="11"/>
                <w:color w:val="auto"/>
              </w:rPr>
              <w:t>28,231</w:t>
            </w:r>
          </w:p>
        </w:tc>
        <w:tc>
          <w:tcPr>
            <w:tcW w:w="500" w:type="dxa"/>
            <w:vAlign w:val="bottom"/>
          </w:tcPr>
          <w:p>
            <w:pPr>
              <w:jc w:val="right"/>
              <w:spacing w:after="0"/>
              <w:rPr>
                <w:sz w:val="20"/>
                <w:szCs w:val="20"/>
                <w:color w:val="auto"/>
              </w:rPr>
            </w:pPr>
            <w:r>
              <w:rPr>
                <w:rFonts w:ascii="Arial" w:cs="Arial" w:eastAsia="Arial" w:hAnsi="Arial"/>
                <w:sz w:val="11"/>
                <w:szCs w:val="11"/>
                <w:color w:val="auto"/>
              </w:rPr>
              <w:t>2.33%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80"/>
              <w:spacing w:after="0"/>
              <w:rPr>
                <w:sz w:val="20"/>
                <w:szCs w:val="20"/>
                <w:color w:val="auto"/>
              </w:rPr>
            </w:pPr>
            <w:r>
              <w:rPr>
                <w:rFonts w:ascii="Arial" w:cs="Arial" w:eastAsia="Arial" w:hAnsi="Arial"/>
                <w:sz w:val="11"/>
                <w:szCs w:val="11"/>
                <w:color w:val="auto"/>
              </w:rPr>
              <w:t>37,880</w:t>
            </w:r>
          </w:p>
        </w:tc>
        <w:tc>
          <w:tcPr>
            <w:tcW w:w="500" w:type="dxa"/>
            <w:vAlign w:val="bottom"/>
          </w:tcPr>
          <w:p>
            <w:pPr>
              <w:jc w:val="right"/>
              <w:spacing w:after="0"/>
              <w:rPr>
                <w:sz w:val="20"/>
                <w:szCs w:val="20"/>
                <w:color w:val="auto"/>
              </w:rPr>
            </w:pPr>
            <w:r>
              <w:rPr>
                <w:rFonts w:ascii="Arial" w:cs="Arial" w:eastAsia="Arial" w:hAnsi="Arial"/>
                <w:sz w:val="11"/>
                <w:szCs w:val="11"/>
                <w:color w:val="auto"/>
              </w:rPr>
              <w:t>2.18%</w:t>
            </w:r>
          </w:p>
        </w:tc>
      </w:tr>
      <w:tr>
        <w:trPr>
          <w:trHeight w:val="149"/>
        </w:trPr>
        <w:tc>
          <w:tcPr>
            <w:tcW w:w="1840" w:type="dxa"/>
            <w:vAlign w:val="bottom"/>
            <w:shd w:val="clear" w:color="auto" w:fill="CCEEFF"/>
          </w:tcPr>
          <w:p>
            <w:pPr>
              <w:ind w:left="40"/>
              <w:spacing w:after="0"/>
              <w:rPr>
                <w:sz w:val="20"/>
                <w:szCs w:val="20"/>
                <w:color w:val="auto"/>
              </w:rPr>
            </w:pPr>
            <w:r>
              <w:rPr>
                <w:rFonts w:ascii="Arial" w:cs="Arial" w:eastAsia="Arial" w:hAnsi="Arial"/>
                <w:sz w:val="11"/>
                <w:szCs w:val="11"/>
                <w:color w:val="auto"/>
              </w:rPr>
              <w:t>MBS - commercial</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3,046</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12,089</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15,135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w:t>
            </w:r>
          </w:p>
        </w:tc>
      </w:tr>
      <w:tr>
        <w:trPr>
          <w:trHeight w:val="159"/>
        </w:trPr>
        <w:tc>
          <w:tcPr>
            <w:tcW w:w="1860" w:type="dxa"/>
            <w:vAlign w:val="bottom"/>
            <w:tcBorders>
              <w:bottom w:val="single" w:sz="8" w:color="CCEEFF"/>
            </w:tcBorders>
            <w:gridSpan w:val="2"/>
          </w:tcPr>
          <w:p>
            <w:pPr>
              <w:ind w:left="40"/>
              <w:spacing w:after="0"/>
              <w:rPr>
                <w:sz w:val="20"/>
                <w:szCs w:val="20"/>
                <w:color w:val="auto"/>
              </w:rPr>
            </w:pPr>
            <w:r>
              <w:rPr>
                <w:rFonts w:ascii="Arial" w:cs="Arial" w:eastAsia="Arial" w:hAnsi="Arial"/>
                <w:sz w:val="11"/>
                <w:szCs w:val="11"/>
                <w:color w:val="auto"/>
              </w:rPr>
              <w:t>Corporate bonds</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9,089</w:t>
            </w:r>
          </w:p>
        </w:tc>
        <w:tc>
          <w:tcPr>
            <w:tcW w:w="2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2.82%</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tcPr>
          <w:p>
            <w:pPr>
              <w:jc w:val="right"/>
              <w:ind w:right="8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9,089</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2.82%</w:t>
            </w:r>
          </w:p>
        </w:tc>
      </w:tr>
      <w:tr>
        <w:trPr>
          <w:trHeight w:val="120"/>
        </w:trPr>
        <w:tc>
          <w:tcPr>
            <w:tcW w:w="184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640" w:type="dxa"/>
            <w:vAlign w:val="bottom"/>
            <w:tcBorders>
              <w:bottom w:val="single" w:sz="8" w:color="auto"/>
            </w:tcBorders>
            <w:shd w:val="clear" w:color="auto" w:fill="CCEEFF"/>
          </w:tcPr>
          <w:p>
            <w:pPr>
              <w:jc w:val="right"/>
              <w:ind w:right="3"/>
              <w:spacing w:after="0" w:line="120" w:lineRule="exact"/>
              <w:rPr>
                <w:sz w:val="20"/>
                <w:szCs w:val="20"/>
                <w:color w:val="auto"/>
              </w:rPr>
            </w:pPr>
            <w:r>
              <w:rPr>
                <w:rFonts w:ascii="Arial" w:cs="Arial" w:eastAsia="Arial" w:hAnsi="Arial"/>
                <w:sz w:val="11"/>
                <w:szCs w:val="11"/>
                <w:color w:val="auto"/>
              </w:rPr>
              <w:t>12,087</w:t>
            </w:r>
          </w:p>
        </w:tc>
        <w:tc>
          <w:tcPr>
            <w:tcW w:w="20" w:type="dxa"/>
            <w:vAlign w:val="bottom"/>
            <w:tcBorders>
              <w:bottom w:val="single" w:sz="8" w:color="auto"/>
            </w:tcBorders>
            <w:shd w:val="clear" w:color="auto" w:fill="CCEEFF"/>
          </w:tcPr>
          <w:p>
            <w:pPr>
              <w:spacing w:after="0"/>
              <w:rPr>
                <w:sz w:val="10"/>
                <w:szCs w:val="10"/>
                <w:color w:val="auto"/>
              </w:rPr>
            </w:pPr>
          </w:p>
        </w:tc>
        <w:tc>
          <w:tcPr>
            <w:tcW w:w="5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2.28%</w:t>
            </w: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ind w:left="20"/>
              <w:spacing w:after="0" w:line="120" w:lineRule="exact"/>
              <w:rPr>
                <w:sz w:val="20"/>
                <w:szCs w:val="20"/>
                <w:color w:val="auto"/>
              </w:rPr>
            </w:pPr>
            <w:r>
              <w:rPr>
                <w:rFonts w:ascii="Arial" w:cs="Arial" w:eastAsia="Arial" w:hAnsi="Arial"/>
                <w:sz w:val="11"/>
                <w:szCs w:val="11"/>
                <w:color w:val="auto"/>
                <w:w w:val="97"/>
                <w:shd w:val="clear" w:color="auto" w:fill="CCEEFF"/>
              </w:rPr>
              <w:t>$</w:t>
            </w:r>
          </w:p>
        </w:tc>
        <w:tc>
          <w:tcPr>
            <w:tcW w:w="520" w:type="dxa"/>
            <w:vAlign w:val="bottom"/>
            <w:tcBorders>
              <w:bottom w:val="single" w:sz="8" w:color="auto"/>
            </w:tcBorders>
            <w:shd w:val="clear" w:color="auto" w:fill="CCEEFF"/>
          </w:tcPr>
          <w:p>
            <w:pPr>
              <w:jc w:val="right"/>
              <w:ind w:right="23"/>
              <w:spacing w:after="0" w:line="120" w:lineRule="exact"/>
              <w:rPr>
                <w:sz w:val="20"/>
                <w:szCs w:val="20"/>
                <w:color w:val="auto"/>
              </w:rPr>
            </w:pPr>
            <w:r>
              <w:rPr>
                <w:rFonts w:ascii="Arial" w:cs="Arial" w:eastAsia="Arial" w:hAnsi="Arial"/>
                <w:sz w:val="11"/>
                <w:szCs w:val="11"/>
                <w:color w:val="auto"/>
              </w:rPr>
              <w:t>21,516</w:t>
            </w:r>
          </w:p>
        </w:tc>
        <w:tc>
          <w:tcPr>
            <w:tcW w:w="5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1.42%</w:t>
            </w:r>
          </w:p>
        </w:tc>
        <w:tc>
          <w:tcPr>
            <w:tcW w:w="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ind w:left="40"/>
              <w:spacing w:after="0" w:line="120" w:lineRule="exact"/>
              <w:rPr>
                <w:sz w:val="20"/>
                <w:szCs w:val="20"/>
                <w:color w:val="auto"/>
              </w:rPr>
            </w:pPr>
            <w:r>
              <w:rPr>
                <w:rFonts w:ascii="Arial" w:cs="Arial" w:eastAsia="Arial" w:hAnsi="Arial"/>
                <w:sz w:val="11"/>
                <w:szCs w:val="11"/>
                <w:color w:val="auto"/>
                <w:shd w:val="clear" w:color="auto" w:fill="CCEEFF"/>
              </w:rPr>
              <w:t>$</w:t>
            </w:r>
          </w:p>
        </w:tc>
        <w:tc>
          <w:tcPr>
            <w:tcW w:w="520" w:type="dxa"/>
            <w:vAlign w:val="bottom"/>
            <w:tcBorders>
              <w:bottom w:val="single" w:sz="8" w:color="auto"/>
            </w:tcBorders>
            <w:shd w:val="clear" w:color="auto" w:fill="CCEEFF"/>
          </w:tcPr>
          <w:p>
            <w:pPr>
              <w:jc w:val="right"/>
              <w:ind w:right="3"/>
              <w:spacing w:after="0" w:line="120" w:lineRule="exact"/>
              <w:rPr>
                <w:sz w:val="20"/>
                <w:szCs w:val="20"/>
                <w:color w:val="auto"/>
              </w:rPr>
            </w:pPr>
            <w:r>
              <w:rPr>
                <w:rFonts w:ascii="Arial" w:cs="Arial" w:eastAsia="Arial" w:hAnsi="Arial"/>
                <w:sz w:val="11"/>
                <w:szCs w:val="11"/>
                <w:color w:val="auto"/>
              </w:rPr>
              <w:t>15,937</w:t>
            </w:r>
          </w:p>
        </w:tc>
        <w:tc>
          <w:tcPr>
            <w:tcW w:w="580" w:type="dxa"/>
            <w:vAlign w:val="bottom"/>
            <w:shd w:val="clear" w:color="auto" w:fill="CCEEFF"/>
          </w:tcPr>
          <w:p>
            <w:pPr>
              <w:jc w:val="right"/>
              <w:ind w:right="43"/>
              <w:spacing w:after="0" w:line="120" w:lineRule="exact"/>
              <w:rPr>
                <w:sz w:val="20"/>
                <w:szCs w:val="20"/>
                <w:color w:val="auto"/>
              </w:rPr>
            </w:pPr>
            <w:r>
              <w:rPr>
                <w:rFonts w:ascii="Arial" w:cs="Arial" w:eastAsia="Arial" w:hAnsi="Arial"/>
                <w:sz w:val="11"/>
                <w:szCs w:val="11"/>
                <w:color w:val="auto"/>
              </w:rPr>
              <w:t>1.60%</w:t>
            </w: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60" w:type="dxa"/>
            <w:vAlign w:val="bottom"/>
            <w:tcBorders>
              <w:bottom w:val="single" w:sz="8" w:color="auto"/>
            </w:tcBorders>
            <w:shd w:val="clear" w:color="auto" w:fill="CCEEFF"/>
          </w:tcPr>
          <w:p>
            <w:pPr>
              <w:jc w:val="right"/>
              <w:ind w:right="3"/>
              <w:spacing w:after="0" w:line="120" w:lineRule="exact"/>
              <w:rPr>
                <w:sz w:val="20"/>
                <w:szCs w:val="20"/>
                <w:color w:val="auto"/>
              </w:rPr>
            </w:pPr>
            <w:r>
              <w:rPr>
                <w:rFonts w:ascii="Arial" w:cs="Arial" w:eastAsia="Arial" w:hAnsi="Arial"/>
                <w:sz w:val="11"/>
                <w:szCs w:val="11"/>
                <w:color w:val="auto"/>
                <w:shd w:val="clear" w:color="auto" w:fill="CCEEFF"/>
              </w:rPr>
              <w:t>106,830</w:t>
            </w:r>
          </w:p>
        </w:tc>
        <w:tc>
          <w:tcPr>
            <w:tcW w:w="5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1.98%</w:t>
            </w: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1"/>
                <w:szCs w:val="11"/>
                <w:color w:val="auto"/>
                <w:w w:val="97"/>
                <w:shd w:val="clear" w:color="auto" w:fill="CCEEFF"/>
              </w:rPr>
              <w:t>$</w:t>
            </w:r>
          </w:p>
        </w:tc>
        <w:tc>
          <w:tcPr>
            <w:tcW w:w="600" w:type="dxa"/>
            <w:vAlign w:val="bottom"/>
            <w:tcBorders>
              <w:bottom w:val="single" w:sz="8" w:color="auto"/>
            </w:tcBorders>
            <w:shd w:val="clear" w:color="auto" w:fill="CCEEFF"/>
          </w:tcPr>
          <w:p>
            <w:pPr>
              <w:ind w:left="120"/>
              <w:spacing w:after="0" w:line="120" w:lineRule="exact"/>
              <w:rPr>
                <w:sz w:val="20"/>
                <w:szCs w:val="20"/>
                <w:color w:val="auto"/>
              </w:rPr>
            </w:pPr>
            <w:r>
              <w:rPr>
                <w:rFonts w:ascii="Arial" w:cs="Arial" w:eastAsia="Arial" w:hAnsi="Arial"/>
                <w:sz w:val="11"/>
                <w:szCs w:val="11"/>
                <w:color w:val="auto"/>
              </w:rPr>
              <w:t>156,370</w:t>
            </w:r>
          </w:p>
        </w:tc>
        <w:tc>
          <w:tcPr>
            <w:tcW w:w="50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1.89%</w:t>
            </w:r>
          </w:p>
        </w:tc>
      </w:tr>
      <w:tr>
        <w:trPr>
          <w:trHeight w:val="20"/>
        </w:trPr>
        <w:tc>
          <w:tcPr>
            <w:tcW w:w="1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Loans</w:t>
      </w:r>
    </w:p>
    <w:p>
      <w:pPr>
        <w:spacing w:after="0" w:line="157" w:lineRule="exact"/>
        <w:rPr>
          <w:sz w:val="20"/>
          <w:szCs w:val="20"/>
          <w:color w:val="auto"/>
        </w:rPr>
      </w:pPr>
    </w:p>
    <w:p>
      <w:pPr>
        <w:jc w:val="both"/>
        <w:ind w:left="660" w:right="699" w:firstLine="256"/>
        <w:spacing w:after="0" w:line="256" w:lineRule="auto"/>
        <w:rPr>
          <w:sz w:val="20"/>
          <w:szCs w:val="20"/>
          <w:color w:val="auto"/>
        </w:rPr>
      </w:pPr>
      <w:r>
        <w:rPr>
          <w:rFonts w:ascii="Arial" w:cs="Arial" w:eastAsia="Arial" w:hAnsi="Arial"/>
          <w:sz w:val="14"/>
          <w:szCs w:val="14"/>
          <w:color w:val="auto"/>
        </w:rPr>
        <w:t>Loans are the largest category of interest-earning assets on the unaudited Consolidated Balance Sheets, and usually provide higher yields than the remainder of the interest-earning assets. Higher yields typically carry greater inherent credit and liquidity risks in comparison to lower yield assets. The Company manages and mitigates such risks in accordance with the credit and ALM policies, risk tolerance and balance sheet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39" w:name="page40"/>
    <w:bookmarkEnd w:id="3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the loan portfolio composition as of the dates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jc w:val="right"/>
              <w:ind w:right="356"/>
              <w:spacing w:after="0"/>
              <w:rPr>
                <w:sz w:val="20"/>
                <w:szCs w:val="20"/>
                <w:color w:val="auto"/>
              </w:rPr>
            </w:pPr>
            <w:r>
              <w:rPr>
                <w:rFonts w:ascii="Arial" w:cs="Arial" w:eastAsia="Arial" w:hAnsi="Arial"/>
                <w:sz w:val="13"/>
                <w:szCs w:val="13"/>
                <w:b w:val="1"/>
                <w:bCs w:val="1"/>
                <w:color w:val="auto"/>
              </w:rPr>
              <w:t>September 30, 2025</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ind w:right="396"/>
              <w:spacing w:after="0"/>
              <w:rPr>
                <w:sz w:val="20"/>
                <w:szCs w:val="20"/>
                <w:color w:val="auto"/>
              </w:rPr>
            </w:pPr>
            <w:r>
              <w:rPr>
                <w:rFonts w:ascii="Arial" w:cs="Arial" w:eastAsia="Arial" w:hAnsi="Arial"/>
                <w:sz w:val="13"/>
                <w:szCs w:val="13"/>
                <w:b w:val="1"/>
                <w:bCs w:val="1"/>
                <w:color w:val="auto"/>
              </w:rPr>
              <w:t>December 31, 2024</w:t>
            </w:r>
          </w:p>
        </w:tc>
        <w:tc>
          <w:tcPr>
            <w:tcW w:w="1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right"/>
              <w:ind w:right="9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right"/>
              <w:ind w:right="96"/>
              <w:spacing w:after="0"/>
              <w:rPr>
                <w:sz w:val="20"/>
                <w:szCs w:val="20"/>
                <w:color w:val="auto"/>
              </w:rPr>
            </w:pPr>
            <w:r>
              <w:rPr>
                <w:rFonts w:ascii="Arial" w:cs="Arial" w:eastAsia="Arial" w:hAnsi="Arial"/>
                <w:sz w:val="13"/>
                <w:szCs w:val="13"/>
                <w:b w:val="1"/>
                <w:bCs w:val="1"/>
                <w:color w:val="auto"/>
              </w:rPr>
              <w:t>Percent of</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ind w:left="200"/>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3340" w:type="dxa"/>
            <w:vAlign w:val="bottom"/>
            <w:tcBorders>
              <w:top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color w:val="auto"/>
              </w:rPr>
              <w:t>Residential real estate</w:t>
            </w:r>
          </w:p>
        </w:tc>
        <w:tc>
          <w:tcPr>
            <w:tcW w:w="1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8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316,557</w:t>
            </w: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36"/>
              <w:spacing w:after="0" w:line="140" w:lineRule="exact"/>
              <w:rPr>
                <w:sz w:val="20"/>
                <w:szCs w:val="20"/>
                <w:color w:val="auto"/>
              </w:rPr>
            </w:pPr>
            <w:r>
              <w:rPr>
                <w:rFonts w:ascii="Arial" w:cs="Arial" w:eastAsia="Arial" w:hAnsi="Arial"/>
                <w:sz w:val="13"/>
                <w:szCs w:val="13"/>
                <w:color w:val="auto"/>
              </w:rPr>
              <w:t>14.9</w:t>
            </w:r>
          </w:p>
        </w:tc>
        <w:tc>
          <w:tcPr>
            <w:tcW w:w="12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shd w:val="clear" w:color="auto" w:fill="CCEEFF"/>
              </w:rPr>
              <w:t>$</w:t>
            </w:r>
          </w:p>
        </w:tc>
        <w:tc>
          <w:tcPr>
            <w:tcW w:w="80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289,961</w:t>
            </w: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36"/>
              <w:spacing w:after="0" w:line="140" w:lineRule="exact"/>
              <w:rPr>
                <w:sz w:val="20"/>
                <w:szCs w:val="20"/>
                <w:color w:val="auto"/>
              </w:rPr>
            </w:pPr>
            <w:r>
              <w:rPr>
                <w:rFonts w:ascii="Arial" w:cs="Arial" w:eastAsia="Arial" w:hAnsi="Arial"/>
                <w:sz w:val="13"/>
                <w:szCs w:val="13"/>
                <w:color w:val="auto"/>
              </w:rPr>
              <w:t>14.8</w:t>
            </w:r>
          </w:p>
        </w:tc>
        <w:tc>
          <w:tcPr>
            <w:tcW w:w="120" w:type="dxa"/>
            <w:vAlign w:val="bottom"/>
            <w:tcBorders>
              <w:top w:val="single" w:sz="8" w:color="auto"/>
            </w:tcBorders>
            <w:shd w:val="clear" w:color="auto" w:fill="CCEEFF"/>
          </w:tcPr>
          <w:p>
            <w:pPr>
              <w:spacing w:after="0" w:line="140" w:lineRule="exact"/>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2"/>
                <w:szCs w:val="12"/>
                <w:color w:val="auto"/>
              </w:rPr>
            </w:pPr>
          </w:p>
        </w:tc>
      </w:tr>
      <w:tr>
        <w:trPr>
          <w:trHeight w:val="171"/>
        </w:trPr>
        <w:tc>
          <w:tcPr>
            <w:tcW w:w="3340" w:type="dxa"/>
            <w:vAlign w:val="bottom"/>
          </w:tcPr>
          <w:p>
            <w:pPr>
              <w:ind w:left="40"/>
              <w:spacing w:after="0"/>
              <w:rPr>
                <w:sz w:val="20"/>
                <w:szCs w:val="20"/>
                <w:color w:val="auto"/>
              </w:rPr>
            </w:pPr>
            <w:r>
              <w:rPr>
                <w:rFonts w:ascii="Arial" w:cs="Arial" w:eastAsia="Arial" w:hAnsi="Arial"/>
                <w:sz w:val="13"/>
                <w:szCs w:val="13"/>
                <w:color w:val="auto"/>
              </w:rPr>
              <w:t>Commercial real estate</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1,226,121</w:t>
            </w:r>
          </w:p>
        </w:tc>
        <w:tc>
          <w:tcPr>
            <w:tcW w:w="80" w:type="dxa"/>
            <w:vAlign w:val="bottom"/>
          </w:tcPr>
          <w:p>
            <w:pPr>
              <w:spacing w:after="0"/>
              <w:rPr>
                <w:sz w:val="14"/>
                <w:szCs w:val="14"/>
                <w:color w:val="auto"/>
              </w:rPr>
            </w:pPr>
          </w:p>
        </w:tc>
        <w:tc>
          <w:tcPr>
            <w:tcW w:w="980" w:type="dxa"/>
            <w:vAlign w:val="bottom"/>
            <w:gridSpan w:val="3"/>
          </w:tcPr>
          <w:p>
            <w:pPr>
              <w:jc w:val="right"/>
              <w:ind w:right="36"/>
              <w:spacing w:after="0"/>
              <w:rPr>
                <w:sz w:val="20"/>
                <w:szCs w:val="20"/>
                <w:color w:val="auto"/>
              </w:rPr>
            </w:pPr>
            <w:r>
              <w:rPr>
                <w:rFonts w:ascii="Arial" w:cs="Arial" w:eastAsia="Arial" w:hAnsi="Arial"/>
                <w:sz w:val="13"/>
                <w:szCs w:val="13"/>
                <w:color w:val="auto"/>
              </w:rPr>
              <w:t>57.7</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1,136,417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36"/>
              <w:spacing w:after="0"/>
              <w:rPr>
                <w:sz w:val="20"/>
                <w:szCs w:val="20"/>
                <w:color w:val="auto"/>
              </w:rPr>
            </w:pPr>
            <w:r>
              <w:rPr>
                <w:rFonts w:ascii="Arial" w:cs="Arial" w:eastAsia="Arial" w:hAnsi="Arial"/>
                <w:sz w:val="13"/>
                <w:szCs w:val="13"/>
                <w:color w:val="auto"/>
              </w:rPr>
              <w:t>57.8</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60"/>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269,430</w:t>
            </w:r>
          </w:p>
        </w:tc>
        <w:tc>
          <w:tcPr>
            <w:tcW w:w="8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258,311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13.1</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r>
      <w:tr>
        <w:trPr>
          <w:trHeight w:val="160"/>
        </w:trPr>
        <w:tc>
          <w:tcPr>
            <w:tcW w:w="3340" w:type="dxa"/>
            <w:vAlign w:val="bottom"/>
          </w:tcPr>
          <w:p>
            <w:pPr>
              <w:ind w:left="40"/>
              <w:spacing w:after="0"/>
              <w:rPr>
                <w:sz w:val="20"/>
                <w:szCs w:val="20"/>
                <w:color w:val="auto"/>
              </w:rPr>
            </w:pPr>
            <w:r>
              <w:rPr>
                <w:rFonts w:ascii="Arial" w:cs="Arial" w:eastAsia="Arial" w:hAnsi="Arial"/>
                <w:sz w:val="13"/>
                <w:szCs w:val="13"/>
                <w:color w:val="auto"/>
              </w:rPr>
              <w:t>Correspondent banks</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104,598</w:t>
            </w:r>
          </w:p>
        </w:tc>
        <w:tc>
          <w:tcPr>
            <w:tcW w:w="80" w:type="dxa"/>
            <w:vAlign w:val="bottom"/>
          </w:tcPr>
          <w:p>
            <w:pPr>
              <w:spacing w:after="0"/>
              <w:rPr>
                <w:sz w:val="13"/>
                <w:szCs w:val="13"/>
                <w:color w:val="auto"/>
              </w:rPr>
            </w:pPr>
          </w:p>
        </w:tc>
        <w:tc>
          <w:tcPr>
            <w:tcW w:w="980" w:type="dxa"/>
            <w:vAlign w:val="bottom"/>
            <w:gridSpan w:val="3"/>
          </w:tcPr>
          <w:p>
            <w:pPr>
              <w:jc w:val="right"/>
              <w:ind w:right="16"/>
              <w:spacing w:after="0"/>
              <w:rPr>
                <w:sz w:val="20"/>
                <w:szCs w:val="20"/>
                <w:color w:val="auto"/>
              </w:rPr>
            </w:pPr>
            <w:r>
              <w:rPr>
                <w:rFonts w:ascii="Arial" w:cs="Arial" w:eastAsia="Arial" w:hAnsi="Arial"/>
                <w:sz w:val="13"/>
                <w:szCs w:val="13"/>
                <w:color w:val="auto"/>
              </w:rPr>
              <w:t>4.9</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82,438</w:t>
            </w:r>
          </w:p>
        </w:tc>
        <w:tc>
          <w:tcPr>
            <w:tcW w:w="20" w:type="dxa"/>
            <w:vAlign w:val="bottom"/>
          </w:tcPr>
          <w:p>
            <w:pPr>
              <w:spacing w:after="0"/>
              <w:rPr>
                <w:sz w:val="13"/>
                <w:szCs w:val="13"/>
                <w:color w:val="auto"/>
              </w:rPr>
            </w:pPr>
          </w:p>
        </w:tc>
        <w:tc>
          <w:tcPr>
            <w:tcW w:w="980" w:type="dxa"/>
            <w:vAlign w:val="bottom"/>
            <w:gridSpan w:val="3"/>
          </w:tcPr>
          <w:p>
            <w:pPr>
              <w:jc w:val="right"/>
              <w:ind w:right="36"/>
              <w:spacing w:after="0"/>
              <w:rPr>
                <w:sz w:val="20"/>
                <w:szCs w:val="20"/>
                <w:color w:val="auto"/>
              </w:rPr>
            </w:pPr>
            <w:r>
              <w:rPr>
                <w:rFonts w:ascii="Arial" w:cs="Arial" w:eastAsia="Arial" w:hAnsi="Arial"/>
                <w:sz w:val="13"/>
                <w:szCs w:val="13"/>
                <w:color w:val="auto"/>
              </w:rPr>
              <w:t>4.2</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60"/>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Consumer and other</w:t>
            </w: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207,939</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9.8</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198,091</w:t>
            </w: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10.1</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r>
      <w:tr>
        <w:trPr>
          <w:trHeight w:val="191"/>
        </w:trPr>
        <w:tc>
          <w:tcPr>
            <w:tcW w:w="3340" w:type="dxa"/>
            <w:vAlign w:val="bottom"/>
          </w:tcPr>
          <w:p>
            <w:pPr>
              <w:ind w:left="140"/>
              <w:spacing w:after="0"/>
              <w:rPr>
                <w:sz w:val="20"/>
                <w:szCs w:val="20"/>
                <w:color w:val="auto"/>
              </w:rPr>
            </w:pPr>
            <w:r>
              <w:rPr>
                <w:rFonts w:ascii="Arial" w:cs="Arial" w:eastAsia="Arial" w:hAnsi="Arial"/>
                <w:sz w:val="13"/>
                <w:szCs w:val="13"/>
                <w:color w:val="auto"/>
              </w:rPr>
              <w:t>Total gross loans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2,124,645</w:t>
            </w:r>
          </w:p>
        </w:tc>
        <w:tc>
          <w:tcPr>
            <w:tcW w:w="80" w:type="dxa"/>
            <w:vAlign w:val="bottom"/>
          </w:tcPr>
          <w:p>
            <w:pPr>
              <w:spacing w:after="0"/>
              <w:rPr>
                <w:sz w:val="16"/>
                <w:szCs w:val="16"/>
                <w:color w:val="auto"/>
              </w:rPr>
            </w:pPr>
          </w:p>
        </w:tc>
        <w:tc>
          <w:tcPr>
            <w:tcW w:w="980" w:type="dxa"/>
            <w:vAlign w:val="bottom"/>
            <w:gridSpan w:val="3"/>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1,965,218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tcPr>
          <w:p>
            <w:pPr>
              <w:jc w:val="right"/>
              <w:ind w:right="36"/>
              <w:spacing w:after="0"/>
              <w:rPr>
                <w:sz w:val="20"/>
                <w:szCs w:val="20"/>
                <w:color w:val="auto"/>
              </w:rPr>
            </w:pPr>
            <w:r>
              <w:rPr>
                <w:rFonts w:ascii="Arial" w:cs="Arial" w:eastAsia="Arial" w:hAnsi="Arial"/>
                <w:sz w:val="13"/>
                <w:szCs w:val="13"/>
                <w:color w:val="auto"/>
              </w:rPr>
              <w:t>100.0</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r>
      <w:tr>
        <w:trPr>
          <w:trHeight w:val="111"/>
        </w:trPr>
        <w:tc>
          <w:tcPr>
            <w:tcW w:w="3340" w:type="dxa"/>
            <w:vAlign w:val="bottom"/>
            <w:tcBorders>
              <w:top w:val="single" w:sz="8" w:color="CCEEFF"/>
            </w:tcBorders>
            <w:shd w:val="clear" w:color="auto" w:fill="CCEEFF"/>
          </w:tcPr>
          <w:p>
            <w:pPr>
              <w:ind w:left="40"/>
              <w:spacing w:after="0" w:line="111" w:lineRule="exact"/>
              <w:rPr>
                <w:sz w:val="20"/>
                <w:szCs w:val="20"/>
                <w:color w:val="auto"/>
              </w:rPr>
            </w:pPr>
            <w:r>
              <w:rPr>
                <w:rFonts w:ascii="Arial" w:cs="Arial" w:eastAsia="Arial" w:hAnsi="Arial"/>
                <w:sz w:val="12"/>
                <w:szCs w:val="12"/>
                <w:color w:val="auto"/>
              </w:rPr>
              <w:t>Plus: Deferred fees/costs</w:t>
            </w:r>
          </w:p>
        </w:tc>
        <w:tc>
          <w:tcPr>
            <w:tcW w:w="160" w:type="dxa"/>
            <w:vAlign w:val="bottom"/>
            <w:tcBorders>
              <w:top w:val="single" w:sz="8" w:color="CCEEFF"/>
              <w:bottom w:val="single" w:sz="8" w:color="auto"/>
            </w:tcBorders>
            <w:shd w:val="clear" w:color="auto" w:fill="CCEEFF"/>
          </w:tcPr>
          <w:p>
            <w:pPr>
              <w:spacing w:after="0"/>
              <w:rPr>
                <w:sz w:val="9"/>
                <w:szCs w:val="9"/>
                <w:color w:val="auto"/>
              </w:rPr>
            </w:pPr>
          </w:p>
        </w:tc>
        <w:tc>
          <w:tcPr>
            <w:tcW w:w="80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6,321</w:t>
            </w:r>
          </w:p>
        </w:tc>
        <w:tc>
          <w:tcPr>
            <w:tcW w:w="80" w:type="dxa"/>
            <w:vAlign w:val="bottom"/>
            <w:tcBorders>
              <w:top w:val="single" w:sz="8" w:color="CCEEFF"/>
              <w:bottom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auto"/>
            </w:tcBorders>
            <w:shd w:val="clear" w:color="auto" w:fill="CCEEFF"/>
          </w:tcPr>
          <w:p>
            <w:pPr>
              <w:spacing w:after="0"/>
              <w:rPr>
                <w:sz w:val="9"/>
                <w:szCs w:val="9"/>
                <w:color w:val="auto"/>
              </w:rPr>
            </w:pPr>
          </w:p>
        </w:tc>
        <w:tc>
          <w:tcPr>
            <w:tcW w:w="80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7,630</w:t>
            </w:r>
          </w:p>
        </w:tc>
        <w:tc>
          <w:tcPr>
            <w:tcW w:w="60" w:type="dxa"/>
            <w:vAlign w:val="bottom"/>
            <w:tcBorders>
              <w:top w:val="single" w:sz="8" w:color="CCEEFF"/>
              <w:bottom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51"/>
        </w:trPr>
        <w:tc>
          <w:tcPr>
            <w:tcW w:w="3340" w:type="dxa"/>
            <w:vAlign w:val="bottom"/>
          </w:tcPr>
          <w:p>
            <w:pPr>
              <w:ind w:left="140"/>
              <w:spacing w:after="0"/>
              <w:rPr>
                <w:sz w:val="20"/>
                <w:szCs w:val="20"/>
                <w:color w:val="auto"/>
              </w:rPr>
            </w:pPr>
            <w:r>
              <w:rPr>
                <w:rFonts w:ascii="Arial" w:cs="Arial" w:eastAsia="Arial" w:hAnsi="Arial"/>
                <w:sz w:val="13"/>
                <w:szCs w:val="13"/>
                <w:color w:val="auto"/>
              </w:rPr>
              <w:t>Total loans net of deferred fees/costs</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2,130,966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1,972,848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Less: Allowance for credit losses</w:t>
            </w: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24,964</w:t>
            </w:r>
          </w:p>
        </w:tc>
        <w:tc>
          <w:tcPr>
            <w:tcW w:w="8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24,070</w:t>
            </w: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61"/>
        </w:trPr>
        <w:tc>
          <w:tcPr>
            <w:tcW w:w="3340" w:type="dxa"/>
            <w:vAlign w:val="bottom"/>
          </w:tcPr>
          <w:p>
            <w:pPr>
              <w:ind w:left="140"/>
              <w:spacing w:after="0"/>
              <w:rPr>
                <w:sz w:val="20"/>
                <w:szCs w:val="20"/>
                <w:color w:val="auto"/>
              </w:rPr>
            </w:pPr>
            <w:r>
              <w:rPr>
                <w:rFonts w:ascii="Arial" w:cs="Arial" w:eastAsia="Arial" w:hAnsi="Arial"/>
                <w:sz w:val="13"/>
                <w:szCs w:val="13"/>
                <w:color w:val="auto"/>
              </w:rPr>
              <w:t>Total net loans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2,106,002</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1,948,778</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99" w:firstLine="256"/>
        <w:spacing w:after="0" w:line="265" w:lineRule="auto"/>
        <w:rPr>
          <w:sz w:val="20"/>
          <w:szCs w:val="20"/>
          <w:color w:val="auto"/>
        </w:rPr>
      </w:pPr>
      <w:r>
        <w:rPr>
          <w:rFonts w:ascii="Arial" w:cs="Arial" w:eastAsia="Arial" w:hAnsi="Arial"/>
          <w:sz w:val="14"/>
          <w:szCs w:val="14"/>
          <w:color w:val="auto"/>
        </w:rPr>
        <w:t>Total loans, net of deferred fees/costs, increased by $158.1 million, or 10.7% annualized to $2.13 billion, at September 30, 2025 compared to December 31, 2024. The commercial real estate loan segment had the most significant balance increase compared to December 31, 2024.</w:t>
      </w:r>
    </w:p>
    <w:p>
      <w:pPr>
        <w:spacing w:after="0" w:line="128"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Our loan portfolio continues to grow, with commercial real estate lending as the primary focus which represented approximately 57.7% of the total gross loan portfolio as of September 30, 2025. Our loan growth strategy since inception has been reflective of the market in which we operate and of our strategic plan as approved by the Board.</w:t>
      </w:r>
    </w:p>
    <w:p>
      <w:pPr>
        <w:spacing w:after="0" w:line="134"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The growth experienced in recent years is primarily due to implementation of our relationship-based banking model and the success of our relationship managers in competing for new business in a highly competitive metropolitan area. Many of our larger loan clients have long-term relationships with members of our senior management team or our relationship managers that date back to former institutions.</w:t>
      </w:r>
    </w:p>
    <w:p>
      <w:pPr>
        <w:spacing w:after="0" w:line="135" w:lineRule="exact"/>
        <w:rPr>
          <w:sz w:val="20"/>
          <w:szCs w:val="20"/>
          <w:color w:val="auto"/>
        </w:rPr>
      </w:pPr>
    </w:p>
    <w:p>
      <w:pPr>
        <w:jc w:val="both"/>
        <w:ind w:left="660" w:right="659" w:firstLine="256"/>
        <w:spacing w:after="0" w:line="257" w:lineRule="auto"/>
        <w:rPr>
          <w:sz w:val="20"/>
          <w:szCs w:val="20"/>
          <w:color w:val="auto"/>
        </w:rPr>
      </w:pPr>
      <w:r>
        <w:rPr>
          <w:rFonts w:ascii="Arial" w:cs="Arial" w:eastAsia="Arial" w:hAnsi="Arial"/>
          <w:sz w:val="14"/>
          <w:szCs w:val="14"/>
          <w:color w:val="auto"/>
        </w:rPr>
        <w:t>From a liquidity perspective, our loan portfolio provides us with additional liquidity due to repayments or unexpected prepayments. The following table shows maturities and sensitivity to interest rate changes of the loan portfolio at September 30, 2025 (in thousands):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in 1 year or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96"/>
              <w:spacing w:after="0"/>
              <w:rPr>
                <w:sz w:val="20"/>
                <w:szCs w:val="20"/>
                <w:color w:val="auto"/>
              </w:rPr>
            </w:pPr>
            <w:r>
              <w:rPr>
                <w:rFonts w:ascii="Arial" w:cs="Arial" w:eastAsia="Arial" w:hAnsi="Arial"/>
                <w:sz w:val="13"/>
                <w:szCs w:val="13"/>
                <w:b w:val="1"/>
                <w:bCs w:val="1"/>
                <w:color w:val="auto"/>
              </w:rPr>
              <w:t>Due in 1 to 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Due after 5 to 15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16"/>
              <w:spacing w:after="0"/>
              <w:rPr>
                <w:sz w:val="20"/>
                <w:szCs w:val="20"/>
                <w:color w:val="auto"/>
              </w:rPr>
            </w:pPr>
            <w:r>
              <w:rPr>
                <w:rFonts w:ascii="Arial" w:cs="Arial" w:eastAsia="Arial" w:hAnsi="Arial"/>
                <w:sz w:val="13"/>
                <w:szCs w:val="13"/>
                <w:b w:val="1"/>
                <w:bCs w:val="1"/>
                <w:color w:val="auto"/>
              </w:rPr>
              <w:t>Due after 15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56"/>
              <w:spacing w:after="0"/>
              <w:rPr>
                <w:sz w:val="20"/>
                <w:szCs w:val="20"/>
                <w:color w:val="auto"/>
              </w:rPr>
            </w:pPr>
            <w:r>
              <w:rPr>
                <w:rFonts w:ascii="Arial" w:cs="Arial" w:eastAsia="Arial" w:hAnsi="Arial"/>
                <w:sz w:val="13"/>
                <w:szCs w:val="13"/>
                <w:b w:val="1"/>
                <w:bCs w:val="1"/>
                <w:color w:val="auto"/>
              </w:rPr>
              <w:t>less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16"/>
              <w:spacing w:after="0"/>
              <w:rPr>
                <w:sz w:val="20"/>
                <w:szCs w:val="20"/>
                <w:color w:val="auto"/>
              </w:rPr>
            </w:pPr>
            <w:r>
              <w:rPr>
                <w:rFonts w:ascii="Arial" w:cs="Arial" w:eastAsia="Arial" w:hAnsi="Arial"/>
                <w:sz w:val="13"/>
                <w:szCs w:val="13"/>
                <w:b w:val="1"/>
                <w:bCs w:val="1"/>
                <w:color w:val="auto"/>
              </w:rPr>
              <w:t>years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296"/>
              <w:spacing w:after="0"/>
              <w:rPr>
                <w:sz w:val="20"/>
                <w:szCs w:val="20"/>
                <w:color w:val="auto"/>
              </w:rPr>
            </w:pPr>
            <w:r>
              <w:rPr>
                <w:rFonts w:ascii="Arial" w:cs="Arial" w:eastAsia="Arial" w:hAnsi="Arial"/>
                <w:sz w:val="13"/>
                <w:szCs w:val="13"/>
                <w:b w:val="1"/>
                <w:bCs w:val="1"/>
                <w:color w:val="auto"/>
              </w:rPr>
              <w:t>years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r>
      <w:tr>
        <w:trPr>
          <w:trHeight w:val="149"/>
        </w:trPr>
        <w:tc>
          <w:tcPr>
            <w:tcW w:w="2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15,515</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51,018</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68,095</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181,929</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316,557</w:t>
            </w:r>
          </w:p>
        </w:tc>
        <w:tc>
          <w:tcPr>
            <w:tcW w:w="20" w:type="dxa"/>
            <w:vAlign w:val="bottom"/>
            <w:shd w:val="clear" w:color="auto" w:fill="CCEEFF"/>
          </w:tcPr>
          <w:p>
            <w:pPr>
              <w:spacing w:after="0"/>
              <w:rPr>
                <w:sz w:val="12"/>
                <w:szCs w:val="12"/>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83,082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463,653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673,810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5,576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1,226,121</w:t>
            </w:r>
          </w:p>
        </w:tc>
        <w:tc>
          <w:tcPr>
            <w:tcW w:w="20" w:type="dxa"/>
            <w:vAlign w:val="bottom"/>
          </w:tcPr>
          <w:p>
            <w:pPr>
              <w:spacing w:after="0"/>
              <w:rPr>
                <w:sz w:val="14"/>
                <w:szCs w:val="14"/>
                <w:color w:val="auto"/>
              </w:rPr>
            </w:pPr>
          </w:p>
        </w:tc>
      </w:tr>
      <w:tr>
        <w:trPr>
          <w:trHeight w:val="171"/>
        </w:trPr>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10,968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109,875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104,382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44,205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269,430</w:t>
            </w:r>
          </w:p>
        </w:tc>
        <w:tc>
          <w:tcPr>
            <w:tcW w:w="20" w:type="dxa"/>
            <w:vAlign w:val="bottom"/>
            <w:shd w:val="clear" w:color="auto" w:fill="CCEEFF"/>
          </w:tcPr>
          <w:p>
            <w:pPr>
              <w:spacing w:after="0"/>
              <w:rPr>
                <w:sz w:val="14"/>
                <w:szCs w:val="14"/>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color w:val="auto"/>
              </w:rPr>
              <w:t>Correspondent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104,598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104,598</w:t>
            </w:r>
          </w:p>
        </w:tc>
        <w:tc>
          <w:tcPr>
            <w:tcW w:w="20" w:type="dxa"/>
            <w:vAlign w:val="bottom"/>
          </w:tcPr>
          <w:p>
            <w:pPr>
              <w:spacing w:after="0"/>
              <w:rPr>
                <w:sz w:val="14"/>
                <w:szCs w:val="14"/>
                <w:color w:val="auto"/>
              </w:rPr>
            </w:pPr>
          </w:p>
        </w:tc>
      </w:tr>
      <w:tr>
        <w:trPr>
          <w:trHeight w:val="160"/>
        </w:trPr>
        <w:tc>
          <w:tcPr>
            <w:tcW w:w="20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2,519</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1,307</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22,547</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181,566</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207,939</w:t>
            </w:r>
          </w:p>
        </w:tc>
        <w:tc>
          <w:tcPr>
            <w:tcW w:w="20" w:type="dxa"/>
            <w:vAlign w:val="bottom"/>
            <w:shd w:val="clear" w:color="auto" w:fill="CCEEFF"/>
          </w:tcPr>
          <w:p>
            <w:pPr>
              <w:spacing w:after="0"/>
              <w:rPr>
                <w:sz w:val="13"/>
                <w:szCs w:val="13"/>
                <w:color w:val="auto"/>
              </w:rPr>
            </w:pPr>
          </w:p>
        </w:tc>
      </w:tr>
      <w:tr>
        <w:trPr>
          <w:trHeight w:val="201"/>
        </w:trPr>
        <w:tc>
          <w:tcPr>
            <w:tcW w:w="2020" w:type="dxa"/>
            <w:vAlign w:val="bottom"/>
            <w:gridSpan w:val="2"/>
          </w:tcPr>
          <w:p>
            <w:pPr>
              <w:ind w:left="100"/>
              <w:spacing w:after="0"/>
              <w:rPr>
                <w:sz w:val="20"/>
                <w:szCs w:val="20"/>
                <w:color w:val="auto"/>
              </w:rPr>
            </w:pPr>
            <w:r>
              <w:rPr>
                <w:rFonts w:ascii="Arial" w:cs="Arial" w:eastAsia="Arial" w:hAnsi="Arial"/>
                <w:sz w:val="13"/>
                <w:szCs w:val="13"/>
                <w:color w:val="auto"/>
              </w:rPr>
              <w:t>Total gross loans</w:t>
            </w:r>
          </w:p>
        </w:tc>
        <w:tc>
          <w:tcPr>
            <w:tcW w:w="140" w:type="dxa"/>
            <w:vAlign w:val="bottom"/>
            <w:gridSpan w:val="2"/>
          </w:tcPr>
          <w:p>
            <w:pPr>
              <w:jc w:val="right"/>
              <w:ind w:right="8"/>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216,682</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625,853</w:t>
            </w:r>
          </w:p>
        </w:tc>
        <w:tc>
          <w:tcPr>
            <w:tcW w:w="280" w:type="dxa"/>
            <w:vAlign w:val="bottom"/>
            <w:gridSpan w:val="3"/>
          </w:tcPr>
          <w:p>
            <w:pPr>
              <w:jc w:val="right"/>
              <w:ind w:right="108"/>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868,834</w:t>
            </w:r>
          </w:p>
        </w:tc>
        <w:tc>
          <w:tcPr>
            <w:tcW w:w="180" w:type="dxa"/>
            <w:vAlign w:val="bottom"/>
            <w:gridSpan w:val="3"/>
          </w:tcPr>
          <w:p>
            <w:pPr>
              <w:jc w:val="right"/>
              <w:ind w:right="12"/>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413,276</w:t>
            </w:r>
          </w:p>
        </w:tc>
        <w:tc>
          <w:tcPr>
            <w:tcW w:w="280" w:type="dxa"/>
            <w:vAlign w:val="bottom"/>
            <w:gridSpan w:val="3"/>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2,124,645</w:t>
            </w:r>
          </w:p>
        </w:tc>
        <w:tc>
          <w:tcPr>
            <w:tcW w:w="20" w:type="dxa"/>
            <w:vAlign w:val="bottom"/>
          </w:tcPr>
          <w:p>
            <w:pPr>
              <w:spacing w:after="0"/>
              <w:rPr>
                <w:sz w:val="17"/>
                <w:szCs w:val="17"/>
                <w:color w:val="auto"/>
              </w:rPr>
            </w:pPr>
          </w:p>
        </w:tc>
      </w:tr>
      <w:tr>
        <w:trPr>
          <w:trHeight w:val="121"/>
        </w:trPr>
        <w:tc>
          <w:tcPr>
            <w:tcW w:w="20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Interest rate sensitivity: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Fixed interest rates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170,510</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180,720</w:t>
            </w:r>
          </w:p>
        </w:tc>
        <w:tc>
          <w:tcPr>
            <w:tcW w:w="60" w:type="dxa"/>
            <w:vAlign w:val="bottom"/>
            <w:gridSpan w:val="2"/>
            <w:shd w:val="clear" w:color="auto" w:fill="CCEEFF"/>
          </w:tcPr>
          <w:p>
            <w:pPr>
              <w:spacing w:after="0"/>
              <w:rPr>
                <w:sz w:val="14"/>
                <w:szCs w:val="14"/>
                <w:color w:val="auto"/>
              </w:rPr>
            </w:pPr>
          </w:p>
        </w:tc>
        <w:tc>
          <w:tcPr>
            <w:tcW w:w="220" w:type="dxa"/>
            <w:vAlign w:val="bottom"/>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146,407</w:t>
            </w:r>
          </w:p>
        </w:tc>
        <w:tc>
          <w:tcPr>
            <w:tcW w:w="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315,912</w:t>
            </w:r>
          </w:p>
        </w:tc>
        <w:tc>
          <w:tcPr>
            <w:tcW w:w="80" w:type="dxa"/>
            <w:vAlign w:val="bottom"/>
            <w:gridSpan w:val="2"/>
            <w:shd w:val="clear" w:color="auto" w:fill="CCEEFF"/>
          </w:tcPr>
          <w:p>
            <w:pPr>
              <w:spacing w:after="0"/>
              <w:rPr>
                <w:sz w:val="14"/>
                <w:szCs w:val="14"/>
                <w:color w:val="auto"/>
              </w:rPr>
            </w:pPr>
          </w:p>
        </w:tc>
        <w:tc>
          <w:tcPr>
            <w:tcW w:w="200" w:type="dxa"/>
            <w:vAlign w:val="bottom"/>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813,549</w:t>
            </w:r>
          </w:p>
        </w:tc>
        <w:tc>
          <w:tcPr>
            <w:tcW w:w="20" w:type="dxa"/>
            <w:vAlign w:val="bottom"/>
            <w:shd w:val="clear" w:color="auto" w:fill="CCEEFF"/>
          </w:tcPr>
          <w:p>
            <w:pPr>
              <w:spacing w:after="0"/>
              <w:rPr>
                <w:sz w:val="14"/>
                <w:szCs w:val="14"/>
                <w:color w:val="auto"/>
              </w:rPr>
            </w:pPr>
          </w:p>
        </w:tc>
      </w:tr>
      <w:tr>
        <w:trPr>
          <w:trHeight w:val="180"/>
        </w:trPr>
        <w:tc>
          <w:tcPr>
            <w:tcW w:w="2020" w:type="dxa"/>
            <w:vAlign w:val="bottom"/>
            <w:gridSpan w:val="2"/>
          </w:tcPr>
          <w:p>
            <w:pPr>
              <w:ind w:left="100"/>
              <w:spacing w:after="0"/>
              <w:rPr>
                <w:sz w:val="20"/>
                <w:szCs w:val="20"/>
                <w:color w:val="auto"/>
              </w:rPr>
            </w:pPr>
            <w:r>
              <w:rPr>
                <w:rFonts w:ascii="Arial" w:cs="Arial" w:eastAsia="Arial" w:hAnsi="Arial"/>
                <w:sz w:val="13"/>
                <w:szCs w:val="13"/>
                <w:color w:val="auto"/>
              </w:rPr>
              <w:t>Floating or adjustable rates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46,172</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445,133</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722,427</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97,364</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1,311,096</w:t>
            </w:r>
          </w:p>
        </w:tc>
        <w:tc>
          <w:tcPr>
            <w:tcW w:w="20" w:type="dxa"/>
            <w:vAlign w:val="bottom"/>
          </w:tcPr>
          <w:p>
            <w:pPr>
              <w:spacing w:after="0"/>
              <w:rPr>
                <w:sz w:val="15"/>
                <w:szCs w:val="15"/>
                <w:color w:val="auto"/>
              </w:rPr>
            </w:pPr>
          </w:p>
        </w:tc>
      </w:tr>
      <w:tr>
        <w:trPr>
          <w:trHeight w:val="152"/>
        </w:trPr>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20" w:type="dxa"/>
            <w:vAlign w:val="bottom"/>
            <w:tcBorders>
              <w:top w:val="single" w:sz="8" w:color="CCEEFF"/>
              <w:bottom w:val="single" w:sz="8" w:color="CCEEFF"/>
            </w:tcBorders>
            <w:shd w:val="clear" w:color="auto" w:fill="CCEEFF"/>
          </w:tcPr>
          <w:p>
            <w:pPr>
              <w:spacing w:after="0" w:line="131" w:lineRule="exact"/>
              <w:rPr>
                <w:sz w:val="20"/>
                <w:szCs w:val="20"/>
                <w:color w:val="auto"/>
              </w:rPr>
            </w:pPr>
            <w:r>
              <w:rPr>
                <w:rFonts w:ascii="Arial" w:cs="Arial" w:eastAsia="Arial" w:hAnsi="Arial"/>
                <w:sz w:val="13"/>
                <w:szCs w:val="13"/>
                <w:color w:val="auto"/>
              </w:rPr>
              <w:t>Total gross loans</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216,682</w:t>
            </w: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625,853</w:t>
            </w: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868,834</w:t>
            </w: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413,276</w:t>
            </w: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5"/>
                <w:szCs w:val="5"/>
                <w:color w:val="auto"/>
                <w:w w:val="70"/>
              </w:rPr>
              <w:t>$</w:t>
            </w:r>
          </w:p>
        </w:tc>
        <w:tc>
          <w:tcPr>
            <w:tcW w:w="86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2,124,645</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The information presented in the table above is based upon the contractual maturities of the individual loans, which may be subject to renewal at their contractual maturity. Renewals will depend on approval by our credit department and balance sheet composition at the time of the analysis, as well as any modification of terms at the loan’s maturity. Additionally, maturity concentrations, loan duration, prepayment speeds and other interest rate sensitivity measures are discussed, reviewed, and analyzed by the ALCO. Decisions on term/rate modifications are discussed as well.</w:t>
      </w:r>
    </w:p>
    <w:p>
      <w:pPr>
        <w:spacing w:after="0" w:line="140"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As of September 30, 2025, approximately 61.7% of the loan portfolio has adjustable/variable rates and 38.3% of the loan portfolio has fixed rates. The adjustable/variable rate loans re-price to different benchmarks and tenors and in different periods of time. By contractual characteristics, there are no material concentrations on anniversary repricing. Additionally, it is important to note that most of our loans have interest rate floors. This embedded option protects the Company from a decrease in interest rates below the floor and positions us to gain in the scenario of higher interest rates.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40" w:name="page41"/>
    <w:bookmarkEnd w:id="4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Our asset quality grading analysis estimates the capability of the borrower to repay the contractual obligation of the loan agreement as scheduled or at all. The Company’s internal credit risk grading system is based on experiences with similarly graded loans. Internal credit risk grades are reviewed at least once a year, and more frequently as needed. Internal credit risk ratings may change based on management’s assessment of the results from the annual review, portfolio monitoring, and other developments observed with borrowers.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internal credit risk grades used by the Company to assess the credit worthiness of a loan are shown below:</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80" w:right="819"/>
        <w:spacing w:after="0" w:line="265"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18" w:lineRule="exact"/>
        <w:rPr>
          <w:sz w:val="20"/>
          <w:szCs w:val="20"/>
          <w:color w:val="auto"/>
        </w:rPr>
      </w:pPr>
    </w:p>
    <w:p>
      <w:pPr>
        <w:jc w:val="both"/>
        <w:ind w:left="1180" w:right="819"/>
        <w:spacing w:after="0" w:line="256"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5" w:lineRule="exact"/>
        <w:rPr>
          <w:sz w:val="20"/>
          <w:szCs w:val="20"/>
          <w:color w:val="auto"/>
        </w:rPr>
      </w:pPr>
    </w:p>
    <w:p>
      <w:pPr>
        <w:jc w:val="both"/>
        <w:ind w:left="1180" w:right="719"/>
        <w:spacing w:after="0" w:line="257"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Loan credit exposures by internally assigned grades are as follows for the dates indicated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8"/>
          </w:tcPr>
          <w:p>
            <w:pPr>
              <w:jc w:val="center"/>
              <w:ind w:right="756"/>
              <w:spacing w:after="0"/>
              <w:rPr>
                <w:sz w:val="20"/>
                <w:szCs w:val="20"/>
                <w:color w:val="auto"/>
              </w:rPr>
            </w:pPr>
            <w:r>
              <w:rPr>
                <w:rFonts w:ascii="Arial" w:cs="Arial" w:eastAsia="Arial" w:hAnsi="Arial"/>
                <w:sz w:val="13"/>
                <w:szCs w:val="13"/>
                <w:b w:val="1"/>
                <w:bCs w:val="1"/>
                <w:color w:val="auto"/>
                <w:w w:val="98"/>
              </w:rPr>
              <w:t>September 30, 2025</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Pass</w:t>
            </w:r>
          </w:p>
        </w:tc>
        <w:tc>
          <w:tcPr>
            <w:tcW w:w="4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Substandard</w:t>
            </w:r>
          </w:p>
        </w:tc>
        <w:tc>
          <w:tcPr>
            <w:tcW w:w="40" w:type="dxa"/>
            <w:vAlign w:val="bottom"/>
          </w:tcPr>
          <w:p>
            <w:pPr>
              <w:spacing w:after="0"/>
              <w:rPr>
                <w:sz w:val="13"/>
                <w:szCs w:val="13"/>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r>
      <w:tr>
        <w:trPr>
          <w:trHeight w:val="140"/>
        </w:trPr>
        <w:tc>
          <w:tcPr>
            <w:tcW w:w="230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313,945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96"/>
              <w:spacing w:after="0" w:line="140"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2,060</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552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716"/>
              <w:spacing w:after="0" w:line="140" w:lineRule="exact"/>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6"/>
              <w:spacing w:after="0" w:line="140"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316,557</w:t>
            </w:r>
          </w:p>
        </w:tc>
        <w:tc>
          <w:tcPr>
            <w:tcW w:w="20" w:type="dxa"/>
            <w:vAlign w:val="bottom"/>
            <w:shd w:val="clear" w:color="auto" w:fill="CCEEFF"/>
          </w:tcPr>
          <w:p>
            <w:pPr>
              <w:spacing w:after="0"/>
              <w:rPr>
                <w:sz w:val="12"/>
                <w:szCs w:val="12"/>
                <w:color w:val="auto"/>
              </w:rPr>
            </w:pPr>
          </w:p>
        </w:tc>
      </w:tr>
      <w:tr>
        <w:trPr>
          <w:trHeight w:val="18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1,212,052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11,656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2,413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1,226,121</w:t>
            </w:r>
          </w:p>
        </w:tc>
        <w:tc>
          <w:tcPr>
            <w:tcW w:w="20" w:type="dxa"/>
            <w:vAlign w:val="bottom"/>
          </w:tcPr>
          <w:p>
            <w:pPr>
              <w:spacing w:after="0"/>
              <w:rPr>
                <w:sz w:val="15"/>
                <w:szCs w:val="15"/>
                <w:color w:val="auto"/>
              </w:rPr>
            </w:pPr>
          </w:p>
        </w:tc>
      </w:tr>
      <w:tr>
        <w:trPr>
          <w:trHeight w:val="160"/>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266,801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269,430</w:t>
            </w:r>
          </w:p>
        </w:tc>
        <w:tc>
          <w:tcPr>
            <w:tcW w:w="20" w:type="dxa"/>
            <w:vAlign w:val="bottom"/>
            <w:shd w:val="clear" w:color="auto" w:fill="CCEEFF"/>
          </w:tcPr>
          <w:p>
            <w:pPr>
              <w:spacing w:after="0"/>
              <w:rPr>
                <w:sz w:val="13"/>
                <w:szCs w:val="13"/>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104,598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104,598</w:t>
            </w:r>
          </w:p>
        </w:tc>
        <w:tc>
          <w:tcPr>
            <w:tcW w:w="20" w:type="dxa"/>
            <w:vAlign w:val="bottom"/>
          </w:tcPr>
          <w:p>
            <w:pPr>
              <w:spacing w:after="0"/>
              <w:rPr>
                <w:sz w:val="14"/>
                <w:szCs w:val="14"/>
                <w:color w:val="auto"/>
              </w:rPr>
            </w:pPr>
          </w:p>
        </w:tc>
      </w:tr>
      <w:tr>
        <w:trPr>
          <w:trHeight w:val="160"/>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207,939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207,939</w:t>
            </w:r>
          </w:p>
        </w:tc>
        <w:tc>
          <w:tcPr>
            <w:tcW w:w="20" w:type="dxa"/>
            <w:vAlign w:val="bottom"/>
            <w:shd w:val="clear" w:color="auto" w:fill="CCEEFF"/>
          </w:tcPr>
          <w:p>
            <w:pPr>
              <w:spacing w:after="0"/>
              <w:rPr>
                <w:sz w:val="13"/>
                <w:szCs w:val="13"/>
                <w:color w:val="auto"/>
              </w:rPr>
            </w:pPr>
          </w:p>
        </w:tc>
      </w:tr>
      <w:tr>
        <w:trPr>
          <w:trHeight w:val="161"/>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2,105,335</w:t>
            </w:r>
          </w:p>
        </w:tc>
        <w:tc>
          <w:tcPr>
            <w:tcW w:w="20" w:type="dxa"/>
            <w:vAlign w:val="bottom"/>
          </w:tcPr>
          <w:p>
            <w:pPr>
              <w:spacing w:after="0"/>
              <w:rPr>
                <w:sz w:val="14"/>
                <w:szCs w:val="14"/>
                <w:color w:val="auto"/>
              </w:rPr>
            </w:pPr>
          </w:p>
        </w:tc>
        <w:tc>
          <w:tcPr>
            <w:tcW w:w="380" w:type="dxa"/>
            <w:vAlign w:val="bottom"/>
            <w:gridSpan w:val="2"/>
          </w:tcPr>
          <w:p>
            <w:pPr>
              <w:jc w:val="right"/>
              <w:ind w:right="196"/>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14,652</w:t>
            </w:r>
          </w:p>
        </w:tc>
        <w:tc>
          <w:tcPr>
            <w:tcW w:w="1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4,658</w:t>
            </w:r>
          </w:p>
        </w:tc>
        <w:tc>
          <w:tcPr>
            <w:tcW w:w="20" w:type="dxa"/>
            <w:vAlign w:val="bottom"/>
          </w:tcPr>
          <w:p>
            <w:pPr>
              <w:spacing w:after="0"/>
              <w:rPr>
                <w:sz w:val="14"/>
                <w:szCs w:val="14"/>
                <w:color w:val="auto"/>
              </w:rPr>
            </w:pPr>
          </w:p>
        </w:tc>
        <w:tc>
          <w:tcPr>
            <w:tcW w:w="900" w:type="dxa"/>
            <w:vAlign w:val="bottom"/>
            <w:gridSpan w:val="2"/>
          </w:tcPr>
          <w:p>
            <w:pPr>
              <w:jc w:val="right"/>
              <w:ind w:right="716"/>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2,124,645</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7"/>
          </w:tcPr>
          <w:p>
            <w:pPr>
              <w:jc w:val="center"/>
              <w:ind w:right="776"/>
              <w:spacing w:after="0"/>
              <w:rPr>
                <w:sz w:val="20"/>
                <w:szCs w:val="20"/>
                <w:color w:val="auto"/>
              </w:rPr>
            </w:pPr>
            <w:r>
              <w:rPr>
                <w:rFonts w:ascii="Arial" w:cs="Arial" w:eastAsia="Arial" w:hAnsi="Arial"/>
                <w:sz w:val="13"/>
                <w:szCs w:val="13"/>
                <w:b w:val="1"/>
                <w:bCs w:val="1"/>
                <w:color w:val="auto"/>
                <w:w w:val="99"/>
              </w:rPr>
              <w:t>December 31, 2024</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240"/>
              <w:spacing w:after="0"/>
              <w:rPr>
                <w:sz w:val="20"/>
                <w:szCs w:val="20"/>
                <w:color w:val="auto"/>
              </w:rPr>
            </w:pPr>
            <w:r>
              <w:rPr>
                <w:rFonts w:ascii="Arial" w:cs="Arial" w:eastAsia="Arial" w:hAnsi="Arial"/>
                <w:sz w:val="13"/>
                <w:szCs w:val="13"/>
                <w:b w:val="1"/>
                <w:bCs w:val="1"/>
                <w:color w:val="auto"/>
              </w:rPr>
              <w:t>Pass</w:t>
            </w:r>
          </w:p>
        </w:tc>
        <w:tc>
          <w:tcPr>
            <w:tcW w:w="4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Special Mention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Substandard</w:t>
            </w:r>
          </w:p>
        </w:tc>
        <w:tc>
          <w:tcPr>
            <w:tcW w:w="40" w:type="dxa"/>
            <w:vAlign w:val="bottom"/>
          </w:tcPr>
          <w:p>
            <w:pPr>
              <w:spacing w:after="0"/>
              <w:rPr>
                <w:sz w:val="13"/>
                <w:szCs w:val="13"/>
                <w:color w:val="auto"/>
              </w:rPr>
            </w:pPr>
          </w:p>
        </w:tc>
        <w:tc>
          <w:tcPr>
            <w:tcW w:w="860" w:type="dxa"/>
            <w:vAlign w:val="bottom"/>
          </w:tcPr>
          <w:p>
            <w:pPr>
              <w:jc w:val="right"/>
              <w:ind w:right="16"/>
              <w:spacing w:after="0"/>
              <w:rPr>
                <w:sz w:val="20"/>
                <w:szCs w:val="20"/>
                <w:color w:val="auto"/>
              </w:rPr>
            </w:pPr>
            <w:r>
              <w:rPr>
                <w:rFonts w:ascii="Arial" w:cs="Arial" w:eastAsia="Arial" w:hAnsi="Arial"/>
                <w:sz w:val="13"/>
                <w:szCs w:val="13"/>
                <w:b w:val="1"/>
                <w:bCs w:val="1"/>
                <w:color w:val="auto"/>
              </w:rPr>
              <w:t>Doubtful</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r>
      <w:tr>
        <w:trPr>
          <w:trHeight w:val="140"/>
        </w:trPr>
        <w:tc>
          <w:tcPr>
            <w:tcW w:w="230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Residential real estate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289,401</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76"/>
              <w:spacing w:after="0" w:line="140"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560</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716"/>
              <w:spacing w:after="0" w:line="140" w:lineRule="exact"/>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6"/>
              <w:spacing w:after="0" w:line="140"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289,961</w:t>
            </w:r>
          </w:p>
        </w:tc>
        <w:tc>
          <w:tcPr>
            <w:tcW w:w="20" w:type="dxa"/>
            <w:vAlign w:val="bottom"/>
            <w:shd w:val="clear" w:color="auto" w:fill="CCEEFF"/>
          </w:tcPr>
          <w:p>
            <w:pPr>
              <w:spacing w:after="0"/>
              <w:rPr>
                <w:sz w:val="12"/>
                <w:szCs w:val="12"/>
                <w:color w:val="auto"/>
              </w:rPr>
            </w:pPr>
          </w:p>
        </w:tc>
      </w:tr>
      <w:tr>
        <w:trPr>
          <w:trHeight w:val="171"/>
        </w:trPr>
        <w:tc>
          <w:tcPr>
            <w:tcW w:w="2300" w:type="dxa"/>
            <w:vAlign w:val="bottom"/>
          </w:tcPr>
          <w:p>
            <w:pPr>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1,133,965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2,452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1,136,417</w:t>
            </w:r>
          </w:p>
        </w:tc>
        <w:tc>
          <w:tcPr>
            <w:tcW w:w="20" w:type="dxa"/>
            <w:vAlign w:val="bottom"/>
          </w:tcPr>
          <w:p>
            <w:pPr>
              <w:spacing w:after="0"/>
              <w:rPr>
                <w:sz w:val="14"/>
                <w:szCs w:val="14"/>
                <w:color w:val="auto"/>
              </w:rPr>
            </w:pPr>
          </w:p>
        </w:tc>
      </w:tr>
      <w:tr>
        <w:trPr>
          <w:trHeight w:val="160"/>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256,031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258,311</w:t>
            </w:r>
          </w:p>
        </w:tc>
        <w:tc>
          <w:tcPr>
            <w:tcW w:w="20" w:type="dxa"/>
            <w:vAlign w:val="bottom"/>
            <w:shd w:val="clear" w:color="auto" w:fill="CCEEFF"/>
          </w:tcPr>
          <w:p>
            <w:pPr>
              <w:spacing w:after="0"/>
              <w:rPr>
                <w:sz w:val="13"/>
                <w:szCs w:val="13"/>
                <w:color w:val="auto"/>
              </w:rPr>
            </w:pPr>
          </w:p>
        </w:tc>
      </w:tr>
      <w:tr>
        <w:trPr>
          <w:trHeight w:val="160"/>
        </w:trPr>
        <w:tc>
          <w:tcPr>
            <w:tcW w:w="2300" w:type="dxa"/>
            <w:vAlign w:val="bottom"/>
          </w:tcPr>
          <w:p>
            <w:pPr>
              <w:spacing w:after="0"/>
              <w:rPr>
                <w:sz w:val="20"/>
                <w:szCs w:val="20"/>
                <w:color w:val="auto"/>
              </w:rPr>
            </w:pPr>
            <w:r>
              <w:rPr>
                <w:rFonts w:ascii="Arial" w:cs="Arial" w:eastAsia="Arial" w:hAnsi="Arial"/>
                <w:sz w:val="13"/>
                <w:szCs w:val="13"/>
                <w:color w:val="auto"/>
              </w:rPr>
              <w:t>Correspondent banks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82,438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82,438</w:t>
            </w:r>
          </w:p>
        </w:tc>
        <w:tc>
          <w:tcPr>
            <w:tcW w:w="20" w:type="dxa"/>
            <w:vAlign w:val="bottom"/>
          </w:tcPr>
          <w:p>
            <w:pPr>
              <w:spacing w:after="0"/>
              <w:rPr>
                <w:sz w:val="13"/>
                <w:szCs w:val="13"/>
                <w:color w:val="auto"/>
              </w:rPr>
            </w:pPr>
          </w:p>
        </w:tc>
      </w:tr>
      <w:tr>
        <w:trPr>
          <w:trHeight w:val="160"/>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196,101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198,091</w:t>
            </w:r>
          </w:p>
        </w:tc>
        <w:tc>
          <w:tcPr>
            <w:tcW w:w="20" w:type="dxa"/>
            <w:vAlign w:val="bottom"/>
            <w:shd w:val="clear" w:color="auto" w:fill="CCEEFF"/>
          </w:tcPr>
          <w:p>
            <w:pPr>
              <w:spacing w:after="0"/>
              <w:rPr>
                <w:sz w:val="13"/>
                <w:szCs w:val="13"/>
                <w:color w:val="auto"/>
              </w:rPr>
            </w:pPr>
          </w:p>
        </w:tc>
      </w:tr>
      <w:tr>
        <w:trPr>
          <w:trHeight w:val="161"/>
        </w:trPr>
        <w:tc>
          <w:tcPr>
            <w:tcW w:w="23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1,957,936</w:t>
            </w:r>
          </w:p>
        </w:tc>
        <w:tc>
          <w:tcPr>
            <w:tcW w:w="20" w:type="dxa"/>
            <w:vAlign w:val="bottom"/>
          </w:tcPr>
          <w:p>
            <w:pPr>
              <w:spacing w:after="0"/>
              <w:rPr>
                <w:sz w:val="14"/>
                <w:szCs w:val="14"/>
                <w:color w:val="auto"/>
              </w:rPr>
            </w:pPr>
          </w:p>
        </w:tc>
        <w:tc>
          <w:tcPr>
            <w:tcW w:w="560" w:type="dxa"/>
            <w:vAlign w:val="bottom"/>
            <w:gridSpan w:val="2"/>
          </w:tcPr>
          <w:p>
            <w:pPr>
              <w:jc w:val="right"/>
              <w:ind w:right="376"/>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7,282</w:t>
            </w:r>
          </w:p>
        </w:tc>
        <w:tc>
          <w:tcPr>
            <w:tcW w:w="20" w:type="dxa"/>
            <w:vAlign w:val="bottom"/>
          </w:tcPr>
          <w:p>
            <w:pPr>
              <w:spacing w:after="0"/>
              <w:rPr>
                <w:sz w:val="14"/>
                <w:szCs w:val="14"/>
                <w:color w:val="auto"/>
              </w:rPr>
            </w:pPr>
          </w:p>
        </w:tc>
        <w:tc>
          <w:tcPr>
            <w:tcW w:w="900" w:type="dxa"/>
            <w:vAlign w:val="bottom"/>
            <w:gridSpan w:val="2"/>
          </w:tcPr>
          <w:p>
            <w:pPr>
              <w:jc w:val="right"/>
              <w:ind w:right="716"/>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7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1,965,218</w:t>
            </w:r>
          </w:p>
        </w:tc>
        <w:tc>
          <w:tcPr>
            <w:tcW w:w="2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Non-Performing Assets</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non-performing assets as of the dates shown (in thousands, except ratios):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September 30, 2025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2024</w:t>
            </w:r>
          </w:p>
        </w:tc>
      </w:tr>
      <w:tr>
        <w:trPr>
          <w:trHeight w:val="151"/>
        </w:trPr>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Non-accrual loans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1,310</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2,707</w:t>
            </w:r>
          </w:p>
        </w:tc>
        <w:tc>
          <w:tcPr>
            <w:tcW w:w="20" w:type="dxa"/>
            <w:vAlign w:val="bottom"/>
            <w:shd w:val="clear" w:color="auto" w:fill="CCEEFF"/>
          </w:tcPr>
          <w:p>
            <w:pPr>
              <w:spacing w:after="0"/>
              <w:rPr>
                <w:sz w:val="13"/>
                <w:szCs w:val="13"/>
                <w:color w:val="auto"/>
              </w:rPr>
            </w:pPr>
          </w:p>
        </w:tc>
      </w:tr>
      <w:tr>
        <w:trPr>
          <w:trHeight w:val="171"/>
        </w:trPr>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Loans past due over 90 days and still accruing</w:t>
            </w: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51"/>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non-performing loans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1,310</w:t>
            </w:r>
          </w:p>
        </w:tc>
        <w:tc>
          <w:tcPr>
            <w:tcW w:w="6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2,707</w:t>
            </w:r>
          </w:p>
        </w:tc>
        <w:tc>
          <w:tcPr>
            <w:tcW w:w="20" w:type="dxa"/>
            <w:vAlign w:val="bottom"/>
            <w:shd w:val="clear" w:color="auto" w:fill="CCEEFF"/>
          </w:tcPr>
          <w:p>
            <w:pPr>
              <w:spacing w:after="0"/>
              <w:rPr>
                <w:sz w:val="13"/>
                <w:szCs w:val="13"/>
                <w:color w:val="auto"/>
              </w:rPr>
            </w:pPr>
          </w:p>
        </w:tc>
      </w:tr>
      <w:tr>
        <w:trPr>
          <w:trHeight w:val="171"/>
        </w:trPr>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Other real estate owned</w:t>
            </w: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1"/>
        </w:trPr>
        <w:tc>
          <w:tcPr>
            <w:tcW w:w="200" w:type="dxa"/>
            <w:vAlign w:val="bottom"/>
            <w:tcBorders>
              <w:bottom w:val="single" w:sz="8" w:color="CCEEFF"/>
            </w:tcBorders>
            <w:shd w:val="clear" w:color="auto" w:fill="CCEEFF"/>
          </w:tcPr>
          <w:p>
            <w:pPr>
              <w:spacing w:after="0"/>
              <w:rPr>
                <w:sz w:val="14"/>
                <w:szCs w:val="14"/>
                <w:color w:val="auto"/>
              </w:rPr>
            </w:pPr>
          </w:p>
        </w:tc>
        <w:tc>
          <w:tcPr>
            <w:tcW w:w="4720" w:type="dxa"/>
            <w:vAlign w:val="bottom"/>
            <w:tcBorders>
              <w:bottom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 non-performing assets</w:t>
            </w:r>
          </w:p>
        </w:tc>
        <w:tc>
          <w:tcPr>
            <w:tcW w:w="8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1,310</w:t>
            </w:r>
          </w:p>
        </w:tc>
        <w:tc>
          <w:tcPr>
            <w:tcW w:w="60" w:type="dxa"/>
            <w:vAlign w:val="bottom"/>
            <w:tcBorders>
              <w:bottom w:val="single" w:sz="8" w:color="CCEEFF"/>
            </w:tcBorders>
            <w:gridSpan w:val="2"/>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2,707</w:t>
            </w:r>
          </w:p>
        </w:tc>
        <w:tc>
          <w:tcPr>
            <w:tcW w:w="20" w:type="dxa"/>
            <w:vAlign w:val="bottom"/>
            <w:tcBorders>
              <w:bottom w:val="single" w:sz="8" w:color="CCEEFF"/>
            </w:tcBorders>
            <w:shd w:val="clear" w:color="auto" w:fill="CCEEFF"/>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477" w:right="1440" w:bottom="1440" w:gutter="0" w:footer="0" w:header="0"/>
        </w:sectPr>
      </w:pPr>
    </w:p>
    <w:p>
      <w:pPr>
        <w:ind w:left="660"/>
        <w:spacing w:after="0"/>
        <w:rPr>
          <w:sz w:val="20"/>
          <w:szCs w:val="20"/>
          <w:color w:val="auto"/>
        </w:rPr>
      </w:pPr>
      <w:r>
        <w:rPr>
          <w:rFonts w:ascii="Arial" w:cs="Arial" w:eastAsia="Arial" w:hAnsi="Arial"/>
          <w:sz w:val="13"/>
          <w:szCs w:val="13"/>
          <w:b w:val="1"/>
          <w:bCs w:val="1"/>
          <w:color w:val="auto"/>
        </w:rPr>
        <w:t>Asset quality ratios:</w:t>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Allowance for credit losses to total loans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2"/>
          <w:szCs w:val="12"/>
          <w:color w:val="auto"/>
        </w:rPr>
        <w:t>Allowance for credit losses to non-performing loans</w:t>
      </w:r>
    </w:p>
    <w:p>
      <w:pPr>
        <w:spacing w:after="0" w:line="33" w:lineRule="exact"/>
        <w:rPr>
          <w:sz w:val="20"/>
          <w:szCs w:val="20"/>
          <w:color w:val="auto"/>
        </w:rPr>
      </w:pPr>
    </w:p>
    <w:p>
      <w:pPr>
        <w:ind w:left="760"/>
        <w:spacing w:after="0"/>
        <w:rPr>
          <w:sz w:val="20"/>
          <w:szCs w:val="20"/>
          <w:color w:val="auto"/>
        </w:rPr>
      </w:pPr>
      <w:r>
        <w:rPr>
          <w:rFonts w:ascii="Arial" w:cs="Arial" w:eastAsia="Arial" w:hAnsi="Arial"/>
          <w:sz w:val="13"/>
          <w:szCs w:val="13"/>
          <w:color w:val="auto"/>
        </w:rPr>
        <w:t>Non-performing loans to total loans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Borders>
              <w:right w:val="single" w:sz="8" w:color="CCEEFF"/>
            </w:tcBorders>
          </w:tcPr>
          <w:p>
            <w:pPr>
              <w:jc w:val="right"/>
              <w:ind w:right="36"/>
              <w:spacing w:after="0"/>
              <w:rPr>
                <w:sz w:val="20"/>
                <w:szCs w:val="20"/>
                <w:color w:val="auto"/>
              </w:rPr>
            </w:pPr>
            <w:r>
              <w:rPr>
                <w:rFonts w:ascii="Arial" w:cs="Arial" w:eastAsia="Arial" w:hAnsi="Arial"/>
                <w:sz w:val="13"/>
                <w:szCs w:val="13"/>
                <w:color w:val="auto"/>
              </w:rPr>
              <w:t>1.17%</w:t>
            </w:r>
          </w:p>
        </w:tc>
        <w:tc>
          <w:tcPr>
            <w:tcW w:w="1300" w:type="dxa"/>
            <w:vAlign w:val="bottom"/>
          </w:tcPr>
          <w:p>
            <w:pPr>
              <w:jc w:val="right"/>
              <w:spacing w:after="0"/>
              <w:rPr>
                <w:sz w:val="20"/>
                <w:szCs w:val="20"/>
                <w:color w:val="auto"/>
              </w:rPr>
            </w:pPr>
            <w:r>
              <w:rPr>
                <w:rFonts w:ascii="Arial" w:cs="Arial" w:eastAsia="Arial" w:hAnsi="Arial"/>
                <w:sz w:val="13"/>
                <w:szCs w:val="13"/>
                <w:color w:val="auto"/>
              </w:rPr>
              <w:t>1.22%</w:t>
            </w:r>
          </w:p>
        </w:tc>
      </w:tr>
      <w:tr>
        <w:trPr>
          <w:trHeight w:val="179"/>
        </w:trPr>
        <w:tc>
          <w:tcPr>
            <w:tcW w:w="540" w:type="dxa"/>
            <w:vAlign w:val="bottom"/>
          </w:tcPr>
          <w:p>
            <w:pPr>
              <w:jc w:val="right"/>
              <w:ind w:right="36"/>
              <w:spacing w:after="0"/>
              <w:rPr>
                <w:sz w:val="20"/>
                <w:szCs w:val="20"/>
                <w:color w:val="auto"/>
              </w:rPr>
            </w:pPr>
            <w:r>
              <w:rPr>
                <w:rFonts w:ascii="Arial" w:cs="Arial" w:eastAsia="Arial" w:hAnsi="Arial"/>
                <w:sz w:val="13"/>
                <w:szCs w:val="13"/>
                <w:color w:val="auto"/>
                <w:w w:val="95"/>
              </w:rPr>
              <w:t>1,906%</w:t>
            </w:r>
          </w:p>
        </w:tc>
        <w:tc>
          <w:tcPr>
            <w:tcW w:w="1300" w:type="dxa"/>
            <w:vAlign w:val="bottom"/>
          </w:tcPr>
          <w:p>
            <w:pPr>
              <w:jc w:val="right"/>
              <w:spacing w:after="0"/>
              <w:rPr>
                <w:sz w:val="20"/>
                <w:szCs w:val="20"/>
                <w:color w:val="auto"/>
              </w:rPr>
            </w:pPr>
            <w:r>
              <w:rPr>
                <w:rFonts w:ascii="Arial" w:cs="Arial" w:eastAsia="Arial" w:hAnsi="Arial"/>
                <w:sz w:val="13"/>
                <w:szCs w:val="13"/>
                <w:color w:val="auto"/>
              </w:rPr>
              <w:t>889%</w:t>
            </w:r>
          </w:p>
        </w:tc>
      </w:tr>
      <w:tr>
        <w:trPr>
          <w:trHeight w:val="163"/>
        </w:trPr>
        <w:tc>
          <w:tcPr>
            <w:tcW w:w="540" w:type="dxa"/>
            <w:vAlign w:val="bottom"/>
            <w:tcBorders>
              <w:right w:val="single" w:sz="8" w:color="CCEEFF"/>
            </w:tcBorders>
          </w:tcPr>
          <w:p>
            <w:pPr>
              <w:jc w:val="right"/>
              <w:ind w:right="36"/>
              <w:spacing w:after="0"/>
              <w:rPr>
                <w:sz w:val="20"/>
                <w:szCs w:val="20"/>
                <w:color w:val="auto"/>
              </w:rPr>
            </w:pPr>
            <w:r>
              <w:rPr>
                <w:rFonts w:ascii="Arial" w:cs="Arial" w:eastAsia="Arial" w:hAnsi="Arial"/>
                <w:sz w:val="13"/>
                <w:szCs w:val="13"/>
                <w:color w:val="auto"/>
              </w:rPr>
              <w:t>0.06%</w:t>
            </w:r>
          </w:p>
        </w:tc>
        <w:tc>
          <w:tcPr>
            <w:tcW w:w="1300" w:type="dxa"/>
            <w:vAlign w:val="bottom"/>
          </w:tcPr>
          <w:p>
            <w:pPr>
              <w:jc w:val="right"/>
              <w:spacing w:after="0"/>
              <w:rPr>
                <w:sz w:val="20"/>
                <w:szCs w:val="20"/>
                <w:color w:val="auto"/>
              </w:rPr>
            </w:pPr>
            <w:r>
              <w:rPr>
                <w:rFonts w:ascii="Arial" w:cs="Arial" w:eastAsia="Arial" w:hAnsi="Arial"/>
                <w:sz w:val="13"/>
                <w:szCs w:val="13"/>
                <w:color w:val="auto"/>
              </w:rPr>
              <w:t>0.14%</w:t>
            </w:r>
          </w:p>
        </w:tc>
      </w:tr>
    </w:tbl>
    <w:p>
      <w:pPr>
        <w:spacing w:after="0" w:line="146" w:lineRule="exact"/>
        <w:rPr>
          <w:sz w:val="20"/>
          <w:szCs w:val="20"/>
          <w:color w:val="auto"/>
        </w:rPr>
      </w:pPr>
    </w:p>
    <w:p>
      <w:pPr>
        <w:sectPr>
          <w:pgSz w:w="11900" w:h="16838" w:orient="portrait"/>
          <w:cols w:equalWidth="0" w:num="2">
            <w:col w:w="5740" w:space="720"/>
            <w:col w:w="2559"/>
          </w:cols>
          <w:pgMar w:left="1440" w:top="477" w:right="1440" w:bottom="1440" w:gutter="0" w:footer="0" w:header="0"/>
          <w:type w:val="continuous"/>
        </w:sectPr>
      </w:pPr>
    </w:p>
    <w:p>
      <w:pPr>
        <w:jc w:val="both"/>
        <w:ind w:left="660" w:right="679" w:firstLine="256"/>
        <w:spacing w:after="0" w:line="255" w:lineRule="auto"/>
        <w:rPr>
          <w:sz w:val="20"/>
          <w:szCs w:val="20"/>
          <w:color w:val="auto"/>
        </w:rPr>
      </w:pPr>
      <w:r>
        <w:rPr>
          <w:rFonts w:ascii="Arial" w:cs="Arial" w:eastAsia="Arial" w:hAnsi="Arial"/>
          <w:sz w:val="14"/>
          <w:szCs w:val="14"/>
          <w:color w:val="auto"/>
        </w:rPr>
        <w:t>Non-performing assets include all loans categorized as non-accrual, other real estate owned (“OREO”) and other repossessed assets. Problem loans for which the collection or liquidation in full is reasonably uncertain are placed on a non-accrual status. This determination is based on current existing facts concerning collateral values and the paying capacity of the borrower. When the collection of the full contractual balance is unlikely, the loan is placed on non-accrual to avoid overstating the Company’s income for a loan with increased credit risk.</w:t>
      </w:r>
    </w:p>
    <w:p>
      <w:pPr>
        <w:spacing w:after="0" w:line="126"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consecutive months and the Company has a documented expectation of repayment of the remaining contractual principal and interest or the loan becomes secured and in the process of collection.</w:t>
      </w:r>
    </w:p>
    <w:p>
      <w:pPr>
        <w:spacing w:after="0" w:line="138"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Company may grant a loan concession to a borrower experiencing financial difficulties. This determination is performed during the annual review process or whenever problems surface regarding the borrower’s ability to repay in accordance with the original terms of the loan or line of credit. The concessions are given to the debtor in various forms, including interest rate reductions, principal forgiveness, extension of maturity date, waiver or deferral of payments and other concessions intended to minimize potential losses.</w:t>
      </w:r>
    </w:p>
    <w:p>
      <w:pPr>
        <w:spacing w:after="0" w:line="14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For further discussion of non-performing loans and borrowers experiencing financial difficulties, see Note 3 “Loans” to the unaudited Consolidated Financial Statements in Item 1 of Part 1 of this Form 10-Q.</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57" w:lineRule="exact"/>
        <w:rPr>
          <w:sz w:val="20"/>
          <w:szCs w:val="20"/>
          <w:color w:val="auto"/>
        </w:rPr>
      </w:pPr>
    </w:p>
    <w:p>
      <w:pPr>
        <w:jc w:val="both"/>
        <w:ind w:left="660" w:right="679" w:firstLine="256"/>
        <w:spacing w:after="0" w:line="261" w:lineRule="auto"/>
        <w:rPr>
          <w:sz w:val="20"/>
          <w:szCs w:val="20"/>
          <w:color w:val="auto"/>
        </w:rPr>
      </w:pPr>
      <w:r>
        <w:rPr>
          <w:rFonts w:ascii="Arial" w:cs="Arial" w:eastAsia="Arial" w:hAnsi="Arial"/>
          <w:sz w:val="14"/>
          <w:szCs w:val="14"/>
          <w:color w:val="auto"/>
        </w:rPr>
        <w:t>The ACL on loans represents an amount that, in management's evaluation, is adequate to provide coverage for all expected future credit losses on outstanding loans. Additionally, qualitative adjustments are made to the ACL when, based on management’s judgment, there are factors impacting the allowance estimate not considered by the quantitative calculations. See Note 3 “Loans” in Item 1 of Part 1 of this Form 10-Q for more information on the ACL.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type w:val="continuous"/>
        </w:sectPr>
      </w:pPr>
    </w:p>
    <w:bookmarkStart w:id="42" w:name="page43"/>
    <w:bookmarkEnd w:id="4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 following table presents ACL on loans and net charge-offs to average loans by type for the periods indicated (in thousands):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Residential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5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59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Real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Commercial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and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Correspondent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9"/>
              </w:rPr>
              <w:t>Consumer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2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Estate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Real Estate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5"/>
              </w:rPr>
              <w:t>Industrial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9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7"/>
              </w:rPr>
              <w:t>and Other</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90" w:type="dxa"/>
            <w:vAlign w:val="bottom"/>
            <w:gridSpan w:val="3"/>
          </w:tcPr>
          <w:p>
            <w:pPr>
              <w:ind w:left="170"/>
              <w:spacing w:after="0"/>
              <w:rPr>
                <w:sz w:val="20"/>
                <w:szCs w:val="20"/>
                <w:color w:val="auto"/>
              </w:rPr>
            </w:pPr>
            <w:r>
              <w:rPr>
                <w:rFonts w:ascii="Arial" w:cs="Arial" w:eastAsia="Arial" w:hAnsi="Arial"/>
                <w:sz w:val="13"/>
                <w:szCs w:val="13"/>
                <w:b w:val="1"/>
                <w:bCs w:val="1"/>
                <w:color w:val="auto"/>
              </w:rPr>
              <w:t>Total</w:t>
            </w:r>
          </w:p>
        </w:tc>
      </w:tr>
      <w:tr>
        <w:trPr>
          <w:trHeight w:val="149"/>
        </w:trPr>
        <w:tc>
          <w:tcPr>
            <w:tcW w:w="2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Three Months Ended September 30,</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10" w:type="dxa"/>
            <w:vAlign w:val="bottom"/>
            <w:tcBorders>
              <w:top w:val="single" w:sz="8" w:color="auto"/>
            </w:tcBorders>
            <w:shd w:val="clear" w:color="auto" w:fill="CCEEFF"/>
          </w:tcPr>
          <w:p>
            <w:pPr>
              <w:spacing w:after="0"/>
              <w:rPr>
                <w:sz w:val="12"/>
                <w:szCs w:val="12"/>
                <w:color w:val="auto"/>
              </w:rPr>
            </w:pPr>
          </w:p>
        </w:tc>
        <w:tc>
          <w:tcPr>
            <w:tcW w:w="65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10" w:type="dxa"/>
            <w:vAlign w:val="bottom"/>
            <w:tcBorders>
              <w:top w:val="single" w:sz="8" w:color="auto"/>
            </w:tcBorders>
            <w:shd w:val="clear" w:color="auto" w:fill="CCEEFF"/>
          </w:tcPr>
          <w:p>
            <w:pPr>
              <w:spacing w:after="0"/>
              <w:rPr>
                <w:sz w:val="12"/>
                <w:szCs w:val="12"/>
                <w:color w:val="auto"/>
              </w:rPr>
            </w:pPr>
          </w:p>
        </w:tc>
        <w:tc>
          <w:tcPr>
            <w:tcW w:w="85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90" w:type="dxa"/>
            <w:vAlign w:val="bottom"/>
            <w:tcBorders>
              <w:top w:val="single" w:sz="8" w:color="auto"/>
            </w:tcBorders>
            <w:shd w:val="clear" w:color="auto" w:fill="CCEEFF"/>
          </w:tcPr>
          <w:p>
            <w:pPr>
              <w:spacing w:after="0"/>
              <w:rPr>
                <w:sz w:val="12"/>
                <w:szCs w:val="12"/>
                <w:color w:val="auto"/>
              </w:rPr>
            </w:pPr>
          </w:p>
        </w:tc>
        <w:tc>
          <w:tcPr>
            <w:tcW w:w="59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10" w:type="dxa"/>
            <w:vAlign w:val="bottom"/>
            <w:tcBorders>
              <w:top w:val="single" w:sz="8" w:color="auto"/>
            </w:tcBorders>
            <w:shd w:val="clear" w:color="auto" w:fill="CCEEFF"/>
          </w:tcPr>
          <w:p>
            <w:pPr>
              <w:spacing w:after="0"/>
              <w:rPr>
                <w:sz w:val="12"/>
                <w:szCs w:val="12"/>
                <w:color w:val="auto"/>
              </w:rPr>
            </w:pPr>
          </w:p>
        </w:tc>
        <w:tc>
          <w:tcPr>
            <w:tcW w:w="71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2320" w:type="dxa"/>
            <w:vAlign w:val="bottom"/>
            <w:shd w:val="clear" w:color="auto" w:fill="CCEEFF"/>
          </w:tcPr>
          <w:p>
            <w:pPr>
              <w:ind w:left="40"/>
              <w:spacing w:after="0" w:line="139" w:lineRule="exact"/>
              <w:rPr>
                <w:sz w:val="20"/>
                <w:szCs w:val="20"/>
                <w:color w:val="auto"/>
              </w:rPr>
            </w:pPr>
            <w:r>
              <w:rPr>
                <w:rFonts w:ascii="Arial" w:cs="Arial" w:eastAsia="Arial" w:hAnsi="Arial"/>
                <w:sz w:val="13"/>
                <w:szCs w:val="13"/>
                <w:b w:val="1"/>
                <w:bCs w:val="1"/>
                <w:color w:val="auto"/>
              </w:rPr>
              <w:t>2025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65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85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59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2340" w:type="dxa"/>
            <w:vAlign w:val="bottom"/>
            <w:gridSpan w:val="2"/>
          </w:tcPr>
          <w:p>
            <w:pPr>
              <w:ind w:left="40"/>
              <w:spacing w:after="0"/>
              <w:rPr>
                <w:sz w:val="20"/>
                <w:szCs w:val="20"/>
                <w:color w:val="auto"/>
              </w:rPr>
            </w:pPr>
            <w:r>
              <w:rPr>
                <w:rFonts w:ascii="Arial" w:cs="Arial" w:eastAsia="Arial" w:hAnsi="Arial"/>
                <w:sz w:val="13"/>
                <w:szCs w:val="13"/>
                <w:color w:val="auto"/>
              </w:rPr>
              <w:t>Beginning balance</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5,477</w:t>
            </w:r>
          </w:p>
        </w:tc>
        <w:tc>
          <w:tcPr>
            <w:tcW w:w="40" w:type="dxa"/>
            <w:vAlign w:val="bottom"/>
          </w:tcPr>
          <w:p>
            <w:pPr>
              <w:spacing w:after="0"/>
              <w:rPr>
                <w:sz w:val="13"/>
                <w:szCs w:val="13"/>
                <w:color w:val="auto"/>
              </w:rPr>
            </w:pPr>
          </w:p>
        </w:tc>
        <w:tc>
          <w:tcPr>
            <w:tcW w:w="21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50" w:type="dxa"/>
            <w:vAlign w:val="bottom"/>
          </w:tcPr>
          <w:p>
            <w:pPr>
              <w:jc w:val="right"/>
              <w:spacing w:after="0"/>
              <w:rPr>
                <w:sz w:val="20"/>
                <w:szCs w:val="20"/>
                <w:color w:val="auto"/>
              </w:rPr>
            </w:pPr>
            <w:r>
              <w:rPr>
                <w:rFonts w:ascii="Arial" w:cs="Arial" w:eastAsia="Arial" w:hAnsi="Arial"/>
                <w:sz w:val="13"/>
                <w:szCs w:val="13"/>
                <w:color w:val="auto"/>
              </w:rPr>
              <w:t>9,491</w:t>
            </w:r>
          </w:p>
        </w:tc>
        <w:tc>
          <w:tcPr>
            <w:tcW w:w="40" w:type="dxa"/>
            <w:vAlign w:val="bottom"/>
          </w:tcPr>
          <w:p>
            <w:pPr>
              <w:spacing w:after="0"/>
              <w:rPr>
                <w:sz w:val="13"/>
                <w:szCs w:val="13"/>
                <w:color w:val="auto"/>
              </w:rPr>
            </w:pPr>
          </w:p>
        </w:tc>
        <w:tc>
          <w:tcPr>
            <w:tcW w:w="180" w:type="dxa"/>
            <w:vAlign w:val="bottom"/>
            <w:gridSpan w:val="5"/>
          </w:tcPr>
          <w:p>
            <w:pPr>
              <w:ind w:left="10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4,508</w:t>
            </w:r>
          </w:p>
        </w:tc>
        <w:tc>
          <w:tcPr>
            <w:tcW w:w="40" w:type="dxa"/>
            <w:vAlign w:val="bottom"/>
          </w:tcPr>
          <w:p>
            <w:pPr>
              <w:spacing w:after="0"/>
              <w:rPr>
                <w:sz w:val="13"/>
                <w:szCs w:val="13"/>
                <w:color w:val="auto"/>
              </w:rPr>
            </w:pPr>
          </w:p>
        </w:tc>
        <w:tc>
          <w:tcPr>
            <w:tcW w:w="21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850" w:type="dxa"/>
            <w:vAlign w:val="bottom"/>
          </w:tcPr>
          <w:p>
            <w:pPr>
              <w:jc w:val="right"/>
              <w:spacing w:after="0"/>
              <w:rPr>
                <w:sz w:val="20"/>
                <w:szCs w:val="20"/>
                <w:color w:val="auto"/>
              </w:rPr>
            </w:pPr>
            <w:r>
              <w:rPr>
                <w:rFonts w:ascii="Arial" w:cs="Arial" w:eastAsia="Arial" w:hAnsi="Arial"/>
                <w:sz w:val="13"/>
                <w:szCs w:val="13"/>
                <w:color w:val="auto"/>
              </w:rPr>
              <w:t>874</w:t>
            </w:r>
          </w:p>
        </w:tc>
        <w:tc>
          <w:tcPr>
            <w:tcW w:w="40" w:type="dxa"/>
            <w:vAlign w:val="bottom"/>
          </w:tcPr>
          <w:p>
            <w:pPr>
              <w:spacing w:after="0"/>
              <w:rPr>
                <w:sz w:val="13"/>
                <w:szCs w:val="13"/>
                <w:color w:val="auto"/>
              </w:rPr>
            </w:pPr>
          </w:p>
        </w:tc>
        <w:tc>
          <w:tcPr>
            <w:tcW w:w="19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590" w:type="dxa"/>
            <w:vAlign w:val="bottom"/>
          </w:tcPr>
          <w:p>
            <w:pPr>
              <w:jc w:val="right"/>
              <w:spacing w:after="0"/>
              <w:rPr>
                <w:sz w:val="20"/>
                <w:szCs w:val="20"/>
                <w:color w:val="auto"/>
              </w:rPr>
            </w:pPr>
            <w:r>
              <w:rPr>
                <w:rFonts w:ascii="Arial" w:cs="Arial" w:eastAsia="Arial" w:hAnsi="Arial"/>
                <w:sz w:val="13"/>
                <w:szCs w:val="13"/>
                <w:color w:val="auto"/>
              </w:rPr>
              <w:t>4,583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70" w:type="dxa"/>
            <w:vAlign w:val="bottom"/>
            <w:gridSpan w:val="2"/>
          </w:tcPr>
          <w:p>
            <w:pPr>
              <w:jc w:val="right"/>
              <w:ind w:right="60"/>
              <w:spacing w:after="0"/>
              <w:rPr>
                <w:sz w:val="20"/>
                <w:szCs w:val="20"/>
                <w:color w:val="auto"/>
              </w:rPr>
            </w:pPr>
            <w:r>
              <w:rPr>
                <w:rFonts w:ascii="Arial" w:cs="Arial" w:eastAsia="Arial" w:hAnsi="Arial"/>
                <w:sz w:val="13"/>
                <w:szCs w:val="13"/>
                <w:color w:val="auto"/>
              </w:rPr>
              <w:t>24,933</w:t>
            </w:r>
          </w:p>
        </w:tc>
        <w:tc>
          <w:tcPr>
            <w:tcW w:w="20" w:type="dxa"/>
            <w:vAlign w:val="bottom"/>
          </w:tcPr>
          <w:p>
            <w:pPr>
              <w:spacing w:after="0"/>
              <w:rPr>
                <w:sz w:val="13"/>
                <w:szCs w:val="13"/>
                <w:color w:val="auto"/>
              </w:rPr>
            </w:pPr>
          </w:p>
        </w:tc>
      </w:tr>
      <w:tr>
        <w:trPr>
          <w:trHeight w:val="160"/>
        </w:trPr>
        <w:tc>
          <w:tcPr>
            <w:tcW w:w="2320" w:type="dxa"/>
            <w:vAlign w:val="bottom"/>
            <w:shd w:val="clear" w:color="auto" w:fill="CCEEFF"/>
          </w:tcPr>
          <w:p>
            <w:pPr>
              <w:ind w:left="40"/>
              <w:spacing w:after="0" w:line="150"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9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89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340" w:type="dxa"/>
            <w:vAlign w:val="bottom"/>
            <w:gridSpan w:val="2"/>
          </w:tcPr>
          <w:p>
            <w:pPr>
              <w:ind w:left="40"/>
              <w:spacing w:after="0"/>
              <w:rPr>
                <w:sz w:val="20"/>
                <w:szCs w:val="20"/>
                <w:color w:val="auto"/>
              </w:rPr>
            </w:pPr>
            <w:r>
              <w:rPr>
                <w:rFonts w:ascii="Arial" w:cs="Arial" w:eastAsia="Arial" w:hAnsi="Arial"/>
                <w:sz w:val="13"/>
                <w:szCs w:val="13"/>
                <w:color w:val="auto"/>
              </w:rPr>
              <w:t>Recoveries</w:t>
            </w:r>
          </w:p>
        </w:tc>
        <w:tc>
          <w:tcPr>
            <w:tcW w:w="12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5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59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spacing w:after="0"/>
              <w:rPr>
                <w:sz w:val="12"/>
                <w:szCs w:val="12"/>
                <w:color w:val="auto"/>
              </w:rPr>
            </w:pPr>
          </w:p>
        </w:tc>
        <w:tc>
          <w:tcPr>
            <w:tcW w:w="6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spacing w:after="0"/>
              <w:rPr>
                <w:sz w:val="12"/>
                <w:szCs w:val="12"/>
                <w:color w:val="auto"/>
              </w:rPr>
            </w:pPr>
          </w:p>
        </w:tc>
        <w:tc>
          <w:tcPr>
            <w:tcW w:w="8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90" w:type="dxa"/>
            <w:vAlign w:val="bottom"/>
            <w:tcBorders>
              <w:bottom w:val="single" w:sz="8" w:color="auto"/>
            </w:tcBorders>
            <w:shd w:val="clear" w:color="auto" w:fill="CCEEFF"/>
          </w:tcPr>
          <w:p>
            <w:pPr>
              <w:spacing w:after="0"/>
              <w:rPr>
                <w:sz w:val="12"/>
                <w:szCs w:val="12"/>
                <w:color w:val="auto"/>
              </w:rPr>
            </w:pPr>
          </w:p>
        </w:tc>
        <w:tc>
          <w:tcPr>
            <w:tcW w:w="65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spacing w:after="0"/>
              <w:rPr>
                <w:sz w:val="12"/>
                <w:szCs w:val="12"/>
                <w:color w:val="auto"/>
              </w:rPr>
            </w:pPr>
          </w:p>
        </w:tc>
        <w:tc>
          <w:tcPr>
            <w:tcW w:w="77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91"/>
        </w:trPr>
        <w:tc>
          <w:tcPr>
            <w:tcW w:w="2340" w:type="dxa"/>
            <w:vAlign w:val="bottom"/>
            <w:gridSpan w:val="2"/>
          </w:tcPr>
          <w:p>
            <w:pPr>
              <w:ind w:left="40"/>
              <w:spacing w:after="0"/>
              <w:rPr>
                <w:sz w:val="20"/>
                <w:szCs w:val="20"/>
                <w:color w:val="auto"/>
              </w:rPr>
            </w:pPr>
            <w:r>
              <w:rPr>
                <w:rFonts w:ascii="Arial" w:cs="Arial" w:eastAsia="Arial" w:hAnsi="Arial"/>
                <w:sz w:val="13"/>
                <w:szCs w:val="13"/>
                <w:color w:val="auto"/>
              </w:rPr>
              <w:t>Ending Balance</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6,026</w:t>
            </w:r>
          </w:p>
        </w:tc>
        <w:tc>
          <w:tcPr>
            <w:tcW w:w="40" w:type="dxa"/>
            <w:vAlign w:val="bottom"/>
          </w:tcPr>
          <w:p>
            <w:pPr>
              <w:spacing w:after="0"/>
              <w:rPr>
                <w:sz w:val="16"/>
                <w:szCs w:val="16"/>
                <w:color w:val="auto"/>
              </w:rPr>
            </w:pPr>
          </w:p>
        </w:tc>
        <w:tc>
          <w:tcPr>
            <w:tcW w:w="21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50" w:type="dxa"/>
            <w:vAlign w:val="bottom"/>
          </w:tcPr>
          <w:p>
            <w:pPr>
              <w:jc w:val="right"/>
              <w:spacing w:after="0"/>
              <w:rPr>
                <w:sz w:val="20"/>
                <w:szCs w:val="20"/>
                <w:color w:val="auto"/>
              </w:rPr>
            </w:pPr>
            <w:r>
              <w:rPr>
                <w:rFonts w:ascii="Arial" w:cs="Arial" w:eastAsia="Arial" w:hAnsi="Arial"/>
                <w:sz w:val="13"/>
                <w:szCs w:val="13"/>
                <w:color w:val="auto"/>
              </w:rPr>
              <w:t>9,389</w:t>
            </w:r>
          </w:p>
        </w:tc>
        <w:tc>
          <w:tcPr>
            <w:tcW w:w="40" w:type="dxa"/>
            <w:vAlign w:val="bottom"/>
          </w:tcPr>
          <w:p>
            <w:pPr>
              <w:spacing w:after="0"/>
              <w:rPr>
                <w:sz w:val="16"/>
                <w:szCs w:val="16"/>
                <w:color w:val="auto"/>
              </w:rPr>
            </w:pPr>
          </w:p>
        </w:tc>
        <w:tc>
          <w:tcPr>
            <w:tcW w:w="180" w:type="dxa"/>
            <w:vAlign w:val="bottom"/>
            <w:gridSpan w:val="5"/>
          </w:tcPr>
          <w:p>
            <w:pPr>
              <w:ind w:left="10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4,396</w:t>
            </w:r>
          </w:p>
        </w:tc>
        <w:tc>
          <w:tcPr>
            <w:tcW w:w="40" w:type="dxa"/>
            <w:vAlign w:val="bottom"/>
          </w:tcPr>
          <w:p>
            <w:pPr>
              <w:spacing w:after="0"/>
              <w:rPr>
                <w:sz w:val="16"/>
                <w:szCs w:val="16"/>
                <w:color w:val="auto"/>
              </w:rPr>
            </w:pPr>
          </w:p>
        </w:tc>
        <w:tc>
          <w:tcPr>
            <w:tcW w:w="21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850" w:type="dxa"/>
            <w:vAlign w:val="bottom"/>
          </w:tcPr>
          <w:p>
            <w:pPr>
              <w:jc w:val="right"/>
              <w:spacing w:after="0"/>
              <w:rPr>
                <w:sz w:val="20"/>
                <w:szCs w:val="20"/>
                <w:color w:val="auto"/>
              </w:rPr>
            </w:pPr>
            <w:r>
              <w:rPr>
                <w:rFonts w:ascii="Arial" w:cs="Arial" w:eastAsia="Arial" w:hAnsi="Arial"/>
                <w:sz w:val="13"/>
                <w:szCs w:val="13"/>
                <w:color w:val="auto"/>
              </w:rPr>
              <w:t>829</w:t>
            </w:r>
          </w:p>
        </w:tc>
        <w:tc>
          <w:tcPr>
            <w:tcW w:w="40" w:type="dxa"/>
            <w:vAlign w:val="bottom"/>
          </w:tcPr>
          <w:p>
            <w:pPr>
              <w:spacing w:after="0"/>
              <w:rPr>
                <w:sz w:val="16"/>
                <w:szCs w:val="16"/>
                <w:color w:val="auto"/>
              </w:rPr>
            </w:pPr>
          </w:p>
        </w:tc>
        <w:tc>
          <w:tcPr>
            <w:tcW w:w="19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590" w:type="dxa"/>
            <w:vAlign w:val="bottom"/>
          </w:tcPr>
          <w:p>
            <w:pPr>
              <w:jc w:val="right"/>
              <w:spacing w:after="0"/>
              <w:rPr>
                <w:sz w:val="20"/>
                <w:szCs w:val="20"/>
                <w:color w:val="auto"/>
              </w:rPr>
            </w:pPr>
            <w:r>
              <w:rPr>
                <w:rFonts w:ascii="Arial" w:cs="Arial" w:eastAsia="Arial" w:hAnsi="Arial"/>
                <w:sz w:val="13"/>
                <w:szCs w:val="13"/>
                <w:color w:val="auto"/>
              </w:rPr>
              <w:t>4,324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70" w:type="dxa"/>
            <w:vAlign w:val="bottom"/>
            <w:gridSpan w:val="2"/>
          </w:tcPr>
          <w:p>
            <w:pPr>
              <w:jc w:val="right"/>
              <w:ind w:right="60"/>
              <w:spacing w:after="0"/>
              <w:rPr>
                <w:sz w:val="20"/>
                <w:szCs w:val="20"/>
                <w:color w:val="auto"/>
              </w:rPr>
            </w:pPr>
            <w:r>
              <w:rPr>
                <w:rFonts w:ascii="Arial" w:cs="Arial" w:eastAsia="Arial" w:hAnsi="Arial"/>
                <w:sz w:val="13"/>
                <w:szCs w:val="13"/>
                <w:color w:val="auto"/>
              </w:rPr>
              <w:t>24,964</w:t>
            </w:r>
          </w:p>
        </w:tc>
        <w:tc>
          <w:tcPr>
            <w:tcW w:w="20" w:type="dxa"/>
            <w:vAlign w:val="bottom"/>
          </w:tcPr>
          <w:p>
            <w:pPr>
              <w:spacing w:after="0"/>
              <w:rPr>
                <w:sz w:val="16"/>
                <w:szCs w:val="16"/>
                <w:color w:val="auto"/>
              </w:rPr>
            </w:pPr>
          </w:p>
        </w:tc>
      </w:tr>
      <w:tr>
        <w:trPr>
          <w:trHeight w:val="100"/>
        </w:trPr>
        <w:tc>
          <w:tcPr>
            <w:tcW w:w="2340" w:type="dxa"/>
            <w:vAlign w:val="bottom"/>
            <w:tcBorders>
              <w:top w:val="single" w:sz="8" w:color="CCEEFF"/>
            </w:tcBorders>
            <w:gridSpan w:val="2"/>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gridSpan w:val="2"/>
            <w:shd w:val="clear" w:color="auto" w:fill="CCEEFF"/>
          </w:tcPr>
          <w:p>
            <w:pPr>
              <w:spacing w:after="0"/>
              <w:rPr>
                <w:sz w:val="8"/>
                <w:szCs w:val="8"/>
                <w:color w:val="auto"/>
              </w:rPr>
            </w:pPr>
          </w:p>
        </w:tc>
        <w:tc>
          <w:tcPr>
            <w:tcW w:w="110" w:type="dxa"/>
            <w:vAlign w:val="bottom"/>
            <w:tcBorders>
              <w:top w:val="single" w:sz="8" w:color="auto"/>
            </w:tcBorders>
            <w:shd w:val="clear" w:color="auto" w:fill="CCEEFF"/>
          </w:tcPr>
          <w:p>
            <w:pPr>
              <w:spacing w:after="0"/>
              <w:rPr>
                <w:sz w:val="8"/>
                <w:szCs w:val="8"/>
                <w:color w:val="auto"/>
              </w:rPr>
            </w:pPr>
          </w:p>
        </w:tc>
        <w:tc>
          <w:tcPr>
            <w:tcW w:w="65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gridSpan w:val="2"/>
            <w:shd w:val="clear" w:color="auto" w:fill="CCEEFF"/>
          </w:tcPr>
          <w:p>
            <w:pPr>
              <w:spacing w:after="0"/>
              <w:rPr>
                <w:sz w:val="8"/>
                <w:szCs w:val="8"/>
                <w:color w:val="auto"/>
              </w:rPr>
            </w:pPr>
          </w:p>
        </w:tc>
        <w:tc>
          <w:tcPr>
            <w:tcW w:w="40" w:type="dxa"/>
            <w:vAlign w:val="bottom"/>
            <w:tcBorders>
              <w:top w:val="single" w:sz="8" w:color="CCEEFF"/>
            </w:tcBorders>
            <w:gridSpan w:val="2"/>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gridSpan w:val="2"/>
            <w:shd w:val="clear" w:color="auto" w:fill="CCEEFF"/>
          </w:tcPr>
          <w:p>
            <w:pPr>
              <w:spacing w:after="0"/>
              <w:rPr>
                <w:sz w:val="8"/>
                <w:szCs w:val="8"/>
                <w:color w:val="auto"/>
              </w:rPr>
            </w:pPr>
          </w:p>
        </w:tc>
        <w:tc>
          <w:tcPr>
            <w:tcW w:w="60" w:type="dxa"/>
            <w:vAlign w:val="bottom"/>
            <w:tcBorders>
              <w:top w:val="single" w:sz="8" w:color="CCEEFF"/>
            </w:tcBorders>
            <w:gridSpan w:val="2"/>
            <w:shd w:val="clear" w:color="auto" w:fill="CCEEFF"/>
          </w:tcPr>
          <w:p>
            <w:pPr>
              <w:spacing w:after="0"/>
              <w:rPr>
                <w:sz w:val="8"/>
                <w:szCs w:val="8"/>
                <w:color w:val="auto"/>
              </w:rPr>
            </w:pPr>
          </w:p>
        </w:tc>
        <w:tc>
          <w:tcPr>
            <w:tcW w:w="110" w:type="dxa"/>
            <w:vAlign w:val="bottom"/>
            <w:tcBorders>
              <w:top w:val="single" w:sz="8" w:color="auto"/>
            </w:tcBorders>
            <w:shd w:val="clear" w:color="auto" w:fill="CCEEFF"/>
          </w:tcPr>
          <w:p>
            <w:pPr>
              <w:spacing w:after="0"/>
              <w:rPr>
                <w:sz w:val="8"/>
                <w:szCs w:val="8"/>
                <w:color w:val="auto"/>
              </w:rPr>
            </w:pPr>
          </w:p>
        </w:tc>
        <w:tc>
          <w:tcPr>
            <w:tcW w:w="85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gridSpan w:val="2"/>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10" w:type="dxa"/>
            <w:vAlign w:val="bottom"/>
            <w:tcBorders>
              <w:top w:val="single" w:sz="8" w:color="auto"/>
            </w:tcBorders>
            <w:gridSpan w:val="2"/>
            <w:shd w:val="clear" w:color="auto" w:fill="CCEEFF"/>
          </w:tcPr>
          <w:p>
            <w:pPr>
              <w:spacing w:after="0"/>
              <w:rPr>
                <w:sz w:val="8"/>
                <w:szCs w:val="8"/>
                <w:color w:val="auto"/>
              </w:rPr>
            </w:pPr>
          </w:p>
        </w:tc>
        <w:tc>
          <w:tcPr>
            <w:tcW w:w="59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30" w:type="dxa"/>
            <w:vAlign w:val="bottom"/>
            <w:tcBorders>
              <w:top w:val="single" w:sz="8" w:color="auto"/>
            </w:tcBorders>
            <w:gridSpan w:val="2"/>
            <w:shd w:val="clear" w:color="auto" w:fill="CCEEFF"/>
          </w:tcPr>
          <w:p>
            <w:pPr>
              <w:spacing w:after="0"/>
              <w:rPr>
                <w:sz w:val="8"/>
                <w:szCs w:val="8"/>
                <w:color w:val="auto"/>
              </w:rPr>
            </w:pPr>
          </w:p>
        </w:tc>
        <w:tc>
          <w:tcPr>
            <w:tcW w:w="71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60"/>
        </w:trPr>
        <w:tc>
          <w:tcPr>
            <w:tcW w:w="2340" w:type="dxa"/>
            <w:vAlign w:val="bottom"/>
            <w:gridSpan w:val="2"/>
          </w:tcPr>
          <w:p>
            <w:pPr>
              <w:ind w:left="40"/>
              <w:spacing w:after="0"/>
              <w:rPr>
                <w:sz w:val="20"/>
                <w:szCs w:val="20"/>
                <w:color w:val="auto"/>
              </w:rPr>
            </w:pPr>
            <w:r>
              <w:rPr>
                <w:rFonts w:ascii="Arial" w:cs="Arial" w:eastAsia="Arial" w:hAnsi="Arial"/>
                <w:sz w:val="13"/>
                <w:szCs w:val="13"/>
                <w:color w:val="auto"/>
              </w:rPr>
              <w:t>Average loans</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316,701</w:t>
            </w:r>
          </w:p>
        </w:tc>
        <w:tc>
          <w:tcPr>
            <w:tcW w:w="40" w:type="dxa"/>
            <w:vAlign w:val="bottom"/>
          </w:tcPr>
          <w:p>
            <w:pPr>
              <w:spacing w:after="0"/>
              <w:rPr>
                <w:sz w:val="13"/>
                <w:szCs w:val="13"/>
                <w:color w:val="auto"/>
              </w:rPr>
            </w:pPr>
          </w:p>
        </w:tc>
        <w:tc>
          <w:tcPr>
            <w:tcW w:w="21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50" w:type="dxa"/>
            <w:vAlign w:val="bottom"/>
          </w:tcPr>
          <w:p>
            <w:pPr>
              <w:jc w:val="right"/>
              <w:spacing w:after="0"/>
              <w:rPr>
                <w:sz w:val="20"/>
                <w:szCs w:val="20"/>
                <w:color w:val="auto"/>
              </w:rPr>
            </w:pPr>
            <w:r>
              <w:rPr>
                <w:rFonts w:ascii="Arial" w:cs="Arial" w:eastAsia="Arial" w:hAnsi="Arial"/>
                <w:sz w:val="13"/>
                <w:szCs w:val="13"/>
                <w:color w:val="auto"/>
              </w:rPr>
              <w:t>1,184,145</w:t>
            </w:r>
          </w:p>
        </w:tc>
        <w:tc>
          <w:tcPr>
            <w:tcW w:w="40" w:type="dxa"/>
            <w:vAlign w:val="bottom"/>
          </w:tcPr>
          <w:p>
            <w:pPr>
              <w:spacing w:after="0"/>
              <w:rPr>
                <w:sz w:val="13"/>
                <w:szCs w:val="13"/>
                <w:color w:val="auto"/>
              </w:rPr>
            </w:pPr>
          </w:p>
        </w:tc>
        <w:tc>
          <w:tcPr>
            <w:tcW w:w="180" w:type="dxa"/>
            <w:vAlign w:val="bottom"/>
            <w:gridSpan w:val="5"/>
          </w:tcPr>
          <w:p>
            <w:pPr>
              <w:ind w:left="10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269,204</w:t>
            </w:r>
          </w:p>
        </w:tc>
        <w:tc>
          <w:tcPr>
            <w:tcW w:w="40" w:type="dxa"/>
            <w:vAlign w:val="bottom"/>
          </w:tcPr>
          <w:p>
            <w:pPr>
              <w:spacing w:after="0"/>
              <w:rPr>
                <w:sz w:val="13"/>
                <w:szCs w:val="13"/>
                <w:color w:val="auto"/>
              </w:rPr>
            </w:pPr>
          </w:p>
        </w:tc>
        <w:tc>
          <w:tcPr>
            <w:tcW w:w="21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850" w:type="dxa"/>
            <w:vAlign w:val="bottom"/>
          </w:tcPr>
          <w:p>
            <w:pPr>
              <w:jc w:val="right"/>
              <w:spacing w:after="0"/>
              <w:rPr>
                <w:sz w:val="20"/>
                <w:szCs w:val="20"/>
                <w:color w:val="auto"/>
              </w:rPr>
            </w:pPr>
            <w:r>
              <w:rPr>
                <w:rFonts w:ascii="Arial" w:cs="Arial" w:eastAsia="Arial" w:hAnsi="Arial"/>
                <w:sz w:val="13"/>
                <w:szCs w:val="13"/>
                <w:color w:val="auto"/>
              </w:rPr>
              <w:t>103,210</w:t>
            </w:r>
          </w:p>
        </w:tc>
        <w:tc>
          <w:tcPr>
            <w:tcW w:w="40" w:type="dxa"/>
            <w:vAlign w:val="bottom"/>
          </w:tcPr>
          <w:p>
            <w:pPr>
              <w:spacing w:after="0"/>
              <w:rPr>
                <w:sz w:val="13"/>
                <w:szCs w:val="13"/>
                <w:color w:val="auto"/>
              </w:rPr>
            </w:pPr>
          </w:p>
        </w:tc>
        <w:tc>
          <w:tcPr>
            <w:tcW w:w="19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590" w:type="dxa"/>
            <w:vAlign w:val="bottom"/>
          </w:tcPr>
          <w:p>
            <w:pPr>
              <w:jc w:val="right"/>
              <w:spacing w:after="0"/>
              <w:rPr>
                <w:sz w:val="20"/>
                <w:szCs w:val="20"/>
                <w:color w:val="auto"/>
              </w:rPr>
            </w:pPr>
            <w:r>
              <w:rPr>
                <w:rFonts w:ascii="Arial" w:cs="Arial" w:eastAsia="Arial" w:hAnsi="Arial"/>
                <w:sz w:val="13"/>
                <w:szCs w:val="13"/>
                <w:color w:val="auto"/>
              </w:rPr>
              <w:t>225,783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10" w:type="dxa"/>
            <w:vAlign w:val="bottom"/>
          </w:tcPr>
          <w:p>
            <w:pPr>
              <w:jc w:val="right"/>
              <w:spacing w:after="0"/>
              <w:rPr>
                <w:sz w:val="20"/>
                <w:szCs w:val="20"/>
                <w:color w:val="auto"/>
              </w:rPr>
            </w:pPr>
            <w:r>
              <w:rPr>
                <w:rFonts w:ascii="Arial" w:cs="Arial" w:eastAsia="Arial" w:hAnsi="Arial"/>
                <w:sz w:val="13"/>
                <w:szCs w:val="13"/>
                <w:color w:val="auto"/>
              </w:rPr>
              <w:t>2,099,043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1"/>
        </w:trPr>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Net charge-offs (recoveries) to average</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5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5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 w:type="dxa"/>
            <w:vAlign w:val="bottom"/>
            <w:shd w:val="clear" w:color="auto" w:fill="CCEEFF"/>
          </w:tcPr>
          <w:p>
            <w:pPr>
              <w:spacing w:after="0"/>
              <w:rPr>
                <w:sz w:val="15"/>
                <w:szCs w:val="15"/>
                <w:color w:val="auto"/>
              </w:rPr>
            </w:pPr>
          </w:p>
        </w:tc>
        <w:tc>
          <w:tcPr>
            <w:tcW w:w="59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1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3"/>
        </w:trPr>
        <w:tc>
          <w:tcPr>
            <w:tcW w:w="2320" w:type="dxa"/>
            <w:vAlign w:val="bottom"/>
            <w:tcBorders>
              <w:bottom w:val="single" w:sz="8" w:color="CCEEFF"/>
            </w:tcBorders>
            <w:shd w:val="clear" w:color="auto" w:fill="CCEEFF"/>
          </w:tcPr>
          <w:p>
            <w:pPr>
              <w:ind w:left="40"/>
              <w:spacing w:after="0" w:line="160"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(2)</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10" w:type="dxa"/>
            <w:vAlign w:val="bottom"/>
            <w:tcBorders>
              <w:bottom w:val="single" w:sz="8" w:color="CCEEFF"/>
            </w:tcBorders>
            <w:shd w:val="clear" w:color="auto" w:fill="CCEEFF"/>
          </w:tcPr>
          <w:p>
            <w:pPr>
              <w:spacing w:after="0"/>
              <w:rPr>
                <w:sz w:val="15"/>
                <w:szCs w:val="15"/>
                <w:color w:val="auto"/>
              </w:rPr>
            </w:pPr>
          </w:p>
        </w:tc>
        <w:tc>
          <w:tcPr>
            <w:tcW w:w="65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10" w:type="dxa"/>
            <w:vAlign w:val="bottom"/>
            <w:tcBorders>
              <w:bottom w:val="single" w:sz="8" w:color="CCEEFF"/>
            </w:tcBorders>
            <w:shd w:val="clear" w:color="auto" w:fill="CCEEFF"/>
          </w:tcPr>
          <w:p>
            <w:pPr>
              <w:spacing w:after="0"/>
              <w:rPr>
                <w:sz w:val="15"/>
                <w:szCs w:val="15"/>
                <w:color w:val="auto"/>
              </w:rPr>
            </w:pPr>
          </w:p>
        </w:tc>
        <w:tc>
          <w:tcPr>
            <w:tcW w:w="85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0" w:type="dxa"/>
            <w:vAlign w:val="bottom"/>
            <w:tcBorders>
              <w:bottom w:val="single" w:sz="8" w:color="CCEEFF"/>
            </w:tcBorders>
            <w:shd w:val="clear" w:color="auto" w:fill="CCEEFF"/>
          </w:tcPr>
          <w:p>
            <w:pPr>
              <w:spacing w:after="0"/>
              <w:rPr>
                <w:sz w:val="15"/>
                <w:szCs w:val="15"/>
                <w:color w:val="auto"/>
              </w:rPr>
            </w:pPr>
          </w:p>
        </w:tc>
        <w:tc>
          <w:tcPr>
            <w:tcW w:w="59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10" w:type="dxa"/>
            <w:vAlign w:val="bottom"/>
            <w:tcBorders>
              <w:bottom w:val="single" w:sz="8" w:color="CCEEFF"/>
            </w:tcBorders>
            <w:shd w:val="clear" w:color="auto" w:fill="CCEEFF"/>
          </w:tcPr>
          <w:p>
            <w:pPr>
              <w:spacing w:after="0"/>
              <w:rPr>
                <w:sz w:val="15"/>
                <w:szCs w:val="15"/>
                <w:color w:val="auto"/>
              </w:rPr>
            </w:pPr>
          </w:p>
        </w:tc>
        <w:tc>
          <w:tcPr>
            <w:tcW w:w="71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60"/>
        </w:trPr>
        <w:tc>
          <w:tcPr>
            <w:tcW w:w="23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5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59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3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Nine Months Ended September 30,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5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85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59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1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1"/>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2025</w:t>
            </w: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65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85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90" w:type="dxa"/>
            <w:vAlign w:val="bottom"/>
            <w:tcBorders>
              <w:bottom w:val="single" w:sz="8" w:color="CCEEFF"/>
            </w:tcBorders>
            <w:shd w:val="clear" w:color="auto" w:fill="CCEEFF"/>
          </w:tcPr>
          <w:p>
            <w:pPr>
              <w:spacing w:after="0"/>
              <w:rPr>
                <w:sz w:val="14"/>
                <w:szCs w:val="14"/>
                <w:color w:val="auto"/>
              </w:rPr>
            </w:pPr>
          </w:p>
        </w:tc>
        <w:tc>
          <w:tcPr>
            <w:tcW w:w="59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71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60"/>
        </w:trPr>
        <w:tc>
          <w:tcPr>
            <w:tcW w:w="2340" w:type="dxa"/>
            <w:vAlign w:val="bottom"/>
            <w:gridSpan w:val="2"/>
          </w:tcPr>
          <w:p>
            <w:pPr>
              <w:ind w:left="40"/>
              <w:spacing w:after="0"/>
              <w:rPr>
                <w:sz w:val="20"/>
                <w:szCs w:val="20"/>
                <w:color w:val="auto"/>
              </w:rPr>
            </w:pPr>
            <w:r>
              <w:rPr>
                <w:rFonts w:ascii="Arial" w:cs="Arial" w:eastAsia="Arial" w:hAnsi="Arial"/>
                <w:sz w:val="13"/>
                <w:szCs w:val="13"/>
                <w:color w:val="auto"/>
              </w:rPr>
              <w:t>Beginning balance</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5,121</w:t>
            </w:r>
          </w:p>
        </w:tc>
        <w:tc>
          <w:tcPr>
            <w:tcW w:w="40" w:type="dxa"/>
            <w:vAlign w:val="bottom"/>
          </w:tcPr>
          <w:p>
            <w:pPr>
              <w:spacing w:after="0"/>
              <w:rPr>
                <w:sz w:val="13"/>
                <w:szCs w:val="13"/>
                <w:color w:val="auto"/>
              </w:rPr>
            </w:pPr>
          </w:p>
        </w:tc>
        <w:tc>
          <w:tcPr>
            <w:tcW w:w="21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50" w:type="dxa"/>
            <w:vAlign w:val="bottom"/>
          </w:tcPr>
          <w:p>
            <w:pPr>
              <w:jc w:val="right"/>
              <w:spacing w:after="0"/>
              <w:rPr>
                <w:sz w:val="20"/>
                <w:szCs w:val="20"/>
                <w:color w:val="auto"/>
              </w:rPr>
            </w:pPr>
            <w:r>
              <w:rPr>
                <w:rFonts w:ascii="Arial" w:cs="Arial" w:eastAsia="Arial" w:hAnsi="Arial"/>
                <w:sz w:val="13"/>
                <w:szCs w:val="13"/>
                <w:color w:val="auto"/>
              </w:rPr>
              <w:t>8,788</w:t>
            </w:r>
          </w:p>
        </w:tc>
        <w:tc>
          <w:tcPr>
            <w:tcW w:w="40" w:type="dxa"/>
            <w:vAlign w:val="bottom"/>
          </w:tcPr>
          <w:p>
            <w:pPr>
              <w:spacing w:after="0"/>
              <w:rPr>
                <w:sz w:val="13"/>
                <w:szCs w:val="13"/>
                <w:color w:val="auto"/>
              </w:rPr>
            </w:pPr>
          </w:p>
        </w:tc>
        <w:tc>
          <w:tcPr>
            <w:tcW w:w="180" w:type="dxa"/>
            <w:vAlign w:val="bottom"/>
            <w:gridSpan w:val="5"/>
          </w:tcPr>
          <w:p>
            <w:pPr>
              <w:ind w:left="10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4,633</w:t>
            </w:r>
          </w:p>
        </w:tc>
        <w:tc>
          <w:tcPr>
            <w:tcW w:w="40" w:type="dxa"/>
            <w:vAlign w:val="bottom"/>
          </w:tcPr>
          <w:p>
            <w:pPr>
              <w:spacing w:after="0"/>
              <w:rPr>
                <w:sz w:val="13"/>
                <w:szCs w:val="13"/>
                <w:color w:val="auto"/>
              </w:rPr>
            </w:pPr>
          </w:p>
        </w:tc>
        <w:tc>
          <w:tcPr>
            <w:tcW w:w="21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850" w:type="dxa"/>
            <w:vAlign w:val="bottom"/>
          </w:tcPr>
          <w:p>
            <w:pPr>
              <w:jc w:val="right"/>
              <w:spacing w:after="0"/>
              <w:rPr>
                <w:sz w:val="20"/>
                <w:szCs w:val="20"/>
                <w:color w:val="auto"/>
              </w:rPr>
            </w:pPr>
            <w:r>
              <w:rPr>
                <w:rFonts w:ascii="Arial" w:cs="Arial" w:eastAsia="Arial" w:hAnsi="Arial"/>
                <w:sz w:val="13"/>
                <w:szCs w:val="13"/>
                <w:color w:val="auto"/>
              </w:rPr>
              <w:t>654</w:t>
            </w:r>
          </w:p>
        </w:tc>
        <w:tc>
          <w:tcPr>
            <w:tcW w:w="40" w:type="dxa"/>
            <w:vAlign w:val="bottom"/>
          </w:tcPr>
          <w:p>
            <w:pPr>
              <w:spacing w:after="0"/>
              <w:rPr>
                <w:sz w:val="13"/>
                <w:szCs w:val="13"/>
                <w:color w:val="auto"/>
              </w:rPr>
            </w:pPr>
          </w:p>
        </w:tc>
        <w:tc>
          <w:tcPr>
            <w:tcW w:w="19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590" w:type="dxa"/>
            <w:vAlign w:val="bottom"/>
          </w:tcPr>
          <w:p>
            <w:pPr>
              <w:jc w:val="right"/>
              <w:spacing w:after="0"/>
              <w:rPr>
                <w:sz w:val="20"/>
                <w:szCs w:val="20"/>
                <w:color w:val="auto"/>
              </w:rPr>
            </w:pPr>
            <w:r>
              <w:rPr>
                <w:rFonts w:ascii="Arial" w:cs="Arial" w:eastAsia="Arial" w:hAnsi="Arial"/>
                <w:sz w:val="13"/>
                <w:szCs w:val="13"/>
                <w:color w:val="auto"/>
              </w:rPr>
              <w:t>4,874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70" w:type="dxa"/>
            <w:vAlign w:val="bottom"/>
            <w:gridSpan w:val="2"/>
          </w:tcPr>
          <w:p>
            <w:pPr>
              <w:jc w:val="right"/>
              <w:ind w:right="60"/>
              <w:spacing w:after="0"/>
              <w:rPr>
                <w:sz w:val="20"/>
                <w:szCs w:val="20"/>
                <w:color w:val="auto"/>
              </w:rPr>
            </w:pPr>
            <w:r>
              <w:rPr>
                <w:rFonts w:ascii="Arial" w:cs="Arial" w:eastAsia="Arial" w:hAnsi="Arial"/>
                <w:sz w:val="13"/>
                <w:szCs w:val="13"/>
                <w:color w:val="auto"/>
              </w:rPr>
              <w:t>24,070</w:t>
            </w:r>
          </w:p>
        </w:tc>
        <w:tc>
          <w:tcPr>
            <w:tcW w:w="20" w:type="dxa"/>
            <w:vAlign w:val="bottom"/>
          </w:tcPr>
          <w:p>
            <w:pPr>
              <w:spacing w:after="0"/>
              <w:rPr>
                <w:sz w:val="13"/>
                <w:szCs w:val="13"/>
                <w:color w:val="auto"/>
              </w:rPr>
            </w:pPr>
          </w:p>
        </w:tc>
      </w:tr>
      <w:tr>
        <w:trPr>
          <w:trHeight w:val="160"/>
        </w:trPr>
        <w:tc>
          <w:tcPr>
            <w:tcW w:w="2320" w:type="dxa"/>
            <w:vAlign w:val="bottom"/>
            <w:shd w:val="clear" w:color="auto" w:fill="CCEEFF"/>
          </w:tcPr>
          <w:p>
            <w:pPr>
              <w:ind w:left="40"/>
              <w:spacing w:after="0" w:line="150"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340" w:type="dxa"/>
            <w:vAlign w:val="bottom"/>
            <w:gridSpan w:val="2"/>
          </w:tcPr>
          <w:p>
            <w:pPr>
              <w:ind w:left="40"/>
              <w:spacing w:after="0"/>
              <w:rPr>
                <w:sz w:val="20"/>
                <w:szCs w:val="20"/>
                <w:color w:val="auto"/>
              </w:rPr>
            </w:pPr>
            <w:r>
              <w:rPr>
                <w:rFonts w:ascii="Arial" w:cs="Arial" w:eastAsia="Arial" w:hAnsi="Arial"/>
                <w:sz w:val="13"/>
                <w:szCs w:val="13"/>
                <w:color w:val="auto"/>
              </w:rPr>
              <w:t>Recoveries</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5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65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Charge-offs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6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85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90" w:type="dxa"/>
            <w:vAlign w:val="bottom"/>
            <w:tcBorders>
              <w:bottom w:val="single" w:sz="8" w:color="auto"/>
            </w:tcBorders>
            <w:shd w:val="clear" w:color="auto" w:fill="CCEEFF"/>
          </w:tcPr>
          <w:p>
            <w:pPr>
              <w:spacing w:after="0"/>
              <w:rPr>
                <w:sz w:val="13"/>
                <w:szCs w:val="13"/>
                <w:color w:val="auto"/>
              </w:rPr>
            </w:pPr>
          </w:p>
        </w:tc>
        <w:tc>
          <w:tcPr>
            <w:tcW w:w="65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(730)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10" w:type="dxa"/>
            <w:vAlign w:val="bottom"/>
            <w:tcBorders>
              <w:bottom w:val="single" w:sz="8" w:color="auto"/>
            </w:tcBorders>
            <w:shd w:val="clear" w:color="auto" w:fill="CCEEFF"/>
          </w:tcPr>
          <w:p>
            <w:pPr>
              <w:spacing w:after="0"/>
              <w:rPr>
                <w:sz w:val="13"/>
                <w:szCs w:val="13"/>
                <w:color w:val="auto"/>
              </w:rPr>
            </w:pPr>
          </w:p>
        </w:tc>
        <w:tc>
          <w:tcPr>
            <w:tcW w:w="77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(730)</w:t>
            </w:r>
          </w:p>
        </w:tc>
        <w:tc>
          <w:tcPr>
            <w:tcW w:w="20" w:type="dxa"/>
            <w:vAlign w:val="bottom"/>
            <w:shd w:val="clear" w:color="auto" w:fill="CCEEFF"/>
          </w:tcPr>
          <w:p>
            <w:pPr>
              <w:spacing w:after="0"/>
              <w:rPr>
                <w:sz w:val="13"/>
                <w:szCs w:val="13"/>
                <w:color w:val="auto"/>
              </w:rPr>
            </w:pPr>
          </w:p>
        </w:tc>
      </w:tr>
      <w:tr>
        <w:trPr>
          <w:trHeight w:val="180"/>
        </w:trPr>
        <w:tc>
          <w:tcPr>
            <w:tcW w:w="2320" w:type="dxa"/>
            <w:vAlign w:val="bottom"/>
          </w:tcPr>
          <w:p>
            <w:pPr>
              <w:ind w:left="40"/>
              <w:spacing w:after="0" w:line="140" w:lineRule="exact"/>
              <w:rPr>
                <w:sz w:val="20"/>
                <w:szCs w:val="20"/>
                <w:color w:val="auto"/>
              </w:rPr>
            </w:pPr>
            <w:r>
              <w:rPr>
                <w:rFonts w:ascii="Arial" w:cs="Arial" w:eastAsia="Arial" w:hAnsi="Arial"/>
                <w:sz w:val="13"/>
                <w:szCs w:val="13"/>
                <w:color w:val="auto"/>
              </w:rPr>
              <w:t>Ending Balance</w:t>
            </w:r>
          </w:p>
        </w:tc>
        <w:tc>
          <w:tcPr>
            <w:tcW w:w="20" w:type="dxa"/>
            <w:vAlign w:val="bottom"/>
          </w:tcPr>
          <w:p>
            <w:pPr>
              <w:spacing w:after="0"/>
              <w:rPr>
                <w:sz w:val="15"/>
                <w:szCs w:val="15"/>
                <w:color w:val="auto"/>
              </w:rPr>
            </w:pPr>
          </w:p>
        </w:tc>
        <w:tc>
          <w:tcPr>
            <w:tcW w:w="120" w:type="dxa"/>
            <w:vAlign w:val="bottom"/>
          </w:tcPr>
          <w:p>
            <w:pPr>
              <w:ind w:left="20"/>
              <w:spacing w:after="0" w:line="140"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0" w:lineRule="exact"/>
              <w:rPr>
                <w:sz w:val="20"/>
                <w:szCs w:val="20"/>
                <w:color w:val="auto"/>
              </w:rPr>
            </w:pPr>
            <w:r>
              <w:rPr>
                <w:rFonts w:ascii="Arial" w:cs="Arial" w:eastAsia="Arial" w:hAnsi="Arial"/>
                <w:sz w:val="13"/>
                <w:szCs w:val="13"/>
                <w:color w:val="auto"/>
              </w:rPr>
              <w:t>6,026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w:t>
            </w:r>
          </w:p>
        </w:tc>
        <w:tc>
          <w:tcPr>
            <w:tcW w:w="650" w:type="dxa"/>
            <w:vAlign w:val="bottom"/>
          </w:tcPr>
          <w:p>
            <w:pPr>
              <w:jc w:val="right"/>
              <w:spacing w:after="0" w:line="140" w:lineRule="exact"/>
              <w:rPr>
                <w:sz w:val="20"/>
                <w:szCs w:val="20"/>
                <w:color w:val="auto"/>
              </w:rPr>
            </w:pPr>
            <w:r>
              <w:rPr>
                <w:rFonts w:ascii="Arial" w:cs="Arial" w:eastAsia="Arial" w:hAnsi="Arial"/>
                <w:sz w:val="13"/>
                <w:szCs w:val="13"/>
                <w:color w:val="auto"/>
              </w:rPr>
              <w:t>9,389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2"/>
          </w:tcPr>
          <w:p>
            <w:pPr>
              <w:ind w:left="40"/>
              <w:spacing w:after="0" w:line="140"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0" w:lineRule="exact"/>
              <w:rPr>
                <w:sz w:val="20"/>
                <w:szCs w:val="20"/>
                <w:color w:val="auto"/>
              </w:rPr>
            </w:pPr>
            <w:r>
              <w:rPr>
                <w:rFonts w:ascii="Arial" w:cs="Arial" w:eastAsia="Arial" w:hAnsi="Arial"/>
                <w:sz w:val="13"/>
                <w:szCs w:val="13"/>
                <w:color w:val="auto"/>
              </w:rPr>
              <w:t>4,396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3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w:t>
            </w:r>
          </w:p>
        </w:tc>
        <w:tc>
          <w:tcPr>
            <w:tcW w:w="850" w:type="dxa"/>
            <w:vAlign w:val="bottom"/>
          </w:tcPr>
          <w:p>
            <w:pPr>
              <w:jc w:val="right"/>
              <w:spacing w:after="0" w:line="140" w:lineRule="exact"/>
              <w:rPr>
                <w:sz w:val="20"/>
                <w:szCs w:val="20"/>
                <w:color w:val="auto"/>
              </w:rPr>
            </w:pPr>
            <w:r>
              <w:rPr>
                <w:rFonts w:ascii="Arial" w:cs="Arial" w:eastAsia="Arial" w:hAnsi="Arial"/>
                <w:sz w:val="13"/>
                <w:szCs w:val="13"/>
                <w:color w:val="auto"/>
              </w:rPr>
              <w:t>829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1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w:t>
            </w:r>
          </w:p>
        </w:tc>
        <w:tc>
          <w:tcPr>
            <w:tcW w:w="590" w:type="dxa"/>
            <w:vAlign w:val="bottom"/>
          </w:tcPr>
          <w:p>
            <w:pPr>
              <w:jc w:val="right"/>
              <w:spacing w:after="0" w:line="140" w:lineRule="exact"/>
              <w:rPr>
                <w:sz w:val="20"/>
                <w:szCs w:val="20"/>
                <w:color w:val="auto"/>
              </w:rPr>
            </w:pPr>
            <w:r>
              <w:rPr>
                <w:rFonts w:ascii="Arial" w:cs="Arial" w:eastAsia="Arial" w:hAnsi="Arial"/>
                <w:sz w:val="13"/>
                <w:szCs w:val="13"/>
                <w:color w:val="auto"/>
              </w:rPr>
              <w:t>4,324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 w:type="dxa"/>
            <w:vAlign w:val="bottom"/>
            <w:gridSpan w:val="2"/>
          </w:tcPr>
          <w:p>
            <w:pPr>
              <w:jc w:val="right"/>
              <w:ind w:right="30"/>
              <w:spacing w:after="0" w:line="140" w:lineRule="exact"/>
              <w:rPr>
                <w:sz w:val="20"/>
                <w:szCs w:val="20"/>
                <w:color w:val="auto"/>
              </w:rPr>
            </w:pPr>
            <w:r>
              <w:rPr>
                <w:rFonts w:ascii="Arial" w:cs="Arial" w:eastAsia="Arial" w:hAnsi="Arial"/>
                <w:sz w:val="13"/>
                <w:szCs w:val="13"/>
                <w:color w:val="auto"/>
              </w:rPr>
              <w:t>$</w:t>
            </w:r>
          </w:p>
        </w:tc>
        <w:tc>
          <w:tcPr>
            <w:tcW w:w="77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24,964</w:t>
            </w:r>
          </w:p>
        </w:tc>
        <w:tc>
          <w:tcPr>
            <w:tcW w:w="20" w:type="dxa"/>
            <w:vAlign w:val="bottom"/>
          </w:tcPr>
          <w:p>
            <w:pPr>
              <w:spacing w:after="0"/>
              <w:rPr>
                <w:sz w:val="15"/>
                <w:szCs w:val="15"/>
                <w:color w:val="auto"/>
              </w:rPr>
            </w:pPr>
          </w:p>
        </w:tc>
      </w:tr>
      <w:tr>
        <w:trPr>
          <w:trHeight w:val="100"/>
        </w:trPr>
        <w:tc>
          <w:tcPr>
            <w:tcW w:w="2340" w:type="dxa"/>
            <w:vAlign w:val="bottom"/>
            <w:tcBorders>
              <w:top w:val="single" w:sz="8" w:color="CCEEFF"/>
            </w:tcBorders>
            <w:gridSpan w:val="2"/>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gridSpan w:val="2"/>
            <w:shd w:val="clear" w:color="auto" w:fill="CCEEFF"/>
          </w:tcPr>
          <w:p>
            <w:pPr>
              <w:spacing w:after="0"/>
              <w:rPr>
                <w:sz w:val="8"/>
                <w:szCs w:val="8"/>
                <w:color w:val="auto"/>
              </w:rPr>
            </w:pPr>
          </w:p>
        </w:tc>
        <w:tc>
          <w:tcPr>
            <w:tcW w:w="110" w:type="dxa"/>
            <w:vAlign w:val="bottom"/>
            <w:tcBorders>
              <w:top w:val="single" w:sz="8" w:color="auto"/>
            </w:tcBorders>
            <w:shd w:val="clear" w:color="auto" w:fill="CCEEFF"/>
          </w:tcPr>
          <w:p>
            <w:pPr>
              <w:spacing w:after="0"/>
              <w:rPr>
                <w:sz w:val="8"/>
                <w:szCs w:val="8"/>
                <w:color w:val="auto"/>
              </w:rPr>
            </w:pPr>
          </w:p>
        </w:tc>
        <w:tc>
          <w:tcPr>
            <w:tcW w:w="65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gridSpan w:val="2"/>
            <w:shd w:val="clear" w:color="auto" w:fill="CCEEFF"/>
          </w:tcPr>
          <w:p>
            <w:pPr>
              <w:spacing w:after="0"/>
              <w:rPr>
                <w:sz w:val="8"/>
                <w:szCs w:val="8"/>
                <w:color w:val="auto"/>
              </w:rPr>
            </w:pPr>
          </w:p>
        </w:tc>
        <w:tc>
          <w:tcPr>
            <w:tcW w:w="40" w:type="dxa"/>
            <w:vAlign w:val="bottom"/>
            <w:tcBorders>
              <w:top w:val="single" w:sz="8" w:color="CCEEFF"/>
            </w:tcBorders>
            <w:gridSpan w:val="2"/>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gridSpan w:val="2"/>
            <w:shd w:val="clear" w:color="auto" w:fill="CCEEFF"/>
          </w:tcPr>
          <w:p>
            <w:pPr>
              <w:spacing w:after="0"/>
              <w:rPr>
                <w:sz w:val="8"/>
                <w:szCs w:val="8"/>
                <w:color w:val="auto"/>
              </w:rPr>
            </w:pPr>
          </w:p>
        </w:tc>
        <w:tc>
          <w:tcPr>
            <w:tcW w:w="60" w:type="dxa"/>
            <w:vAlign w:val="bottom"/>
            <w:tcBorders>
              <w:top w:val="single" w:sz="8" w:color="CCEEFF"/>
            </w:tcBorders>
            <w:gridSpan w:val="2"/>
            <w:shd w:val="clear" w:color="auto" w:fill="CCEEFF"/>
          </w:tcPr>
          <w:p>
            <w:pPr>
              <w:spacing w:after="0"/>
              <w:rPr>
                <w:sz w:val="8"/>
                <w:szCs w:val="8"/>
                <w:color w:val="auto"/>
              </w:rPr>
            </w:pPr>
          </w:p>
        </w:tc>
        <w:tc>
          <w:tcPr>
            <w:tcW w:w="110" w:type="dxa"/>
            <w:vAlign w:val="bottom"/>
            <w:tcBorders>
              <w:top w:val="single" w:sz="8" w:color="auto"/>
            </w:tcBorders>
            <w:shd w:val="clear" w:color="auto" w:fill="CCEEFF"/>
          </w:tcPr>
          <w:p>
            <w:pPr>
              <w:spacing w:after="0"/>
              <w:rPr>
                <w:sz w:val="8"/>
                <w:szCs w:val="8"/>
                <w:color w:val="auto"/>
              </w:rPr>
            </w:pPr>
          </w:p>
        </w:tc>
        <w:tc>
          <w:tcPr>
            <w:tcW w:w="890" w:type="dxa"/>
            <w:vAlign w:val="bottom"/>
            <w:tcBorders>
              <w:top w:val="single" w:sz="8" w:color="auto"/>
            </w:tcBorders>
            <w:gridSpan w:val="2"/>
            <w:shd w:val="clear" w:color="auto" w:fill="CCEEFF"/>
          </w:tcPr>
          <w:p>
            <w:pPr>
              <w:spacing w:after="0"/>
              <w:rPr>
                <w:sz w:val="8"/>
                <w:szCs w:val="8"/>
                <w:color w:val="auto"/>
              </w:rPr>
            </w:pPr>
          </w:p>
        </w:tc>
        <w:tc>
          <w:tcPr>
            <w:tcW w:w="40" w:type="dxa"/>
            <w:vAlign w:val="bottom"/>
            <w:tcBorders>
              <w:top w:val="single" w:sz="8" w:color="auto"/>
            </w:tcBorders>
            <w:gridSpan w:val="2"/>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10" w:type="dxa"/>
            <w:vAlign w:val="bottom"/>
            <w:tcBorders>
              <w:top w:val="single" w:sz="8" w:color="auto"/>
            </w:tcBorders>
            <w:gridSpan w:val="2"/>
            <w:shd w:val="clear" w:color="auto" w:fill="CCEEFF"/>
          </w:tcPr>
          <w:p>
            <w:pPr>
              <w:spacing w:after="0"/>
              <w:rPr>
                <w:sz w:val="8"/>
                <w:szCs w:val="8"/>
                <w:color w:val="auto"/>
              </w:rPr>
            </w:pPr>
          </w:p>
        </w:tc>
        <w:tc>
          <w:tcPr>
            <w:tcW w:w="59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30" w:type="dxa"/>
            <w:vAlign w:val="bottom"/>
            <w:tcBorders>
              <w:top w:val="single" w:sz="8" w:color="auto"/>
            </w:tcBorders>
            <w:gridSpan w:val="2"/>
            <w:shd w:val="clear" w:color="auto" w:fill="CCEEFF"/>
          </w:tcPr>
          <w:p>
            <w:pPr>
              <w:spacing w:after="0"/>
              <w:rPr>
                <w:sz w:val="8"/>
                <w:szCs w:val="8"/>
                <w:color w:val="auto"/>
              </w:rPr>
            </w:pPr>
          </w:p>
        </w:tc>
        <w:tc>
          <w:tcPr>
            <w:tcW w:w="71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60"/>
        </w:trPr>
        <w:tc>
          <w:tcPr>
            <w:tcW w:w="2340" w:type="dxa"/>
            <w:vAlign w:val="bottom"/>
            <w:gridSpan w:val="2"/>
          </w:tcPr>
          <w:p>
            <w:pPr>
              <w:ind w:left="40"/>
              <w:spacing w:after="0"/>
              <w:rPr>
                <w:sz w:val="20"/>
                <w:szCs w:val="20"/>
                <w:color w:val="auto"/>
              </w:rPr>
            </w:pPr>
            <w:r>
              <w:rPr>
                <w:rFonts w:ascii="Arial" w:cs="Arial" w:eastAsia="Arial" w:hAnsi="Arial"/>
                <w:sz w:val="13"/>
                <w:szCs w:val="13"/>
                <w:color w:val="auto"/>
              </w:rPr>
              <w:t>Average loans</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304,401</w:t>
            </w:r>
          </w:p>
        </w:tc>
        <w:tc>
          <w:tcPr>
            <w:tcW w:w="40" w:type="dxa"/>
            <w:vAlign w:val="bottom"/>
          </w:tcPr>
          <w:p>
            <w:pPr>
              <w:spacing w:after="0"/>
              <w:rPr>
                <w:sz w:val="13"/>
                <w:szCs w:val="13"/>
                <w:color w:val="auto"/>
              </w:rPr>
            </w:pPr>
          </w:p>
        </w:tc>
        <w:tc>
          <w:tcPr>
            <w:tcW w:w="21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650" w:type="dxa"/>
            <w:vAlign w:val="bottom"/>
          </w:tcPr>
          <w:p>
            <w:pPr>
              <w:jc w:val="right"/>
              <w:spacing w:after="0"/>
              <w:rPr>
                <w:sz w:val="20"/>
                <w:szCs w:val="20"/>
                <w:color w:val="auto"/>
              </w:rPr>
            </w:pPr>
            <w:r>
              <w:rPr>
                <w:rFonts w:ascii="Arial" w:cs="Arial" w:eastAsia="Arial" w:hAnsi="Arial"/>
                <w:sz w:val="13"/>
                <w:szCs w:val="13"/>
                <w:color w:val="auto"/>
              </w:rPr>
              <w:t>1,170,204</w:t>
            </w:r>
          </w:p>
        </w:tc>
        <w:tc>
          <w:tcPr>
            <w:tcW w:w="40" w:type="dxa"/>
            <w:vAlign w:val="bottom"/>
          </w:tcPr>
          <w:p>
            <w:pPr>
              <w:spacing w:after="0"/>
              <w:rPr>
                <w:sz w:val="13"/>
                <w:szCs w:val="13"/>
                <w:color w:val="auto"/>
              </w:rPr>
            </w:pPr>
          </w:p>
        </w:tc>
        <w:tc>
          <w:tcPr>
            <w:tcW w:w="180" w:type="dxa"/>
            <w:vAlign w:val="bottom"/>
            <w:gridSpan w:val="5"/>
          </w:tcPr>
          <w:p>
            <w:pPr>
              <w:ind w:left="10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264,718</w:t>
            </w:r>
          </w:p>
        </w:tc>
        <w:tc>
          <w:tcPr>
            <w:tcW w:w="40" w:type="dxa"/>
            <w:vAlign w:val="bottom"/>
          </w:tcPr>
          <w:p>
            <w:pPr>
              <w:spacing w:after="0"/>
              <w:rPr>
                <w:sz w:val="13"/>
                <w:szCs w:val="13"/>
                <w:color w:val="auto"/>
              </w:rPr>
            </w:pPr>
          </w:p>
        </w:tc>
        <w:tc>
          <w:tcPr>
            <w:tcW w:w="21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890" w:type="dxa"/>
            <w:vAlign w:val="bottom"/>
            <w:gridSpan w:val="2"/>
          </w:tcPr>
          <w:p>
            <w:pPr>
              <w:jc w:val="right"/>
              <w:ind w:right="40"/>
              <w:spacing w:after="0"/>
              <w:rPr>
                <w:sz w:val="20"/>
                <w:szCs w:val="20"/>
                <w:color w:val="auto"/>
              </w:rPr>
            </w:pPr>
            <w:r>
              <w:rPr>
                <w:rFonts w:ascii="Arial" w:cs="Arial" w:eastAsia="Arial" w:hAnsi="Arial"/>
                <w:sz w:val="13"/>
                <w:szCs w:val="13"/>
                <w:color w:val="auto"/>
              </w:rPr>
              <w:t>95,724</w:t>
            </w:r>
          </w:p>
        </w:tc>
        <w:tc>
          <w:tcPr>
            <w:tcW w:w="190" w:type="dxa"/>
            <w:vAlign w:val="bottom"/>
            <w:gridSpan w:val="5"/>
          </w:tcPr>
          <w:p>
            <w:pPr>
              <w:jc w:val="right"/>
              <w:spacing w:after="0"/>
              <w:rPr>
                <w:sz w:val="20"/>
                <w:szCs w:val="20"/>
                <w:color w:val="auto"/>
              </w:rPr>
            </w:pPr>
            <w:r>
              <w:rPr>
                <w:rFonts w:ascii="Arial" w:cs="Arial" w:eastAsia="Arial" w:hAnsi="Arial"/>
                <w:sz w:val="13"/>
                <w:szCs w:val="13"/>
                <w:color w:val="auto"/>
              </w:rPr>
              <w:t>$</w:t>
            </w:r>
          </w:p>
        </w:tc>
        <w:tc>
          <w:tcPr>
            <w:tcW w:w="590" w:type="dxa"/>
            <w:vAlign w:val="bottom"/>
          </w:tcPr>
          <w:p>
            <w:pPr>
              <w:jc w:val="right"/>
              <w:spacing w:after="0"/>
              <w:rPr>
                <w:sz w:val="20"/>
                <w:szCs w:val="20"/>
                <w:color w:val="auto"/>
              </w:rPr>
            </w:pPr>
            <w:r>
              <w:rPr>
                <w:rFonts w:ascii="Arial" w:cs="Arial" w:eastAsia="Arial" w:hAnsi="Arial"/>
                <w:sz w:val="13"/>
                <w:szCs w:val="13"/>
                <w:color w:val="auto"/>
              </w:rPr>
              <w:t>213,145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 w:type="dxa"/>
            <w:vAlign w:val="bottom"/>
            <w:gridSpan w:val="3"/>
          </w:tcPr>
          <w:p>
            <w:pPr>
              <w:jc w:val="right"/>
              <w:ind w:right="30"/>
              <w:spacing w:after="0"/>
              <w:rPr>
                <w:sz w:val="20"/>
                <w:szCs w:val="20"/>
                <w:color w:val="auto"/>
              </w:rPr>
            </w:pPr>
            <w:r>
              <w:rPr>
                <w:rFonts w:ascii="Arial" w:cs="Arial" w:eastAsia="Arial" w:hAnsi="Arial"/>
                <w:sz w:val="13"/>
                <w:szCs w:val="13"/>
                <w:color w:val="auto"/>
              </w:rPr>
              <w:t>$</w:t>
            </w:r>
          </w:p>
        </w:tc>
        <w:tc>
          <w:tcPr>
            <w:tcW w:w="710" w:type="dxa"/>
            <w:vAlign w:val="bottom"/>
          </w:tcPr>
          <w:p>
            <w:pPr>
              <w:jc w:val="right"/>
              <w:spacing w:after="0"/>
              <w:rPr>
                <w:sz w:val="20"/>
                <w:szCs w:val="20"/>
                <w:color w:val="auto"/>
              </w:rPr>
            </w:pPr>
            <w:r>
              <w:rPr>
                <w:rFonts w:ascii="Arial" w:cs="Arial" w:eastAsia="Arial" w:hAnsi="Arial"/>
                <w:sz w:val="13"/>
                <w:szCs w:val="13"/>
                <w:color w:val="auto"/>
              </w:rPr>
              <w:t>2,048,192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3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Net charge-offs (recoveries) to average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5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85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59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1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92"/>
        </w:trPr>
        <w:tc>
          <w:tcPr>
            <w:tcW w:w="2320" w:type="dxa"/>
            <w:vAlign w:val="bottom"/>
            <w:shd w:val="clear" w:color="auto" w:fill="CCEEFF"/>
          </w:tcPr>
          <w:p>
            <w:pPr>
              <w:ind w:left="40"/>
              <w:spacing w:after="0" w:line="192"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6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 w:type="dxa"/>
            <w:vAlign w:val="bottom"/>
            <w:shd w:val="clear" w:color="auto" w:fill="CCEEFF"/>
          </w:tcPr>
          <w:p>
            <w:pPr>
              <w:spacing w:after="0"/>
              <w:rPr>
                <w:sz w:val="16"/>
                <w:szCs w:val="16"/>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0.69%</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77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0.07%</w:t>
            </w:r>
          </w:p>
        </w:tc>
        <w:tc>
          <w:tcPr>
            <w:tcW w:w="20" w:type="dxa"/>
            <w:vAlign w:val="bottom"/>
            <w:shd w:val="clear" w:color="auto" w:fill="CCEEFF"/>
          </w:tcPr>
          <w:p>
            <w:pPr>
              <w:spacing w:after="0"/>
              <w:rPr>
                <w:sz w:val="16"/>
                <w:szCs w:val="16"/>
                <w:color w:val="auto"/>
              </w:rPr>
            </w:pPr>
          </w:p>
        </w:tc>
      </w:tr>
    </w:tbl>
    <w:p>
      <w:pPr>
        <w:spacing w:after="0" w:line="171" w:lineRule="exact"/>
        <w:rPr>
          <w:sz w:val="20"/>
          <w:szCs w:val="20"/>
          <w:color w:val="auto"/>
        </w:rPr>
      </w:pPr>
    </w:p>
    <w:p>
      <w:pPr>
        <w:ind w:left="700" w:right="739" w:hanging="5"/>
        <w:spacing w:after="0" w:line="254" w:lineRule="auto"/>
        <w:tabs>
          <w:tab w:leader="none" w:pos="892"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Provision for credit losses excludes a $80 thousand provision due to unfunded commitments included in accrued interest and other liabilities and a $2 thousand release related to investment securities held to maturity.</w:t>
      </w:r>
    </w:p>
    <w:p>
      <w:pPr>
        <w:ind w:left="880" w:hanging="185"/>
        <w:spacing w:after="0"/>
        <w:tabs>
          <w:tab w:leader="none" w:pos="8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Annualized.</w:t>
      </w:r>
    </w:p>
    <w:p>
      <w:pPr>
        <w:spacing w:after="0" w:line="13" w:lineRule="exact"/>
        <w:rPr>
          <w:rFonts w:ascii="Arial" w:cs="Arial" w:eastAsia="Arial" w:hAnsi="Arial"/>
          <w:sz w:val="13"/>
          <w:szCs w:val="13"/>
          <w:color w:val="auto"/>
        </w:rPr>
      </w:pPr>
    </w:p>
    <w:p>
      <w:pPr>
        <w:ind w:left="700" w:right="999" w:hanging="5"/>
        <w:spacing w:after="0" w:line="269" w:lineRule="auto"/>
        <w:tabs>
          <w:tab w:leader="none" w:pos="892" w:val="left"/>
        </w:tabs>
        <w:numPr>
          <w:ilvl w:val="0"/>
          <w:numId w:val="25"/>
        </w:numPr>
        <w:rPr>
          <w:rFonts w:ascii="Arial" w:cs="Arial" w:eastAsia="Arial" w:hAnsi="Arial"/>
          <w:sz w:val="13"/>
          <w:szCs w:val="13"/>
          <w:color w:val="auto"/>
        </w:rPr>
      </w:pPr>
      <w:r>
        <w:rPr>
          <w:rFonts w:ascii="Arial" w:cs="Arial" w:eastAsia="Arial" w:hAnsi="Arial"/>
          <w:sz w:val="13"/>
          <w:szCs w:val="13"/>
          <w:color w:val="auto"/>
        </w:rPr>
        <w:t>Provision for credit losses excludes a $224 thousand provision due to unfunded commitments included in accrued interest and other liabilities and a $1 thousand release related to investment securities held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43" w:name="page44"/>
    <w:bookmarkEnd w:id="4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Commercial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Residential</w:t>
            </w:r>
          </w:p>
        </w:tc>
        <w:tc>
          <w:tcPr>
            <w:tcW w:w="6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Commercial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and</w:t>
            </w:r>
          </w:p>
        </w:tc>
        <w:tc>
          <w:tcPr>
            <w:tcW w:w="8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rPr>
              <w:t>Correspondent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93"/>
              </w:rPr>
              <w:t>Consumer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w w:val="99"/>
              </w:rPr>
              <w:t>Real Estate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w w:val="96"/>
              </w:rPr>
              <w:t>Real Estate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16"/>
              <w:spacing w:after="0"/>
              <w:rPr>
                <w:sz w:val="20"/>
                <w:szCs w:val="20"/>
                <w:color w:val="auto"/>
              </w:rPr>
            </w:pPr>
            <w:r>
              <w:rPr>
                <w:rFonts w:ascii="Arial" w:cs="Arial" w:eastAsia="Arial" w:hAnsi="Arial"/>
                <w:sz w:val="13"/>
                <w:szCs w:val="13"/>
                <w:b w:val="1"/>
                <w:bCs w:val="1"/>
                <w:color w:val="auto"/>
                <w:w w:val="99"/>
              </w:rPr>
              <w:t>Industrial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56"/>
              <w:spacing w:after="0"/>
              <w:rPr>
                <w:sz w:val="20"/>
                <w:szCs w:val="20"/>
                <w:color w:val="auto"/>
              </w:rPr>
            </w:pPr>
            <w:r>
              <w:rPr>
                <w:rFonts w:ascii="Arial" w:cs="Arial" w:eastAsia="Arial" w:hAnsi="Arial"/>
                <w:sz w:val="13"/>
                <w:szCs w:val="13"/>
                <w:b w:val="1"/>
                <w:bCs w:val="1"/>
                <w:color w:val="auto"/>
              </w:rPr>
              <w:t>Banks</w:t>
            </w:r>
          </w:p>
        </w:tc>
        <w:tc>
          <w:tcPr>
            <w:tcW w:w="140" w:type="dxa"/>
            <w:vAlign w:val="bottom"/>
          </w:tcPr>
          <w:p>
            <w:pPr>
              <w:spacing w:after="0"/>
              <w:rPr>
                <w:sz w:val="13"/>
                <w:szCs w:val="13"/>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b w:val="1"/>
                <w:bCs w:val="1"/>
                <w:color w:val="auto"/>
                <w:w w:val="94"/>
              </w:rPr>
              <w:t>and Other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Borders>
              <w:top w:val="single" w:sz="8" w:color="auto"/>
              <w:left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lef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Arial" w:cs="Arial" w:eastAsia="Arial" w:hAnsi="Arial"/>
                <w:sz w:val="13"/>
                <w:szCs w:val="13"/>
                <w:color w:val="auto"/>
              </w:rPr>
              <w:t>Beginning balance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3,193</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10,272</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4,747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892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3,126</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22,230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00" w:type="dxa"/>
            <w:vAlign w:val="bottom"/>
            <w:shd w:val="clear" w:color="auto" w:fill="CCEEFF"/>
          </w:tcPr>
          <w:p>
            <w:pPr>
              <w:spacing w:after="0" w:line="181"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(1)</w:t>
            </w:r>
          </w:p>
        </w:tc>
        <w:tc>
          <w:tcPr>
            <w:tcW w:w="120" w:type="dxa"/>
            <w:vAlign w:val="bottom"/>
            <w:tcBorders>
              <w:left w:val="single" w:sz="8" w:color="CCEEFF"/>
            </w:tcBorders>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20" w:type="dxa"/>
            <w:vAlign w:val="bottom"/>
            <w:gridSpan w:val="2"/>
          </w:tcPr>
          <w:p>
            <w:pPr>
              <w:spacing w:after="0"/>
              <w:rPr>
                <w:sz w:val="20"/>
                <w:szCs w:val="20"/>
                <w:color w:val="auto"/>
              </w:rPr>
            </w:pPr>
            <w:r>
              <w:rPr>
                <w:rFonts w:ascii="Arial" w:cs="Arial" w:eastAsia="Arial" w:hAnsi="Arial"/>
                <w:sz w:val="13"/>
                <w:szCs w:val="13"/>
                <w:color w:val="auto"/>
              </w:rPr>
              <w:t>Recoveries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12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EEFF"/>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32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3,955</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10,186</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4,661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823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3,442</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23,067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23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left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2300" w:type="dxa"/>
            <w:vAlign w:val="bottom"/>
          </w:tcPr>
          <w:p>
            <w:pPr>
              <w:spacing w:after="0"/>
              <w:rPr>
                <w:sz w:val="20"/>
                <w:szCs w:val="20"/>
                <w:color w:val="auto"/>
              </w:rPr>
            </w:pPr>
            <w:r>
              <w:rPr>
                <w:rFonts w:ascii="Arial" w:cs="Arial" w:eastAsia="Arial" w:hAnsi="Arial"/>
                <w:sz w:val="13"/>
                <w:szCs w:val="13"/>
                <w:color w:val="auto"/>
              </w:rPr>
              <w:t>Average loans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238,113</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1,093,599</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238,331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105,388</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202,799</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1,878,230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w w:val="99"/>
              </w:rPr>
              <w:t>Net charge-offs (recoveries) to average</w:t>
            </w:r>
          </w:p>
        </w:tc>
        <w:tc>
          <w:tcPr>
            <w:tcW w:w="12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tcBorders>
              <w:left w:val="single" w:sz="8" w:color="CCEEFF"/>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00" w:type="dxa"/>
            <w:vAlign w:val="bottom"/>
            <w:shd w:val="clear" w:color="auto" w:fill="CCEEFF"/>
          </w:tcPr>
          <w:p>
            <w:pPr>
              <w:spacing w:after="0" w:line="192"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(2)</w:t>
            </w:r>
          </w:p>
        </w:tc>
        <w:tc>
          <w:tcPr>
            <w:tcW w:w="120" w:type="dxa"/>
            <w:vAlign w:val="bottom"/>
            <w:tcBorders>
              <w:lef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60"/>
        </w:trPr>
        <w:tc>
          <w:tcPr>
            <w:tcW w:w="23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Nine Months Ended September 30,</w:t>
            </w:r>
          </w:p>
        </w:tc>
        <w:tc>
          <w:tcPr>
            <w:tcW w:w="12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tcBorders>
              <w:left w:val="single" w:sz="8" w:color="CCEEFF"/>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left w:val="single" w:sz="8" w:color="CCEEFF"/>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tcBorders>
              <w:left w:val="single" w:sz="8" w:color="CCEEFF"/>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32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2,695</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10,366</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3,974</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911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3,138</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21,084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00" w:type="dxa"/>
            <w:vAlign w:val="bottom"/>
            <w:shd w:val="clear" w:color="auto" w:fill="CCEEFF"/>
          </w:tcPr>
          <w:p>
            <w:pPr>
              <w:spacing w:after="0" w:line="192" w:lineRule="exact"/>
              <w:rPr>
                <w:sz w:val="20"/>
                <w:szCs w:val="20"/>
                <w:color w:val="auto"/>
              </w:rPr>
            </w:pPr>
            <w:r>
              <w:rPr>
                <w:rFonts w:ascii="Arial" w:cs="Arial" w:eastAsia="Arial" w:hAnsi="Arial"/>
                <w:sz w:val="13"/>
                <w:szCs w:val="13"/>
                <w:color w:val="auto"/>
              </w:rPr>
              <w:t xml:space="preserve">Provision for credit losses </w:t>
            </w:r>
            <w:r>
              <w:rPr>
                <w:rFonts w:ascii="Arial" w:cs="Arial" w:eastAsia="Arial" w:hAnsi="Arial"/>
                <w:sz w:val="17"/>
                <w:szCs w:val="17"/>
                <w:color w:val="auto"/>
                <w:vertAlign w:val="superscript"/>
              </w:rPr>
              <w:t>(3)</w:t>
            </w:r>
          </w:p>
        </w:tc>
        <w:tc>
          <w:tcPr>
            <w:tcW w:w="120" w:type="dxa"/>
            <w:vAlign w:val="bottom"/>
            <w:tcBorders>
              <w:lef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1,252</w:t>
            </w:r>
          </w:p>
        </w:tc>
        <w:tc>
          <w:tcPr>
            <w:tcW w:w="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60" w:type="dxa"/>
            <w:vAlign w:val="bottom"/>
            <w:tcBorders>
              <w:left w:val="single" w:sz="8" w:color="CCEEFF"/>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c>
          <w:tcPr>
            <w:tcW w:w="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Arial" w:cs="Arial" w:eastAsia="Arial" w:hAnsi="Arial"/>
                <w:sz w:val="13"/>
                <w:szCs w:val="13"/>
                <w:color w:val="auto"/>
              </w:rPr>
              <w:t>Recoveries</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12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EEFF"/>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2320" w:type="dxa"/>
            <w:vAlign w:val="bottom"/>
            <w:gridSpan w:val="2"/>
            <w:vMerge w:val="restart"/>
          </w:tcPr>
          <w:p>
            <w:pPr>
              <w:spacing w:after="0"/>
              <w:rPr>
                <w:sz w:val="20"/>
                <w:szCs w:val="20"/>
                <w:color w:val="auto"/>
              </w:rPr>
            </w:pPr>
            <w:r>
              <w:rPr>
                <w:rFonts w:ascii="Arial" w:cs="Arial" w:eastAsia="Arial" w:hAnsi="Arial"/>
                <w:sz w:val="13"/>
                <w:szCs w:val="13"/>
                <w:color w:val="auto"/>
              </w:rPr>
              <w:t>Ending Balance</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32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3,955</w:t>
            </w:r>
          </w:p>
        </w:tc>
        <w:tc>
          <w:tcPr>
            <w:tcW w:w="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10,186</w:t>
            </w: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4,661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823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3,442</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23,067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left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320" w:type="dxa"/>
            <w:vAlign w:val="bottom"/>
            <w:gridSpan w:val="2"/>
          </w:tcPr>
          <w:p>
            <w:pPr>
              <w:spacing w:after="0"/>
              <w:rPr>
                <w:sz w:val="20"/>
                <w:szCs w:val="20"/>
                <w:color w:val="auto"/>
              </w:rPr>
            </w:pPr>
            <w:r>
              <w:rPr>
                <w:rFonts w:ascii="Arial" w:cs="Arial" w:eastAsia="Arial" w:hAnsi="Arial"/>
                <w:sz w:val="13"/>
                <w:szCs w:val="13"/>
                <w:color w:val="auto"/>
              </w:rPr>
              <w:t>Average loans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231,947</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1,065,280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232,160</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102,659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197,547</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1,829,593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w w:val="99"/>
              </w:rPr>
              <w:t>Net charge-offs (recoveries) to average</w:t>
            </w:r>
          </w:p>
        </w:tc>
        <w:tc>
          <w:tcPr>
            <w:tcW w:w="12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tcBorders>
              <w:left w:val="single" w:sz="8" w:color="CCEEFF"/>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00" w:type="dxa"/>
            <w:vAlign w:val="bottom"/>
            <w:shd w:val="clear" w:color="auto" w:fill="CCEEFF"/>
          </w:tcPr>
          <w:p>
            <w:pPr>
              <w:spacing w:after="0" w:line="192" w:lineRule="exact"/>
              <w:rPr>
                <w:sz w:val="20"/>
                <w:szCs w:val="20"/>
                <w:color w:val="auto"/>
              </w:rPr>
            </w:pPr>
            <w:r>
              <w:rPr>
                <w:rFonts w:ascii="Arial" w:cs="Arial" w:eastAsia="Arial" w:hAnsi="Arial"/>
                <w:sz w:val="13"/>
                <w:szCs w:val="13"/>
                <w:color w:val="auto"/>
              </w:rPr>
              <w:t xml:space="preserve">loans </w:t>
            </w:r>
            <w:r>
              <w:rPr>
                <w:rFonts w:ascii="Arial" w:cs="Arial" w:eastAsia="Arial" w:hAnsi="Arial"/>
                <w:sz w:val="17"/>
                <w:szCs w:val="17"/>
                <w:color w:val="auto"/>
                <w:vertAlign w:val="superscript"/>
              </w:rPr>
              <w:t>(2)</w:t>
            </w:r>
          </w:p>
        </w:tc>
        <w:tc>
          <w:tcPr>
            <w:tcW w:w="120" w:type="dxa"/>
            <w:vAlign w:val="bottom"/>
            <w:tcBorders>
              <w:lef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660" w:right="699" w:firstLine="3"/>
        <w:spacing w:after="0" w:line="246" w:lineRule="auto"/>
        <w:tabs>
          <w:tab w:leader="none" w:pos="852"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Provision for credit losses excludes a $101 thousand provision due to unfunded commitments included in accrued interest and other liabilities and a $1 thousand release related to investment securities held to maturity.</w:t>
      </w:r>
    </w:p>
    <w:p>
      <w:pPr>
        <w:ind w:left="860" w:hanging="197"/>
        <w:spacing w:after="0"/>
        <w:tabs>
          <w:tab w:leader="none" w:pos="8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Annualized.</w:t>
      </w:r>
    </w:p>
    <w:p>
      <w:pPr>
        <w:spacing w:after="0" w:line="10" w:lineRule="exact"/>
        <w:rPr>
          <w:rFonts w:ascii="Arial" w:cs="Arial" w:eastAsia="Arial" w:hAnsi="Arial"/>
          <w:sz w:val="13"/>
          <w:szCs w:val="13"/>
          <w:color w:val="auto"/>
        </w:rPr>
      </w:pPr>
    </w:p>
    <w:p>
      <w:pPr>
        <w:ind w:left="860" w:hanging="197"/>
        <w:spacing w:after="0"/>
        <w:tabs>
          <w:tab w:leader="none" w:pos="8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Provision for credit losses excludes $159 thousand provision due to unfunded commitments included in accrued interest.</w:t>
      </w:r>
    </w:p>
    <w:p>
      <w:pPr>
        <w:spacing w:after="0" w:line="159"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The Federal Open Market Committee (“FOMC”) economic forecasts as of September 30, 2025, showed moderate improvement in the forecast for real GDP an slight improvement in unemployment rate. Fannie Mae House Price Index (“HPI”) forecast reflected a deterioration in national housing prices. The Company continued to adjust the HPI index effect on the 1-4 Family loan portfolio with a qualitative factor because Florida housing prices are performing better than national levels. The Q-factor scorecard was updated based on the latest portfolio stress test and the resulting maximum loss calculation.</w:t>
      </w:r>
    </w:p>
    <w:p>
      <w:pPr>
        <w:spacing w:after="0" w:line="127" w:lineRule="exact"/>
        <w:rPr>
          <w:sz w:val="20"/>
          <w:szCs w:val="20"/>
          <w:color w:val="auto"/>
        </w:rPr>
      </w:pPr>
    </w:p>
    <w:p>
      <w:pPr>
        <w:jc w:val="both"/>
        <w:ind w:left="660" w:right="679" w:firstLine="256"/>
        <w:spacing w:after="0" w:line="252" w:lineRule="auto"/>
        <w:rPr>
          <w:sz w:val="20"/>
          <w:szCs w:val="20"/>
          <w:color w:val="auto"/>
        </w:rPr>
      </w:pPr>
      <w:r>
        <w:rPr>
          <w:rFonts w:ascii="Arial" w:cs="Arial" w:eastAsia="Arial" w:hAnsi="Arial"/>
          <w:sz w:val="14"/>
          <w:szCs w:val="14"/>
          <w:color w:val="auto"/>
        </w:rPr>
        <w:t>Our ACL included residential loans. To assess the potential impact of changes in qualitative factors related to these loans, management performed a sensitivity analysis. The Company evaluated the impact of the HPI used in calculating expected losses on the residential loan segment. As of September 30, 2025, for every 100 basis points increase in the HPI, the forecast reduces reserves by approximately $380 thousand and about 2 basis points to the reserve coverage ratio, everything else being constant. This sensitivity analysis provides a hypothetical result to assess the sensitivity of the ACL and does not represent a change in management’s judgement.</w:t>
      </w:r>
    </w:p>
    <w:p>
      <w:pPr>
        <w:spacing w:after="0" w:line="138" w:lineRule="exact"/>
        <w:rPr>
          <w:sz w:val="20"/>
          <w:szCs w:val="20"/>
          <w:color w:val="auto"/>
        </w:rPr>
      </w:pPr>
    </w:p>
    <w:p>
      <w:pPr>
        <w:jc w:val="both"/>
        <w:ind w:left="660" w:right="659" w:firstLine="256"/>
        <w:spacing w:after="0" w:line="251" w:lineRule="auto"/>
        <w:rPr>
          <w:sz w:val="20"/>
          <w:szCs w:val="20"/>
          <w:color w:val="auto"/>
        </w:rPr>
      </w:pPr>
      <w:r>
        <w:rPr>
          <w:rFonts w:ascii="Arial" w:cs="Arial" w:eastAsia="Arial" w:hAnsi="Arial"/>
          <w:sz w:val="14"/>
          <w:szCs w:val="14"/>
          <w:color w:val="auto"/>
        </w:rPr>
        <w:t>As of September 30, 2025, we stress tested two qualitative factors in our commercial real estate loan pool, as it is the largest segment in our portfolio. We evaluated the impact of a change in the qualitative factors from no risk to maximum loss to measure the sensitivity of the qualitative factors. The change from no risk to high risk resulted in a $9.1 million or 35.5% increase in the ACL. This sensitivity analysis provides a hypothetical result to assess the sensitivity of the ACL and does not represent a change in management’s judgement.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Bank-Owned Life Insurance</w:t>
      </w:r>
    </w:p>
    <w:p>
      <w:pPr>
        <w:spacing w:after="0" w:line="159"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As of September 30, 2025, the combined cash surrender value of all bank-owned life insurance (“BOLI”) policies was $58.9 million. Changes in cash surrender value are recorded to other non-interest income in the unaudited Consolidated Statements of Operations. The Company has BOLI policies with five insurance carriers. The Company is the beneficiary of these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44" w:name="page45"/>
    <w:bookmarkEnd w:id="4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Deposits</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Customer deposits are the primary funding source for the Bank’s growth. Through our network of banking centers, we offer a competitive array of deposit accounts and treasury management services designed to meet our customers’ business needs. Our primary deposit customers are small-to-medium sized businesses (“SMBs”), and the personal business of the owners and operators of these SMBs, as well as the retail/consumer relationships of the employees of these businesses.</w:t>
      </w:r>
    </w:p>
    <w:p>
      <w:pPr>
        <w:spacing w:after="0" w:line="137"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color w:val="auto"/>
        </w:rPr>
        <w:t>The following table presents the daily average balance and average rate paid on deposits by category for the periods presented (in thousands, except ratios):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3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3"/>
                <w:szCs w:val="13"/>
                <w:b w:val="1"/>
                <w:bCs w:val="1"/>
                <w:color w:val="auto"/>
                <w:w w:val="97"/>
              </w:rPr>
              <w:t>Three Months Ended September 30,</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3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2025</w:t>
            </w:r>
          </w:p>
        </w:tc>
        <w:tc>
          <w:tcPr>
            <w:tcW w:w="9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2024</w:t>
            </w: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Average Rate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Average Rate</w:t>
            </w:r>
          </w:p>
        </w:tc>
      </w:tr>
      <w:tr>
        <w:trPr>
          <w:trHeight w:val="160"/>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Average Balance</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Paid</w:t>
            </w:r>
          </w:p>
        </w:tc>
        <w:tc>
          <w:tcPr>
            <w:tcW w:w="20" w:type="dxa"/>
            <w:vAlign w:val="bottom"/>
          </w:tcPr>
          <w:p>
            <w:pPr>
              <w:spacing w:after="0"/>
              <w:rPr>
                <w:sz w:val="13"/>
                <w:szCs w:val="13"/>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9"/>
              </w:rPr>
              <w:t>Average Balance</w:t>
            </w:r>
          </w:p>
        </w:tc>
        <w:tc>
          <w:tcPr>
            <w:tcW w:w="9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Paid</w:t>
            </w:r>
          </w:p>
        </w:tc>
      </w:tr>
      <w:tr>
        <w:trPr>
          <w:trHeight w:val="140"/>
        </w:trPr>
        <w:tc>
          <w:tcPr>
            <w:tcW w:w="320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Non-interest bearing demand deposits</w:t>
            </w:r>
          </w:p>
        </w:tc>
        <w:tc>
          <w:tcPr>
            <w:tcW w:w="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569,522</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0.00%</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609,456</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0.00%</w:t>
            </w:r>
          </w:p>
        </w:tc>
        <w:tc>
          <w:tcPr>
            <w:tcW w:w="20" w:type="dxa"/>
            <w:vAlign w:val="bottom"/>
            <w:shd w:val="clear" w:color="auto" w:fill="CCEEFF"/>
          </w:tcPr>
          <w:p>
            <w:pPr>
              <w:spacing w:after="0"/>
              <w:rPr>
                <w:sz w:val="12"/>
                <w:szCs w:val="12"/>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3"/>
                <w:szCs w:val="13"/>
                <w:color w:val="auto"/>
              </w:rPr>
              <w:t>Interest-bearing demand deposits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47,338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57,925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2.82%</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Saving and money market deposits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1,319,862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1,084,562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20" w:type="dxa"/>
            <w:vAlign w:val="bottom"/>
            <w:shd w:val="clear" w:color="auto" w:fill="CCEEFF"/>
          </w:tcPr>
          <w:p>
            <w:pPr>
              <w:spacing w:after="0"/>
              <w:rPr>
                <w:sz w:val="14"/>
                <w:szCs w:val="14"/>
                <w:color w:val="auto"/>
              </w:rPr>
            </w:pPr>
          </w:p>
        </w:tc>
      </w:tr>
      <w:tr>
        <w:trPr>
          <w:trHeight w:val="169"/>
        </w:trPr>
        <w:tc>
          <w:tcPr>
            <w:tcW w:w="3200" w:type="dxa"/>
            <w:vAlign w:val="bottom"/>
          </w:tcPr>
          <w:p>
            <w:pPr>
              <w:spacing w:after="0"/>
              <w:rPr>
                <w:sz w:val="20"/>
                <w:szCs w:val="20"/>
                <w:color w:val="auto"/>
              </w:rPr>
            </w:pPr>
            <w:r>
              <w:rPr>
                <w:rFonts w:ascii="Arial" w:cs="Arial" w:eastAsia="Arial" w:hAnsi="Arial"/>
                <w:sz w:val="13"/>
                <w:szCs w:val="13"/>
                <w:color w:val="auto"/>
              </w:rPr>
              <w:t>Time deposits</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520,345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3.84%</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325,580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4.14%</w:t>
            </w:r>
          </w:p>
        </w:tc>
        <w:tc>
          <w:tcPr>
            <w:tcW w:w="20" w:type="dxa"/>
            <w:vAlign w:val="bottom"/>
          </w:tcPr>
          <w:p>
            <w:pPr>
              <w:spacing w:after="0"/>
              <w:rPr>
                <w:sz w:val="14"/>
                <w:szCs w:val="14"/>
                <w:color w:val="auto"/>
              </w:rPr>
            </w:pPr>
          </w:p>
        </w:tc>
      </w:tr>
      <w:tr>
        <w:trPr>
          <w:trHeight w:val="141"/>
        </w:trPr>
        <w:tc>
          <w:tcPr>
            <w:tcW w:w="3200" w:type="dxa"/>
            <w:vAlign w:val="bottom"/>
            <w:tcBorders>
              <w:top w:val="single" w:sz="8" w:color="CCEEFF"/>
            </w:tcBorders>
            <w:shd w:val="clear" w:color="auto" w:fill="CCEEFF"/>
          </w:tcPr>
          <w:p>
            <w:pPr>
              <w:ind w:left="200"/>
              <w:spacing w:after="0" w:line="141" w:lineRule="exact"/>
              <w:rPr>
                <w:sz w:val="20"/>
                <w:szCs w:val="20"/>
                <w:color w:val="auto"/>
              </w:rPr>
            </w:pPr>
            <w:r>
              <w:rPr>
                <w:rFonts w:ascii="Arial" w:cs="Arial" w:eastAsia="Arial" w:hAnsi="Arial"/>
                <w:sz w:val="13"/>
                <w:szCs w:val="13"/>
                <w:color w:val="auto"/>
              </w:rPr>
              <w:t>Total</w:t>
            </w: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2,457,067</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2.53%</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5"/>
                <w:szCs w:val="5"/>
                <w:color w:val="auto"/>
                <w:w w:val="70"/>
              </w:rPr>
              <w:t>$</w:t>
            </w:r>
          </w:p>
        </w:tc>
        <w:tc>
          <w:tcPr>
            <w:tcW w:w="8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2,077,523</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2.66%</w:t>
            </w:r>
          </w:p>
        </w:tc>
      </w:tr>
      <w:tr>
        <w:trPr>
          <w:trHeight w:val="20"/>
        </w:trPr>
        <w:tc>
          <w:tcPr>
            <w:tcW w:w="3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6" w:lineRule="exact"/>
        <w:rPr>
          <w:sz w:val="20"/>
          <w:szCs w:val="20"/>
          <w:color w:val="auto"/>
        </w:rPr>
      </w:pPr>
    </w:p>
    <w:p>
      <w:pPr>
        <w:jc w:val="both"/>
        <w:ind w:left="660" w:right="659" w:firstLine="256"/>
        <w:spacing w:after="0" w:line="252" w:lineRule="auto"/>
        <w:rPr>
          <w:sz w:val="20"/>
          <w:szCs w:val="20"/>
          <w:color w:val="auto"/>
        </w:rPr>
      </w:pPr>
      <w:r>
        <w:rPr>
          <w:rFonts w:ascii="Arial" w:cs="Arial" w:eastAsia="Arial" w:hAnsi="Arial"/>
          <w:sz w:val="14"/>
          <w:szCs w:val="14"/>
          <w:color w:val="auto"/>
        </w:rPr>
        <w:t>The Company has a granular deposit portfolio with outstanding balances comprised of 57% in commercial deposits, 27% in personal deposits, 6% in public funds (which are partially collateralized) and 10% in brokered deposits. The brokered deposits balance at September 30, 2025 was $235.5 million and $133.0 million at December 31, 2024. This increase was primarily driven by a $100 million aggregate notional amount associated with two costless collar hedges executed during the third quarter of 2025.These costless hedges enhance the Company’s interest rate risk management strategy by mitigating the impact of rate movements on future cash flows.</w:t>
      </w:r>
    </w:p>
    <w:p>
      <w:pPr>
        <w:spacing w:after="0" w:line="138"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As of September 30, 2025, the Company has approximately 21 thousand deposit accounts with the majority of which were personal accounts, approximately 13 thousand or 61.7%. The estimated average account size in our deposit portfolio was approximately $119 thousand as of September 30, 2025.</w:t>
      </w:r>
    </w:p>
    <w:p>
      <w:pPr>
        <w:spacing w:after="0" w:line="134"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The amount of uninsured deposits are estimated based on the FDIC deposit insurance limit of $250 thousand per account holder for all deposit accounts at the Company. The total estimated percentage of uninsured deposits was 53% at September 30, 2025 and 55% at December 31, 2024. The Company offers Insured Cash Sweep (“ICS”) and Certificate of Deposit Account Registry Service (“CDARS”) deposit products to fully insure our clients. The deposit balance in ICS/CDARS was $183.9 million at September 30, 2025 and was $129.5 million at December 31, 2024.</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shows scheduled maturities of uninsured time deposits as of September 30, 2025 (in thousands):</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5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3"/>
          </w:tcPr>
          <w:p>
            <w:pPr>
              <w:ind w:left="80"/>
              <w:spacing w:after="0"/>
              <w:rPr>
                <w:sz w:val="20"/>
                <w:szCs w:val="20"/>
                <w:color w:val="auto"/>
              </w:rPr>
            </w:pPr>
            <w:r>
              <w:rPr>
                <w:rFonts w:ascii="Arial" w:cs="Arial" w:eastAsia="Arial" w:hAnsi="Arial"/>
                <w:sz w:val="13"/>
                <w:szCs w:val="13"/>
                <w:b w:val="1"/>
                <w:bCs w:val="1"/>
                <w:color w:val="auto"/>
              </w:rPr>
              <w:t>September 30, 2025</w:t>
            </w:r>
          </w:p>
        </w:tc>
      </w:tr>
      <w:tr>
        <w:trPr>
          <w:trHeight w:val="149"/>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Three months or less</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68,923</w:t>
            </w:r>
          </w:p>
        </w:tc>
        <w:tc>
          <w:tcPr>
            <w:tcW w:w="2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60"/>
        </w:trPr>
        <w:tc>
          <w:tcPr>
            <w:tcW w:w="5900" w:type="dxa"/>
            <w:vAlign w:val="bottom"/>
          </w:tcPr>
          <w:p>
            <w:pPr>
              <w:spacing w:after="0"/>
              <w:rPr>
                <w:sz w:val="20"/>
                <w:szCs w:val="20"/>
                <w:color w:val="auto"/>
              </w:rPr>
            </w:pPr>
            <w:r>
              <w:rPr>
                <w:rFonts w:ascii="Arial" w:cs="Arial" w:eastAsia="Arial" w:hAnsi="Arial"/>
                <w:sz w:val="13"/>
                <w:szCs w:val="13"/>
                <w:color w:val="auto"/>
              </w:rPr>
              <w:t>Over three through six months</w:t>
            </w:r>
          </w:p>
        </w:tc>
        <w:tc>
          <w:tcPr>
            <w:tcW w:w="1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24,033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Over six though twelve months</w:t>
            </w:r>
          </w:p>
        </w:tc>
        <w:tc>
          <w:tcPr>
            <w:tcW w:w="18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0"/>
        </w:trPr>
        <w:tc>
          <w:tcPr>
            <w:tcW w:w="59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Over twelve months</w:t>
            </w: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38,097</w:t>
            </w:r>
          </w:p>
        </w:tc>
        <w:tc>
          <w:tcPr>
            <w:tcW w:w="20" w:type="dxa"/>
            <w:vAlign w:val="bottom"/>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51"/>
        </w:trPr>
        <w:tc>
          <w:tcPr>
            <w:tcW w:w="59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140,976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Liabilities</w:t>
      </w:r>
    </w:p>
    <w:p>
      <w:pPr>
        <w:spacing w:after="0" w:line="170" w:lineRule="exact"/>
        <w:rPr>
          <w:sz w:val="20"/>
          <w:szCs w:val="20"/>
          <w:color w:val="auto"/>
        </w:rPr>
      </w:pPr>
    </w:p>
    <w:p>
      <w:pPr>
        <w:ind w:left="660" w:right="779" w:firstLine="256"/>
        <w:spacing w:after="0" w:line="256" w:lineRule="auto"/>
        <w:rPr>
          <w:sz w:val="20"/>
          <w:szCs w:val="20"/>
          <w:color w:val="auto"/>
        </w:rPr>
      </w:pPr>
      <w:r>
        <w:rPr>
          <w:rFonts w:ascii="Arial" w:cs="Arial" w:eastAsia="Arial" w:hAnsi="Arial"/>
          <w:sz w:val="14"/>
          <w:szCs w:val="14"/>
          <w:color w:val="auto"/>
        </w:rPr>
        <w:t>The Company collects from commercial and residential loan customers funds which are held in escrow for future payment of real estate taxes and insurance. These escrow funds are disbursed by the Company directly to the insurance companies and taxing authority of the borrower. Escrow funds are recorded as accrued interest and other liabilities in the consolidated balance sheet.</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of September 30, 2025, escrow balances totaled $29.2 million compared to $6.1 million at December 31, 2024.</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increase reflects the normal growth in escrow accounts pending tax and insurance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45" w:name="page46"/>
    <w:bookmarkEnd w:id="4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Borrowings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FHLB Advances</w:t>
      </w:r>
    </w:p>
    <w:p>
      <w:pPr>
        <w:spacing w:after="0" w:line="157"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As a member of the FHLB of Atlanta, we are eligible to obtain advances with various terms and conditions. This accessibility to additional funding allows us to efficiently and timely meet both expected and unexpected outgoing cash flows and collateral needs without adversely affecting either daily operations or the financial condition of the Company.</w:t>
      </w:r>
    </w:p>
    <w:p>
      <w:pPr>
        <w:spacing w:after="0" w:line="128"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As of September 30, 2025, we had $11.0 million of fixed-rate advances outstanding from the FHLB with a weighted average rate of 3.76% maturing in 2028 as detailed in the table below.</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the FHLB advances as of September 30, 2025 (in thousands):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60"/>
        </w:trPr>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98"/>
              </w:rPr>
              <w:t>Interest Rate</w:t>
            </w:r>
          </w:p>
        </w:tc>
        <w:tc>
          <w:tcPr>
            <w:tcW w:w="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Type of Rate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40" w:type="dxa"/>
            <w:vAlign w:val="bottom"/>
            <w:gridSpan w:val="4"/>
          </w:tcPr>
          <w:p>
            <w:pPr>
              <w:jc w:val="center"/>
              <w:ind w:right="156"/>
              <w:spacing w:after="0"/>
              <w:rPr>
                <w:sz w:val="20"/>
                <w:szCs w:val="20"/>
                <w:color w:val="auto"/>
              </w:rPr>
            </w:pPr>
            <w:r>
              <w:rPr>
                <w:rFonts w:ascii="Arial" w:cs="Arial" w:eastAsia="Arial" w:hAnsi="Arial"/>
                <w:sz w:val="13"/>
                <w:szCs w:val="13"/>
                <w:b w:val="1"/>
                <w:bCs w:val="1"/>
                <w:color w:val="auto"/>
                <w:w w:val="97"/>
              </w:rPr>
              <w:t>Maturity Date</w:t>
            </w:r>
          </w:p>
        </w:tc>
        <w:tc>
          <w:tcPr>
            <w:tcW w:w="2120" w:type="dxa"/>
            <w:vAlign w:val="bottom"/>
            <w:gridSpan w:val="2"/>
          </w:tcPr>
          <w:p>
            <w:pPr>
              <w:ind w:left="800"/>
              <w:spacing w:after="0"/>
              <w:rPr>
                <w:sz w:val="20"/>
                <w:szCs w:val="20"/>
                <w:color w:val="auto"/>
              </w:rPr>
            </w:pPr>
            <w:r>
              <w:rPr>
                <w:rFonts w:ascii="Arial" w:cs="Arial" w:eastAsia="Arial" w:hAnsi="Arial"/>
                <w:sz w:val="13"/>
                <w:szCs w:val="13"/>
                <w:b w:val="1"/>
                <w:bCs w:val="1"/>
                <w:color w:val="auto"/>
              </w:rPr>
              <w:t>Amount</w:t>
            </w:r>
          </w:p>
        </w:tc>
      </w:tr>
      <w:tr>
        <w:trPr>
          <w:trHeight w:val="140"/>
        </w:trPr>
        <w:tc>
          <w:tcPr>
            <w:tcW w:w="2060" w:type="dxa"/>
            <w:vAlign w:val="bottom"/>
            <w:tcBorders>
              <w:top w:val="single" w:sz="8" w:color="auto"/>
            </w:tcBorders>
            <w:shd w:val="clear" w:color="auto" w:fill="CCEEFF"/>
          </w:tcPr>
          <w:p>
            <w:pPr>
              <w:jc w:val="right"/>
              <w:ind w:right="776"/>
              <w:spacing w:after="0" w:line="140" w:lineRule="exact"/>
              <w:rPr>
                <w:sz w:val="20"/>
                <w:szCs w:val="20"/>
                <w:color w:val="auto"/>
              </w:rPr>
            </w:pPr>
            <w:r>
              <w:rPr>
                <w:rFonts w:ascii="Arial" w:cs="Arial" w:eastAsia="Arial" w:hAnsi="Arial"/>
                <w:sz w:val="13"/>
                <w:szCs w:val="13"/>
                <w:color w:val="auto"/>
              </w:rPr>
              <w:t>3.76%</w:t>
            </w:r>
          </w:p>
        </w:tc>
        <w:tc>
          <w:tcPr>
            <w:tcW w:w="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0" w:lineRule="exact"/>
              <w:rPr>
                <w:sz w:val="20"/>
                <w:szCs w:val="20"/>
                <w:color w:val="auto"/>
              </w:rPr>
            </w:pPr>
            <w:r>
              <w:rPr>
                <w:rFonts w:ascii="Arial" w:cs="Arial" w:eastAsia="Arial" w:hAnsi="Arial"/>
                <w:sz w:val="13"/>
                <w:szCs w:val="13"/>
                <w:color w:val="auto"/>
              </w:rPr>
              <w:t>Fixed</w:t>
            </w: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auto"/>
            </w:tcBorders>
            <w:shd w:val="clear" w:color="auto" w:fill="CCEEFF"/>
          </w:tcPr>
          <w:p>
            <w:pPr>
              <w:jc w:val="center"/>
              <w:spacing w:after="0" w:line="140" w:lineRule="exact"/>
              <w:rPr>
                <w:sz w:val="20"/>
                <w:szCs w:val="20"/>
                <w:color w:val="auto"/>
              </w:rPr>
            </w:pPr>
            <w:r>
              <w:rPr>
                <w:rFonts w:ascii="Arial" w:cs="Arial" w:eastAsia="Arial" w:hAnsi="Arial"/>
                <w:sz w:val="13"/>
                <w:szCs w:val="13"/>
                <w:color w:val="auto"/>
                <w:w w:val="97"/>
              </w:rPr>
              <w:t>January 24, 2028</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2100" w:type="dxa"/>
            <w:vAlign w:val="bottom"/>
            <w:tcBorders>
              <w:top w:val="single" w:sz="8" w:color="auto"/>
              <w:bottom w:val="single" w:sz="8" w:color="auto"/>
            </w:tcBorders>
            <w:shd w:val="clear" w:color="auto" w:fill="CCEEFF"/>
          </w:tcPr>
          <w:p>
            <w:pPr>
              <w:jc w:val="right"/>
              <w:ind w:right="16"/>
              <w:spacing w:after="0" w:line="140" w:lineRule="exact"/>
              <w:rPr>
                <w:sz w:val="20"/>
                <w:szCs w:val="20"/>
                <w:color w:val="auto"/>
              </w:rPr>
            </w:pPr>
            <w:r>
              <w:rPr>
                <w:rFonts w:ascii="Arial" w:cs="Arial" w:eastAsia="Arial" w:hAnsi="Arial"/>
                <w:sz w:val="13"/>
                <w:szCs w:val="13"/>
                <w:color w:val="auto"/>
              </w:rPr>
              <w:t>11,000</w:t>
            </w:r>
          </w:p>
        </w:tc>
        <w:tc>
          <w:tcPr>
            <w:tcW w:w="20" w:type="dxa"/>
            <w:vAlign w:val="bottom"/>
            <w:shd w:val="clear" w:color="auto" w:fill="CCEEFF"/>
          </w:tcPr>
          <w:p>
            <w:pPr>
              <w:spacing w:after="0"/>
              <w:rPr>
                <w:sz w:val="12"/>
                <w:szCs w:val="12"/>
                <w:color w:val="auto"/>
              </w:rPr>
            </w:pPr>
          </w:p>
        </w:tc>
      </w:tr>
      <w:tr>
        <w:trPr>
          <w:trHeight w:val="163"/>
        </w:trPr>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60" w:type="dxa"/>
            <w:vAlign w:val="bottom"/>
            <w:gridSpan w:val="5"/>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1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11,000</w:t>
            </w:r>
          </w:p>
        </w:tc>
        <w:tc>
          <w:tcPr>
            <w:tcW w:w="20" w:type="dxa"/>
            <w:vAlign w:val="bottom"/>
            <w:tcBorders>
              <w:bottom w:val="single" w:sz="8" w:color="auto"/>
            </w:tcBorders>
          </w:tcPr>
          <w:p>
            <w:pPr>
              <w:spacing w:after="0"/>
              <w:rPr>
                <w:sz w:val="14"/>
                <w:szCs w:val="14"/>
                <w:color w:val="auto"/>
              </w:rPr>
            </w:pPr>
          </w:p>
        </w:tc>
      </w:tr>
    </w:tbl>
    <w:p>
      <w:pPr>
        <w:spacing w:after="0" w:line="157"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During the third quarter 2024, the Company paid off the $80.0 million fixed-rate loan outstanding from the Bank Term Funding Program with an original maturity date of January 10, 2025.</w:t>
      </w:r>
    </w:p>
    <w:p>
      <w:pPr>
        <w:spacing w:after="0" w:line="120" w:lineRule="exact"/>
        <w:rPr>
          <w:sz w:val="20"/>
          <w:szCs w:val="20"/>
          <w:color w:val="auto"/>
        </w:rPr>
      </w:pPr>
    </w:p>
    <w:p>
      <w:pPr>
        <w:ind w:left="660" w:right="639" w:firstLine="256"/>
        <w:spacing w:after="0" w:line="265" w:lineRule="auto"/>
        <w:rPr>
          <w:sz w:val="20"/>
          <w:szCs w:val="20"/>
          <w:color w:val="auto"/>
        </w:rPr>
      </w:pPr>
      <w:r>
        <w:rPr>
          <w:rFonts w:ascii="Arial" w:cs="Arial" w:eastAsia="Arial" w:hAnsi="Arial"/>
          <w:sz w:val="14"/>
          <w:szCs w:val="14"/>
          <w:color w:val="auto"/>
        </w:rPr>
        <w:t>The Company has also established Federal Funds lines of credit with our upstream correspondent banks and the Federal Reserve Bank of Atlanta Discount Window to manage temporary fluctuations in our daily cash balances. As of September 30, 2025, there were no outstanding balances with any of these liquidity sources.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Subordinated Notes</w:t>
      </w:r>
    </w:p>
    <w:p>
      <w:pPr>
        <w:spacing w:after="0" w:line="168" w:lineRule="exact"/>
        <w:rPr>
          <w:sz w:val="20"/>
          <w:szCs w:val="20"/>
          <w:color w:val="auto"/>
        </w:rPr>
      </w:pPr>
    </w:p>
    <w:p>
      <w:pPr>
        <w:ind w:left="660" w:right="639" w:firstLine="256"/>
        <w:spacing w:after="0" w:line="248" w:lineRule="auto"/>
        <w:rPr>
          <w:sz w:val="20"/>
          <w:szCs w:val="20"/>
          <w:color w:val="auto"/>
        </w:rPr>
      </w:pPr>
      <w:r>
        <w:rPr>
          <w:rFonts w:ascii="Arial" w:cs="Arial" w:eastAsia="Arial" w:hAnsi="Arial"/>
          <w:sz w:val="14"/>
          <w:szCs w:val="14"/>
          <w:color w:val="auto"/>
        </w:rPr>
        <w:t>On August 14, 2025, the Company entered into a Subordinated Note Purchase Agreement with certain qualified institutional buyers pursuant to which the Company sold and issued $40.0 million in aggregate principal amount of its 7.625% Fixed-to-Floating Rate Subordinated Notes due 2035. The Notes were issued by the Company to the purchasers at a price equal to 100% of their face amount. The subordinated debt was originally issued at a cost of $760 thousand. After two months of amortization, the carrying value has been reduced to $738 thousand, reflecting the scheduled expense recognition over the term of the instrument. The subordinated notes are presented net of these costs on the consolidated balance sheet. The Notes were offered and sold by the Company in a private placement transaction in reliance on exemptions from the registration requirements of the Securities Act of 1933, as amended (the “Securities Act”), pursuant to Section 4(a)(2) of the Securities Act and Rule 506(b) of Regulation D thereunder. For additional information, see the Company Form 8-K filed on August 14, 2025.</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Off-Balance Sheet Arrangements</w:t>
      </w:r>
    </w:p>
    <w:p>
      <w:pPr>
        <w:spacing w:after="0" w:line="159"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We engage in various financial transactions in our operations that, under GAAP, may not be included on the balance sheet. To meet the financing needs of our customers, we may include commitments to extend credit and standby letters of credit. To a varying degree, such commitments involve elements of credit, market, and interest rate risk in excess of the amount recognized in the balance sheet. We maintain an allowance for off-balance sheet credit risk which is recorded under accrued interest and other liabilities on the unaudited Consolidated Balance Sheets. The ACL related to unfunded commitments at September 30, 2025 was $795 thousand and at December 31, 2024 was $571 thousand. The increase was primarily driven by an increase in unfunded commitments.</w:t>
      </w:r>
    </w:p>
    <w:p>
      <w:pPr>
        <w:spacing w:after="0" w:line="138" w:lineRule="exact"/>
        <w:rPr>
          <w:sz w:val="20"/>
          <w:szCs w:val="20"/>
          <w:color w:val="auto"/>
        </w:rPr>
      </w:pPr>
    </w:p>
    <w:p>
      <w:pPr>
        <w:jc w:val="both"/>
        <w:ind w:left="660" w:right="639" w:firstLine="256"/>
        <w:spacing w:after="0" w:line="265" w:lineRule="auto"/>
        <w:rPr>
          <w:sz w:val="20"/>
          <w:szCs w:val="20"/>
          <w:color w:val="auto"/>
        </w:rPr>
      </w:pPr>
      <w:r>
        <w:rPr>
          <w:rFonts w:ascii="Arial" w:cs="Arial" w:eastAsia="Arial" w:hAnsi="Arial"/>
          <w:sz w:val="14"/>
          <w:szCs w:val="14"/>
          <w:color w:val="auto"/>
        </w:rPr>
        <w:t>Since commitments associated with letters of credit and commitments to extend credit may expire unused, the amounts shown do not necessarily reflect actual future cash funding requirements. The following table presents lending related commitments outstanding as of the dates indicated (in thousands):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 2025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2024</w:t>
            </w:r>
          </w:p>
        </w:tc>
      </w:tr>
      <w:tr>
        <w:trPr>
          <w:trHeight w:val="183"/>
        </w:trPr>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140,146</w:t>
            </w:r>
          </w:p>
        </w:tc>
        <w:tc>
          <w:tcPr>
            <w:tcW w:w="20" w:type="dxa"/>
            <w:vAlign w:val="bottom"/>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122,578</w:t>
            </w:r>
          </w:p>
        </w:tc>
        <w:tc>
          <w:tcPr>
            <w:tcW w:w="20" w:type="dxa"/>
            <w:vAlign w:val="bottom"/>
            <w:shd w:val="clear" w:color="auto" w:fill="CCEEFF"/>
          </w:tcPr>
          <w:p>
            <w:pPr>
              <w:spacing w:after="0"/>
              <w:rPr>
                <w:sz w:val="15"/>
                <w:szCs w:val="15"/>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5,389</w:t>
            </w:r>
          </w:p>
        </w:tc>
        <w:tc>
          <w:tcPr>
            <w:tcW w:w="20" w:type="dxa"/>
            <w:vAlign w:val="bottom"/>
          </w:tcPr>
          <w:p>
            <w:pPr>
              <w:spacing w:after="0"/>
              <w:rPr>
                <w:sz w:val="19"/>
                <w:szCs w:val="19"/>
                <w:color w:val="auto"/>
              </w:rPr>
            </w:pPr>
          </w:p>
        </w:tc>
      </w:tr>
      <w:tr>
        <w:trPr>
          <w:trHeight w:val="141"/>
        </w:trPr>
        <w:tc>
          <w:tcPr>
            <w:tcW w:w="100" w:type="dxa"/>
            <w:vAlign w:val="bottom"/>
            <w:tcBorders>
              <w:top w:val="single" w:sz="8" w:color="CCEEFF"/>
            </w:tcBorders>
            <w:shd w:val="clear" w:color="auto" w:fill="CCEEFF"/>
          </w:tcPr>
          <w:p>
            <w:pPr>
              <w:spacing w:after="0"/>
              <w:rPr>
                <w:sz w:val="12"/>
                <w:szCs w:val="12"/>
                <w:color w:val="auto"/>
              </w:rPr>
            </w:pPr>
          </w:p>
        </w:tc>
        <w:tc>
          <w:tcPr>
            <w:tcW w:w="470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144,001</w:t>
            </w:r>
          </w:p>
        </w:tc>
        <w:tc>
          <w:tcPr>
            <w:tcW w:w="20" w:type="dxa"/>
            <w:vAlign w:val="bottom"/>
            <w:shd w:val="clear" w:color="auto" w:fill="CCEEFF"/>
          </w:tcPr>
          <w:p>
            <w:pPr>
              <w:spacing w:after="0"/>
              <w:rPr>
                <w:sz w:val="12"/>
                <w:szCs w:val="12"/>
                <w:color w:val="auto"/>
              </w:rPr>
            </w:pPr>
          </w:p>
        </w:tc>
        <w:tc>
          <w:tcPr>
            <w:tcW w:w="6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127,967</w:t>
            </w:r>
          </w:p>
        </w:tc>
        <w:tc>
          <w:tcPr>
            <w:tcW w:w="20" w:type="dxa"/>
            <w:vAlign w:val="bottom"/>
            <w:shd w:val="clear" w:color="auto" w:fill="CCEEFF"/>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
        </w:trPr>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Commitments to extend credit are agreements to lend funds to a client,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w:t>
      </w:r>
    </w:p>
    <w:p>
      <w:pPr>
        <w:spacing w:after="0" w:line="200" w:lineRule="exact"/>
        <w:rPr>
          <w:sz w:val="20"/>
          <w:szCs w:val="20"/>
          <w:color w:val="auto"/>
        </w:rPr>
      </w:pPr>
    </w:p>
    <w:p>
      <w:pPr>
        <w:spacing w:after="0" w:line="302"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46" w:name="page47"/>
    <w:bookmarkEnd w:id="4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right="699"/>
        <w:spacing w:after="0" w:line="276" w:lineRule="auto"/>
        <w:rPr>
          <w:sz w:val="20"/>
          <w:szCs w:val="20"/>
          <w:color w:val="auto"/>
        </w:rPr>
      </w:pPr>
      <w:r>
        <w:rPr>
          <w:rFonts w:ascii="Arial" w:cs="Arial" w:eastAsia="Arial" w:hAnsi="Arial"/>
          <w:sz w:val="14"/>
          <w:szCs w:val="14"/>
          <w:color w:val="auto"/>
        </w:rPr>
        <w:t>expire without being fully drawn, the total commitment amounts disclosed above do not necessarily represent future cash requirements.</w:t>
      </w:r>
    </w:p>
    <w:p>
      <w:pPr>
        <w:spacing w:after="0" w:line="120"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Unfunded lines of credit represent unused portions of credit facilities to our current borrowers that represent no change in credit risk in our portfolio. Lines of credit generally have variable interest rates. The maximum potential amount of future payments we could be required to make is represented by the contractual amount of the commitment, less the amount of any advances made.</w:t>
      </w:r>
    </w:p>
    <w:p>
      <w:pPr>
        <w:spacing w:after="0" w:line="135" w:lineRule="exact"/>
        <w:rPr>
          <w:sz w:val="20"/>
          <w:szCs w:val="20"/>
          <w:color w:val="auto"/>
        </w:rPr>
      </w:pPr>
    </w:p>
    <w:p>
      <w:pPr>
        <w:jc w:val="both"/>
        <w:ind w:left="660" w:right="699" w:firstLine="256"/>
        <w:spacing w:after="0" w:line="251" w:lineRule="auto"/>
        <w:rPr>
          <w:sz w:val="20"/>
          <w:szCs w:val="20"/>
          <w:color w:val="auto"/>
        </w:rPr>
      </w:pPr>
      <w:r>
        <w:rPr>
          <w:rFonts w:ascii="Arial" w:cs="Arial" w:eastAsia="Arial" w:hAnsi="Arial"/>
          <w:sz w:val="14"/>
          <w:szCs w:val="14"/>
          <w:color w:val="auto"/>
        </w:rPr>
        <w:t>Letters of credit are conditional commitments issued by us to guarantee the performance of a client to a third party. In the event of nonperformance by the client in accordance with the terms of the agreement with the third party, we would be required to fund the commitment. If the commitment is funded, we would be entitled to seek recovery from the client from the underlying collateral, which can include commercial real estate, physical plant and property, inventory, receivables, cash or marketable securities.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and Liability Management Committee</w:t>
      </w:r>
    </w:p>
    <w:p>
      <w:pPr>
        <w:spacing w:after="0" w:line="159"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Members of senior management and our Board make up the asset and liability management committee, or ALCO. Senior management is responsible for ensuring that Board approved strategies and policies for managing and mitigating risks are appropriately executed within the designated lines of authority and responsibility in a timely manner.</w:t>
      </w:r>
    </w:p>
    <w:p>
      <w:pPr>
        <w:spacing w:after="0" w:line="128" w:lineRule="exact"/>
        <w:rPr>
          <w:sz w:val="20"/>
          <w:szCs w:val="20"/>
          <w:color w:val="auto"/>
        </w:rPr>
      </w:pPr>
    </w:p>
    <w:p>
      <w:pPr>
        <w:jc w:val="both"/>
        <w:ind w:left="660" w:right="659" w:firstLine="256"/>
        <w:spacing w:after="0" w:line="276" w:lineRule="auto"/>
        <w:rPr>
          <w:sz w:val="20"/>
          <w:szCs w:val="20"/>
          <w:color w:val="auto"/>
        </w:rPr>
      </w:pPr>
      <w:r>
        <w:rPr>
          <w:rFonts w:ascii="Arial" w:cs="Arial" w:eastAsia="Arial" w:hAnsi="Arial"/>
          <w:sz w:val="14"/>
          <w:szCs w:val="14"/>
          <w:color w:val="auto"/>
        </w:rPr>
        <w:t>ALCO oversees the establishment, approval, implementation, and review of interest rate risk, management, and mitigation strategies, ALM related policies, ALCO procedures and risk tolerances and appetite.</w:t>
      </w:r>
    </w:p>
    <w:p>
      <w:pPr>
        <w:spacing w:after="0" w:line="110" w:lineRule="exact"/>
        <w:rPr>
          <w:sz w:val="20"/>
          <w:szCs w:val="20"/>
          <w:color w:val="auto"/>
        </w:rPr>
      </w:pPr>
    </w:p>
    <w:p>
      <w:pPr>
        <w:jc w:val="both"/>
        <w:ind w:left="660" w:right="699" w:firstLine="256"/>
        <w:spacing w:after="0" w:line="292" w:lineRule="auto"/>
        <w:rPr>
          <w:sz w:val="20"/>
          <w:szCs w:val="20"/>
          <w:color w:val="auto"/>
        </w:rPr>
      </w:pPr>
      <w:r>
        <w:rPr>
          <w:rFonts w:ascii="Arial" w:cs="Arial" w:eastAsia="Arial" w:hAnsi="Arial"/>
          <w:sz w:val="14"/>
          <w:szCs w:val="14"/>
          <w:color w:val="auto"/>
        </w:rPr>
        <w:t>While some degree of Interest Rate Risk (“IRR”) is inherent to the banking business, we believe our ALCO implements sound risk management practices to identify, quantify, monitor, and limit IRR exposures.</w:t>
      </w:r>
    </w:p>
    <w:p>
      <w:pPr>
        <w:spacing w:after="0" w:line="110" w:lineRule="exact"/>
        <w:rPr>
          <w:sz w:val="20"/>
          <w:szCs w:val="20"/>
          <w:color w:val="auto"/>
        </w:rPr>
      </w:pPr>
    </w:p>
    <w:p>
      <w:pPr>
        <w:jc w:val="both"/>
        <w:ind w:left="660" w:right="699" w:firstLine="256"/>
        <w:spacing w:after="0" w:line="257" w:lineRule="auto"/>
        <w:rPr>
          <w:sz w:val="20"/>
          <w:szCs w:val="20"/>
          <w:color w:val="auto"/>
        </w:rPr>
      </w:pPr>
      <w:r>
        <w:rPr>
          <w:rFonts w:ascii="Arial" w:cs="Arial" w:eastAsia="Arial" w:hAnsi="Arial"/>
          <w:sz w:val="14"/>
          <w:szCs w:val="14"/>
          <w:color w:val="auto"/>
        </w:rPr>
        <w:t>When assessing the scope of IRR exposure and impact on the consolidated balance sheet, cash flows and income statement, management considers both earnings and economic impacts. Asset price variations, deposit volatility and reduced earnings or outright losses could adversely affect the Company’s liquidity, performance, and capital adequacy.</w:t>
      </w:r>
    </w:p>
    <w:p>
      <w:pPr>
        <w:spacing w:after="0" w:line="134" w:lineRule="exact"/>
        <w:rPr>
          <w:sz w:val="20"/>
          <w:szCs w:val="20"/>
          <w:color w:val="auto"/>
        </w:rPr>
      </w:pPr>
    </w:p>
    <w:p>
      <w:pPr>
        <w:jc w:val="both"/>
        <w:ind w:left="660" w:right="659" w:firstLine="256"/>
        <w:spacing w:after="0" w:line="250" w:lineRule="auto"/>
        <w:rPr>
          <w:sz w:val="20"/>
          <w:szCs w:val="20"/>
          <w:color w:val="auto"/>
        </w:rPr>
      </w:pPr>
      <w:r>
        <w:rPr>
          <w:rFonts w:ascii="Arial" w:cs="Arial" w:eastAsia="Arial" w:hAnsi="Arial"/>
          <w:sz w:val="14"/>
          <w:szCs w:val="14"/>
          <w:color w:val="auto"/>
        </w:rPr>
        <w:t>Income simulations are used to assess the impact of changing rates on earnings under different interest rates scenarios, yield curve shapes and time horizons. These simulations utilize both instantaneous and parallel changes in the level of interest rates, as well as non-parallel changes such as changing slopes (flat and steepening) and twists of the yield curve. Static simulation models are based on current exposures and assume a constant balance sheet with no new growth. Dynamic simulation is also utilized to have a more comprehensive assessment on IRR. This simulation relies on, and in assumptions regarding changes in existing lines of business, new business, management strategies and client expected behavior.</w:t>
      </w:r>
    </w:p>
    <w:p>
      <w:pPr>
        <w:spacing w:after="0" w:line="138"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To have a more complete picture of IRR, the Company also evaluates the economic value of equity (“EVE”). This assessment allows us to measure the degree to which the economic values will change under different interest rate scenarios (parallel and non-parallel). The economic value approach focuses on a longer-term time horizon and captures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and Interest Rate Risk Management</w:t>
      </w:r>
    </w:p>
    <w:p>
      <w:pPr>
        <w:spacing w:after="0" w:line="170" w:lineRule="exact"/>
        <w:rPr>
          <w:sz w:val="20"/>
          <w:szCs w:val="20"/>
          <w:color w:val="auto"/>
        </w:rPr>
      </w:pPr>
    </w:p>
    <w:p>
      <w:pPr>
        <w:jc w:val="both"/>
        <w:ind w:left="660" w:right="639" w:firstLine="256"/>
        <w:spacing w:after="0" w:line="248" w:lineRule="auto"/>
        <w:rPr>
          <w:sz w:val="20"/>
          <w:szCs w:val="20"/>
          <w:color w:val="auto"/>
        </w:rPr>
      </w:pPr>
      <w:r>
        <w:rPr>
          <w:rFonts w:ascii="Arial" w:cs="Arial" w:eastAsia="Arial" w:hAnsi="Arial"/>
          <w:sz w:val="14"/>
          <w:szCs w:val="14"/>
          <w:color w:val="auto"/>
        </w:rPr>
        <w:t>According to our ALCO model, as of September 30, 2025, we had a slightly liability sensitive balance sheet for year one, and a neutral balance sheet for year two, using the static model. Liability sensitivity indicates that our liabilities generally reprice faster than our assets, which results in a favorable impact to net interest income when market interest rates decrease. Asset sensitivity indicates that our assets generally reprice faster than our liabilities, which results in a favorable impact to net interest income when market interest rates increase. Neutral denotes minimal or no effect on net interest income as a result of changes in interest rates. Many assumptions are used to calculate the impact of interest rate variations on our net interest income, such as asset prepayment speeds, non-maturity deposit price sensitivity (betas), pricing correlations, deposit truncations and decay rates, and key interest rate drivers.</w:t>
      </w:r>
    </w:p>
    <w:p>
      <w:pPr>
        <w:spacing w:after="0" w:line="141"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Because of the inherent use of these estimates and assumptions in the model, our actual results may, and most likely will, differ from static measures results. In addition, static measures like EVE do not include actions that management may undertake to manage the risks in response to anticipated changes in interest rates or customer deposit behavior. As part of our ALM strategy and policy, management has the ability to modify the balance sheet to either increase asset duration and decrease liability duration to reduce asset sensitivity, or to decrease asset duration and increase liability duration in order to increase asset sensitivity.</w:t>
      </w:r>
    </w:p>
    <w:p>
      <w:pPr>
        <w:spacing w:after="0" w:line="23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47" w:name="page48"/>
    <w:bookmarkEnd w:id="4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3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According to our model, as of September 30, 2025, our balance sheet is liability sensitive for year one and more neutral in year two under static interest rate scenarios (an increase or decrease of 400 basis points). Additionally, utilizing an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According to our balance sheet composition, and as expected, our model stipulates that an increase in interest rates will have a negative impact on the EVE and lower rates, a positive impact. Results and analysis are presented quarterly to the ALCO, and strategies are reviewed and defined.</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Liquidity</w:t>
      </w:r>
    </w:p>
    <w:p>
      <w:pPr>
        <w:spacing w:after="0" w:line="159" w:lineRule="exact"/>
        <w:rPr>
          <w:sz w:val="20"/>
          <w:szCs w:val="20"/>
          <w:color w:val="auto"/>
        </w:rPr>
      </w:pPr>
    </w:p>
    <w:p>
      <w:pPr>
        <w:jc w:val="both"/>
        <w:ind w:left="660" w:right="679" w:firstLine="256"/>
        <w:spacing w:after="0" w:line="294" w:lineRule="auto"/>
        <w:rPr>
          <w:sz w:val="20"/>
          <w:szCs w:val="20"/>
          <w:color w:val="auto"/>
        </w:rPr>
      </w:pPr>
      <w:r>
        <w:rPr>
          <w:rFonts w:ascii="Arial" w:cs="Arial" w:eastAsia="Arial" w:hAnsi="Arial"/>
          <w:sz w:val="13"/>
          <w:szCs w:val="13"/>
          <w:color w:val="auto"/>
        </w:rPr>
        <w:t>Liquidity is defined as a Company’s capacity to meet its cash and collateral obligations at a reasonable cost. Maintaining an adequate level of liquidity depends on the Company’s ability to efficiently meet both expected and unexpected cash flow and collateral needs without adversely affecting either daily operations or the financial condition of the Company.</w:t>
      </w:r>
    </w:p>
    <w:p>
      <w:pPr>
        <w:spacing w:after="0" w:line="112" w:lineRule="exact"/>
        <w:rPr>
          <w:sz w:val="20"/>
          <w:szCs w:val="20"/>
          <w:color w:val="auto"/>
        </w:rPr>
      </w:pPr>
    </w:p>
    <w:p>
      <w:pPr>
        <w:jc w:val="both"/>
        <w:ind w:left="660" w:right="659" w:firstLine="256"/>
        <w:spacing w:after="0" w:line="256" w:lineRule="auto"/>
        <w:rPr>
          <w:sz w:val="20"/>
          <w:szCs w:val="20"/>
          <w:color w:val="auto"/>
        </w:rPr>
      </w:pPr>
      <w:r>
        <w:rPr>
          <w:rFonts w:ascii="Arial" w:cs="Arial" w:eastAsia="Arial" w:hAnsi="Arial"/>
          <w:sz w:val="14"/>
          <w:szCs w:val="14"/>
          <w:color w:val="auto"/>
        </w:rPr>
        <w:t>Liquidity risk is the risk that we will be unable to meet our short-term and long-term obligations as they become due because of an inability to liquidate assets or obtain relatively adequate funding. The Company’s obligations, and the funding sources used to meet them, depend significantly on our business mix, balance sheet structure and composition, credit quality of our assets and the cash flow profiles of our on- and off-balance sheet obligations.</w:t>
      </w:r>
    </w:p>
    <w:p>
      <w:pPr>
        <w:spacing w:after="0" w:line="135" w:lineRule="exact"/>
        <w:rPr>
          <w:sz w:val="20"/>
          <w:szCs w:val="20"/>
          <w:color w:val="auto"/>
        </w:rPr>
      </w:pPr>
    </w:p>
    <w:p>
      <w:pPr>
        <w:jc w:val="both"/>
        <w:ind w:left="660" w:right="679" w:firstLine="256"/>
        <w:spacing w:after="0" w:line="257" w:lineRule="auto"/>
        <w:rPr>
          <w:sz w:val="20"/>
          <w:szCs w:val="20"/>
          <w:color w:val="auto"/>
        </w:rPr>
      </w:pPr>
      <w:r>
        <w:rPr>
          <w:rFonts w:ascii="Arial" w:cs="Arial" w:eastAsia="Arial" w:hAnsi="Arial"/>
          <w:sz w:val="14"/>
          <w:szCs w:val="14"/>
          <w:color w:val="auto"/>
        </w:rPr>
        <w:t>In managing inflows and outflows, management regularly monitors situations that can give rise to increased liquidity risk. These include funding mismatches, market constraints on the ability to convert assets (particularly investments) into cash or in accessing sources of funds (i.e., market liquidity), pledging assets and contingent liquidity events.</w:t>
      </w:r>
    </w:p>
    <w:p>
      <w:pPr>
        <w:spacing w:after="0" w:line="134"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Changes in macroeconomic conditions, as well as exposure to credit, market, operational, legal, cybersecurity risk and reputational risks, could have an unexpected impact on the Company’s liquidity risk profile and are factored into the assessment of liquidity and the ALM framework.</w:t>
      </w:r>
    </w:p>
    <w:p>
      <w:pPr>
        <w:spacing w:after="0" w:line="118" w:lineRule="exact"/>
        <w:rPr>
          <w:sz w:val="20"/>
          <w:szCs w:val="20"/>
          <w:color w:val="auto"/>
        </w:rPr>
      </w:pPr>
    </w:p>
    <w:p>
      <w:pPr>
        <w:jc w:val="both"/>
        <w:ind w:left="660" w:right="659" w:firstLine="256"/>
        <w:spacing w:after="0" w:line="265" w:lineRule="auto"/>
        <w:rPr>
          <w:sz w:val="20"/>
          <w:szCs w:val="20"/>
          <w:color w:val="auto"/>
        </w:rPr>
      </w:pPr>
      <w:r>
        <w:rPr>
          <w:rFonts w:ascii="Arial" w:cs="Arial" w:eastAsia="Arial" w:hAnsi="Arial"/>
          <w:sz w:val="14"/>
          <w:szCs w:val="14"/>
          <w:color w:val="auto"/>
        </w:rPr>
        <w:t>Management has established a comprehensive and holistic management process for identifying, measuring, monitoring and mitigating liquidity risk. Due to its critical importance to the viability of the Company, liquidity risk management is integrated into our risk management processes, Contingency Funding Plan and ALM policy.</w:t>
      </w:r>
    </w:p>
    <w:p>
      <w:pPr>
        <w:spacing w:after="0" w:line="128" w:lineRule="exact"/>
        <w:rPr>
          <w:sz w:val="20"/>
          <w:szCs w:val="20"/>
          <w:color w:val="auto"/>
        </w:rPr>
      </w:pPr>
    </w:p>
    <w:p>
      <w:pPr>
        <w:jc w:val="both"/>
        <w:ind w:left="660" w:right="679" w:firstLine="256"/>
        <w:spacing w:after="0" w:line="246" w:lineRule="auto"/>
        <w:rPr>
          <w:sz w:val="20"/>
          <w:szCs w:val="20"/>
          <w:color w:val="auto"/>
        </w:rPr>
      </w:pPr>
      <w:r>
        <w:rPr>
          <w:rFonts w:ascii="Arial" w:cs="Arial" w:eastAsia="Arial" w:hAnsi="Arial"/>
          <w:sz w:val="14"/>
          <w:szCs w:val="14"/>
          <w:color w:val="auto"/>
        </w:rPr>
        <w:t>Critical elements of our liquidity risk management include: effective corporate governance consisting of oversight by the Board and ALCO, and active involvement of senior management; appropriate strategies, policies, procedures, and limits used to identify and mitigate liquidity risk; comprehensive liquidity risk measurement and monitoring systems (including assessments of the current and prospective cash flows or sources and uses of funds) that are commensurate with the complexity and business activities of the Company;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142" w:lineRule="exact"/>
        <w:rPr>
          <w:sz w:val="20"/>
          <w:szCs w:val="20"/>
          <w:color w:val="auto"/>
        </w:rPr>
      </w:pPr>
    </w:p>
    <w:p>
      <w:pPr>
        <w:jc w:val="both"/>
        <w:ind w:left="660" w:right="639" w:firstLine="256"/>
        <w:spacing w:after="0" w:line="252" w:lineRule="auto"/>
        <w:rPr>
          <w:sz w:val="20"/>
          <w:szCs w:val="20"/>
          <w:color w:val="auto"/>
        </w:rPr>
      </w:pPr>
      <w:r>
        <w:rPr>
          <w:rFonts w:ascii="Arial" w:cs="Arial" w:eastAsia="Arial" w:hAnsi="Arial"/>
          <w:sz w:val="14"/>
          <w:szCs w:val="14"/>
          <w:color w:val="auto"/>
        </w:rPr>
        <w:t>We expect funds to be available from several basic banking activity sources, including the core deposit base, the repayment and maturity of loans and the investment portfolio cash flows. Other potential funding sources include Federal Funds purchased, brokered certificates of deposit, listing services certificates of deposit, unsecured Federal Funds lines of credit with other banking institutions and draws from the Federal Reserve Bank of Atlanta Discount Window, and borrowings from the FHLB Atlanta. Accordingly, we believe our liquidity resources are adequate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 Adequacy</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As of September 30, 2025, the Bank was well capitalized under the FDIC’s prompt corrective action framework. We also follow the capital conservation buffer framework, and as of September 30, 2025, we exceeded the capital conversation buffer in all capital ratios, according to our actual ratios. The following table presents the capital ratios for the Bank at the dates indicated (in thousands, except ratios).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4"/>
            <w:vMerge w:val="restart"/>
          </w:tcPr>
          <w:p>
            <w:pPr>
              <w:jc w:val="center"/>
              <w:ind w:right="56"/>
              <w:spacing w:after="0"/>
              <w:rPr>
                <w:sz w:val="20"/>
                <w:szCs w:val="20"/>
                <w:color w:val="auto"/>
              </w:rPr>
            </w:pPr>
            <w:r>
              <w:rPr>
                <w:rFonts w:ascii="Arial" w:cs="Arial" w:eastAsia="Arial" w:hAnsi="Arial"/>
                <w:sz w:val="13"/>
                <w:szCs w:val="13"/>
                <w:b w:val="1"/>
                <w:bCs w:val="1"/>
                <w:color w:val="auto"/>
                <w:w w:val="98"/>
              </w:rPr>
              <w:t>Minimum Capital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4"/>
          </w:tcPr>
          <w:p>
            <w:pPr>
              <w:ind w:left="80"/>
              <w:spacing w:after="0"/>
              <w:rPr>
                <w:sz w:val="20"/>
                <w:szCs w:val="20"/>
                <w:color w:val="auto"/>
              </w:rPr>
            </w:pPr>
            <w:r>
              <w:rPr>
                <w:rFonts w:ascii="Arial" w:cs="Arial" w:eastAsia="Arial" w:hAnsi="Arial"/>
                <w:sz w:val="13"/>
                <w:szCs w:val="13"/>
                <w:b w:val="1"/>
                <w:bCs w:val="1"/>
                <w:color w:val="auto"/>
              </w:rPr>
              <w:t>To be Well Capitalized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spacing w:after="0"/>
              <w:rPr>
                <w:sz w:val="20"/>
                <w:szCs w:val="20"/>
                <w:color w:val="auto"/>
              </w:rPr>
            </w:pPr>
            <w:r>
              <w:rPr>
                <w:rFonts w:ascii="Arial" w:cs="Arial" w:eastAsia="Arial" w:hAnsi="Arial"/>
                <w:sz w:val="13"/>
                <w:szCs w:val="13"/>
                <w:b w:val="1"/>
                <w:bCs w:val="1"/>
                <w:color w:val="auto"/>
              </w:rPr>
              <w:t>Under Prompt Corrective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ind w:left="540"/>
              <w:spacing w:after="0"/>
              <w:rPr>
                <w:sz w:val="20"/>
                <w:szCs w:val="20"/>
                <w:color w:val="auto"/>
              </w:rPr>
            </w:pPr>
            <w:r>
              <w:rPr>
                <w:rFonts w:ascii="Arial" w:cs="Arial" w:eastAsia="Arial" w:hAnsi="Arial"/>
                <w:sz w:val="13"/>
                <w:szCs w:val="13"/>
                <w:b w:val="1"/>
                <w:bCs w:val="1"/>
                <w:color w:val="auto"/>
              </w:rPr>
              <w:t>Actual</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3"/>
                <w:szCs w:val="13"/>
                <w:b w:val="1"/>
                <w:bCs w:val="1"/>
                <w:color w:val="auto"/>
                <w:w w:val="99"/>
              </w:rPr>
              <w:t>Requirements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Action Provisions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4"/>
          </w:tcPr>
          <w:p>
            <w:pPr>
              <w:ind w:left="60"/>
              <w:spacing w:after="0"/>
              <w:rPr>
                <w:sz w:val="20"/>
                <w:szCs w:val="20"/>
                <w:color w:val="auto"/>
              </w:rPr>
            </w:pPr>
            <w:r>
              <w:rPr>
                <w:rFonts w:ascii="Arial" w:cs="Arial" w:eastAsia="Arial" w:hAnsi="Arial"/>
                <w:sz w:val="13"/>
                <w:szCs w:val="13"/>
                <w:b w:val="1"/>
                <w:bCs w:val="1"/>
                <w:color w:val="auto"/>
              </w:rPr>
              <w:t>Amount</w:t>
            </w:r>
          </w:p>
        </w:tc>
        <w:tc>
          <w:tcPr>
            <w:tcW w:w="620" w:type="dxa"/>
            <w:vAlign w:val="bottom"/>
            <w:gridSpan w:val="2"/>
          </w:tcPr>
          <w:p>
            <w:pPr>
              <w:jc w:val="right"/>
              <w:ind w:right="201"/>
              <w:spacing w:after="0"/>
              <w:rPr>
                <w:sz w:val="20"/>
                <w:szCs w:val="20"/>
                <w:color w:val="auto"/>
              </w:rPr>
            </w:pPr>
            <w:r>
              <w:rPr>
                <w:rFonts w:ascii="Arial" w:cs="Arial" w:eastAsia="Arial" w:hAnsi="Arial"/>
                <w:sz w:val="13"/>
                <w:szCs w:val="13"/>
                <w:b w:val="1"/>
                <w:bCs w:val="1"/>
                <w:color w:val="auto"/>
              </w:rPr>
              <w:t>Ratio</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84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840" w:type="dxa"/>
            <w:vAlign w:val="bottom"/>
          </w:tcPr>
          <w:p>
            <w:pPr>
              <w:jc w:val="right"/>
              <w:ind w:right="196"/>
              <w:spacing w:after="0"/>
              <w:rPr>
                <w:sz w:val="20"/>
                <w:szCs w:val="20"/>
                <w:color w:val="auto"/>
              </w:rPr>
            </w:pPr>
            <w:r>
              <w:rPr>
                <w:rFonts w:ascii="Arial" w:cs="Arial" w:eastAsia="Arial" w:hAnsi="Arial"/>
                <w:sz w:val="13"/>
                <w:szCs w:val="13"/>
                <w:b w:val="1"/>
                <w:bCs w:val="1"/>
                <w:color w:val="auto"/>
              </w:rPr>
              <w:t>Ratio</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September 30, 2025</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299,147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13.93 %</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ind w:left="200"/>
              <w:spacing w:after="0"/>
              <w:rPr>
                <w:sz w:val="20"/>
                <w:szCs w:val="20"/>
                <w:color w:val="auto"/>
              </w:rPr>
            </w:pPr>
            <w:r>
              <w:rPr>
                <w:rFonts w:ascii="Arial" w:cs="Arial" w:eastAsia="Arial" w:hAnsi="Arial"/>
                <w:sz w:val="13"/>
                <w:szCs w:val="13"/>
                <w:color w:val="auto"/>
              </w:rPr>
              <w:t>171,861</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8.00 %</w:t>
            </w:r>
          </w:p>
        </w:tc>
        <w:tc>
          <w:tcPr>
            <w:tcW w:w="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214,826</w:t>
            </w:r>
          </w:p>
        </w:tc>
        <w:tc>
          <w:tcPr>
            <w:tcW w:w="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273,382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128,896</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171,861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8.00 %</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273,382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12.73 %</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ind w:left="260"/>
              <w:spacing w:after="0"/>
              <w:rPr>
                <w:sz w:val="20"/>
                <w:szCs w:val="20"/>
                <w:color w:val="auto"/>
              </w:rPr>
            </w:pPr>
            <w:r>
              <w:rPr>
                <w:rFonts w:ascii="Arial" w:cs="Arial" w:eastAsia="Arial" w:hAnsi="Arial"/>
                <w:sz w:val="13"/>
                <w:szCs w:val="13"/>
                <w:color w:val="auto"/>
              </w:rPr>
              <w:t>96,672</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4.50 %</w:t>
            </w:r>
          </w:p>
        </w:tc>
        <w:tc>
          <w:tcPr>
            <w:tcW w:w="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139,637</w:t>
            </w:r>
          </w:p>
        </w:tc>
        <w:tc>
          <w:tcPr>
            <w:tcW w:w="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273,382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113,507</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141,883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5.00 %</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2024</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20" w:type="dxa"/>
            <w:vAlign w:val="bottom"/>
          </w:tcPr>
          <w:p>
            <w:pPr>
              <w:spacing w:after="0"/>
              <w:rPr>
                <w:sz w:val="20"/>
                <w:szCs w:val="20"/>
                <w:color w:val="auto"/>
              </w:rPr>
            </w:pPr>
            <w:r>
              <w:rPr>
                <w:rFonts w:ascii="Arial" w:cs="Arial" w:eastAsia="Arial" w:hAnsi="Arial"/>
                <w:sz w:val="13"/>
                <w:szCs w:val="13"/>
                <w:color w:val="auto"/>
              </w:rPr>
              <w:t>Total risk-based capital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266,387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13.34 %</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ind w:left="200"/>
              <w:spacing w:after="0"/>
              <w:rPr>
                <w:sz w:val="20"/>
                <w:szCs w:val="20"/>
                <w:color w:val="auto"/>
              </w:rPr>
            </w:pPr>
            <w:r>
              <w:rPr>
                <w:rFonts w:ascii="Arial" w:cs="Arial" w:eastAsia="Arial" w:hAnsi="Arial"/>
                <w:sz w:val="13"/>
                <w:szCs w:val="13"/>
                <w:color w:val="auto"/>
              </w:rPr>
              <w:t>159,795</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8.00 %</w:t>
            </w:r>
          </w:p>
        </w:tc>
        <w:tc>
          <w:tcPr>
            <w:tcW w:w="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199,744</w:t>
            </w:r>
          </w:p>
        </w:tc>
        <w:tc>
          <w:tcPr>
            <w:tcW w:w="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241,740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119,846</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159,795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8.00 %</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20"/>
                <w:szCs w:val="20"/>
                <w:color w:val="auto"/>
              </w:rPr>
            </w:pPr>
            <w:r>
              <w:rPr>
                <w:rFonts w:ascii="Arial" w:cs="Arial" w:eastAsia="Arial" w:hAnsi="Arial"/>
                <w:sz w:val="13"/>
                <w:szCs w:val="13"/>
                <w:color w:val="auto"/>
              </w:rPr>
              <w:t>Common equity tier 1 capital</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241,740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12.10 %</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tcPr>
          <w:p>
            <w:pPr>
              <w:ind w:left="260"/>
              <w:spacing w:after="0"/>
              <w:rPr>
                <w:sz w:val="20"/>
                <w:szCs w:val="20"/>
                <w:color w:val="auto"/>
              </w:rPr>
            </w:pPr>
            <w:r>
              <w:rPr>
                <w:rFonts w:ascii="Arial" w:cs="Arial" w:eastAsia="Arial" w:hAnsi="Arial"/>
                <w:sz w:val="13"/>
                <w:szCs w:val="13"/>
                <w:color w:val="auto"/>
              </w:rPr>
              <w:t>89,885</w:t>
            </w:r>
          </w:p>
        </w:tc>
        <w:tc>
          <w:tcPr>
            <w:tcW w:w="880" w:type="dxa"/>
            <w:vAlign w:val="bottom"/>
            <w:gridSpan w:val="3"/>
          </w:tcPr>
          <w:p>
            <w:pPr>
              <w:jc w:val="right"/>
              <w:spacing w:after="0"/>
              <w:rPr>
                <w:sz w:val="20"/>
                <w:szCs w:val="20"/>
                <w:color w:val="auto"/>
              </w:rPr>
            </w:pPr>
            <w:r>
              <w:rPr>
                <w:rFonts w:ascii="Arial" w:cs="Arial" w:eastAsia="Arial" w:hAnsi="Arial"/>
                <w:sz w:val="13"/>
                <w:szCs w:val="13"/>
                <w:color w:val="auto"/>
              </w:rPr>
              <w:t>4.50 %</w:t>
            </w:r>
          </w:p>
        </w:tc>
        <w:tc>
          <w:tcPr>
            <w:tcW w:w="1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ind w:left="220"/>
              <w:spacing w:after="0"/>
              <w:rPr>
                <w:sz w:val="20"/>
                <w:szCs w:val="20"/>
                <w:color w:val="auto"/>
              </w:rPr>
            </w:pPr>
            <w:r>
              <w:rPr>
                <w:rFonts w:ascii="Arial" w:cs="Arial" w:eastAsia="Arial" w:hAnsi="Arial"/>
                <w:sz w:val="13"/>
                <w:szCs w:val="13"/>
                <w:color w:val="auto"/>
              </w:rPr>
              <w:t>129,834</w:t>
            </w:r>
          </w:p>
        </w:tc>
        <w:tc>
          <w:tcPr>
            <w:tcW w:w="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241,740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103,074</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shd w:val="clear" w:color="auto" w:fill="CCEEFF"/>
              </w:rPr>
              <w:t>%</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128,843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5.00 %</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left="660" w:right="699" w:firstLine="256"/>
        <w:spacing w:after="0" w:line="276" w:lineRule="auto"/>
        <w:rPr>
          <w:sz w:val="20"/>
          <w:szCs w:val="20"/>
          <w:color w:val="auto"/>
        </w:rPr>
      </w:pPr>
      <w:r>
        <w:rPr>
          <w:rFonts w:ascii="Arial" w:cs="Arial" w:eastAsia="Arial" w:hAnsi="Arial"/>
          <w:sz w:val="14"/>
          <w:szCs w:val="14"/>
          <w:color w:val="auto"/>
        </w:rPr>
        <w:t>The Company is not subject to regulatory capital ratios imposed by Basel III on bank holding companies because the Company is deemed to be a small bank holding company.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Impact of Inflation</w:t>
      </w:r>
    </w:p>
    <w:p>
      <w:pPr>
        <w:spacing w:after="0" w:line="159" w:lineRule="exact"/>
        <w:rPr>
          <w:sz w:val="20"/>
          <w:szCs w:val="20"/>
          <w:color w:val="auto"/>
        </w:rPr>
      </w:pPr>
    </w:p>
    <w:p>
      <w:pPr>
        <w:jc w:val="both"/>
        <w:ind w:left="660" w:right="659" w:firstLine="512"/>
        <w:spacing w:after="0" w:line="250" w:lineRule="auto"/>
        <w:rPr>
          <w:sz w:val="20"/>
          <w:szCs w:val="20"/>
          <w:color w:val="auto"/>
        </w:rPr>
      </w:pPr>
      <w:r>
        <w:rPr>
          <w:rFonts w:ascii="Arial" w:cs="Arial" w:eastAsia="Arial" w:hAnsi="Arial"/>
          <w:sz w:val="14"/>
          <w:szCs w:val="14"/>
          <w:color w:val="auto"/>
        </w:rPr>
        <w:t>Our Consolidated Financial Statements and related notes have been prepared in accordance with U.S. GAAP, which require the measurement of financial position and operating results in terms of historical dollars, without considering the changes in the relative purchasing power of money over time due to inflation. The impact of inflation is mostly reflected in the increased cost of operations, inflation can negatively impact overhead expenses and other variable expenses. Unlike most industrial companies, nearly all our assets and liabilities are monetary in nature. As a result, interest rates have a greater impact on our performance than the effects of inflation. Periods of high inflation are often accompanied by relatively higher interest rates, and periods of low inflation are accompanied by relatively lower interest rates.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Recently issued accounting pronouncements are discussed in Note 1 “Summary of Significant Accounting Policies” to the unaudited Consolidated Financial Statements in Part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49" w:name="page50"/>
    <w:bookmarkEnd w:id="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Reconciliation and Management Explanation of Non-GAAP Financial Measures</w:t>
      </w:r>
    </w:p>
    <w:p>
      <w:pPr>
        <w:spacing w:after="0" w:line="170" w:lineRule="exact"/>
        <w:rPr>
          <w:sz w:val="20"/>
          <w:szCs w:val="20"/>
          <w:color w:val="auto"/>
        </w:rPr>
      </w:pPr>
    </w:p>
    <w:p>
      <w:pPr>
        <w:ind w:left="660" w:right="639" w:firstLine="256"/>
        <w:spacing w:after="0" w:line="250" w:lineRule="auto"/>
        <w:rPr>
          <w:sz w:val="20"/>
          <w:szCs w:val="20"/>
          <w:color w:val="auto"/>
        </w:rPr>
      </w:pPr>
      <w:r>
        <w:rPr>
          <w:rFonts w:ascii="Arial" w:cs="Arial" w:eastAsia="Arial" w:hAnsi="Arial"/>
          <w:sz w:val="14"/>
          <w:szCs w:val="14"/>
          <w:color w:val="auto"/>
        </w:rPr>
        <w:t>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The following table reconciles the non-GAAP financial measurement of operating net income available to common shareholders for the periods presented (in thousands, except per share data):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USCB FINANCIAL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NON-GAAP FINANCIAL MEASURES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w:t>
      </w:r>
    </w:p>
    <w:p>
      <w:pPr>
        <w:spacing w:after="0" w:line="16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10"/>
          </w:tcPr>
          <w:p>
            <w:pPr>
              <w:jc w:val="right"/>
              <w:ind w:right="263"/>
              <w:spacing w:after="0"/>
              <w:rPr>
                <w:sz w:val="20"/>
                <w:szCs w:val="20"/>
                <w:color w:val="auto"/>
              </w:rPr>
            </w:pPr>
            <w:r>
              <w:rPr>
                <w:rFonts w:ascii="Arial" w:cs="Arial" w:eastAsia="Arial" w:hAnsi="Arial"/>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9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9/30/2025</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6/30/2025</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3/31/2025</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12/31/2024</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9/30/2024</w:t>
            </w:r>
          </w:p>
        </w:tc>
        <w:tc>
          <w:tcPr>
            <w:tcW w:w="20" w:type="dxa"/>
            <w:vAlign w:val="bottom"/>
          </w:tcPr>
          <w:p>
            <w:pPr>
              <w:spacing w:after="0"/>
              <w:rPr>
                <w:sz w:val="11"/>
                <w:szCs w:val="11"/>
                <w:color w:val="auto"/>
              </w:rPr>
            </w:pPr>
          </w:p>
        </w:tc>
      </w:tr>
      <w:tr>
        <w:trPr>
          <w:trHeight w:val="129"/>
        </w:trPr>
        <w:tc>
          <w:tcPr>
            <w:tcW w:w="3200" w:type="dxa"/>
            <w:vAlign w:val="bottom"/>
            <w:gridSpan w:val="3"/>
            <w:shd w:val="clear" w:color="auto" w:fill="CCEEFF"/>
          </w:tcPr>
          <w:p>
            <w:pPr>
              <w:spacing w:after="0" w:line="129" w:lineRule="exact"/>
              <w:rPr>
                <w:sz w:val="20"/>
                <w:szCs w:val="20"/>
                <w:color w:val="auto"/>
              </w:rPr>
            </w:pPr>
            <w:r>
              <w:rPr>
                <w:rFonts w:ascii="Arial" w:cs="Arial" w:eastAsia="Arial" w:hAnsi="Arial"/>
                <w:sz w:val="11"/>
                <w:szCs w:val="11"/>
                <w:b w:val="1"/>
                <w:bCs w:val="1"/>
                <w:color w:val="auto"/>
              </w:rPr>
              <w:t>Pre-tax pre-provision ("PTPP") income:</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9"/>
        </w:trPr>
        <w:tc>
          <w:tcPr>
            <w:tcW w:w="3200" w:type="dxa"/>
            <w:vAlign w:val="bottom"/>
            <w:gridSpan w:val="3"/>
          </w:tcPr>
          <w:p>
            <w:pPr>
              <w:ind w:left="100"/>
              <w:spacing w:after="0"/>
              <w:rPr>
                <w:sz w:val="20"/>
                <w:szCs w:val="20"/>
                <w:color w:val="auto"/>
              </w:rPr>
            </w:pPr>
            <w:r>
              <w:rPr>
                <w:rFonts w:ascii="Arial" w:cs="Arial" w:eastAsia="Arial" w:hAnsi="Arial"/>
                <w:sz w:val="11"/>
                <w:szCs w:val="11"/>
                <w:color w:val="auto"/>
              </w:rPr>
              <w:t>Net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8,939</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8,140</w:t>
            </w:r>
          </w:p>
        </w:tc>
        <w:tc>
          <w:tcPr>
            <w:tcW w:w="18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7,658</w:t>
            </w:r>
          </w:p>
        </w:tc>
        <w:tc>
          <w:tcPr>
            <w:tcW w:w="20" w:type="dxa"/>
            <w:vAlign w:val="bottom"/>
          </w:tcPr>
          <w:p>
            <w:pPr>
              <w:spacing w:after="0"/>
              <w:rPr>
                <w:sz w:val="12"/>
                <w:szCs w:val="12"/>
                <w:color w:val="auto"/>
              </w:rPr>
            </w:pPr>
          </w:p>
        </w:tc>
        <w:tc>
          <w:tcPr>
            <w:tcW w:w="14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6,904</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6,949</w:t>
            </w:r>
          </w:p>
        </w:tc>
        <w:tc>
          <w:tcPr>
            <w:tcW w:w="20" w:type="dxa"/>
            <w:vAlign w:val="bottom"/>
          </w:tcPr>
          <w:p>
            <w:pPr>
              <w:spacing w:after="0"/>
              <w:rPr>
                <w:sz w:val="12"/>
                <w:szCs w:val="12"/>
                <w:color w:val="auto"/>
              </w:rPr>
            </w:pPr>
          </w:p>
        </w:tc>
      </w:tr>
      <w:tr>
        <w:trPr>
          <w:trHeight w:val="149"/>
        </w:trPr>
        <w:tc>
          <w:tcPr>
            <w:tcW w:w="320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Plus: Income tax expense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2,440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2,213</w:t>
            </w:r>
          </w:p>
        </w:tc>
        <w:tc>
          <w:tcPr>
            <w:tcW w:w="20" w:type="dxa"/>
            <w:vAlign w:val="bottom"/>
            <w:shd w:val="clear" w:color="auto" w:fill="CCEEFF"/>
          </w:tcPr>
          <w:p>
            <w:pPr>
              <w:spacing w:after="0"/>
              <w:rPr>
                <w:sz w:val="12"/>
                <w:szCs w:val="12"/>
                <w:color w:val="auto"/>
              </w:rPr>
            </w:pPr>
          </w:p>
        </w:tc>
      </w:tr>
      <w:tr>
        <w:trPr>
          <w:trHeight w:val="149"/>
        </w:trPr>
        <w:tc>
          <w:tcPr>
            <w:tcW w:w="3200" w:type="dxa"/>
            <w:vAlign w:val="bottom"/>
            <w:tcBorders>
              <w:bottom w:val="single" w:sz="8" w:color="CCEEFF"/>
            </w:tcBorders>
            <w:gridSpan w:val="3"/>
          </w:tcPr>
          <w:p>
            <w:pPr>
              <w:ind w:left="100"/>
              <w:spacing w:after="0"/>
              <w:rPr>
                <w:sz w:val="20"/>
                <w:szCs w:val="20"/>
                <w:color w:val="auto"/>
              </w:rPr>
            </w:pPr>
            <w:r>
              <w:rPr>
                <w:rFonts w:ascii="Arial" w:cs="Arial" w:eastAsia="Arial" w:hAnsi="Arial"/>
                <w:sz w:val="11"/>
                <w:szCs w:val="11"/>
                <w:color w:val="auto"/>
              </w:rPr>
              <w:t>Plus: Provision for credit losses</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1,031</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681</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1,030</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931</w:t>
            </w:r>
          </w:p>
        </w:tc>
        <w:tc>
          <w:tcPr>
            <w:tcW w:w="20" w:type="dxa"/>
            <w:vAlign w:val="bottom"/>
          </w:tcPr>
          <w:p>
            <w:pPr>
              <w:spacing w:after="0"/>
              <w:rPr>
                <w:sz w:val="12"/>
                <w:szCs w:val="12"/>
                <w:color w:val="auto"/>
              </w:rPr>
            </w:pPr>
          </w:p>
        </w:tc>
      </w:tr>
      <w:tr>
        <w:trPr>
          <w:trHeight w:val="129"/>
        </w:trPr>
        <w:tc>
          <w:tcPr>
            <w:tcW w:w="200" w:type="dxa"/>
            <w:vAlign w:val="bottom"/>
            <w:shd w:val="clear" w:color="auto" w:fill="CCEEFF"/>
          </w:tcPr>
          <w:p>
            <w:pPr>
              <w:spacing w:after="0"/>
              <w:rPr>
                <w:sz w:val="11"/>
                <w:szCs w:val="11"/>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PTPP income</w:t>
            </w: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11,910</w:t>
            </w:r>
          </w:p>
        </w:tc>
        <w:tc>
          <w:tcPr>
            <w:tcW w:w="60" w:type="dxa"/>
            <w:vAlign w:val="bottom"/>
            <w:gridSpan w:val="2"/>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11,770</w:t>
            </w:r>
          </w:p>
        </w:tc>
        <w:tc>
          <w:tcPr>
            <w:tcW w:w="80" w:type="dxa"/>
            <w:vAlign w:val="bottom"/>
            <w:gridSpan w:val="2"/>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10,779</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gridSpan w:val="2"/>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10,131</w:t>
            </w:r>
          </w:p>
        </w:tc>
        <w:tc>
          <w:tcPr>
            <w:tcW w:w="60" w:type="dxa"/>
            <w:vAlign w:val="bottom"/>
            <w:gridSpan w:val="2"/>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10,093</w:t>
            </w:r>
          </w:p>
        </w:tc>
        <w:tc>
          <w:tcPr>
            <w:tcW w:w="20" w:type="dxa"/>
            <w:vAlign w:val="bottom"/>
            <w:tcBorders>
              <w:bottom w:val="single" w:sz="8" w:color="auto"/>
            </w:tcBorders>
            <w:shd w:val="clear" w:color="auto" w:fill="CCEEFF"/>
          </w:tcPr>
          <w:p>
            <w:pPr>
              <w:spacing w:after="0"/>
              <w:rPr>
                <w:sz w:val="11"/>
                <w:szCs w:val="11"/>
                <w:color w:val="auto"/>
              </w:rPr>
            </w:pPr>
          </w:p>
        </w:tc>
      </w:tr>
      <w:tr>
        <w:trPr>
          <w:trHeight w:val="20"/>
        </w:trPr>
        <w:tc>
          <w:tcPr>
            <w:tcW w:w="30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9"/>
        </w:trPr>
        <w:tc>
          <w:tcPr>
            <w:tcW w:w="300" w:type="dxa"/>
            <w:vAlign w:val="bottom"/>
            <w:gridSpan w:val="2"/>
          </w:tcPr>
          <w:p>
            <w:pPr>
              <w:spacing w:after="0"/>
              <w:rPr>
                <w:sz w:val="7"/>
                <w:szCs w:val="7"/>
                <w:color w:val="auto"/>
              </w:rPr>
            </w:pPr>
          </w:p>
        </w:tc>
        <w:tc>
          <w:tcPr>
            <w:tcW w:w="2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49"/>
        </w:trPr>
        <w:tc>
          <w:tcPr>
            <w:tcW w:w="320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PTPP return on average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00" w:type="dxa"/>
            <w:vAlign w:val="bottom"/>
            <w:gridSpan w:val="3"/>
          </w:tcPr>
          <w:p>
            <w:pPr>
              <w:ind w:left="100"/>
              <w:spacing w:after="0"/>
              <w:rPr>
                <w:sz w:val="20"/>
                <w:szCs w:val="20"/>
                <w:color w:val="auto"/>
              </w:rPr>
            </w:pPr>
            <w:r>
              <w:rPr>
                <w:rFonts w:ascii="Arial" w:cs="Arial" w:eastAsia="Arial" w:hAnsi="Arial"/>
                <w:sz w:val="11"/>
                <w:szCs w:val="11"/>
                <w:color w:val="auto"/>
              </w:rPr>
              <w:t>PTPP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11,910</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11,770</w:t>
            </w:r>
          </w:p>
        </w:tc>
        <w:tc>
          <w:tcPr>
            <w:tcW w:w="18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10,779</w:t>
            </w:r>
          </w:p>
        </w:tc>
        <w:tc>
          <w:tcPr>
            <w:tcW w:w="20" w:type="dxa"/>
            <w:vAlign w:val="bottom"/>
          </w:tcPr>
          <w:p>
            <w:pPr>
              <w:spacing w:after="0"/>
              <w:rPr>
                <w:sz w:val="12"/>
                <w:szCs w:val="12"/>
                <w:color w:val="auto"/>
              </w:rPr>
            </w:pPr>
          </w:p>
        </w:tc>
        <w:tc>
          <w:tcPr>
            <w:tcW w:w="14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10,131</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10,093</w:t>
            </w:r>
          </w:p>
        </w:tc>
        <w:tc>
          <w:tcPr>
            <w:tcW w:w="20" w:type="dxa"/>
            <w:vAlign w:val="bottom"/>
          </w:tcPr>
          <w:p>
            <w:pPr>
              <w:spacing w:after="0"/>
              <w:rPr>
                <w:sz w:val="12"/>
                <w:szCs w:val="12"/>
                <w:color w:val="auto"/>
              </w:rPr>
            </w:pPr>
          </w:p>
        </w:tc>
      </w:tr>
      <w:tr>
        <w:trPr>
          <w:trHeight w:val="149"/>
        </w:trPr>
        <w:tc>
          <w:tcPr>
            <w:tcW w:w="320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2,798,115</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2,677,198</w:t>
            </w:r>
          </w:p>
        </w:tc>
        <w:tc>
          <w:tcPr>
            <w:tcW w:w="8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2,606,593</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2,544,592</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2,485,434</w:t>
            </w:r>
          </w:p>
        </w:tc>
        <w:tc>
          <w:tcPr>
            <w:tcW w:w="20" w:type="dxa"/>
            <w:vAlign w:val="bottom"/>
            <w:shd w:val="clear" w:color="auto" w:fill="CCEEFF"/>
          </w:tcPr>
          <w:p>
            <w:pPr>
              <w:spacing w:after="0"/>
              <w:rPr>
                <w:sz w:val="12"/>
                <w:szCs w:val="12"/>
                <w:color w:val="auto"/>
              </w:rPr>
            </w:pPr>
          </w:p>
        </w:tc>
      </w:tr>
      <w:tr>
        <w:trPr>
          <w:trHeight w:val="149"/>
        </w:trPr>
        <w:tc>
          <w:tcPr>
            <w:tcW w:w="200" w:type="dxa"/>
            <w:vAlign w:val="bottom"/>
          </w:tcPr>
          <w:p>
            <w:pPr>
              <w:spacing w:after="0"/>
              <w:rPr>
                <w:sz w:val="12"/>
                <w:szCs w:val="12"/>
                <w:color w:val="auto"/>
              </w:rPr>
            </w:pPr>
          </w:p>
        </w:tc>
        <w:tc>
          <w:tcPr>
            <w:tcW w:w="3000" w:type="dxa"/>
            <w:vAlign w:val="bottom"/>
            <w:gridSpan w:val="2"/>
          </w:tcPr>
          <w:p>
            <w:pPr>
              <w:ind w:left="100"/>
              <w:spacing w:after="0" w:line="149" w:lineRule="exact"/>
              <w:rPr>
                <w:sz w:val="20"/>
                <w:szCs w:val="20"/>
                <w:color w:val="auto"/>
              </w:rPr>
            </w:pPr>
            <w:r>
              <w:rPr>
                <w:rFonts w:ascii="Arial" w:cs="Arial" w:eastAsia="Arial" w:hAnsi="Arial"/>
                <w:sz w:val="11"/>
                <w:szCs w:val="11"/>
                <w:color w:val="auto"/>
              </w:rPr>
              <w:t xml:space="preserve">PTPP return on average assets </w:t>
            </w:r>
            <w:r>
              <w:rPr>
                <w:rFonts w:ascii="Arial" w:cs="Arial" w:eastAsia="Arial" w:hAnsi="Arial"/>
                <w:sz w:val="14"/>
                <w:szCs w:val="14"/>
                <w:color w:val="auto"/>
                <w:vertAlign w:val="superscript"/>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1.62%</w:t>
            </w:r>
          </w:p>
        </w:tc>
        <w:tc>
          <w:tcPr>
            <w:tcW w:w="20" w:type="dxa"/>
            <w:vAlign w:val="bottom"/>
          </w:tcPr>
          <w:p>
            <w:pPr>
              <w:spacing w:after="0"/>
              <w:rPr>
                <w:sz w:val="12"/>
                <w:szCs w:val="12"/>
                <w:color w:val="auto"/>
              </w:rPr>
            </w:pPr>
          </w:p>
        </w:tc>
      </w:tr>
      <w:tr>
        <w:trPr>
          <w:trHeight w:val="149"/>
        </w:trPr>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1"/>
                <w:szCs w:val="11"/>
                <w:b w:val="1"/>
                <w:bCs w:val="1"/>
                <w:color w:val="auto"/>
              </w:rPr>
              <w:t>Operating net income:</w:t>
            </w:r>
            <w:r>
              <w:rPr>
                <w:rFonts w:ascii="Arial" w:cs="Arial" w:eastAsia="Arial" w:hAnsi="Arial"/>
                <w:sz w:val="14"/>
                <w:szCs w:val="14"/>
                <w:color w:val="auto"/>
                <w:vertAlign w:val="superscript"/>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20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8,939</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8,140</w:t>
            </w:r>
          </w:p>
        </w:tc>
        <w:tc>
          <w:tcPr>
            <w:tcW w:w="8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7,658</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6,904</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6,949</w:t>
            </w:r>
          </w:p>
        </w:tc>
        <w:tc>
          <w:tcPr>
            <w:tcW w:w="20" w:type="dxa"/>
            <w:vAlign w:val="bottom"/>
            <w:shd w:val="clear" w:color="auto" w:fill="CCEEFF"/>
          </w:tcPr>
          <w:p>
            <w:pPr>
              <w:spacing w:after="0"/>
              <w:rPr>
                <w:sz w:val="12"/>
                <w:szCs w:val="12"/>
                <w:color w:val="auto"/>
              </w:rPr>
            </w:pPr>
          </w:p>
        </w:tc>
      </w:tr>
      <w:tr>
        <w:trPr>
          <w:trHeight w:val="149"/>
        </w:trPr>
        <w:tc>
          <w:tcPr>
            <w:tcW w:w="3200" w:type="dxa"/>
            <w:vAlign w:val="bottom"/>
            <w:gridSpan w:val="3"/>
          </w:tcPr>
          <w:p>
            <w:pPr>
              <w:ind w:left="100"/>
              <w:spacing w:after="0"/>
              <w:rPr>
                <w:sz w:val="20"/>
                <w:szCs w:val="20"/>
                <w:color w:val="auto"/>
              </w:rPr>
            </w:pPr>
            <w:r>
              <w:rPr>
                <w:rFonts w:ascii="Arial" w:cs="Arial" w:eastAsia="Arial" w:hAnsi="Arial"/>
                <w:sz w:val="11"/>
                <w:szCs w:val="11"/>
                <w:color w:val="auto"/>
              </w:rPr>
              <w:t>Less: Net losses on sale of securities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49"/>
        </w:trPr>
        <w:tc>
          <w:tcPr>
            <w:tcW w:w="320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Less: Tax effect on sale of securities</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69"/>
        </w:trPr>
        <w:tc>
          <w:tcPr>
            <w:tcW w:w="200" w:type="dxa"/>
            <w:vAlign w:val="bottom"/>
          </w:tcPr>
          <w:p>
            <w:pPr>
              <w:spacing w:after="0"/>
              <w:rPr>
                <w:sz w:val="14"/>
                <w:szCs w:val="14"/>
                <w:color w:val="auto"/>
              </w:rPr>
            </w:pPr>
          </w:p>
        </w:tc>
        <w:tc>
          <w:tcPr>
            <w:tcW w:w="3000" w:type="dxa"/>
            <w:vAlign w:val="bottom"/>
            <w:gridSpan w:val="2"/>
          </w:tcPr>
          <w:p>
            <w:pPr>
              <w:ind w:left="100"/>
              <w:spacing w:after="0"/>
              <w:rPr>
                <w:sz w:val="20"/>
                <w:szCs w:val="20"/>
                <w:color w:val="auto"/>
              </w:rPr>
            </w:pPr>
            <w:r>
              <w:rPr>
                <w:rFonts w:ascii="Arial" w:cs="Arial" w:eastAsia="Arial" w:hAnsi="Arial"/>
                <w:sz w:val="11"/>
                <w:szCs w:val="11"/>
                <w:color w:val="auto"/>
              </w:rPr>
              <w:t>Operating net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8,960</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8,140</w:t>
            </w:r>
          </w:p>
        </w:tc>
        <w:tc>
          <w:tcPr>
            <w:tcW w:w="18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7,658</w:t>
            </w:r>
          </w:p>
        </w:tc>
        <w:tc>
          <w:tcPr>
            <w:tcW w:w="20" w:type="dxa"/>
            <w:vAlign w:val="bottom"/>
          </w:tcPr>
          <w:p>
            <w:pPr>
              <w:spacing w:after="0"/>
              <w:rPr>
                <w:sz w:val="14"/>
                <w:szCs w:val="14"/>
                <w:color w:val="auto"/>
              </w:rPr>
            </w:pPr>
          </w:p>
        </w:tc>
        <w:tc>
          <w:tcPr>
            <w:tcW w:w="14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6,904</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6,949</w:t>
            </w:r>
          </w:p>
        </w:tc>
        <w:tc>
          <w:tcPr>
            <w:tcW w:w="20" w:type="dxa"/>
            <w:vAlign w:val="bottom"/>
          </w:tcPr>
          <w:p>
            <w:pPr>
              <w:spacing w:after="0"/>
              <w:rPr>
                <w:sz w:val="14"/>
                <w:szCs w:val="14"/>
                <w:color w:val="auto"/>
              </w:rPr>
            </w:pPr>
          </w:p>
        </w:tc>
      </w:tr>
      <w:tr>
        <w:trPr>
          <w:trHeight w:val="89"/>
        </w:trPr>
        <w:tc>
          <w:tcPr>
            <w:tcW w:w="2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9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1"/>
                <w:szCs w:val="11"/>
                <w:b w:val="1"/>
                <w:bCs w:val="1"/>
                <w:color w:val="auto"/>
              </w:rPr>
              <w:t>Operating PTPP income:</w:t>
            </w:r>
            <w:r>
              <w:rPr>
                <w:rFonts w:ascii="Arial" w:cs="Arial" w:eastAsia="Arial" w:hAnsi="Arial"/>
                <w:sz w:val="14"/>
                <w:szCs w:val="14"/>
                <w:color w:val="auto"/>
                <w:vertAlign w:val="superscript"/>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20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PTPP income</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11,910</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11,770</w:t>
            </w:r>
          </w:p>
        </w:tc>
        <w:tc>
          <w:tcPr>
            <w:tcW w:w="8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10,779</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10,131</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10,093</w:t>
            </w:r>
          </w:p>
        </w:tc>
        <w:tc>
          <w:tcPr>
            <w:tcW w:w="20" w:type="dxa"/>
            <w:vAlign w:val="bottom"/>
            <w:shd w:val="clear" w:color="auto" w:fill="CCEEFF"/>
          </w:tcPr>
          <w:p>
            <w:pPr>
              <w:spacing w:after="0"/>
              <w:rPr>
                <w:sz w:val="12"/>
                <w:szCs w:val="12"/>
                <w:color w:val="auto"/>
              </w:rPr>
            </w:pPr>
          </w:p>
        </w:tc>
      </w:tr>
      <w:tr>
        <w:trPr>
          <w:trHeight w:val="149"/>
        </w:trPr>
        <w:tc>
          <w:tcPr>
            <w:tcW w:w="3200" w:type="dxa"/>
            <w:vAlign w:val="bottom"/>
            <w:tcBorders>
              <w:bottom w:val="single" w:sz="8" w:color="CCEEFF"/>
            </w:tcBorders>
            <w:gridSpan w:val="3"/>
          </w:tcPr>
          <w:p>
            <w:pPr>
              <w:ind w:left="100"/>
              <w:spacing w:after="0"/>
              <w:rPr>
                <w:sz w:val="20"/>
                <w:szCs w:val="20"/>
                <w:color w:val="auto"/>
              </w:rPr>
            </w:pPr>
            <w:r>
              <w:rPr>
                <w:rFonts w:ascii="Arial" w:cs="Arial" w:eastAsia="Arial" w:hAnsi="Arial"/>
                <w:sz w:val="11"/>
                <w:szCs w:val="11"/>
                <w:color w:val="auto"/>
              </w:rPr>
              <w:t>Less: Net losses on sale of securities</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29"/>
        </w:trPr>
        <w:tc>
          <w:tcPr>
            <w:tcW w:w="200" w:type="dxa"/>
            <w:vAlign w:val="bottom"/>
            <w:shd w:val="clear" w:color="auto" w:fill="CCEEFF"/>
          </w:tcPr>
          <w:p>
            <w:pPr>
              <w:spacing w:after="0"/>
              <w:rPr>
                <w:sz w:val="11"/>
                <w:szCs w:val="11"/>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PTPP income</w:t>
            </w: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5"/>
                <w:szCs w:val="5"/>
                <w:color w:val="auto"/>
                <w:w w:val="70"/>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11,938</w:t>
            </w:r>
          </w:p>
        </w:tc>
        <w:tc>
          <w:tcPr>
            <w:tcW w:w="60" w:type="dxa"/>
            <w:vAlign w:val="bottom"/>
            <w:gridSpan w:val="2"/>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11,770</w:t>
            </w:r>
          </w:p>
        </w:tc>
        <w:tc>
          <w:tcPr>
            <w:tcW w:w="80" w:type="dxa"/>
            <w:vAlign w:val="bottom"/>
            <w:gridSpan w:val="2"/>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10,779</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gridSpan w:val="2"/>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10,131</w:t>
            </w:r>
          </w:p>
        </w:tc>
        <w:tc>
          <w:tcPr>
            <w:tcW w:w="60" w:type="dxa"/>
            <w:vAlign w:val="bottom"/>
            <w:gridSpan w:val="2"/>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10,093</w:t>
            </w:r>
          </w:p>
        </w:tc>
        <w:tc>
          <w:tcPr>
            <w:tcW w:w="20" w:type="dxa"/>
            <w:vAlign w:val="bottom"/>
            <w:tcBorders>
              <w:bottom w:val="single" w:sz="8" w:color="auto"/>
            </w:tcBorders>
            <w:shd w:val="clear" w:color="auto" w:fill="CCEEFF"/>
          </w:tcPr>
          <w:p>
            <w:pPr>
              <w:spacing w:after="0"/>
              <w:rPr>
                <w:sz w:val="11"/>
                <w:szCs w:val="11"/>
                <w:color w:val="auto"/>
              </w:rPr>
            </w:pPr>
          </w:p>
        </w:tc>
      </w:tr>
      <w:tr>
        <w:trPr>
          <w:trHeight w:val="20"/>
        </w:trPr>
        <w:tc>
          <w:tcPr>
            <w:tcW w:w="30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9"/>
        </w:trPr>
        <w:tc>
          <w:tcPr>
            <w:tcW w:w="300" w:type="dxa"/>
            <w:vAlign w:val="bottom"/>
            <w:gridSpan w:val="2"/>
          </w:tcPr>
          <w:p>
            <w:pPr>
              <w:spacing w:after="0"/>
              <w:rPr>
                <w:sz w:val="7"/>
                <w:szCs w:val="7"/>
                <w:color w:val="auto"/>
              </w:rPr>
            </w:pPr>
          </w:p>
        </w:tc>
        <w:tc>
          <w:tcPr>
            <w:tcW w:w="2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49"/>
        </w:trPr>
        <w:tc>
          <w:tcPr>
            <w:tcW w:w="320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Operating PTPP return on average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00" w:type="dxa"/>
            <w:vAlign w:val="bottom"/>
            <w:gridSpan w:val="3"/>
          </w:tcPr>
          <w:p>
            <w:pPr>
              <w:ind w:left="100"/>
              <w:spacing w:after="0"/>
              <w:rPr>
                <w:sz w:val="20"/>
                <w:szCs w:val="20"/>
                <w:color w:val="auto"/>
              </w:rPr>
            </w:pPr>
            <w:r>
              <w:rPr>
                <w:rFonts w:ascii="Arial" w:cs="Arial" w:eastAsia="Arial" w:hAnsi="Arial"/>
                <w:sz w:val="11"/>
                <w:szCs w:val="11"/>
                <w:color w:val="auto"/>
              </w:rPr>
              <w:t>Operating PTPP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11,938</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11,770</w:t>
            </w:r>
          </w:p>
        </w:tc>
        <w:tc>
          <w:tcPr>
            <w:tcW w:w="18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10,779</w:t>
            </w:r>
          </w:p>
        </w:tc>
        <w:tc>
          <w:tcPr>
            <w:tcW w:w="20" w:type="dxa"/>
            <w:vAlign w:val="bottom"/>
          </w:tcPr>
          <w:p>
            <w:pPr>
              <w:spacing w:after="0"/>
              <w:rPr>
                <w:sz w:val="12"/>
                <w:szCs w:val="12"/>
                <w:color w:val="auto"/>
              </w:rPr>
            </w:pPr>
          </w:p>
        </w:tc>
        <w:tc>
          <w:tcPr>
            <w:tcW w:w="14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10,131</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10,093</w:t>
            </w:r>
          </w:p>
        </w:tc>
        <w:tc>
          <w:tcPr>
            <w:tcW w:w="20" w:type="dxa"/>
            <w:vAlign w:val="bottom"/>
          </w:tcPr>
          <w:p>
            <w:pPr>
              <w:spacing w:after="0"/>
              <w:rPr>
                <w:sz w:val="12"/>
                <w:szCs w:val="12"/>
                <w:color w:val="auto"/>
              </w:rPr>
            </w:pPr>
          </w:p>
        </w:tc>
      </w:tr>
      <w:tr>
        <w:trPr>
          <w:trHeight w:val="149"/>
        </w:trPr>
        <w:tc>
          <w:tcPr>
            <w:tcW w:w="320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2,798,115</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2,677,198</w:t>
            </w:r>
          </w:p>
        </w:tc>
        <w:tc>
          <w:tcPr>
            <w:tcW w:w="8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2,606,593</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2,544,592</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2,485,434</w:t>
            </w:r>
          </w:p>
        </w:tc>
        <w:tc>
          <w:tcPr>
            <w:tcW w:w="20" w:type="dxa"/>
            <w:vAlign w:val="bottom"/>
            <w:shd w:val="clear" w:color="auto" w:fill="CCEEFF"/>
          </w:tcPr>
          <w:p>
            <w:pPr>
              <w:spacing w:after="0"/>
              <w:rPr>
                <w:sz w:val="12"/>
                <w:szCs w:val="12"/>
                <w:color w:val="auto"/>
              </w:rPr>
            </w:pPr>
          </w:p>
        </w:tc>
      </w:tr>
      <w:tr>
        <w:trPr>
          <w:trHeight w:val="149"/>
        </w:trPr>
        <w:tc>
          <w:tcPr>
            <w:tcW w:w="200" w:type="dxa"/>
            <w:vAlign w:val="bottom"/>
          </w:tcPr>
          <w:p>
            <w:pPr>
              <w:spacing w:after="0"/>
              <w:rPr>
                <w:sz w:val="12"/>
                <w:szCs w:val="12"/>
                <w:color w:val="auto"/>
              </w:rPr>
            </w:pPr>
          </w:p>
        </w:tc>
        <w:tc>
          <w:tcPr>
            <w:tcW w:w="3000" w:type="dxa"/>
            <w:vAlign w:val="bottom"/>
            <w:gridSpan w:val="2"/>
          </w:tcPr>
          <w:p>
            <w:pPr>
              <w:ind w:left="100"/>
              <w:spacing w:after="0" w:line="149" w:lineRule="exact"/>
              <w:rPr>
                <w:sz w:val="20"/>
                <w:szCs w:val="20"/>
                <w:color w:val="auto"/>
              </w:rPr>
            </w:pPr>
            <w:r>
              <w:rPr>
                <w:rFonts w:ascii="Arial" w:cs="Arial" w:eastAsia="Arial" w:hAnsi="Arial"/>
                <w:sz w:val="11"/>
                <w:szCs w:val="11"/>
                <w:color w:val="auto"/>
              </w:rPr>
              <w:t xml:space="preserve">Operating PTPP return on average assets </w:t>
            </w:r>
            <w:r>
              <w:rPr>
                <w:rFonts w:ascii="Arial" w:cs="Arial" w:eastAsia="Arial" w:hAnsi="Arial"/>
                <w:sz w:val="14"/>
                <w:szCs w:val="14"/>
                <w:color w:val="auto"/>
                <w:vertAlign w:val="superscript"/>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1.76%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1.62%</w:t>
            </w:r>
          </w:p>
        </w:tc>
        <w:tc>
          <w:tcPr>
            <w:tcW w:w="20" w:type="dxa"/>
            <w:vAlign w:val="bottom"/>
          </w:tcPr>
          <w:p>
            <w:pPr>
              <w:spacing w:after="0"/>
              <w:rPr>
                <w:sz w:val="12"/>
                <w:szCs w:val="12"/>
                <w:color w:val="auto"/>
              </w:rPr>
            </w:pPr>
          </w:p>
        </w:tc>
      </w:tr>
      <w:tr>
        <w:trPr>
          <w:trHeight w:val="149"/>
        </w:trPr>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1"/>
                <w:szCs w:val="11"/>
                <w:b w:val="1"/>
                <w:bCs w:val="1"/>
                <w:color w:val="auto"/>
              </w:rPr>
              <w:t>Operating return on average assets:</w:t>
            </w:r>
            <w:r>
              <w:rPr>
                <w:rFonts w:ascii="Arial" w:cs="Arial" w:eastAsia="Arial" w:hAnsi="Arial"/>
                <w:sz w:val="14"/>
                <w:szCs w:val="14"/>
                <w:color w:val="auto"/>
                <w:vertAlign w:val="superscript"/>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20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Operating net income</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8,960</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8,140</w:t>
            </w:r>
          </w:p>
        </w:tc>
        <w:tc>
          <w:tcPr>
            <w:tcW w:w="8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7,658</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6,904</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6,949</w:t>
            </w:r>
          </w:p>
        </w:tc>
        <w:tc>
          <w:tcPr>
            <w:tcW w:w="20" w:type="dxa"/>
            <w:vAlign w:val="bottom"/>
            <w:shd w:val="clear" w:color="auto" w:fill="CCEEFF"/>
          </w:tcPr>
          <w:p>
            <w:pPr>
              <w:spacing w:after="0"/>
              <w:rPr>
                <w:sz w:val="12"/>
                <w:szCs w:val="12"/>
                <w:color w:val="auto"/>
              </w:rPr>
            </w:pPr>
          </w:p>
        </w:tc>
      </w:tr>
      <w:tr>
        <w:trPr>
          <w:trHeight w:val="149"/>
        </w:trPr>
        <w:tc>
          <w:tcPr>
            <w:tcW w:w="3200" w:type="dxa"/>
            <w:vAlign w:val="bottom"/>
            <w:gridSpan w:val="3"/>
          </w:tcPr>
          <w:p>
            <w:pPr>
              <w:ind w:left="100"/>
              <w:spacing w:after="0"/>
              <w:rPr>
                <w:sz w:val="20"/>
                <w:szCs w:val="20"/>
                <w:color w:val="auto"/>
              </w:rPr>
            </w:pPr>
            <w:r>
              <w:rPr>
                <w:rFonts w:ascii="Arial" w:cs="Arial" w:eastAsia="Arial" w:hAnsi="Arial"/>
                <w:sz w:val="11"/>
                <w:szCs w:val="11"/>
                <w:color w:val="auto"/>
              </w:rPr>
              <w:t>Average assets</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2,798,115</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2,677,198</w:t>
            </w:r>
          </w:p>
        </w:tc>
        <w:tc>
          <w:tcPr>
            <w:tcW w:w="18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2,606,593</w:t>
            </w:r>
          </w:p>
        </w:tc>
        <w:tc>
          <w:tcPr>
            <w:tcW w:w="20" w:type="dxa"/>
            <w:vAlign w:val="bottom"/>
          </w:tcPr>
          <w:p>
            <w:pPr>
              <w:spacing w:after="0"/>
              <w:rPr>
                <w:sz w:val="12"/>
                <w:szCs w:val="12"/>
                <w:color w:val="auto"/>
              </w:rPr>
            </w:pPr>
          </w:p>
        </w:tc>
        <w:tc>
          <w:tcPr>
            <w:tcW w:w="14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2,544,592</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2,485,434</w:t>
            </w:r>
          </w:p>
        </w:tc>
        <w:tc>
          <w:tcPr>
            <w:tcW w:w="20" w:type="dxa"/>
            <w:vAlign w:val="bottom"/>
          </w:tcPr>
          <w:p>
            <w:pPr>
              <w:spacing w:after="0"/>
              <w:rPr>
                <w:sz w:val="12"/>
                <w:szCs w:val="12"/>
                <w:color w:val="auto"/>
              </w:rPr>
            </w:pPr>
          </w:p>
        </w:tc>
      </w:tr>
      <w:tr>
        <w:trPr>
          <w:trHeight w:val="149"/>
        </w:trPr>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Operating return on average assets </w:t>
            </w:r>
            <w:r>
              <w:rPr>
                <w:rFonts w:ascii="Arial" w:cs="Arial" w:eastAsia="Arial" w:hAnsi="Arial"/>
                <w:sz w:val="14"/>
                <w:szCs w:val="14"/>
                <w:color w:val="auto"/>
                <w:vertAlign w:val="superscript"/>
              </w:rPr>
              <w:t>(2)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20" w:type="dxa"/>
            <w:vAlign w:val="bottom"/>
            <w:shd w:val="clear" w:color="auto" w:fill="CCEEFF"/>
          </w:tcPr>
          <w:p>
            <w:pPr>
              <w:spacing w:after="0"/>
              <w:rPr>
                <w:sz w:val="12"/>
                <w:szCs w:val="12"/>
                <w:color w:val="auto"/>
              </w:rPr>
            </w:pPr>
          </w:p>
        </w:tc>
      </w:tr>
      <w:tr>
        <w:trPr>
          <w:trHeight w:val="149"/>
        </w:trPr>
        <w:tc>
          <w:tcPr>
            <w:tcW w:w="32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20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Operating return on average equity:</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00" w:type="dxa"/>
            <w:vAlign w:val="bottom"/>
            <w:gridSpan w:val="3"/>
          </w:tcPr>
          <w:p>
            <w:pPr>
              <w:ind w:left="100"/>
              <w:spacing w:after="0"/>
              <w:rPr>
                <w:sz w:val="20"/>
                <w:szCs w:val="20"/>
                <w:color w:val="auto"/>
              </w:rPr>
            </w:pPr>
            <w:r>
              <w:rPr>
                <w:rFonts w:ascii="Arial" w:cs="Arial" w:eastAsia="Arial" w:hAnsi="Arial"/>
                <w:sz w:val="11"/>
                <w:szCs w:val="11"/>
                <w:color w:val="auto"/>
              </w:rPr>
              <w:t>Operating net income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8,960</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8,140</w:t>
            </w:r>
          </w:p>
        </w:tc>
        <w:tc>
          <w:tcPr>
            <w:tcW w:w="18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7,658</w:t>
            </w:r>
          </w:p>
        </w:tc>
        <w:tc>
          <w:tcPr>
            <w:tcW w:w="20" w:type="dxa"/>
            <w:vAlign w:val="bottom"/>
          </w:tcPr>
          <w:p>
            <w:pPr>
              <w:spacing w:after="0"/>
              <w:rPr>
                <w:sz w:val="12"/>
                <w:szCs w:val="12"/>
                <w:color w:val="auto"/>
              </w:rPr>
            </w:pPr>
          </w:p>
        </w:tc>
        <w:tc>
          <w:tcPr>
            <w:tcW w:w="14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6,904</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6,949</w:t>
            </w:r>
          </w:p>
        </w:tc>
        <w:tc>
          <w:tcPr>
            <w:tcW w:w="20" w:type="dxa"/>
            <w:vAlign w:val="bottom"/>
          </w:tcPr>
          <w:p>
            <w:pPr>
              <w:spacing w:after="0"/>
              <w:rPr>
                <w:sz w:val="12"/>
                <w:szCs w:val="12"/>
                <w:color w:val="auto"/>
              </w:rPr>
            </w:pPr>
          </w:p>
        </w:tc>
      </w:tr>
      <w:tr>
        <w:trPr>
          <w:trHeight w:val="149"/>
        </w:trPr>
        <w:tc>
          <w:tcPr>
            <w:tcW w:w="320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auto"/>
              </w:rPr>
              <w:t>Average equity</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225,316</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228,492</w:t>
            </w:r>
          </w:p>
        </w:tc>
        <w:tc>
          <w:tcPr>
            <w:tcW w:w="8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219,505</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215,715</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206,641</w:t>
            </w:r>
          </w:p>
        </w:tc>
        <w:tc>
          <w:tcPr>
            <w:tcW w:w="20" w:type="dxa"/>
            <w:vAlign w:val="bottom"/>
            <w:shd w:val="clear" w:color="auto" w:fill="CCEEFF"/>
          </w:tcPr>
          <w:p>
            <w:pPr>
              <w:spacing w:after="0"/>
              <w:rPr>
                <w:sz w:val="12"/>
                <w:szCs w:val="12"/>
                <w:color w:val="auto"/>
              </w:rPr>
            </w:pPr>
          </w:p>
        </w:tc>
      </w:tr>
      <w:tr>
        <w:trPr>
          <w:trHeight w:val="149"/>
        </w:trPr>
        <w:tc>
          <w:tcPr>
            <w:tcW w:w="3200" w:type="dxa"/>
            <w:vAlign w:val="bottom"/>
            <w:gridSpan w:val="3"/>
          </w:tcPr>
          <w:p>
            <w:pPr>
              <w:ind w:left="100"/>
              <w:spacing w:after="0" w:line="149" w:lineRule="exact"/>
              <w:rPr>
                <w:sz w:val="20"/>
                <w:szCs w:val="20"/>
                <w:color w:val="auto"/>
              </w:rPr>
            </w:pPr>
            <w:r>
              <w:rPr>
                <w:rFonts w:ascii="Arial" w:cs="Arial" w:eastAsia="Arial" w:hAnsi="Arial"/>
                <w:sz w:val="11"/>
                <w:szCs w:val="11"/>
                <w:color w:val="auto"/>
              </w:rPr>
              <w:t xml:space="preserve">Operating return on average equity </w:t>
            </w:r>
            <w:r>
              <w:rPr>
                <w:rFonts w:ascii="Arial" w:cs="Arial" w:eastAsia="Arial" w:hAnsi="Arial"/>
                <w:sz w:val="14"/>
                <w:szCs w:val="14"/>
                <w:color w:val="auto"/>
                <w:vertAlign w:val="superscript"/>
              </w:rPr>
              <w:t>(2)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15.78%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14.29%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14.15%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12.73%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13.38%</w:t>
            </w:r>
          </w:p>
        </w:tc>
        <w:tc>
          <w:tcPr>
            <w:tcW w:w="20" w:type="dxa"/>
            <w:vAlign w:val="bottom"/>
          </w:tcPr>
          <w:p>
            <w:pPr>
              <w:spacing w:after="0"/>
              <w:rPr>
                <w:sz w:val="12"/>
                <w:szCs w:val="12"/>
                <w:color w:val="auto"/>
              </w:rPr>
            </w:pPr>
          </w:p>
        </w:tc>
      </w:tr>
      <w:tr>
        <w:trPr>
          <w:trHeight w:val="149"/>
        </w:trPr>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1"/>
                <w:szCs w:val="11"/>
                <w:b w:val="1"/>
                <w:bCs w:val="1"/>
                <w:color w:val="auto"/>
              </w:rPr>
              <w:t>Operating Revenue:</w:t>
            </w:r>
            <w:r>
              <w:rPr>
                <w:rFonts w:ascii="Arial" w:cs="Arial" w:eastAsia="Arial" w:hAnsi="Arial"/>
                <w:sz w:val="14"/>
                <w:szCs w:val="14"/>
                <w:color w:val="auto"/>
                <w:vertAlign w:val="superscript"/>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20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Net interest income</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21,274</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21,034</w:t>
            </w:r>
          </w:p>
        </w:tc>
        <w:tc>
          <w:tcPr>
            <w:tcW w:w="8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19,115</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19,358</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18,109</w:t>
            </w:r>
          </w:p>
        </w:tc>
        <w:tc>
          <w:tcPr>
            <w:tcW w:w="20" w:type="dxa"/>
            <w:vAlign w:val="bottom"/>
            <w:shd w:val="clear" w:color="auto" w:fill="CCEEFF"/>
          </w:tcPr>
          <w:p>
            <w:pPr>
              <w:spacing w:after="0"/>
              <w:rPr>
                <w:sz w:val="12"/>
                <w:szCs w:val="12"/>
                <w:color w:val="auto"/>
              </w:rPr>
            </w:pPr>
          </w:p>
        </w:tc>
      </w:tr>
      <w:tr>
        <w:trPr>
          <w:trHeight w:val="149"/>
        </w:trPr>
        <w:tc>
          <w:tcPr>
            <w:tcW w:w="3200" w:type="dxa"/>
            <w:vAlign w:val="bottom"/>
            <w:gridSpan w:val="3"/>
          </w:tcPr>
          <w:p>
            <w:pPr>
              <w:ind w:left="200"/>
              <w:spacing w:after="0"/>
              <w:rPr>
                <w:sz w:val="20"/>
                <w:szCs w:val="20"/>
                <w:color w:val="auto"/>
              </w:rPr>
            </w:pPr>
            <w:r>
              <w:rPr>
                <w:rFonts w:ascii="Arial" w:cs="Arial" w:eastAsia="Arial" w:hAnsi="Arial"/>
                <w:sz w:val="11"/>
                <w:szCs w:val="11"/>
                <w:color w:val="auto"/>
              </w:rPr>
              <w:t>Plus: Non-interest income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3,684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3,370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3,716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3,627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3,438</w:t>
            </w:r>
          </w:p>
        </w:tc>
        <w:tc>
          <w:tcPr>
            <w:tcW w:w="20" w:type="dxa"/>
            <w:vAlign w:val="bottom"/>
          </w:tcPr>
          <w:p>
            <w:pPr>
              <w:spacing w:after="0"/>
              <w:rPr>
                <w:sz w:val="12"/>
                <w:szCs w:val="12"/>
                <w:color w:val="auto"/>
              </w:rPr>
            </w:pPr>
          </w:p>
        </w:tc>
      </w:tr>
      <w:tr>
        <w:trPr>
          <w:trHeight w:val="149"/>
        </w:trPr>
        <w:tc>
          <w:tcPr>
            <w:tcW w:w="320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Less: Net losses on sale of securities</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69"/>
        </w:trPr>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tcPr>
          <w:p>
            <w:pPr>
              <w:ind w:left="80"/>
              <w:spacing w:after="0"/>
              <w:rPr>
                <w:sz w:val="20"/>
                <w:szCs w:val="20"/>
                <w:color w:val="auto"/>
              </w:rPr>
            </w:pPr>
            <w:r>
              <w:rPr>
                <w:rFonts w:ascii="Arial" w:cs="Arial" w:eastAsia="Arial" w:hAnsi="Arial"/>
                <w:sz w:val="11"/>
                <w:szCs w:val="11"/>
                <w:color w:val="auto"/>
              </w:rPr>
              <w:t>Operating revenue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24,986</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24,404</w:t>
            </w:r>
          </w:p>
        </w:tc>
        <w:tc>
          <w:tcPr>
            <w:tcW w:w="18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22,831</w:t>
            </w:r>
          </w:p>
        </w:tc>
        <w:tc>
          <w:tcPr>
            <w:tcW w:w="20" w:type="dxa"/>
            <w:vAlign w:val="bottom"/>
          </w:tcPr>
          <w:p>
            <w:pPr>
              <w:spacing w:after="0"/>
              <w:rPr>
                <w:sz w:val="14"/>
                <w:szCs w:val="14"/>
                <w:color w:val="auto"/>
              </w:rPr>
            </w:pPr>
          </w:p>
        </w:tc>
        <w:tc>
          <w:tcPr>
            <w:tcW w:w="14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22,985</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21,547</w:t>
            </w:r>
          </w:p>
        </w:tc>
        <w:tc>
          <w:tcPr>
            <w:tcW w:w="20" w:type="dxa"/>
            <w:vAlign w:val="bottom"/>
          </w:tcPr>
          <w:p>
            <w:pPr>
              <w:spacing w:after="0"/>
              <w:rPr>
                <w:sz w:val="14"/>
                <w:szCs w:val="14"/>
                <w:color w:val="auto"/>
              </w:rPr>
            </w:pPr>
          </w:p>
        </w:tc>
      </w:tr>
      <w:tr>
        <w:trPr>
          <w:trHeight w:val="89"/>
        </w:trPr>
        <w:tc>
          <w:tcPr>
            <w:tcW w:w="2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9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r>
      <w:tr>
        <w:trPr>
          <w:trHeight w:val="149"/>
        </w:trPr>
        <w:tc>
          <w:tcPr>
            <w:tcW w:w="3200" w:type="dxa"/>
            <w:vAlign w:val="bottom"/>
            <w:gridSpan w:val="3"/>
          </w:tcPr>
          <w:p>
            <w:pPr>
              <w:spacing w:after="0" w:line="149" w:lineRule="exact"/>
              <w:rPr>
                <w:sz w:val="20"/>
                <w:szCs w:val="20"/>
                <w:color w:val="auto"/>
              </w:rPr>
            </w:pPr>
            <w:r>
              <w:rPr>
                <w:rFonts w:ascii="Arial" w:cs="Arial" w:eastAsia="Arial" w:hAnsi="Arial"/>
                <w:sz w:val="11"/>
                <w:szCs w:val="11"/>
                <w:b w:val="1"/>
                <w:bCs w:val="1"/>
                <w:color w:val="auto"/>
              </w:rPr>
              <w:t>Operating Efficiency Ratio:</w:t>
            </w:r>
            <w:r>
              <w:rPr>
                <w:rFonts w:ascii="Arial" w:cs="Arial" w:eastAsia="Arial" w:hAnsi="Arial"/>
                <w:sz w:val="14"/>
                <w:szCs w:val="14"/>
                <w:color w:val="auto"/>
                <w:vertAlign w:val="superscript"/>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20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Total non-interest expense</w:t>
            </w:r>
          </w:p>
        </w:tc>
        <w:tc>
          <w:tcPr>
            <w:tcW w:w="160" w:type="dxa"/>
            <w:vAlign w:val="bottom"/>
            <w:gridSpan w:val="2"/>
            <w:shd w:val="clear" w:color="auto" w:fill="CCEEFF"/>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13,048</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12,634</w:t>
            </w:r>
          </w:p>
        </w:tc>
        <w:tc>
          <w:tcPr>
            <w:tcW w:w="8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12,052</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12,854</w:t>
            </w:r>
          </w:p>
        </w:tc>
        <w:tc>
          <w:tcPr>
            <w:tcW w:w="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11,454</w:t>
            </w:r>
          </w:p>
        </w:tc>
        <w:tc>
          <w:tcPr>
            <w:tcW w:w="20" w:type="dxa"/>
            <w:vAlign w:val="bottom"/>
            <w:shd w:val="clear" w:color="auto" w:fill="CCEEFF"/>
          </w:tcPr>
          <w:p>
            <w:pPr>
              <w:spacing w:after="0"/>
              <w:rPr>
                <w:sz w:val="12"/>
                <w:szCs w:val="12"/>
                <w:color w:val="auto"/>
              </w:rPr>
            </w:pPr>
          </w:p>
        </w:tc>
      </w:tr>
      <w:tr>
        <w:trPr>
          <w:trHeight w:val="149"/>
        </w:trPr>
        <w:tc>
          <w:tcPr>
            <w:tcW w:w="3200" w:type="dxa"/>
            <w:vAlign w:val="bottom"/>
            <w:gridSpan w:val="3"/>
          </w:tcPr>
          <w:p>
            <w:pPr>
              <w:ind w:left="200"/>
              <w:spacing w:after="0"/>
              <w:rPr>
                <w:sz w:val="20"/>
                <w:szCs w:val="20"/>
                <w:color w:val="auto"/>
              </w:rPr>
            </w:pPr>
            <w:r>
              <w:rPr>
                <w:rFonts w:ascii="Arial" w:cs="Arial" w:eastAsia="Arial" w:hAnsi="Arial"/>
                <w:sz w:val="11"/>
                <w:szCs w:val="11"/>
                <w:color w:val="auto"/>
              </w:rPr>
              <w:t>Operating revenue</w:t>
            </w:r>
          </w:p>
        </w:tc>
        <w:tc>
          <w:tcPr>
            <w:tcW w:w="160" w:type="dxa"/>
            <w:vAlign w:val="bottom"/>
            <w:gridSpan w:val="2"/>
          </w:tcPr>
          <w:p>
            <w:pPr>
              <w:jc w:val="right"/>
              <w:ind w:right="77"/>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24,986</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24,404</w:t>
            </w:r>
          </w:p>
        </w:tc>
        <w:tc>
          <w:tcPr>
            <w:tcW w:w="180" w:type="dxa"/>
            <w:vAlign w:val="bottom"/>
            <w:gridSpan w:val="3"/>
          </w:tcPr>
          <w:p>
            <w:pPr>
              <w:jc w:val="right"/>
              <w:ind w:right="37"/>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22,831</w:t>
            </w:r>
          </w:p>
        </w:tc>
        <w:tc>
          <w:tcPr>
            <w:tcW w:w="20" w:type="dxa"/>
            <w:vAlign w:val="bottom"/>
          </w:tcPr>
          <w:p>
            <w:pPr>
              <w:spacing w:after="0"/>
              <w:rPr>
                <w:sz w:val="12"/>
                <w:szCs w:val="12"/>
                <w:color w:val="auto"/>
              </w:rPr>
            </w:pPr>
          </w:p>
        </w:tc>
        <w:tc>
          <w:tcPr>
            <w:tcW w:w="140" w:type="dxa"/>
            <w:vAlign w:val="bottom"/>
            <w:gridSpan w:val="3"/>
          </w:tcPr>
          <w:p>
            <w:pPr>
              <w:jc w:val="right"/>
              <w:ind w:right="17"/>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22,985</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21,547</w:t>
            </w:r>
          </w:p>
        </w:tc>
        <w:tc>
          <w:tcPr>
            <w:tcW w:w="20" w:type="dxa"/>
            <w:vAlign w:val="bottom"/>
          </w:tcPr>
          <w:p>
            <w:pPr>
              <w:spacing w:after="0"/>
              <w:rPr>
                <w:sz w:val="12"/>
                <w:szCs w:val="12"/>
                <w:color w:val="auto"/>
              </w:rPr>
            </w:pPr>
          </w:p>
        </w:tc>
      </w:tr>
      <w:tr>
        <w:trPr>
          <w:trHeight w:val="149"/>
        </w:trPr>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00" w:type="dxa"/>
            <w:vAlign w:val="bottom"/>
            <w:shd w:val="clear" w:color="auto" w:fill="CCEEFF"/>
          </w:tcPr>
          <w:p>
            <w:pPr>
              <w:ind w:left="80"/>
              <w:spacing w:after="0"/>
              <w:rPr>
                <w:sz w:val="20"/>
                <w:szCs w:val="20"/>
                <w:color w:val="auto"/>
              </w:rPr>
            </w:pPr>
            <w:r>
              <w:rPr>
                <w:rFonts w:ascii="Arial" w:cs="Arial" w:eastAsia="Arial" w:hAnsi="Arial"/>
                <w:sz w:val="11"/>
                <w:szCs w:val="11"/>
                <w:color w:val="auto"/>
              </w:rPr>
              <w:t>Operating efficiency ratio</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52.22%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55.92%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53.16%</w:t>
            </w:r>
          </w:p>
        </w:tc>
        <w:tc>
          <w:tcPr>
            <w:tcW w:w="20" w:type="dxa"/>
            <w:vAlign w:val="bottom"/>
            <w:shd w:val="clear" w:color="auto" w:fill="CCEEFF"/>
          </w:tcPr>
          <w:p>
            <w:pPr>
              <w:spacing w:after="0"/>
              <w:rPr>
                <w:sz w:val="12"/>
                <w:szCs w:val="12"/>
                <w:color w:val="auto"/>
              </w:rPr>
            </w:pPr>
          </w:p>
        </w:tc>
      </w:tr>
    </w:tbl>
    <w:p>
      <w:pPr>
        <w:ind w:left="860" w:hanging="197"/>
        <w:spacing w:after="0"/>
        <w:tabs>
          <w:tab w:leader="none" w:pos="8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arekey indicators of the ongoing earnings power of the Company.</w:t>
      </w:r>
    </w:p>
    <w:p>
      <w:pPr>
        <w:spacing w:after="0" w:line="37" w:lineRule="exact"/>
        <w:rPr>
          <w:rFonts w:ascii="Arial" w:cs="Arial" w:eastAsia="Arial" w:hAnsi="Arial"/>
          <w:sz w:val="11"/>
          <w:szCs w:val="11"/>
          <w:color w:val="auto"/>
        </w:rPr>
      </w:pPr>
    </w:p>
    <w:p>
      <w:pPr>
        <w:ind w:left="860" w:hanging="197"/>
        <w:spacing w:after="0"/>
        <w:tabs>
          <w:tab w:leader="none" w:pos="860" w:val="left"/>
        </w:tabs>
        <w:numPr>
          <w:ilvl w:val="0"/>
          <w:numId w:val="27"/>
        </w:numPr>
        <w:rPr>
          <w:rFonts w:ascii="Arial" w:cs="Arial" w:eastAsia="Arial" w:hAnsi="Arial"/>
          <w:sz w:val="11"/>
          <w:szCs w:val="11"/>
          <w:color w:val="auto"/>
        </w:rPr>
      </w:pPr>
      <w:r>
        <w:rPr>
          <w:rFonts w:ascii="Arial" w:cs="Arial" w:eastAsia="Arial" w:hAnsi="Arial"/>
          <w:sz w:val="11"/>
          <w:szCs w:val="11"/>
          <w:color w:val="auto"/>
        </w:rPr>
        <w:t>Annualized.</w:t>
      </w:r>
    </w:p>
    <w:p>
      <w:pPr>
        <w:spacing w:after="0" w:line="200" w:lineRule="exact"/>
        <w:rPr>
          <w:sz w:val="20"/>
          <w:szCs w:val="20"/>
          <w:color w:val="auto"/>
        </w:rPr>
      </w:pPr>
    </w:p>
    <w:p>
      <w:pPr>
        <w:spacing w:after="0" w:line="34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50" w:name="page51"/>
    <w:bookmarkEnd w:id="5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86" w:lineRule="exact"/>
        <w:rPr>
          <w:sz w:val="20"/>
          <w:szCs w:val="20"/>
          <w:color w:val="auto"/>
        </w:rPr>
      </w:pPr>
    </w:p>
    <w:p>
      <w:pPr>
        <w:ind w:left="3560"/>
        <w:spacing w:after="0"/>
        <w:rPr>
          <w:sz w:val="20"/>
          <w:szCs w:val="20"/>
          <w:color w:val="auto"/>
        </w:rPr>
      </w:pPr>
      <w:r>
        <w:rPr>
          <w:rFonts w:ascii="Arial" w:cs="Arial" w:eastAsia="Arial" w:hAnsi="Arial"/>
          <w:sz w:val="11"/>
          <w:szCs w:val="11"/>
          <w:b w:val="1"/>
          <w:bCs w:val="1"/>
          <w:color w:val="auto"/>
        </w:rPr>
        <w:t>USCB FINANCIAL HOLDINGS, INC.</w:t>
      </w:r>
    </w:p>
    <w:p>
      <w:pPr>
        <w:spacing w:after="0" w:line="31" w:lineRule="exact"/>
        <w:rPr>
          <w:sz w:val="20"/>
          <w:szCs w:val="20"/>
          <w:color w:val="auto"/>
        </w:rPr>
      </w:pPr>
    </w:p>
    <w:p>
      <w:pPr>
        <w:ind w:left="3140"/>
        <w:spacing w:after="0"/>
        <w:rPr>
          <w:sz w:val="20"/>
          <w:szCs w:val="20"/>
          <w:color w:val="auto"/>
        </w:rPr>
      </w:pPr>
      <w:r>
        <w:rPr>
          <w:rFonts w:ascii="Arial" w:cs="Arial" w:eastAsia="Arial" w:hAnsi="Arial"/>
          <w:sz w:val="11"/>
          <w:szCs w:val="11"/>
          <w:b w:val="1"/>
          <w:bCs w:val="1"/>
          <w:color w:val="auto"/>
        </w:rPr>
        <w:t>NON-GAAP FINANCIAL MEASURES (UNAUDITED)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 except per share data)</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2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3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2510" w:type="dxa"/>
            <w:vAlign w:val="bottom"/>
            <w:tcBorders>
              <w:bottom w:val="single" w:sz="8" w:color="auto"/>
            </w:tcBorders>
            <w:gridSpan w:val="9"/>
          </w:tcPr>
          <w:p>
            <w:pPr>
              <w:jc w:val="right"/>
              <w:ind w:right="263"/>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2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73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9/30/2025</w:t>
            </w:r>
          </w:p>
        </w:tc>
        <w:tc>
          <w:tcPr>
            <w:tcW w:w="20" w:type="dxa"/>
            <w:vAlign w:val="bottom"/>
            <w:tcBorders>
              <w:bottom w:val="single" w:sz="8" w:color="CCEEFF"/>
            </w:tcBorders>
          </w:tcPr>
          <w:p>
            <w:pPr>
              <w:spacing w:after="0"/>
              <w:rPr>
                <w:sz w:val="12"/>
                <w:szCs w:val="12"/>
                <w:color w:val="auto"/>
              </w:rPr>
            </w:pPr>
          </w:p>
        </w:tc>
        <w:tc>
          <w:tcPr>
            <w:tcW w:w="130" w:type="dxa"/>
            <w:vAlign w:val="bottom"/>
            <w:tcBorders>
              <w:bottom w:val="single" w:sz="8" w:color="auto"/>
            </w:tcBorders>
          </w:tcPr>
          <w:p>
            <w:pPr>
              <w:spacing w:after="0"/>
              <w:rPr>
                <w:sz w:val="12"/>
                <w:szCs w:val="12"/>
                <w:color w:val="auto"/>
              </w:rPr>
            </w:pPr>
          </w:p>
        </w:tc>
        <w:tc>
          <w:tcPr>
            <w:tcW w:w="71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6/30/2025</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3/31/2025</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12/31/2024</w:t>
            </w:r>
          </w:p>
        </w:tc>
        <w:tc>
          <w:tcPr>
            <w:tcW w:w="20" w:type="dxa"/>
            <w:vAlign w:val="bottom"/>
            <w:tcBorders>
              <w:bottom w:val="single" w:sz="8" w:color="CCEEFF"/>
            </w:tcBorders>
          </w:tcPr>
          <w:p>
            <w:pPr>
              <w:spacing w:after="0"/>
              <w:rPr>
                <w:sz w:val="12"/>
                <w:szCs w:val="12"/>
                <w:color w:val="auto"/>
              </w:rPr>
            </w:pPr>
          </w:p>
        </w:tc>
        <w:tc>
          <w:tcPr>
            <w:tcW w:w="130" w:type="dxa"/>
            <w:vAlign w:val="bottom"/>
            <w:tcBorders>
              <w:bottom w:val="single" w:sz="8" w:color="auto"/>
            </w:tcBorders>
          </w:tcPr>
          <w:p>
            <w:pPr>
              <w:spacing w:after="0"/>
              <w:rPr>
                <w:sz w:val="12"/>
                <w:szCs w:val="12"/>
                <w:color w:val="auto"/>
              </w:rPr>
            </w:pPr>
          </w:p>
        </w:tc>
        <w:tc>
          <w:tcPr>
            <w:tcW w:w="71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9/30/2024</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300" w:type="dxa"/>
            <w:vAlign w:val="bottom"/>
            <w:gridSpan w:val="2"/>
            <w:shd w:val="clear" w:color="auto" w:fill="CCEEFF"/>
          </w:tcPr>
          <w:p>
            <w:pPr>
              <w:ind w:left="40"/>
              <w:spacing w:after="0" w:line="140" w:lineRule="exact"/>
              <w:rPr>
                <w:sz w:val="20"/>
                <w:szCs w:val="20"/>
                <w:color w:val="auto"/>
              </w:rPr>
            </w:pPr>
            <w:r>
              <w:rPr>
                <w:rFonts w:ascii="Arial" w:cs="Arial" w:eastAsia="Arial" w:hAnsi="Arial"/>
                <w:sz w:val="11"/>
                <w:szCs w:val="11"/>
                <w:b w:val="1"/>
                <w:bCs w:val="1"/>
                <w:color w:val="auto"/>
              </w:rPr>
              <w:t>Tangible book value per common share (at period-end):</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1"/>
                <w:szCs w:val="11"/>
                <w:color w:val="auto"/>
              </w:rPr>
              <w:t>Total stockholders' equity</w:t>
            </w:r>
          </w:p>
        </w:tc>
        <w:tc>
          <w:tcPr>
            <w:tcW w:w="13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30" w:type="dxa"/>
            <w:vAlign w:val="bottom"/>
          </w:tcPr>
          <w:p>
            <w:pPr>
              <w:jc w:val="right"/>
              <w:ind w:right="23"/>
              <w:spacing w:after="0"/>
              <w:rPr>
                <w:sz w:val="20"/>
                <w:szCs w:val="20"/>
                <w:color w:val="auto"/>
              </w:rPr>
            </w:pPr>
            <w:r>
              <w:rPr>
                <w:rFonts w:ascii="Arial" w:cs="Arial" w:eastAsia="Arial" w:hAnsi="Arial"/>
                <w:sz w:val="11"/>
                <w:szCs w:val="11"/>
                <w:color w:val="auto"/>
              </w:rPr>
              <w:t>209,095</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231,583</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225,088</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215,388</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213,916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 w:type="dxa"/>
            <w:vAlign w:val="bottom"/>
            <w:tcBorders>
              <w:bottom w:val="single" w:sz="8" w:color="CCEEFF"/>
            </w:tcBorders>
            <w:shd w:val="clear" w:color="auto" w:fill="CCEEFF"/>
          </w:tcPr>
          <w:p>
            <w:pPr>
              <w:spacing w:after="0"/>
              <w:rPr>
                <w:sz w:val="12"/>
                <w:szCs w:val="12"/>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Less: Intangible assets</w:t>
            </w:r>
          </w:p>
        </w:tc>
        <w:tc>
          <w:tcPr>
            <w:tcW w:w="20" w:type="dxa"/>
            <w:vAlign w:val="bottom"/>
            <w:tcBorders>
              <w:bottom w:val="single" w:sz="8" w:color="auto"/>
            </w:tcBorders>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spacing w:after="0"/>
              <w:rPr>
                <w:sz w:val="12"/>
                <w:szCs w:val="12"/>
                <w:color w:val="auto"/>
              </w:rPr>
            </w:pPr>
          </w:p>
        </w:tc>
        <w:tc>
          <w:tcPr>
            <w:tcW w:w="73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30" w:type="dxa"/>
            <w:vAlign w:val="bottom"/>
            <w:tcBorders>
              <w:bottom w:val="single" w:sz="8" w:color="auto"/>
            </w:tcBorders>
            <w:shd w:val="clear" w:color="auto" w:fill="CCEEFF"/>
          </w:tcPr>
          <w:p>
            <w:pPr>
              <w:spacing w:after="0"/>
              <w:rPr>
                <w:sz w:val="12"/>
                <w:szCs w:val="12"/>
                <w:color w:val="auto"/>
              </w:rPr>
            </w:pPr>
          </w:p>
        </w:tc>
        <w:tc>
          <w:tcPr>
            <w:tcW w:w="71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130" w:type="dxa"/>
            <w:vAlign w:val="bottom"/>
            <w:tcBorders>
              <w:bottom w:val="single" w:sz="8" w:color="auto"/>
            </w:tcBorders>
            <w:shd w:val="clear" w:color="auto" w:fill="CCEEFF"/>
          </w:tcPr>
          <w:p>
            <w:pPr>
              <w:spacing w:after="0"/>
              <w:rPr>
                <w:sz w:val="12"/>
                <w:szCs w:val="12"/>
                <w:color w:val="auto"/>
              </w:rPr>
            </w:pPr>
          </w:p>
        </w:tc>
        <w:tc>
          <w:tcPr>
            <w:tcW w:w="71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0" w:type="dxa"/>
            <w:vAlign w:val="bottom"/>
          </w:tcPr>
          <w:p>
            <w:pPr>
              <w:spacing w:after="0"/>
              <w:rPr>
                <w:sz w:val="13"/>
                <w:szCs w:val="13"/>
                <w:color w:val="auto"/>
              </w:rPr>
            </w:pPr>
          </w:p>
        </w:tc>
        <w:tc>
          <w:tcPr>
            <w:tcW w:w="3080" w:type="dxa"/>
            <w:vAlign w:val="bottom"/>
          </w:tcPr>
          <w:p>
            <w:pPr>
              <w:ind w:left="100"/>
              <w:spacing w:after="0" w:line="151" w:lineRule="exact"/>
              <w:rPr>
                <w:sz w:val="20"/>
                <w:szCs w:val="20"/>
                <w:color w:val="auto"/>
              </w:rPr>
            </w:pPr>
            <w:r>
              <w:rPr>
                <w:rFonts w:ascii="Arial" w:cs="Arial" w:eastAsia="Arial" w:hAnsi="Arial"/>
                <w:sz w:val="11"/>
                <w:szCs w:val="11"/>
                <w:color w:val="auto"/>
              </w:rPr>
              <w:t>Tangible stockholders' equity</w:t>
            </w:r>
            <w:r>
              <w:rPr>
                <w:rFonts w:ascii="Arial" w:cs="Arial" w:eastAsia="Arial" w:hAnsi="Arial"/>
                <w:sz w:val="14"/>
                <w:szCs w:val="14"/>
                <w:color w:val="auto"/>
                <w:vertAlign w:val="superscript"/>
              </w:rPr>
              <w:t>(3)</w:t>
            </w:r>
          </w:p>
        </w:tc>
        <w:tc>
          <w:tcPr>
            <w:tcW w:w="13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30" w:type="dxa"/>
            <w:vAlign w:val="bottom"/>
          </w:tcPr>
          <w:p>
            <w:pPr>
              <w:jc w:val="right"/>
              <w:ind w:right="23"/>
              <w:spacing w:after="0"/>
              <w:rPr>
                <w:sz w:val="20"/>
                <w:szCs w:val="20"/>
                <w:color w:val="auto"/>
              </w:rPr>
            </w:pPr>
            <w:r>
              <w:rPr>
                <w:rFonts w:ascii="Arial" w:cs="Arial" w:eastAsia="Arial" w:hAnsi="Arial"/>
                <w:sz w:val="11"/>
                <w:szCs w:val="11"/>
                <w:color w:val="auto"/>
              </w:rPr>
              <w:t>209,095</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231,583</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225,088</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215,388</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213,916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CEEFF"/>
          </w:tcPr>
          <w:p>
            <w:pPr>
              <w:ind w:left="140"/>
              <w:spacing w:after="0"/>
              <w:rPr>
                <w:sz w:val="20"/>
                <w:szCs w:val="20"/>
                <w:color w:val="auto"/>
              </w:rPr>
            </w:pPr>
            <w:r>
              <w:rPr>
                <w:rFonts w:ascii="Arial" w:cs="Arial" w:eastAsia="Arial" w:hAnsi="Arial"/>
                <w:sz w:val="11"/>
                <w:szCs w:val="11"/>
                <w:b w:val="1"/>
                <w:bCs w:val="1"/>
                <w:color w:val="auto"/>
              </w:rPr>
              <w:t>Total shares issued and outstanding (at period-end):</w:t>
            </w: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73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0" w:type="dxa"/>
            <w:vAlign w:val="bottom"/>
            <w:tcBorders>
              <w:bottom w:val="single" w:sz="8" w:color="CCEEFF"/>
            </w:tcBorders>
          </w:tcPr>
          <w:p>
            <w:pPr>
              <w:spacing w:after="0"/>
              <w:rPr>
                <w:sz w:val="13"/>
                <w:szCs w:val="13"/>
                <w:color w:val="auto"/>
              </w:rPr>
            </w:pPr>
          </w:p>
        </w:tc>
        <w:tc>
          <w:tcPr>
            <w:tcW w:w="308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Total common shares issued and outstanding</w:t>
            </w: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3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18,107,385</w:t>
            </w:r>
          </w:p>
        </w:tc>
        <w:tc>
          <w:tcPr>
            <w:tcW w:w="20" w:type="dxa"/>
            <w:vAlign w:val="bottom"/>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71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20,078,385</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20,048,385</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19,924,632</w:t>
            </w:r>
          </w:p>
        </w:tc>
        <w:tc>
          <w:tcPr>
            <w:tcW w:w="20" w:type="dxa"/>
            <w:vAlign w:val="bottom"/>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71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19,620,632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2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line="140" w:lineRule="exact"/>
              <w:rPr>
                <w:sz w:val="20"/>
                <w:szCs w:val="20"/>
                <w:color w:val="auto"/>
              </w:rPr>
            </w:pPr>
            <w:r>
              <w:rPr>
                <w:rFonts w:ascii="Arial" w:cs="Arial" w:eastAsia="Arial" w:hAnsi="Arial"/>
                <w:sz w:val="11"/>
                <w:szCs w:val="11"/>
                <w:color w:val="auto"/>
              </w:rPr>
              <w:t>Tangible book value per common share</w:t>
            </w:r>
            <w:r>
              <w:rPr>
                <w:rFonts w:ascii="Arial" w:cs="Arial" w:eastAsia="Arial" w:hAnsi="Arial"/>
                <w:sz w:val="14"/>
                <w:szCs w:val="14"/>
                <w:color w:val="auto"/>
                <w:vertAlign w:val="superscript"/>
              </w:rPr>
              <w:t>(2)</w:t>
            </w:r>
          </w:p>
        </w:tc>
        <w:tc>
          <w:tcPr>
            <w:tcW w:w="20" w:type="dxa"/>
            <w:vAlign w:val="bottom"/>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11.55</w:t>
            </w:r>
          </w:p>
        </w:tc>
        <w:tc>
          <w:tcPr>
            <w:tcW w:w="20" w:type="dxa"/>
            <w:vAlign w:val="bottom"/>
            <w:shd w:val="clear" w:color="auto" w:fill="CCEEFF"/>
          </w:tcPr>
          <w:p>
            <w:pPr>
              <w:spacing w:after="0"/>
              <w:rPr>
                <w:sz w:val="12"/>
                <w:szCs w:val="12"/>
                <w:color w:val="auto"/>
              </w:rPr>
            </w:pPr>
          </w:p>
        </w:tc>
        <w:tc>
          <w:tcPr>
            <w:tcW w:w="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1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11.53</w:t>
            </w:r>
          </w:p>
        </w:tc>
        <w:tc>
          <w:tcPr>
            <w:tcW w:w="40" w:type="dxa"/>
            <w:vAlign w:val="bottom"/>
            <w:gridSpan w:val="2"/>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11.23</w:t>
            </w:r>
          </w:p>
        </w:tc>
        <w:tc>
          <w:tcPr>
            <w:tcW w:w="80" w:type="dxa"/>
            <w:vAlign w:val="bottom"/>
            <w:gridSpan w:val="2"/>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10.81</w:t>
            </w:r>
          </w:p>
        </w:tc>
        <w:tc>
          <w:tcPr>
            <w:tcW w:w="20" w:type="dxa"/>
            <w:vAlign w:val="bottom"/>
            <w:shd w:val="clear" w:color="auto" w:fill="CCEEFF"/>
          </w:tcPr>
          <w:p>
            <w:pPr>
              <w:spacing w:after="0"/>
              <w:rPr>
                <w:sz w:val="12"/>
                <w:szCs w:val="12"/>
                <w:color w:val="auto"/>
              </w:rPr>
            </w:pPr>
          </w:p>
        </w:tc>
        <w:tc>
          <w:tcPr>
            <w:tcW w:w="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10.90</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Operating diluted net income per common share:</w:t>
            </w:r>
            <w:r>
              <w:rPr>
                <w:rFonts w:ascii="Arial" w:cs="Arial" w:eastAsia="Arial" w:hAnsi="Arial"/>
                <w:sz w:val="14"/>
                <w:szCs w:val="14"/>
                <w:color w:val="auto"/>
                <w:vertAlign w:val="superscript"/>
              </w:rPr>
              <w:t>(1)</w:t>
            </w: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30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73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71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71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1"/>
                <w:szCs w:val="11"/>
                <w:color w:val="auto"/>
              </w:rPr>
              <w:t>Operating net income</w:t>
            </w: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8,960</w:t>
            </w: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1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8,140</w:t>
            </w:r>
          </w:p>
        </w:tc>
        <w:tc>
          <w:tcPr>
            <w:tcW w:w="40" w:type="dxa"/>
            <w:vAlign w:val="bottom"/>
            <w:gridSpan w:val="2"/>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7,658</w:t>
            </w:r>
          </w:p>
        </w:tc>
        <w:tc>
          <w:tcPr>
            <w:tcW w:w="80" w:type="dxa"/>
            <w:vAlign w:val="bottom"/>
            <w:gridSpan w:val="2"/>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6,904</w:t>
            </w:r>
          </w:p>
        </w:tc>
        <w:tc>
          <w:tcPr>
            <w:tcW w:w="20" w:type="dxa"/>
            <w:vAlign w:val="bottom"/>
            <w:shd w:val="clear" w:color="auto" w:fill="CCEEFF"/>
          </w:tcPr>
          <w:p>
            <w:pPr>
              <w:spacing w:after="0"/>
              <w:rPr>
                <w:sz w:val="12"/>
                <w:szCs w:val="12"/>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6,949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0" w:type="dxa"/>
            <w:vAlign w:val="bottom"/>
            <w:tcBorders>
              <w:bottom w:val="single" w:sz="8" w:color="CCEEFF"/>
            </w:tcBorders>
          </w:tcPr>
          <w:p>
            <w:pPr>
              <w:spacing w:after="0"/>
              <w:rPr>
                <w:sz w:val="13"/>
                <w:szCs w:val="13"/>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Total weighted average diluted shares of common stock</w:t>
            </w:r>
          </w:p>
        </w:tc>
        <w:tc>
          <w:tcPr>
            <w:tcW w:w="20" w:type="dxa"/>
            <w:vAlign w:val="bottom"/>
            <w:tcBorders>
              <w:bottom w:val="single" w:sz="8" w:color="auto"/>
            </w:tcBorders>
          </w:tcPr>
          <w:p>
            <w:pPr>
              <w:spacing w:after="0"/>
              <w:rPr>
                <w:sz w:val="13"/>
                <w:szCs w:val="13"/>
                <w:color w:val="auto"/>
              </w:rPr>
            </w:pPr>
          </w:p>
        </w:tc>
        <w:tc>
          <w:tcPr>
            <w:tcW w:w="110" w:type="dxa"/>
            <w:vAlign w:val="bottom"/>
            <w:tcBorders>
              <w:bottom w:val="single" w:sz="8" w:color="auto"/>
            </w:tcBorders>
          </w:tcPr>
          <w:p>
            <w:pPr>
              <w:spacing w:after="0"/>
              <w:rPr>
                <w:sz w:val="13"/>
                <w:szCs w:val="13"/>
                <w:color w:val="auto"/>
              </w:rPr>
            </w:pPr>
          </w:p>
        </w:tc>
        <w:tc>
          <w:tcPr>
            <w:tcW w:w="73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19,755,820</w:t>
            </w:r>
          </w:p>
        </w:tc>
        <w:tc>
          <w:tcPr>
            <w:tcW w:w="20" w:type="dxa"/>
            <w:vAlign w:val="bottom"/>
            <w:tcBorders>
              <w:bottom w:val="single" w:sz="8" w:color="CCEEFF"/>
            </w:tcBorders>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71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20,295,794</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20,319,535</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20,183,731</w:t>
            </w:r>
          </w:p>
        </w:tc>
        <w:tc>
          <w:tcPr>
            <w:tcW w:w="20" w:type="dxa"/>
            <w:vAlign w:val="bottom"/>
            <w:tcBorders>
              <w:bottom w:val="single" w:sz="8" w:color="CCEEFF"/>
            </w:tcBorders>
          </w:tcPr>
          <w:p>
            <w:pPr>
              <w:spacing w:after="0"/>
              <w:rPr>
                <w:sz w:val="13"/>
                <w:szCs w:val="13"/>
                <w:color w:val="auto"/>
              </w:rPr>
            </w:pPr>
          </w:p>
        </w:tc>
        <w:tc>
          <w:tcPr>
            <w:tcW w:w="130" w:type="dxa"/>
            <w:vAlign w:val="bottom"/>
            <w:tcBorders>
              <w:bottom w:val="single" w:sz="8" w:color="auto"/>
            </w:tcBorders>
          </w:tcPr>
          <w:p>
            <w:pPr>
              <w:spacing w:after="0"/>
              <w:rPr>
                <w:sz w:val="13"/>
                <w:szCs w:val="13"/>
                <w:color w:val="auto"/>
              </w:rPr>
            </w:pPr>
          </w:p>
        </w:tc>
        <w:tc>
          <w:tcPr>
            <w:tcW w:w="71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19,825,211</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20" w:type="dxa"/>
            <w:vAlign w:val="bottom"/>
            <w:shd w:val="clear" w:color="auto" w:fill="CCEEFF"/>
          </w:tcPr>
          <w:p>
            <w:pPr>
              <w:spacing w:after="0"/>
              <w:rPr>
                <w:sz w:val="15"/>
                <w:szCs w:val="15"/>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Operating diluted net income per common share:</w:t>
            </w:r>
          </w:p>
        </w:tc>
        <w:tc>
          <w:tcPr>
            <w:tcW w:w="20" w:type="dxa"/>
            <w:vAlign w:val="bottom"/>
            <w:shd w:val="clear" w:color="auto" w:fill="CCEEFF"/>
          </w:tcPr>
          <w:p>
            <w:pPr>
              <w:spacing w:after="0"/>
              <w:rPr>
                <w:sz w:val="15"/>
                <w:szCs w:val="15"/>
                <w:color w:val="auto"/>
              </w:rPr>
            </w:pPr>
          </w:p>
        </w:tc>
        <w:tc>
          <w:tcPr>
            <w:tcW w:w="11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0.45</w:t>
            </w:r>
          </w:p>
        </w:tc>
        <w:tc>
          <w:tcPr>
            <w:tcW w:w="20" w:type="dxa"/>
            <w:vAlign w:val="bottom"/>
            <w:shd w:val="clear" w:color="auto" w:fill="CCEEFF"/>
          </w:tcPr>
          <w:p>
            <w:pPr>
              <w:spacing w:after="0"/>
              <w:rPr>
                <w:sz w:val="15"/>
                <w:szCs w:val="15"/>
                <w:color w:val="auto"/>
              </w:rPr>
            </w:pPr>
          </w:p>
        </w:tc>
        <w:tc>
          <w:tcPr>
            <w:tcW w:w="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1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0.40</w:t>
            </w:r>
          </w:p>
        </w:tc>
        <w:tc>
          <w:tcPr>
            <w:tcW w:w="40" w:type="dxa"/>
            <w:vAlign w:val="bottom"/>
            <w:gridSpan w:val="2"/>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0.38</w:t>
            </w:r>
          </w:p>
        </w:tc>
        <w:tc>
          <w:tcPr>
            <w:tcW w:w="80" w:type="dxa"/>
            <w:vAlign w:val="bottom"/>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0.34</w:t>
            </w:r>
          </w:p>
        </w:tc>
        <w:tc>
          <w:tcPr>
            <w:tcW w:w="20" w:type="dxa"/>
            <w:vAlign w:val="bottom"/>
            <w:shd w:val="clear" w:color="auto" w:fill="CCEEFF"/>
          </w:tcPr>
          <w:p>
            <w:pPr>
              <w:spacing w:after="0"/>
              <w:rPr>
                <w:sz w:val="15"/>
                <w:szCs w:val="15"/>
                <w:color w:val="auto"/>
              </w:rPr>
            </w:pPr>
          </w:p>
        </w:tc>
        <w:tc>
          <w:tcPr>
            <w:tcW w:w="13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0.35</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73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71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 w:type="dxa"/>
            <w:vAlign w:val="bottom"/>
          </w:tcPr>
          <w:p>
            <w:pPr>
              <w:spacing w:after="0"/>
              <w:rPr>
                <w:sz w:val="11"/>
                <w:szCs w:val="11"/>
                <w:color w:val="auto"/>
              </w:rPr>
            </w:pPr>
          </w:p>
        </w:tc>
        <w:tc>
          <w:tcPr>
            <w:tcW w:w="71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30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Tangible Common Equity/Tangible Assets</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6"/>
                <w:szCs w:val="16"/>
                <w:color w:val="auto"/>
              </w:rPr>
            </w:pPr>
          </w:p>
        </w:tc>
        <w:tc>
          <w:tcPr>
            <w:tcW w:w="110" w:type="dxa"/>
            <w:vAlign w:val="bottom"/>
            <w:shd w:val="clear" w:color="auto" w:fill="CCEEFF"/>
          </w:tcPr>
          <w:p>
            <w:pPr>
              <w:spacing w:after="0"/>
              <w:rPr>
                <w:sz w:val="16"/>
                <w:szCs w:val="16"/>
                <w:color w:val="auto"/>
              </w:rPr>
            </w:pPr>
          </w:p>
        </w:tc>
        <w:tc>
          <w:tcPr>
            <w:tcW w:w="73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0" w:type="dxa"/>
            <w:vAlign w:val="bottom"/>
            <w:shd w:val="clear" w:color="auto" w:fill="CCEEFF"/>
          </w:tcPr>
          <w:p>
            <w:pPr>
              <w:spacing w:after="0"/>
              <w:rPr>
                <w:sz w:val="16"/>
                <w:szCs w:val="16"/>
                <w:color w:val="auto"/>
              </w:rPr>
            </w:pPr>
          </w:p>
        </w:tc>
        <w:tc>
          <w:tcPr>
            <w:tcW w:w="71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0" w:type="dxa"/>
            <w:vAlign w:val="bottom"/>
            <w:shd w:val="clear" w:color="auto" w:fill="CCEEFF"/>
          </w:tcPr>
          <w:p>
            <w:pPr>
              <w:spacing w:after="0"/>
              <w:rPr>
                <w:sz w:val="16"/>
                <w:szCs w:val="16"/>
                <w:color w:val="auto"/>
              </w:rPr>
            </w:pPr>
          </w:p>
        </w:tc>
        <w:tc>
          <w:tcPr>
            <w:tcW w:w="71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3080" w:type="dxa"/>
            <w:vAlign w:val="bottom"/>
          </w:tcPr>
          <w:p>
            <w:pPr>
              <w:ind w:left="100"/>
              <w:spacing w:after="0"/>
              <w:rPr>
                <w:sz w:val="20"/>
                <w:szCs w:val="20"/>
                <w:color w:val="auto"/>
              </w:rPr>
            </w:pPr>
            <w:r>
              <w:rPr>
                <w:rFonts w:ascii="Arial" w:cs="Arial" w:eastAsia="Arial" w:hAnsi="Arial"/>
                <w:sz w:val="11"/>
                <w:szCs w:val="11"/>
                <w:color w:val="auto"/>
              </w:rPr>
              <w:t>Tangible stockholders' equity</w:t>
            </w:r>
          </w:p>
        </w:tc>
        <w:tc>
          <w:tcPr>
            <w:tcW w:w="13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30" w:type="dxa"/>
            <w:vAlign w:val="bottom"/>
          </w:tcPr>
          <w:p>
            <w:pPr>
              <w:jc w:val="right"/>
              <w:ind w:right="23"/>
              <w:spacing w:after="0"/>
              <w:rPr>
                <w:sz w:val="20"/>
                <w:szCs w:val="20"/>
                <w:color w:val="auto"/>
              </w:rPr>
            </w:pPr>
            <w:r>
              <w:rPr>
                <w:rFonts w:ascii="Arial" w:cs="Arial" w:eastAsia="Arial" w:hAnsi="Arial"/>
                <w:sz w:val="11"/>
                <w:szCs w:val="11"/>
                <w:color w:val="auto"/>
              </w:rPr>
              <w:t>209,095</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231,583</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23"/>
              <w:spacing w:after="0"/>
              <w:rPr>
                <w:sz w:val="20"/>
                <w:szCs w:val="20"/>
                <w:color w:val="auto"/>
              </w:rPr>
            </w:pPr>
            <w:r>
              <w:rPr>
                <w:rFonts w:ascii="Arial" w:cs="Arial" w:eastAsia="Arial" w:hAnsi="Arial"/>
                <w:sz w:val="11"/>
                <w:szCs w:val="11"/>
                <w:color w:val="auto"/>
              </w:rPr>
              <w:t>225,088</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215,388</w:t>
            </w:r>
          </w:p>
        </w:tc>
        <w:tc>
          <w:tcPr>
            <w:tcW w:w="15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213,916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0" w:type="dxa"/>
            <w:vAlign w:val="bottom"/>
            <w:shd w:val="clear" w:color="auto" w:fill="CCEEFF"/>
          </w:tcPr>
          <w:p>
            <w:pPr>
              <w:spacing w:after="0"/>
              <w:rPr>
                <w:sz w:val="16"/>
                <w:szCs w:val="16"/>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Tangible total assets</w:t>
            </w:r>
            <w:r>
              <w:rPr>
                <w:rFonts w:ascii="Arial" w:cs="Arial" w:eastAsia="Arial" w:hAnsi="Arial"/>
                <w:sz w:val="14"/>
                <w:szCs w:val="14"/>
                <w:color w:val="auto"/>
                <w:vertAlign w:val="superscript"/>
              </w:rPr>
              <w:t>(3)</w:t>
            </w:r>
          </w:p>
        </w:tc>
        <w:tc>
          <w:tcPr>
            <w:tcW w:w="20" w:type="dxa"/>
            <w:vAlign w:val="bottom"/>
            <w:shd w:val="clear" w:color="auto" w:fill="CCEEFF"/>
          </w:tcPr>
          <w:p>
            <w:pPr>
              <w:spacing w:after="0"/>
              <w:rPr>
                <w:sz w:val="16"/>
                <w:szCs w:val="16"/>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3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2,767,945</w:t>
            </w:r>
          </w:p>
        </w:tc>
        <w:tc>
          <w:tcPr>
            <w:tcW w:w="20" w:type="dxa"/>
            <w:vAlign w:val="bottom"/>
            <w:shd w:val="clear" w:color="auto" w:fill="CCEEFF"/>
          </w:tcPr>
          <w:p>
            <w:pPr>
              <w:spacing w:after="0"/>
              <w:rPr>
                <w:sz w:val="16"/>
                <w:szCs w:val="16"/>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w:t>
            </w:r>
          </w:p>
        </w:tc>
        <w:tc>
          <w:tcPr>
            <w:tcW w:w="71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2,719,474</w:t>
            </w:r>
          </w:p>
        </w:tc>
        <w:tc>
          <w:tcPr>
            <w:tcW w:w="40" w:type="dxa"/>
            <w:vAlign w:val="bottom"/>
            <w:gridSpan w:val="2"/>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2,677,382</w:t>
            </w:r>
          </w:p>
        </w:tc>
        <w:tc>
          <w:tcPr>
            <w:tcW w:w="80" w:type="dxa"/>
            <w:vAlign w:val="bottom"/>
            <w:gridSpan w:val="2"/>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2,581,216</w:t>
            </w:r>
          </w:p>
        </w:tc>
        <w:tc>
          <w:tcPr>
            <w:tcW w:w="20" w:type="dxa"/>
            <w:vAlign w:val="bottom"/>
            <w:shd w:val="clear" w:color="auto" w:fill="CCEEFF"/>
          </w:tcPr>
          <w:p>
            <w:pPr>
              <w:spacing w:after="0"/>
              <w:rPr>
                <w:sz w:val="16"/>
                <w:szCs w:val="16"/>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71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2,503,954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3080" w:type="dxa"/>
            <w:vAlign w:val="bottom"/>
          </w:tcPr>
          <w:p>
            <w:pPr>
              <w:ind w:left="100"/>
              <w:spacing w:after="0"/>
              <w:rPr>
                <w:sz w:val="20"/>
                <w:szCs w:val="20"/>
                <w:color w:val="auto"/>
              </w:rPr>
            </w:pPr>
            <w:r>
              <w:rPr>
                <w:rFonts w:ascii="Arial" w:cs="Arial" w:eastAsia="Arial" w:hAnsi="Arial"/>
                <w:sz w:val="11"/>
                <w:szCs w:val="11"/>
                <w:color w:val="auto"/>
              </w:rPr>
              <w:t>Tangible Common Equity/Tangible Assets</w:t>
            </w: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30" w:type="dxa"/>
            <w:vAlign w:val="bottom"/>
          </w:tcPr>
          <w:p>
            <w:pPr>
              <w:jc w:val="right"/>
              <w:spacing w:after="0"/>
              <w:rPr>
                <w:sz w:val="20"/>
                <w:szCs w:val="20"/>
                <w:color w:val="auto"/>
              </w:rPr>
            </w:pPr>
            <w:r>
              <w:rPr>
                <w:rFonts w:ascii="Arial" w:cs="Arial" w:eastAsia="Arial" w:hAnsi="Arial"/>
                <w:sz w:val="11"/>
                <w:szCs w:val="11"/>
                <w:color w:val="auto"/>
              </w:rPr>
              <w:t>7.55%</w:t>
            </w:r>
          </w:p>
        </w:tc>
        <w:tc>
          <w:tcPr>
            <w:tcW w:w="2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8.52%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8.41%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8.34%</w:t>
            </w:r>
          </w:p>
        </w:tc>
        <w:tc>
          <w:tcPr>
            <w:tcW w:w="2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710" w:type="dxa"/>
            <w:vAlign w:val="bottom"/>
          </w:tcPr>
          <w:p>
            <w:pPr>
              <w:jc w:val="right"/>
              <w:ind w:right="3"/>
              <w:spacing w:after="0"/>
              <w:rPr>
                <w:sz w:val="20"/>
                <w:szCs w:val="20"/>
                <w:color w:val="auto"/>
              </w:rPr>
            </w:pPr>
            <w:r>
              <w:rPr>
                <w:rFonts w:ascii="Arial" w:cs="Arial" w:eastAsia="Arial" w:hAnsi="Arial"/>
                <w:sz w:val="11"/>
                <w:szCs w:val="11"/>
                <w:color w:val="auto"/>
              </w:rPr>
              <w:t>8.54%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0" w:type="dxa"/>
            <w:vAlign w:val="bottom"/>
            <w:tcBorders>
              <w:bottom w:val="single" w:sz="8" w:color="auto"/>
            </w:tcBorders>
            <w:shd w:val="clear" w:color="auto" w:fill="CCEEFF"/>
          </w:tcPr>
          <w:p>
            <w:pPr>
              <w:spacing w:after="0"/>
              <w:rPr>
                <w:sz w:val="15"/>
                <w:szCs w:val="15"/>
                <w:color w:val="auto"/>
              </w:rPr>
            </w:pPr>
          </w:p>
        </w:tc>
        <w:tc>
          <w:tcPr>
            <w:tcW w:w="308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3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1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1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900" w:hanging="205"/>
        <w:spacing w:after="0"/>
        <w:tabs>
          <w:tab w:leader="none" w:pos="900"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arekey indicators of the ongoing earnings power of the Company.</w:t>
      </w:r>
    </w:p>
    <w:p>
      <w:pPr>
        <w:spacing w:after="0" w:line="15" w:lineRule="exact"/>
        <w:rPr>
          <w:rFonts w:ascii="Arial" w:cs="Arial" w:eastAsia="Arial" w:hAnsi="Arial"/>
          <w:sz w:val="11"/>
          <w:szCs w:val="11"/>
          <w:color w:val="auto"/>
        </w:rPr>
      </w:pPr>
    </w:p>
    <w:p>
      <w:pPr>
        <w:ind w:left="900" w:hanging="205"/>
        <w:spacing w:after="0"/>
        <w:tabs>
          <w:tab w:leader="none" w:pos="900" w:val="left"/>
        </w:tabs>
        <w:numPr>
          <w:ilvl w:val="0"/>
          <w:numId w:val="28"/>
        </w:numPr>
        <w:rPr>
          <w:rFonts w:ascii="Arial" w:cs="Arial" w:eastAsia="Arial" w:hAnsi="Arial"/>
          <w:sz w:val="11"/>
          <w:szCs w:val="11"/>
          <w:color w:val="auto"/>
        </w:rPr>
      </w:pPr>
      <w:r>
        <w:rPr>
          <w:rFonts w:ascii="Arial" w:cs="Arial" w:eastAsia="Arial" w:hAnsi="Arial"/>
          <w:sz w:val="11"/>
          <w:szCs w:val="11"/>
          <w:color w:val="auto"/>
        </w:rPr>
        <w:t>Excludes the dilutive effect, if any, of shares of common stock issuable upon exercise of outstanding stock options.</w:t>
      </w:r>
    </w:p>
    <w:p>
      <w:pPr>
        <w:spacing w:after="0" w:line="12" w:lineRule="exact"/>
        <w:rPr>
          <w:rFonts w:ascii="Arial" w:cs="Arial" w:eastAsia="Arial" w:hAnsi="Arial"/>
          <w:sz w:val="11"/>
          <w:szCs w:val="11"/>
          <w:color w:val="auto"/>
        </w:rPr>
      </w:pPr>
    </w:p>
    <w:p>
      <w:pPr>
        <w:ind w:left="700" w:right="799" w:hanging="5"/>
        <w:spacing w:after="0" w:line="287" w:lineRule="auto"/>
        <w:tabs>
          <w:tab w:leader="none" w:pos="871" w:val="left"/>
        </w:tabs>
        <w:numPr>
          <w:ilvl w:val="0"/>
          <w:numId w:val="28"/>
        </w:numPr>
        <w:rPr>
          <w:rFonts w:ascii="Arial" w:cs="Arial" w:eastAsia="Arial" w:hAnsi="Arial"/>
          <w:sz w:val="11"/>
          <w:szCs w:val="11"/>
          <w:color w:val="auto"/>
        </w:rPr>
      </w:pPr>
      <w:r>
        <w:rPr>
          <w:rFonts w:ascii="Arial" w:cs="Arial" w:eastAsia="Arial" w:hAnsi="Arial"/>
          <w:sz w:val="11"/>
          <w:szCs w:val="11"/>
          <w:color w:val="auto"/>
        </w:rPr>
        <w:t>Since the Company has no intangible assets, tangible stockholders’ equity and tangible total assets are the same amounts as stockholders’ equity and total assets, respectively, as calculated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51" w:name="page52"/>
    <w:bookmarkEnd w:id="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As a smaller reporting company, we are not required to provide the information required by this item.</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Controls and Procedures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70"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Under the supervision and with the participation of our management, including our President and Chief Executive Officer and our Chief Financial Officer, we evaluated the effectiveness of the design and operation of the Company’s disclosure controls and procedures (as defined in Rules 13a-15(e) and 15d-15(e) under the Securities Exchange Act of 1934 (“Exchange Act”)) as of September 30, 2025. Based on that evaluation, management believes that, as of the end of the period covered by this Form 10-Q, the Company's disclosure controls and procedures were effective to collect, process, and disclose the information required to be disclosed in the reports filed or submitted under the Exchange Act within the required time periods.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70" w:lineRule="exact"/>
        <w:rPr>
          <w:sz w:val="20"/>
          <w:szCs w:val="20"/>
          <w:color w:val="auto"/>
        </w:rPr>
      </w:pPr>
    </w:p>
    <w:p>
      <w:pPr>
        <w:jc w:val="both"/>
        <w:ind w:left="660" w:right="679" w:firstLine="256"/>
        <w:spacing w:after="0" w:line="265"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during the period covered by this Form 10-Q that has materially affected, or is reasonably likely to materially affect, our internal control over financial reporting.</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70" w:lineRule="exact"/>
        <w:rPr>
          <w:sz w:val="20"/>
          <w:szCs w:val="20"/>
          <w:color w:val="auto"/>
        </w:rPr>
      </w:pPr>
    </w:p>
    <w:p>
      <w:pPr>
        <w:jc w:val="both"/>
        <w:ind w:left="660" w:right="679" w:firstLine="256"/>
        <w:spacing w:after="0" w:line="251" w:lineRule="auto"/>
        <w:rPr>
          <w:sz w:val="20"/>
          <w:szCs w:val="20"/>
          <w:color w:val="auto"/>
        </w:rPr>
      </w:pPr>
      <w:r>
        <w:rPr>
          <w:rFonts w:ascii="Arial" w:cs="Arial" w:eastAsia="Arial" w:hAnsi="Arial"/>
          <w:sz w:val="14"/>
          <w:szCs w:val="14"/>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52" w:name="page53"/>
    <w:bookmarkEnd w:id="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 Legal Proceedings</w:t>
      </w:r>
    </w:p>
    <w:p>
      <w:pPr>
        <w:spacing w:after="0" w:line="159" w:lineRule="exact"/>
        <w:rPr>
          <w:sz w:val="20"/>
          <w:szCs w:val="20"/>
          <w:color w:val="auto"/>
        </w:rPr>
      </w:pPr>
    </w:p>
    <w:p>
      <w:pPr>
        <w:ind w:left="660" w:right="619" w:firstLine="256"/>
        <w:spacing w:after="0" w:line="255" w:lineRule="auto"/>
        <w:rPr>
          <w:sz w:val="20"/>
          <w:szCs w:val="20"/>
          <w:color w:val="auto"/>
        </w:rPr>
      </w:pPr>
      <w:r>
        <w:rPr>
          <w:rFonts w:ascii="Arial" w:cs="Arial" w:eastAsia="Arial" w:hAnsi="Arial"/>
          <w:sz w:val="14"/>
          <w:szCs w:val="14"/>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26"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There can be no assurance that any future legal proceedings to which we are a party will not be decided adversely to our interests and have a material adverse effect on our financial condition and operations.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1A. Risk Factors</w:t>
      </w:r>
    </w:p>
    <w:p>
      <w:pPr>
        <w:spacing w:after="0" w:line="170" w:lineRule="exact"/>
        <w:rPr>
          <w:sz w:val="20"/>
          <w:szCs w:val="20"/>
          <w:color w:val="auto"/>
        </w:rPr>
      </w:pPr>
    </w:p>
    <w:p>
      <w:pPr>
        <w:ind w:left="660" w:right="679" w:firstLine="256"/>
        <w:spacing w:after="0" w:line="276" w:lineRule="auto"/>
        <w:rPr>
          <w:sz w:val="20"/>
          <w:szCs w:val="20"/>
          <w:color w:val="auto"/>
        </w:rPr>
      </w:pPr>
      <w:r>
        <w:rPr>
          <w:rFonts w:ascii="Arial" w:cs="Arial" w:eastAsia="Arial" w:hAnsi="Arial"/>
          <w:sz w:val="14"/>
          <w:szCs w:val="14"/>
          <w:color w:val="auto"/>
        </w:rPr>
        <w:t>For detailed information about certain risk factors that could materially affect our business, financial condition, or future results, see “Part I, Item 1A – Risk Factors” of the 2024 Form 10-K.</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70" w:lineRule="exact"/>
        <w:rPr>
          <w:sz w:val="20"/>
          <w:szCs w:val="20"/>
          <w:color w:val="auto"/>
        </w:rPr>
      </w:pPr>
    </w:p>
    <w:p>
      <w:pPr>
        <w:ind w:left="1140" w:hanging="221"/>
        <w:spacing w:after="0"/>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None.</w:t>
      </w:r>
    </w:p>
    <w:p>
      <w:pPr>
        <w:spacing w:after="0" w:line="159" w:lineRule="exact"/>
        <w:rPr>
          <w:rFonts w:ascii="Arial" w:cs="Arial" w:eastAsia="Arial" w:hAnsi="Arial"/>
          <w:sz w:val="14"/>
          <w:szCs w:val="14"/>
          <w:color w:val="auto"/>
        </w:rPr>
      </w:pPr>
    </w:p>
    <w:p>
      <w:pPr>
        <w:ind w:left="1140" w:hanging="221"/>
        <w:spacing w:after="0"/>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69" w:lineRule="exact"/>
        <w:rPr>
          <w:rFonts w:ascii="Arial" w:cs="Arial" w:eastAsia="Arial" w:hAnsi="Arial"/>
          <w:sz w:val="14"/>
          <w:szCs w:val="14"/>
          <w:color w:val="auto"/>
        </w:rPr>
      </w:pPr>
    </w:p>
    <w:p>
      <w:pPr>
        <w:ind w:left="1120" w:hanging="201"/>
        <w:spacing w:after="0"/>
        <w:tabs>
          <w:tab w:leader="none" w:pos="11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Company’s repurchases of equity securities for the three months ended September 30, 2025 were as follows:</w:t>
      </w:r>
    </w:p>
    <w:p>
      <w:pPr>
        <w:spacing w:after="0" w:line="28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Maximum Number</w:t>
            </w:r>
          </w:p>
        </w:tc>
      </w:tr>
      <w:tr>
        <w:trPr>
          <w:trHeight w:val="149"/>
        </w:trPr>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of Shares that</w:t>
            </w:r>
          </w:p>
        </w:tc>
      </w:tr>
      <w:tr>
        <w:trPr>
          <w:trHeight w:val="149"/>
        </w:trPr>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4"/>
              </w:rPr>
              <w:t>May</w:t>
            </w:r>
          </w:p>
        </w:tc>
      </w:tr>
      <w:tr>
        <w:trPr>
          <w:trHeight w:val="139"/>
        </w:trPr>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240"/>
              <w:spacing w:after="0" w:line="139" w:lineRule="exact"/>
              <w:rPr>
                <w:sz w:val="20"/>
                <w:szCs w:val="20"/>
                <w:color w:val="auto"/>
              </w:rPr>
            </w:pPr>
            <w:r>
              <w:rPr>
                <w:rFonts w:ascii="Arial" w:cs="Arial" w:eastAsia="Arial" w:hAnsi="Arial"/>
                <w:sz w:val="13"/>
                <w:szCs w:val="13"/>
                <w:b w:val="1"/>
                <w:bCs w:val="1"/>
                <w:color w:val="auto"/>
                <w:w w:val="98"/>
              </w:rPr>
              <w:t>Number of</w:t>
            </w:r>
          </w:p>
        </w:tc>
        <w:tc>
          <w:tcPr>
            <w:tcW w:w="120" w:type="dxa"/>
            <w:vAlign w:val="bottom"/>
          </w:tcPr>
          <w:p>
            <w:pPr>
              <w:spacing w:after="0"/>
              <w:rPr>
                <w:sz w:val="12"/>
                <w:szCs w:val="12"/>
                <w:color w:val="auto"/>
              </w:rPr>
            </w:pPr>
          </w:p>
        </w:tc>
        <w:tc>
          <w:tcPr>
            <w:tcW w:w="640" w:type="dxa"/>
            <w:vAlign w:val="bottom"/>
          </w:tcPr>
          <w:p>
            <w:pPr>
              <w:jc w:val="center"/>
              <w:ind w:right="76"/>
              <w:spacing w:after="0" w:line="139" w:lineRule="exact"/>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2"/>
                <w:szCs w:val="12"/>
                <w:color w:val="auto"/>
              </w:rPr>
            </w:pPr>
          </w:p>
        </w:tc>
        <w:tc>
          <w:tcPr>
            <w:tcW w:w="23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8"/>
              </w:rPr>
              <w:t>Total Number of Shares Purchased</w:t>
            </w:r>
          </w:p>
        </w:tc>
        <w:tc>
          <w:tcPr>
            <w:tcW w:w="40" w:type="dxa"/>
            <w:vAlign w:val="bottom"/>
          </w:tcPr>
          <w:p>
            <w:pPr>
              <w:spacing w:after="0"/>
              <w:rPr>
                <w:sz w:val="12"/>
                <w:szCs w:val="12"/>
                <w:color w:val="auto"/>
              </w:rPr>
            </w:pPr>
          </w:p>
        </w:tc>
        <w:tc>
          <w:tcPr>
            <w:tcW w:w="1220" w:type="dxa"/>
            <w:vAlign w:val="bottom"/>
            <w:gridSpan w:val="2"/>
          </w:tcPr>
          <w:p>
            <w:pPr>
              <w:jc w:val="center"/>
              <w:ind w:right="20"/>
              <w:spacing w:after="0" w:line="139" w:lineRule="exact"/>
              <w:rPr>
                <w:sz w:val="20"/>
                <w:szCs w:val="20"/>
                <w:color w:val="auto"/>
              </w:rPr>
            </w:pPr>
            <w:r>
              <w:rPr>
                <w:rFonts w:ascii="Arial" w:cs="Arial" w:eastAsia="Arial" w:hAnsi="Arial"/>
                <w:sz w:val="13"/>
                <w:szCs w:val="13"/>
                <w:b w:val="1"/>
                <w:bCs w:val="1"/>
                <w:color w:val="auto"/>
                <w:w w:val="97"/>
              </w:rPr>
              <w:t>Yet Be Purchased</w:t>
            </w:r>
          </w:p>
        </w:tc>
      </w:tr>
      <w:tr>
        <w:trPr>
          <w:trHeight w:val="149"/>
        </w:trPr>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rPr>
              <w:t>Shares</w:t>
            </w: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Price Paid</w:t>
            </w:r>
          </w:p>
        </w:tc>
        <w:tc>
          <w:tcPr>
            <w:tcW w:w="20" w:type="dxa"/>
            <w:vAlign w:val="bottom"/>
          </w:tcPr>
          <w:p>
            <w:pPr>
              <w:spacing w:after="0"/>
              <w:rPr>
                <w:sz w:val="12"/>
                <w:szCs w:val="12"/>
                <w:color w:val="auto"/>
              </w:rPr>
            </w:pPr>
          </w:p>
        </w:tc>
        <w:tc>
          <w:tcPr>
            <w:tcW w:w="2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as Part of Publicly Announced</w:t>
            </w:r>
          </w:p>
        </w:tc>
        <w:tc>
          <w:tcPr>
            <w:tcW w:w="40" w:type="dxa"/>
            <w:vAlign w:val="bottom"/>
          </w:tcPr>
          <w:p>
            <w:pPr>
              <w:spacing w:after="0"/>
              <w:rPr>
                <w:sz w:val="12"/>
                <w:szCs w:val="12"/>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Under Plans or</w:t>
            </w:r>
          </w:p>
        </w:tc>
      </w:tr>
      <w:tr>
        <w:trPr>
          <w:trHeight w:val="160"/>
        </w:trPr>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6"/>
              </w:rPr>
              <w:t>Purchased</w:t>
            </w: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Per Share</w:t>
            </w:r>
          </w:p>
        </w:tc>
        <w:tc>
          <w:tcPr>
            <w:tcW w:w="20" w:type="dxa"/>
            <w:vAlign w:val="bottom"/>
          </w:tcPr>
          <w:p>
            <w:pPr>
              <w:spacing w:after="0"/>
              <w:rPr>
                <w:sz w:val="13"/>
                <w:szCs w:val="13"/>
                <w:color w:val="auto"/>
              </w:rPr>
            </w:pPr>
          </w:p>
        </w:tc>
        <w:tc>
          <w:tcPr>
            <w:tcW w:w="2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Plans or Programs (1)</w:t>
            </w:r>
          </w:p>
        </w:tc>
        <w:tc>
          <w:tcPr>
            <w:tcW w:w="4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Programs (1)</w:t>
            </w:r>
          </w:p>
        </w:tc>
      </w:tr>
      <w:tr>
        <w:trPr>
          <w:trHeight w:val="151"/>
        </w:trPr>
        <w:tc>
          <w:tcPr>
            <w:tcW w:w="2260" w:type="dxa"/>
            <w:vAlign w:val="bottom"/>
            <w:tcBorders>
              <w:top w:val="single" w:sz="8" w:color="CCEEFF"/>
            </w:tcBorders>
            <w:shd w:val="clear" w:color="auto" w:fill="CCEEFF"/>
          </w:tcPr>
          <w:p>
            <w:pPr>
              <w:ind w:left="40"/>
              <w:spacing w:after="0" w:line="140" w:lineRule="exact"/>
              <w:rPr>
                <w:sz w:val="20"/>
                <w:szCs w:val="20"/>
                <w:color w:val="auto"/>
              </w:rPr>
            </w:pPr>
            <w:r>
              <w:rPr>
                <w:rFonts w:ascii="Arial" w:cs="Arial" w:eastAsia="Arial" w:hAnsi="Arial"/>
                <w:sz w:val="13"/>
                <w:szCs w:val="13"/>
                <w:b w:val="1"/>
                <w:bCs w:val="1"/>
                <w:color w:val="auto"/>
              </w:rPr>
              <w:t>Period</w:t>
            </w: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0"/>
        </w:trPr>
        <w:tc>
          <w:tcPr>
            <w:tcW w:w="2280" w:type="dxa"/>
            <w:vAlign w:val="bottom"/>
            <w:gridSpan w:val="2"/>
          </w:tcPr>
          <w:p>
            <w:pPr>
              <w:ind w:left="140"/>
              <w:spacing w:after="0"/>
              <w:rPr>
                <w:sz w:val="20"/>
                <w:szCs w:val="20"/>
                <w:color w:val="auto"/>
              </w:rPr>
            </w:pPr>
            <w:r>
              <w:rPr>
                <w:rFonts w:ascii="Arial" w:cs="Arial" w:eastAsia="Arial" w:hAnsi="Arial"/>
                <w:sz w:val="13"/>
                <w:szCs w:val="13"/>
                <w:color w:val="auto"/>
              </w:rPr>
              <w:t>July 1 - 31, 2025</w:t>
            </w:r>
          </w:p>
        </w:tc>
        <w:tc>
          <w:tcPr>
            <w:tcW w:w="86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528,309</w:t>
            </w:r>
          </w:p>
        </w:tc>
        <w:tc>
          <w:tcPr>
            <w:tcW w:w="20" w:type="dxa"/>
            <w:vAlign w:val="bottom"/>
          </w:tcPr>
          <w:p>
            <w:pPr>
              <w:spacing w:after="0"/>
              <w:rPr>
                <w:sz w:val="13"/>
                <w:szCs w:val="13"/>
                <w:color w:val="auto"/>
              </w:rPr>
            </w:pPr>
          </w:p>
        </w:tc>
      </w:tr>
      <w:tr>
        <w:trPr>
          <w:trHeight w:val="171"/>
        </w:trPr>
        <w:tc>
          <w:tcPr>
            <w:tcW w:w="2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August 1 - 31, 2025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528,309</w:t>
            </w:r>
          </w:p>
        </w:tc>
        <w:tc>
          <w:tcPr>
            <w:tcW w:w="20" w:type="dxa"/>
            <w:vAlign w:val="bottom"/>
            <w:shd w:val="clear" w:color="auto" w:fill="CCEEFF"/>
          </w:tcPr>
          <w:p>
            <w:pPr>
              <w:spacing w:after="0"/>
              <w:rPr>
                <w:sz w:val="14"/>
                <w:szCs w:val="14"/>
                <w:color w:val="auto"/>
              </w:rPr>
            </w:pPr>
          </w:p>
        </w:tc>
      </w:tr>
      <w:tr>
        <w:trPr>
          <w:trHeight w:val="160"/>
        </w:trPr>
        <w:tc>
          <w:tcPr>
            <w:tcW w:w="2280" w:type="dxa"/>
            <w:vAlign w:val="bottom"/>
            <w:gridSpan w:val="2"/>
          </w:tcPr>
          <w:p>
            <w:pPr>
              <w:ind w:left="140"/>
              <w:spacing w:after="0"/>
              <w:rPr>
                <w:sz w:val="20"/>
                <w:szCs w:val="20"/>
                <w:color w:val="auto"/>
              </w:rPr>
            </w:pPr>
            <w:r>
              <w:rPr>
                <w:rFonts w:ascii="Arial" w:cs="Arial" w:eastAsia="Arial" w:hAnsi="Arial"/>
                <w:sz w:val="13"/>
                <w:szCs w:val="13"/>
                <w:color w:val="auto"/>
              </w:rPr>
              <w:t>September 1 - 30, 2025</w:t>
            </w:r>
          </w:p>
        </w:tc>
        <w:tc>
          <w:tcPr>
            <w:tcW w:w="860" w:type="dxa"/>
            <w:vAlign w:val="bottom"/>
            <w:gridSpan w:val="2"/>
          </w:tcPr>
          <w:p>
            <w:pPr>
              <w:jc w:val="right"/>
              <w:ind w:right="16"/>
              <w:spacing w:after="0"/>
              <w:rPr>
                <w:sz w:val="20"/>
                <w:szCs w:val="20"/>
                <w:color w:val="auto"/>
              </w:rPr>
            </w:pPr>
            <w:r>
              <w:rPr>
                <w:rFonts w:ascii="Arial" w:cs="Arial" w:eastAsia="Arial" w:hAnsi="Arial"/>
                <w:sz w:val="13"/>
                <w:szCs w:val="13"/>
                <w:color w:val="auto"/>
              </w:rPr>
              <w:t>2,000,000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17.19</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2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528,309</w:t>
            </w:r>
          </w:p>
        </w:tc>
        <w:tc>
          <w:tcPr>
            <w:tcW w:w="20" w:type="dxa"/>
            <w:vAlign w:val="bottom"/>
          </w:tcPr>
          <w:p>
            <w:pPr>
              <w:spacing w:after="0"/>
              <w:rPr>
                <w:sz w:val="13"/>
                <w:szCs w:val="13"/>
                <w:color w:val="auto"/>
              </w:rPr>
            </w:pPr>
          </w:p>
        </w:tc>
      </w:tr>
      <w:tr>
        <w:trPr>
          <w:trHeight w:val="151"/>
        </w:trPr>
        <w:tc>
          <w:tcPr>
            <w:tcW w:w="22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0" w:type="dxa"/>
            <w:vAlign w:val="bottom"/>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2,000,000</w:t>
            </w:r>
          </w:p>
        </w:tc>
        <w:tc>
          <w:tcPr>
            <w:tcW w:w="200" w:type="dxa"/>
            <w:vAlign w:val="bottom"/>
            <w:tcBorders>
              <w:top w:val="single" w:sz="8" w:color="CCEEFF"/>
            </w:tcBorders>
            <w:shd w:val="clear" w:color="auto" w:fill="CCEEFF"/>
          </w:tcPr>
          <w:p>
            <w:pPr>
              <w:jc w:val="right"/>
              <w:ind w:right="17"/>
              <w:spacing w:after="0"/>
              <w:rPr>
                <w:sz w:val="20"/>
                <w:szCs w:val="20"/>
                <w:color w:val="auto"/>
              </w:rPr>
            </w:pPr>
            <w:r>
              <w:rPr>
                <w:rFonts w:ascii="Arial" w:cs="Arial" w:eastAsia="Arial" w:hAnsi="Arial"/>
                <w:sz w:val="9"/>
                <w:szCs w:val="9"/>
                <w:color w:val="auto"/>
              </w:rPr>
              <w:t>(2)</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6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17.19</w:t>
            </w:r>
          </w:p>
        </w:tc>
        <w:tc>
          <w:tcPr>
            <w:tcW w:w="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2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111" w:lineRule="exact"/>
        <w:rPr>
          <w:sz w:val="20"/>
          <w:szCs w:val="20"/>
          <w:color w:val="auto"/>
        </w:rPr>
      </w:pPr>
    </w:p>
    <w:p>
      <w:pPr>
        <w:ind w:left="700"/>
        <w:spacing w:after="0"/>
        <w:rPr>
          <w:sz w:val="20"/>
          <w:szCs w:val="20"/>
          <w:color w:val="auto"/>
        </w:rPr>
      </w:pPr>
      <w:r>
        <w:rPr>
          <w:rFonts w:ascii="Arial" w:cs="Arial" w:eastAsia="Arial" w:hAnsi="Arial"/>
          <w:sz w:val="11"/>
          <w:szCs w:val="11"/>
          <w:color w:val="auto"/>
        </w:rPr>
        <w:t>(1) As of September 30, 2025 there were 528,309 number of shares available for repurchase under the two outstanding share repurchase programs:</w:t>
      </w:r>
    </w:p>
    <w:p>
      <w:pPr>
        <w:spacing w:after="0" w:line="215" w:lineRule="exact"/>
        <w:rPr>
          <w:sz w:val="20"/>
          <w:szCs w:val="20"/>
          <w:color w:val="auto"/>
        </w:rPr>
      </w:pPr>
    </w:p>
    <w:p>
      <w:pPr>
        <w:ind w:left="760" w:hanging="65"/>
        <w:spacing w:after="0"/>
        <w:tabs>
          <w:tab w:leader="none" w:pos="760" w:val="left"/>
        </w:tabs>
        <w:numPr>
          <w:ilvl w:val="0"/>
          <w:numId w:val="30"/>
        </w:numPr>
        <w:rPr>
          <w:rFonts w:ascii="Arial" w:cs="Arial" w:eastAsia="Arial" w:hAnsi="Arial"/>
          <w:sz w:val="11"/>
          <w:szCs w:val="11"/>
          <w:color w:val="auto"/>
        </w:rPr>
      </w:pPr>
      <w:r>
        <w:rPr>
          <w:rFonts w:ascii="Arial" w:cs="Arial" w:eastAsia="Arial" w:hAnsi="Arial"/>
          <w:sz w:val="11"/>
          <w:szCs w:val="11"/>
          <w:color w:val="auto"/>
        </w:rPr>
        <w:t>On January 24, 2022, the Company announced its initial stock repurchase program to repurchase up to 750,000 shares of Class A common stock.</w:t>
      </w:r>
    </w:p>
    <w:p>
      <w:pPr>
        <w:spacing w:after="0" w:line="33" w:lineRule="exact"/>
        <w:rPr>
          <w:rFonts w:ascii="Arial" w:cs="Arial" w:eastAsia="Arial" w:hAnsi="Arial"/>
          <w:sz w:val="11"/>
          <w:szCs w:val="11"/>
          <w:color w:val="auto"/>
        </w:rPr>
      </w:pPr>
    </w:p>
    <w:p>
      <w:pPr>
        <w:ind w:left="700" w:right="899" w:hanging="5"/>
        <w:spacing w:after="0" w:line="306" w:lineRule="auto"/>
        <w:tabs>
          <w:tab w:leader="none" w:pos="770" w:val="left"/>
        </w:tabs>
        <w:numPr>
          <w:ilvl w:val="0"/>
          <w:numId w:val="30"/>
        </w:numPr>
        <w:rPr>
          <w:rFonts w:ascii="Arial" w:cs="Arial" w:eastAsia="Arial" w:hAnsi="Arial"/>
          <w:sz w:val="11"/>
          <w:szCs w:val="11"/>
          <w:color w:val="auto"/>
        </w:rPr>
      </w:pPr>
      <w:r>
        <w:rPr>
          <w:rFonts w:ascii="Arial" w:cs="Arial" w:eastAsia="Arial" w:hAnsi="Arial"/>
          <w:sz w:val="11"/>
          <w:szCs w:val="11"/>
          <w:color w:val="auto"/>
        </w:rPr>
        <w:t>On April 22, 2024, the Company announced the adoption of a second repurchase program to repurchaseup to 500,000 share of Class A common stock to commence upon completion of its first repurchase program.</w:t>
      </w:r>
    </w:p>
    <w:p>
      <w:pPr>
        <w:spacing w:after="0" w:line="8" w:lineRule="exact"/>
        <w:rPr>
          <w:sz w:val="20"/>
          <w:szCs w:val="20"/>
          <w:color w:val="auto"/>
        </w:rPr>
      </w:pPr>
    </w:p>
    <w:p>
      <w:pPr>
        <w:ind w:left="700" w:right="779" w:hanging="5"/>
        <w:spacing w:after="0" w:line="306" w:lineRule="auto"/>
        <w:tabs>
          <w:tab w:leader="none" w:pos="871"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Reflects the repurchase of shares pursuant to stock repurchase agreements entered into with certain institutional investors on September 2, 2025. For additional information regarding such repurchases,please see the Current Report on Form 8-K filed with the SEC on September 5, 2025.</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59" w:lineRule="exact"/>
        <w:rPr>
          <w:sz w:val="20"/>
          <w:szCs w:val="20"/>
          <w:color w:val="auto"/>
        </w:rPr>
      </w:pPr>
    </w:p>
    <w:p>
      <w:pPr>
        <w:ind w:left="1180" w:hanging="261"/>
        <w:spacing w:after="0"/>
        <w:tabs>
          <w:tab w:leader="none" w:pos="11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23" w:lineRule="exact"/>
        <w:rPr>
          <w:rFonts w:ascii="Arial" w:cs="Arial" w:eastAsia="Arial" w:hAnsi="Arial"/>
          <w:sz w:val="14"/>
          <w:szCs w:val="14"/>
          <w:color w:val="auto"/>
        </w:rPr>
      </w:pPr>
    </w:p>
    <w:p>
      <w:pPr>
        <w:ind w:left="1180" w:hanging="261"/>
        <w:spacing w:after="0"/>
        <w:tabs>
          <w:tab w:leader="none" w:pos="11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4. Mine Safety Disclosures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5. Other Information</w:t>
      </w:r>
    </w:p>
    <w:p>
      <w:pPr>
        <w:spacing w:after="0" w:line="159" w:lineRule="exact"/>
        <w:rPr>
          <w:sz w:val="20"/>
          <w:szCs w:val="20"/>
          <w:color w:val="auto"/>
        </w:rPr>
      </w:pPr>
    </w:p>
    <w:p>
      <w:pPr>
        <w:ind w:left="1180" w:hanging="261"/>
        <w:spacing w:after="0"/>
        <w:tabs>
          <w:tab w:leader="none" w:pos="11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23" w:lineRule="exact"/>
        <w:rPr>
          <w:rFonts w:ascii="Arial" w:cs="Arial" w:eastAsia="Arial" w:hAnsi="Arial"/>
          <w:sz w:val="14"/>
          <w:szCs w:val="14"/>
          <w:color w:val="auto"/>
        </w:rPr>
      </w:pPr>
    </w:p>
    <w:p>
      <w:pPr>
        <w:ind w:left="1180" w:hanging="261"/>
        <w:spacing w:after="0"/>
        <w:tabs>
          <w:tab w:leader="none" w:pos="11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53" w:name="page54"/>
    <w:bookmarkEnd w:id="5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jc w:val="both"/>
        <w:ind w:left="1180" w:right="679" w:hanging="261"/>
        <w:spacing w:after="0" w:line="265" w:lineRule="auto"/>
        <w:tabs>
          <w:tab w:leader="none" w:pos="11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During the three months ended September 30, 2025, none of the Company’s directors or Section 16 reporting persons adopted or terminated any Rule 10b5-1 trading arrangement or non-Rule 10b5-1 trading arrangement (as such terms are defined in Item 408 of the SEC’s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54" w:name="page55"/>
    <w:bookmarkEnd w:id="5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6. Exhibits</w:t>
      </w:r>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840" w:type="dxa"/>
            <w:vAlign w:val="bottom"/>
            <w:tcBorders>
              <w:bottom w:val="single" w:sz="8" w:color="auto"/>
            </w:tcBorders>
            <w:gridSpan w:val="7"/>
          </w:tcPr>
          <w:p>
            <w:pPr>
              <w:ind w:left="80"/>
              <w:spacing w:after="0"/>
              <w:rPr>
                <w:sz w:val="20"/>
                <w:szCs w:val="20"/>
                <w:color w:val="auto"/>
              </w:rPr>
            </w:pPr>
            <w:r>
              <w:rPr>
                <w:rFonts w:ascii="Arial" w:cs="Arial" w:eastAsia="Arial" w:hAnsi="Arial"/>
                <w:sz w:val="13"/>
                <w:szCs w:val="13"/>
                <w:b w:val="1"/>
                <w:bCs w:val="1"/>
                <w:color w:val="auto"/>
              </w:rPr>
              <w:t>Exhibit No.</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980" w:type="dxa"/>
            <w:vAlign w:val="bottom"/>
            <w:tcBorders>
              <w:bottom w:val="single" w:sz="8" w:color="auto"/>
            </w:tcBorders>
            <w:gridSpan w:val="125"/>
          </w:tcPr>
          <w:p>
            <w:pPr>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19"/>
        </w:trPr>
        <w:tc>
          <w:tcPr>
            <w:tcW w:w="340" w:type="dxa"/>
            <w:vAlign w:val="bottom"/>
            <w:gridSpan w:val="3"/>
          </w:tcPr>
          <w:p>
            <w:pPr>
              <w:spacing w:after="0"/>
              <w:rPr>
                <w:sz w:val="10"/>
                <w:szCs w:val="10"/>
                <w:color w:val="auto"/>
              </w:rPr>
            </w:pPr>
          </w:p>
        </w:tc>
        <w:tc>
          <w:tcPr>
            <w:tcW w:w="200" w:type="dxa"/>
            <w:vAlign w:val="bottom"/>
            <w:gridSpan w:val="2"/>
          </w:tcPr>
          <w:p>
            <w:pPr>
              <w:jc w:val="center"/>
              <w:ind w:right="20"/>
              <w:spacing w:after="0" w:line="119" w:lineRule="exact"/>
              <w:rPr>
                <w:rFonts w:ascii="Arial" w:cs="Arial" w:eastAsia="Arial" w:hAnsi="Arial"/>
                <w:sz w:val="13"/>
                <w:szCs w:val="13"/>
                <w:color w:val="0000FF"/>
                <w:w w:val="99"/>
              </w:rPr>
            </w:pPr>
            <w:hyperlink r:id="rId63">
              <w:r>
                <w:rPr>
                  <w:rFonts w:ascii="Arial" w:cs="Arial" w:eastAsia="Arial" w:hAnsi="Arial"/>
                  <w:sz w:val="13"/>
                  <w:szCs w:val="13"/>
                  <w:color w:val="0000FF"/>
                  <w:w w:val="99"/>
                </w:rPr>
                <w:t>2.</w:t>
              </w:r>
              <w:r>
                <w:rPr>
                  <w:rFonts w:ascii="Arial" w:cs="Arial" w:eastAsia="Arial" w:hAnsi="Arial"/>
                  <w:sz w:val="13"/>
                  <w:szCs w:val="13"/>
                  <w:u w:val="single" w:color="auto"/>
                  <w:color w:val="0000FF"/>
                  <w:w w:val="99"/>
                </w:rPr>
                <w:t>1</w:t>
              </w:r>
            </w:hyperlink>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25"/>
          </w:tcPr>
          <w:p>
            <w:pPr>
              <w:spacing w:after="0" w:line="119" w:lineRule="exact"/>
              <w:rPr>
                <w:rFonts w:ascii="Arial" w:cs="Arial" w:eastAsia="Arial" w:hAnsi="Arial"/>
                <w:sz w:val="13"/>
                <w:szCs w:val="13"/>
                <w:color w:val="0000FF"/>
              </w:rPr>
            </w:pPr>
            <w:hyperlink r:id="rId63">
              <w:r>
                <w:rPr>
                  <w:rFonts w:ascii="Arial" w:cs="Arial" w:eastAsia="Arial" w:hAnsi="Arial"/>
                  <w:sz w:val="13"/>
                  <w:szCs w:val="13"/>
                  <w:color w:val="0000FF"/>
                </w:rPr>
                <w:t>Agreement and Plan of Share Exchange, dated December 27, 2021, by and between U.S. Century Bank and USCB</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29" w:lineRule="exact"/>
              <w:rPr>
                <w:rFonts w:ascii="Arial" w:cs="Arial" w:eastAsia="Arial" w:hAnsi="Arial"/>
                <w:sz w:val="13"/>
                <w:szCs w:val="13"/>
                <w:color w:val="0000FF"/>
              </w:rPr>
            </w:pPr>
            <w:hyperlink r:id="rId63">
              <w:r>
                <w:rPr>
                  <w:rFonts w:ascii="Arial" w:cs="Arial" w:eastAsia="Arial" w:hAnsi="Arial"/>
                  <w:sz w:val="13"/>
                  <w:szCs w:val="13"/>
                  <w:color w:val="0000FF"/>
                </w:rPr>
                <w:t>Financial Holdings, Inc. (incorporated by reference to Exhibit 2.1 to the Registrant’s Current Report on Form 8-K (File No.</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3"/>
            <w:vMerge w:val="restart"/>
          </w:tcPr>
          <w:p>
            <w:pPr>
              <w:spacing w:after="0"/>
              <w:rPr>
                <w:sz w:val="10"/>
                <w:szCs w:val="10"/>
                <w:color w:val="auto"/>
              </w:rPr>
            </w:pPr>
          </w:p>
        </w:tc>
        <w:tc>
          <w:tcPr>
            <w:tcW w:w="200" w:type="dxa"/>
            <w:vAlign w:val="bottom"/>
            <w:gridSpan w:val="2"/>
            <w:vMerge w:val="restart"/>
          </w:tcPr>
          <w:p>
            <w:pPr>
              <w:jc w:val="center"/>
              <w:ind w:right="20"/>
              <w:spacing w:after="0"/>
              <w:rPr>
                <w:rFonts w:ascii="Arial" w:cs="Arial" w:eastAsia="Arial" w:hAnsi="Arial"/>
                <w:sz w:val="13"/>
                <w:szCs w:val="13"/>
                <w:color w:val="0000FF"/>
                <w:w w:val="99"/>
              </w:rPr>
            </w:pPr>
            <w:hyperlink r:id="rId64">
              <w:r>
                <w:rPr>
                  <w:rFonts w:ascii="Arial" w:cs="Arial" w:eastAsia="Arial" w:hAnsi="Arial"/>
                  <w:sz w:val="13"/>
                  <w:szCs w:val="13"/>
                  <w:color w:val="0000FF"/>
                  <w:w w:val="99"/>
                </w:rPr>
                <w:t>3.</w:t>
              </w:r>
              <w:r>
                <w:rPr>
                  <w:rFonts w:ascii="Arial" w:cs="Arial" w:eastAsia="Arial" w:hAnsi="Arial"/>
                  <w:sz w:val="13"/>
                  <w:szCs w:val="13"/>
                  <w:u w:val="single" w:color="auto"/>
                  <w:color w:val="0000FF"/>
                  <w:w w:val="99"/>
                </w:rPr>
                <w:t>1</w:t>
              </w:r>
            </w:hyperlink>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60" w:type="dxa"/>
            <w:vAlign w:val="bottom"/>
            <w:tcBorders>
              <w:bottom w:val="single" w:sz="8" w:color="0000FF"/>
            </w:tcBorders>
            <w:gridSpan w:val="84"/>
          </w:tcPr>
          <w:p>
            <w:pPr>
              <w:spacing w:after="0" w:line="119" w:lineRule="exact"/>
              <w:rPr>
                <w:rFonts w:ascii="Arial" w:cs="Arial" w:eastAsia="Arial" w:hAnsi="Arial"/>
                <w:sz w:val="13"/>
                <w:szCs w:val="13"/>
                <w:color w:val="0000FF"/>
                <w:w w:val="98"/>
              </w:rPr>
            </w:pPr>
            <w:hyperlink r:id="rId63">
              <w:r>
                <w:rPr>
                  <w:rFonts w:ascii="Arial" w:cs="Arial" w:eastAsia="Arial" w:hAnsi="Arial"/>
                  <w:sz w:val="13"/>
                  <w:szCs w:val="13"/>
                  <w:color w:val="0000FF"/>
                  <w:w w:val="98"/>
                </w:rPr>
                <w:t>001-41196) filed with the Securities and Exchange Commission on December 30, 2021).</w:t>
              </w:r>
            </w:hyperlink>
          </w:p>
        </w:tc>
        <w:tc>
          <w:tcPr>
            <w:tcW w:w="1920" w:type="dxa"/>
            <w:vAlign w:val="bottom"/>
            <w:gridSpan w:val="41"/>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3"/>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29" w:lineRule="exact"/>
              <w:rPr>
                <w:rFonts w:ascii="Arial" w:cs="Arial" w:eastAsia="Arial" w:hAnsi="Arial"/>
                <w:sz w:val="13"/>
                <w:szCs w:val="13"/>
                <w:color w:val="0000FF"/>
              </w:rPr>
            </w:pPr>
            <w:hyperlink r:id="rId64">
              <w:r>
                <w:rPr>
                  <w:rFonts w:ascii="Arial" w:cs="Arial" w:eastAsia="Arial" w:hAnsi="Arial"/>
                  <w:sz w:val="13"/>
                  <w:szCs w:val="13"/>
                  <w:color w:val="0000FF"/>
                </w:rPr>
                <w:t>Articles of Incorporation, as amended, of USCB Financial Holdings, Inc. (incorporated by reference to Exhibit 3.1 to the</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5"/>
          </w:tcPr>
          <w:p>
            <w:pPr>
              <w:spacing w:after="0" w:line="20" w:lineRule="exact"/>
              <w:rPr>
                <w:sz w:val="1"/>
                <w:szCs w:val="1"/>
                <w:color w:val="auto"/>
              </w:rPr>
            </w:pPr>
          </w:p>
        </w:tc>
        <w:tc>
          <w:tcPr>
            <w:tcW w:w="24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29" w:lineRule="exact"/>
              <w:rPr>
                <w:rFonts w:ascii="Arial" w:cs="Arial" w:eastAsia="Arial" w:hAnsi="Arial"/>
                <w:sz w:val="13"/>
                <w:szCs w:val="13"/>
                <w:color w:val="0000FF"/>
                <w:w w:val="99"/>
              </w:rPr>
            </w:pPr>
            <w:hyperlink r:id="rId64">
              <w:r>
                <w:rPr>
                  <w:rFonts w:ascii="Arial" w:cs="Arial" w:eastAsia="Arial" w:hAnsi="Arial"/>
                  <w:sz w:val="13"/>
                  <w:szCs w:val="13"/>
                  <w:color w:val="0000FF"/>
                  <w:w w:val="99"/>
                </w:rPr>
                <w:t>Registrant's Quarterly Report on Form 10-Q for the quarter ended September 30, 2023 (File No. 001-41196) filed with the</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3"/>
            <w:vMerge w:val="restart"/>
          </w:tcPr>
          <w:p>
            <w:pPr>
              <w:spacing w:after="0"/>
              <w:rPr>
                <w:sz w:val="11"/>
                <w:szCs w:val="11"/>
                <w:color w:val="auto"/>
              </w:rPr>
            </w:pPr>
          </w:p>
        </w:tc>
        <w:tc>
          <w:tcPr>
            <w:tcW w:w="200" w:type="dxa"/>
            <w:vAlign w:val="bottom"/>
            <w:gridSpan w:val="2"/>
            <w:vMerge w:val="restart"/>
          </w:tcPr>
          <w:p>
            <w:pPr>
              <w:jc w:val="center"/>
              <w:ind w:right="20"/>
              <w:spacing w:after="0"/>
              <w:rPr>
                <w:rFonts w:ascii="Arial" w:cs="Arial" w:eastAsia="Arial" w:hAnsi="Arial"/>
                <w:sz w:val="13"/>
                <w:szCs w:val="13"/>
                <w:color w:val="0000FF"/>
                <w:w w:val="99"/>
              </w:rPr>
            </w:pPr>
            <w:hyperlink r:id="rId65">
              <w:r>
                <w:rPr>
                  <w:rFonts w:ascii="Arial" w:cs="Arial" w:eastAsia="Arial" w:hAnsi="Arial"/>
                  <w:sz w:val="13"/>
                  <w:szCs w:val="13"/>
                  <w:color w:val="0000FF"/>
                  <w:w w:val="99"/>
                </w:rPr>
                <w:t>3.</w:t>
              </w:r>
              <w:r>
                <w:rPr>
                  <w:rFonts w:ascii="Arial" w:cs="Arial" w:eastAsia="Arial" w:hAnsi="Arial"/>
                  <w:sz w:val="13"/>
                  <w:szCs w:val="13"/>
                  <w:u w:val="single" w:color="auto"/>
                  <w:color w:val="0000FF"/>
                  <w:w w:val="99"/>
                </w:rPr>
                <w:t>2</w:t>
              </w:r>
            </w:hyperlink>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29" w:lineRule="exact"/>
              <w:rPr>
                <w:rFonts w:ascii="Arial" w:cs="Arial" w:eastAsia="Arial" w:hAnsi="Arial"/>
                <w:sz w:val="13"/>
                <w:szCs w:val="13"/>
                <w:color w:val="0000FF"/>
              </w:rPr>
            </w:pPr>
            <w:hyperlink r:id="rId64">
              <w:r>
                <w:rPr>
                  <w:rFonts w:ascii="Arial" w:cs="Arial" w:eastAsia="Arial" w:hAnsi="Arial"/>
                  <w:sz w:val="13"/>
                  <w:szCs w:val="13"/>
                  <w:color w:val="0000FF"/>
                </w:rPr>
                <w:t>Securities and Exchange Commission on August 11, 2023).</w:t>
              </w:r>
            </w:hyperlink>
          </w:p>
        </w:tc>
        <w:tc>
          <w:tcPr>
            <w:tcW w:w="0" w:type="dxa"/>
            <w:vAlign w:val="bottom"/>
          </w:tcPr>
          <w:p>
            <w:pPr>
              <w:spacing w:after="0"/>
              <w:rPr>
                <w:sz w:val="1"/>
                <w:szCs w:val="1"/>
                <w:color w:val="auto"/>
              </w:rPr>
            </w:pPr>
          </w:p>
        </w:tc>
      </w:tr>
      <w:tr>
        <w:trPr>
          <w:trHeight w:val="20"/>
        </w:trPr>
        <w:tc>
          <w:tcPr>
            <w:tcW w:w="340" w:type="dxa"/>
            <w:vAlign w:val="bottom"/>
            <w:gridSpan w:val="3"/>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900" w:type="dxa"/>
            <w:vAlign w:val="bottom"/>
            <w:tcBorders>
              <w:right w:val="single" w:sz="8" w:color="0000FF"/>
            </w:tcBorders>
            <w:gridSpan w:val="6"/>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3620" w:type="dxa"/>
            <w:vAlign w:val="bottom"/>
            <w:gridSpan w:val="7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3"/>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29" w:lineRule="exact"/>
              <w:rPr>
                <w:rFonts w:ascii="Arial" w:cs="Arial" w:eastAsia="Arial" w:hAnsi="Arial"/>
                <w:sz w:val="13"/>
                <w:szCs w:val="13"/>
                <w:color w:val="0000FF"/>
                <w:w w:val="97"/>
              </w:rPr>
            </w:pPr>
            <w:hyperlink r:id="rId65">
              <w:r>
                <w:rPr>
                  <w:rFonts w:ascii="Arial" w:cs="Arial" w:eastAsia="Arial" w:hAnsi="Arial"/>
                  <w:sz w:val="13"/>
                  <w:szCs w:val="13"/>
                  <w:color w:val="0000FF"/>
                  <w:w w:val="97"/>
                </w:rPr>
                <w:t>Amended and Restated Bylaws of USCB Financial Holdings, Inc. (incorporated by reference to Exhibit 3.1 to the Registrant’s</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0" w:type="dxa"/>
            <w:vAlign w:val="bottom"/>
            <w:gridSpan w:val="3"/>
            <w:vMerge w:val="restart"/>
          </w:tcPr>
          <w:p>
            <w:pPr>
              <w:spacing w:after="0"/>
              <w:rPr>
                <w:sz w:val="10"/>
                <w:szCs w:val="10"/>
                <w:color w:val="auto"/>
              </w:rPr>
            </w:pPr>
          </w:p>
        </w:tc>
        <w:tc>
          <w:tcPr>
            <w:tcW w:w="200" w:type="dxa"/>
            <w:vAlign w:val="bottom"/>
            <w:gridSpan w:val="2"/>
            <w:vMerge w:val="restart"/>
          </w:tcPr>
          <w:p>
            <w:pPr>
              <w:jc w:val="center"/>
              <w:ind w:right="20"/>
              <w:spacing w:after="0"/>
              <w:rPr>
                <w:rFonts w:ascii="Arial" w:cs="Arial" w:eastAsia="Arial" w:hAnsi="Arial"/>
                <w:sz w:val="13"/>
                <w:szCs w:val="13"/>
                <w:color w:val="0000FF"/>
                <w:w w:val="99"/>
              </w:rPr>
            </w:pPr>
            <w:hyperlink r:id="rId66">
              <w:r>
                <w:rPr>
                  <w:rFonts w:ascii="Arial" w:cs="Arial" w:eastAsia="Arial" w:hAnsi="Arial"/>
                  <w:sz w:val="13"/>
                  <w:szCs w:val="13"/>
                  <w:color w:val="0000FF"/>
                  <w:w w:val="99"/>
                </w:rPr>
                <w:t>4.</w:t>
              </w:r>
              <w:r>
                <w:rPr>
                  <w:rFonts w:ascii="Arial" w:cs="Arial" w:eastAsia="Arial" w:hAnsi="Arial"/>
                  <w:sz w:val="13"/>
                  <w:szCs w:val="13"/>
                  <w:u w:val="single" w:color="auto"/>
                  <w:color w:val="0000FF"/>
                  <w:w w:val="99"/>
                </w:rPr>
                <w:t>1</w:t>
              </w:r>
            </w:hyperlink>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780" w:type="dxa"/>
            <w:vAlign w:val="bottom"/>
            <w:tcBorders>
              <w:bottom w:val="single" w:sz="8" w:color="0000FF"/>
            </w:tcBorders>
            <w:gridSpan w:val="119"/>
          </w:tcPr>
          <w:p>
            <w:pPr>
              <w:spacing w:after="0" w:line="119" w:lineRule="exact"/>
              <w:rPr>
                <w:rFonts w:ascii="Arial" w:cs="Arial" w:eastAsia="Arial" w:hAnsi="Arial"/>
                <w:sz w:val="13"/>
                <w:szCs w:val="13"/>
                <w:color w:val="0000FF"/>
                <w:w w:val="97"/>
              </w:rPr>
            </w:pPr>
            <w:hyperlink r:id="rId65">
              <w:r>
                <w:rPr>
                  <w:rFonts w:ascii="Arial" w:cs="Arial" w:eastAsia="Arial" w:hAnsi="Arial"/>
                  <w:sz w:val="13"/>
                  <w:szCs w:val="13"/>
                  <w:color w:val="0000FF"/>
                  <w:w w:val="97"/>
                </w:rPr>
                <w:t>Current Report on Form 8-K (File No. 001-41196) filed with the Securities and Exchange Commission on July 26, 2023).</w:t>
              </w:r>
            </w:hyperlink>
          </w:p>
        </w:tc>
        <w:tc>
          <w:tcPr>
            <w:tcW w:w="180" w:type="dxa"/>
            <w:vAlign w:val="bottom"/>
            <w:gridSpan w:val="5"/>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3"/>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29" w:lineRule="exact"/>
              <w:rPr>
                <w:rFonts w:ascii="Arial" w:cs="Arial" w:eastAsia="Arial" w:hAnsi="Arial"/>
                <w:sz w:val="13"/>
                <w:szCs w:val="13"/>
                <w:color w:val="0000FF"/>
              </w:rPr>
            </w:pPr>
            <w:hyperlink r:id="rId66">
              <w:r>
                <w:rPr>
                  <w:rFonts w:ascii="Arial" w:cs="Arial" w:eastAsia="Arial" w:hAnsi="Arial"/>
                  <w:sz w:val="13"/>
                  <w:szCs w:val="13"/>
                  <w:color w:val="0000FF"/>
                </w:rPr>
                <w:t>Side Letter Agreement, dated December 30, 2021, between USCB Financial Holdings, Inc., U.S. Century Bank, Priam</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tcPr>
          <w:p>
            <w:pPr>
              <w:spacing w:after="0" w:line="20" w:lineRule="exact"/>
              <w:rPr>
                <w:sz w:val="1"/>
                <w:szCs w:val="1"/>
                <w:color w:val="auto"/>
              </w:rPr>
            </w:pPr>
          </w:p>
        </w:tc>
        <w:tc>
          <w:tcPr>
            <w:tcW w:w="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gridSpan w:val="3"/>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29" w:lineRule="exact"/>
              <w:rPr>
                <w:rFonts w:ascii="Arial" w:cs="Arial" w:eastAsia="Arial" w:hAnsi="Arial"/>
                <w:sz w:val="13"/>
                <w:szCs w:val="13"/>
                <w:color w:val="0000FF"/>
              </w:rPr>
            </w:pPr>
            <w:hyperlink r:id="rId66">
              <w:r>
                <w:rPr>
                  <w:rFonts w:ascii="Arial" w:cs="Arial" w:eastAsia="Arial" w:hAnsi="Arial"/>
                  <w:sz w:val="13"/>
                  <w:szCs w:val="13"/>
                  <w:color w:val="0000FF"/>
                </w:rPr>
                <w:t>Capital Fund II, LP, Patriot Financial Partners II, L.P. and Patriot Financial Partners Parallel II, L.P. (incorporated by</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10"/>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4"/>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29" w:lineRule="exact"/>
              <w:rPr>
                <w:rFonts w:ascii="Arial" w:cs="Arial" w:eastAsia="Arial" w:hAnsi="Arial"/>
                <w:sz w:val="13"/>
                <w:szCs w:val="13"/>
                <w:color w:val="0000FF"/>
              </w:rPr>
            </w:pPr>
            <w:hyperlink r:id="rId66">
              <w:r>
                <w:rPr>
                  <w:rFonts w:ascii="Arial" w:cs="Arial" w:eastAsia="Arial" w:hAnsi="Arial"/>
                  <w:sz w:val="13"/>
                  <w:szCs w:val="13"/>
                  <w:color w:val="0000FF"/>
                </w:rPr>
                <w:t>reference to Exhibit 4.1 to the Registrant’s Current Report on Form 8-K (File No. 001-41196) filed with the Securities and</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10"/>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8"/>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3"/>
            <w:vMerge w:val="restart"/>
          </w:tcPr>
          <w:p>
            <w:pPr>
              <w:spacing w:after="0"/>
              <w:rPr>
                <w:sz w:val="11"/>
                <w:szCs w:val="11"/>
                <w:color w:val="auto"/>
              </w:rPr>
            </w:pPr>
          </w:p>
        </w:tc>
        <w:tc>
          <w:tcPr>
            <w:tcW w:w="200" w:type="dxa"/>
            <w:vAlign w:val="bottom"/>
            <w:gridSpan w:val="2"/>
            <w:vMerge w:val="restart"/>
          </w:tcPr>
          <w:p>
            <w:pPr>
              <w:jc w:val="center"/>
              <w:ind w:right="20"/>
              <w:spacing w:after="0"/>
              <w:rPr>
                <w:rFonts w:ascii="Arial" w:cs="Arial" w:eastAsia="Arial" w:hAnsi="Arial"/>
                <w:sz w:val="13"/>
                <w:szCs w:val="13"/>
                <w:color w:val="0000FF"/>
                <w:w w:val="99"/>
              </w:rPr>
            </w:pPr>
            <w:hyperlink r:id="rId67">
              <w:r>
                <w:rPr>
                  <w:rFonts w:ascii="Arial" w:cs="Arial" w:eastAsia="Arial" w:hAnsi="Arial"/>
                  <w:sz w:val="13"/>
                  <w:szCs w:val="13"/>
                  <w:color w:val="0000FF"/>
                  <w:w w:val="99"/>
                </w:rPr>
                <w:t>4.</w:t>
              </w:r>
              <w:r>
                <w:rPr>
                  <w:rFonts w:ascii="Arial" w:cs="Arial" w:eastAsia="Arial" w:hAnsi="Arial"/>
                  <w:sz w:val="13"/>
                  <w:szCs w:val="13"/>
                  <w:u w:val="single" w:color="auto"/>
                  <w:color w:val="0000FF"/>
                  <w:w w:val="99"/>
                </w:rPr>
                <w:t>2</w:t>
              </w:r>
            </w:hyperlink>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40" w:type="dxa"/>
            <w:vAlign w:val="bottom"/>
            <w:tcBorders>
              <w:bottom w:val="single" w:sz="8" w:color="0000FF"/>
            </w:tcBorders>
            <w:gridSpan w:val="41"/>
          </w:tcPr>
          <w:p>
            <w:pPr>
              <w:spacing w:after="0" w:line="129" w:lineRule="exact"/>
              <w:rPr>
                <w:rFonts w:ascii="Arial" w:cs="Arial" w:eastAsia="Arial" w:hAnsi="Arial"/>
                <w:sz w:val="13"/>
                <w:szCs w:val="13"/>
                <w:color w:val="0000FF"/>
                <w:w w:val="97"/>
              </w:rPr>
            </w:pPr>
            <w:hyperlink r:id="rId66">
              <w:r>
                <w:rPr>
                  <w:rFonts w:ascii="Arial" w:cs="Arial" w:eastAsia="Arial" w:hAnsi="Arial"/>
                  <w:sz w:val="13"/>
                  <w:szCs w:val="13"/>
                  <w:color w:val="0000FF"/>
                  <w:w w:val="97"/>
                </w:rPr>
                <w:t>Exchange Commission on December 30, 2021).</w:t>
              </w:r>
            </w:hyperlink>
          </w:p>
        </w:tc>
        <w:tc>
          <w:tcPr>
            <w:tcW w:w="4240" w:type="dxa"/>
            <w:vAlign w:val="bottom"/>
            <w:gridSpan w:val="84"/>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40" w:type="dxa"/>
            <w:vAlign w:val="bottom"/>
            <w:gridSpan w:val="3"/>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980" w:type="dxa"/>
            <w:vAlign w:val="bottom"/>
            <w:gridSpan w:val="125"/>
          </w:tcPr>
          <w:p>
            <w:pPr>
              <w:spacing w:after="0" w:line="119" w:lineRule="exact"/>
              <w:rPr>
                <w:rFonts w:ascii="Arial" w:cs="Arial" w:eastAsia="Arial" w:hAnsi="Arial"/>
                <w:sz w:val="13"/>
                <w:szCs w:val="13"/>
                <w:color w:val="0000FF"/>
              </w:rPr>
            </w:pPr>
            <w:hyperlink r:id="rId67">
              <w:r>
                <w:rPr>
                  <w:rFonts w:ascii="Arial" w:cs="Arial" w:eastAsia="Arial" w:hAnsi="Arial"/>
                  <w:sz w:val="13"/>
                  <w:szCs w:val="13"/>
                  <w:color w:val="0000FF"/>
                </w:rPr>
                <w:t>Registration Rights Agreement, dated March 17, 2015, between U.S. Century Bank, Priam Capital Fund II, LP, Patriot</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gridSpan w:val="15"/>
            <w:shd w:val="clear" w:color="auto" w:fill="0000FF"/>
          </w:tcPr>
          <w:p>
            <w:pPr>
              <w:spacing w:after="0" w:line="20" w:lineRule="exact"/>
              <w:rPr>
                <w:sz w:val="1"/>
                <w:szCs w:val="1"/>
                <w:color w:val="auto"/>
              </w:rPr>
            </w:pPr>
          </w:p>
        </w:tc>
        <w:tc>
          <w:tcPr>
            <w:tcW w:w="540" w:type="dxa"/>
            <w:vAlign w:val="bottom"/>
            <w:tcBorders>
              <w:right w:val="single" w:sz="8" w:color="0000FF"/>
            </w:tcBorders>
            <w:gridSpan w:val="8"/>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29" w:lineRule="exact"/>
              <w:rPr>
                <w:rFonts w:ascii="Arial" w:cs="Arial" w:eastAsia="Arial" w:hAnsi="Arial"/>
                <w:sz w:val="13"/>
                <w:szCs w:val="13"/>
                <w:color w:val="0000FF"/>
                <w:w w:val="99"/>
              </w:rPr>
            </w:pPr>
            <w:hyperlink r:id="rId67">
              <w:r>
                <w:rPr>
                  <w:rFonts w:ascii="Arial" w:cs="Arial" w:eastAsia="Arial" w:hAnsi="Arial"/>
                  <w:sz w:val="13"/>
                  <w:szCs w:val="13"/>
                  <w:color w:val="0000FF"/>
                  <w:w w:val="99"/>
                </w:rPr>
                <w:t>Financial Partners II, L.P., Patriot Financial Partners Parallel II, L.P., and certain other shareholders of U.S. Century Bank</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tcBorders>
              <w:right w:val="single" w:sz="8" w:color="0000FF"/>
            </w:tcBorders>
            <w:gridSpan w:val="23"/>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80" w:type="dxa"/>
            <w:vAlign w:val="bottom"/>
            <w:tcBorders>
              <w:bottom w:val="single" w:sz="8" w:color="0000FF"/>
            </w:tcBorders>
            <w:gridSpan w:val="121"/>
          </w:tcPr>
          <w:p>
            <w:pPr>
              <w:spacing w:after="0" w:line="129" w:lineRule="exact"/>
              <w:rPr>
                <w:rFonts w:ascii="Arial" w:cs="Arial" w:eastAsia="Arial" w:hAnsi="Arial"/>
                <w:sz w:val="13"/>
                <w:szCs w:val="13"/>
                <w:color w:val="0000FF"/>
                <w:w w:val="97"/>
              </w:rPr>
            </w:pPr>
            <w:hyperlink r:id="rId67">
              <w:r>
                <w:rPr>
                  <w:rFonts w:ascii="Arial" w:cs="Arial" w:eastAsia="Arial" w:hAnsi="Arial"/>
                  <w:sz w:val="13"/>
                  <w:szCs w:val="13"/>
                  <w:color w:val="0000FF"/>
                  <w:w w:val="97"/>
                </w:rPr>
                <w:t>(incorporated by reference to Exhibit 4.2 to the Registrant’s Current Report on Form 8-K (File No. 001-41196) filed with the</w:t>
              </w:r>
            </w:hyperlink>
          </w:p>
        </w:tc>
        <w:tc>
          <w:tcPr>
            <w:tcW w:w="10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 w:type="dxa"/>
            <w:vAlign w:val="bottom"/>
            <w:gridSpan w:val="3"/>
            <w:vMerge w:val="restart"/>
          </w:tcPr>
          <w:p>
            <w:pPr>
              <w:spacing w:after="0"/>
              <w:rPr>
                <w:sz w:val="11"/>
                <w:szCs w:val="11"/>
                <w:color w:val="auto"/>
              </w:rPr>
            </w:pPr>
          </w:p>
        </w:tc>
        <w:tc>
          <w:tcPr>
            <w:tcW w:w="200" w:type="dxa"/>
            <w:vAlign w:val="bottom"/>
            <w:gridSpan w:val="2"/>
            <w:vMerge w:val="restart"/>
          </w:tcPr>
          <w:p>
            <w:pPr>
              <w:jc w:val="center"/>
              <w:ind w:right="20"/>
              <w:spacing w:after="0"/>
              <w:rPr>
                <w:rFonts w:ascii="Arial" w:cs="Arial" w:eastAsia="Arial" w:hAnsi="Arial"/>
                <w:sz w:val="13"/>
                <w:szCs w:val="13"/>
                <w:color w:val="0000FF"/>
                <w:w w:val="99"/>
              </w:rPr>
            </w:pPr>
            <w:hyperlink r:id="rId68">
              <w:r>
                <w:rPr>
                  <w:rFonts w:ascii="Arial" w:cs="Arial" w:eastAsia="Arial" w:hAnsi="Arial"/>
                  <w:sz w:val="13"/>
                  <w:szCs w:val="13"/>
                  <w:color w:val="0000FF"/>
                  <w:w w:val="99"/>
                </w:rPr>
                <w:t>4.</w:t>
              </w:r>
              <w:r>
                <w:rPr>
                  <w:rFonts w:ascii="Arial" w:cs="Arial" w:eastAsia="Arial" w:hAnsi="Arial"/>
                  <w:sz w:val="13"/>
                  <w:szCs w:val="13"/>
                  <w:u w:val="single" w:color="auto"/>
                  <w:color w:val="0000FF"/>
                  <w:w w:val="99"/>
                </w:rPr>
                <w:t>3</w:t>
              </w:r>
            </w:hyperlink>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Securities and Exchange Commission on December 30, 2021).</w:t>
              </w:r>
            </w:hyperlink>
          </w:p>
        </w:tc>
        <w:tc>
          <w:tcPr>
            <w:tcW w:w="0" w:type="dxa"/>
            <w:vAlign w:val="bottom"/>
          </w:tcPr>
          <w:p>
            <w:pPr>
              <w:spacing w:after="0"/>
              <w:rPr>
                <w:sz w:val="1"/>
                <w:szCs w:val="1"/>
                <w:color w:val="auto"/>
              </w:rPr>
            </w:pPr>
          </w:p>
        </w:tc>
      </w:tr>
      <w:tr>
        <w:trPr>
          <w:trHeight w:val="20"/>
        </w:trPr>
        <w:tc>
          <w:tcPr>
            <w:tcW w:w="340" w:type="dxa"/>
            <w:vAlign w:val="bottom"/>
            <w:gridSpan w:val="3"/>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900" w:type="dxa"/>
            <w:vAlign w:val="bottom"/>
            <w:tcBorders>
              <w:right w:val="single" w:sz="8" w:color="0000FF"/>
            </w:tcBorders>
            <w:gridSpan w:val="6"/>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tcBorders>
              <w:right w:val="single" w:sz="8" w:color="0000FF"/>
            </w:tcBorders>
            <w:gridSpan w:val="23"/>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7"/>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3620" w:type="dxa"/>
            <w:vAlign w:val="bottom"/>
            <w:gridSpan w:val="75"/>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gridSpan w:val="3"/>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29" w:lineRule="exact"/>
              <w:rPr>
                <w:rFonts w:ascii="Arial" w:cs="Arial" w:eastAsia="Arial" w:hAnsi="Arial"/>
                <w:sz w:val="13"/>
                <w:szCs w:val="13"/>
                <w:color w:val="0000FF"/>
              </w:rPr>
            </w:pPr>
            <w:hyperlink r:id="rId68">
              <w:r>
                <w:rPr>
                  <w:rFonts w:ascii="Arial" w:cs="Arial" w:eastAsia="Arial" w:hAnsi="Arial"/>
                  <w:sz w:val="13"/>
                  <w:szCs w:val="13"/>
                  <w:color w:val="0000FF"/>
                </w:rPr>
                <w:t>Assignment and Assumption of Agreement, dated December 30, 2021, between U.S. Century Bank and USCB Financial</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tcBorders>
              <w:right w:val="single" w:sz="8" w:color="0000FF"/>
            </w:tcBorders>
            <w:gridSpan w:val="23"/>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7"/>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34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6"/>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29" w:lineRule="exact"/>
              <w:rPr>
                <w:rFonts w:ascii="Arial" w:cs="Arial" w:eastAsia="Arial" w:hAnsi="Arial"/>
                <w:sz w:val="13"/>
                <w:szCs w:val="13"/>
                <w:color w:val="0000FF"/>
                <w:w w:val="97"/>
              </w:rPr>
            </w:pPr>
            <w:hyperlink r:id="rId68">
              <w:r>
                <w:rPr>
                  <w:rFonts w:ascii="Arial" w:cs="Arial" w:eastAsia="Arial" w:hAnsi="Arial"/>
                  <w:sz w:val="13"/>
                  <w:szCs w:val="13"/>
                  <w:color w:val="0000FF"/>
                  <w:w w:val="97"/>
                </w:rPr>
                <w:t>Holdings, Inc. (incorporated by reference to Exhibit 4.3 to the Registrant’s Current Report on Form 8-K (File No. 001-41196)</w:t>
              </w:r>
            </w:hyperlink>
          </w:p>
        </w:tc>
        <w:tc>
          <w:tcPr>
            <w:tcW w:w="0" w:type="dxa"/>
            <w:vAlign w:val="bottom"/>
          </w:tcPr>
          <w:p>
            <w:pPr>
              <w:spacing w:after="0"/>
              <w:rPr>
                <w:sz w:val="1"/>
                <w:szCs w:val="1"/>
                <w:color w:val="auto"/>
              </w:rPr>
            </w:pPr>
          </w:p>
        </w:tc>
      </w:tr>
      <w:tr>
        <w:trPr>
          <w:trHeight w:val="119"/>
        </w:trPr>
        <w:tc>
          <w:tcPr>
            <w:tcW w:w="340" w:type="dxa"/>
            <w:vAlign w:val="bottom"/>
            <w:gridSpan w:val="3"/>
            <w:vMerge w:val="restart"/>
          </w:tcPr>
          <w:p>
            <w:pPr>
              <w:spacing w:after="0"/>
              <w:rPr>
                <w:sz w:val="10"/>
                <w:szCs w:val="10"/>
                <w:color w:val="auto"/>
              </w:rPr>
            </w:pPr>
          </w:p>
        </w:tc>
        <w:tc>
          <w:tcPr>
            <w:tcW w:w="200" w:type="dxa"/>
            <w:vAlign w:val="bottom"/>
            <w:gridSpan w:val="2"/>
            <w:vMerge w:val="restart"/>
          </w:tcPr>
          <w:p>
            <w:pPr>
              <w:jc w:val="center"/>
              <w:ind w:right="20"/>
              <w:spacing w:after="0"/>
              <w:rPr>
                <w:rFonts w:ascii="Arial" w:cs="Arial" w:eastAsia="Arial" w:hAnsi="Arial"/>
                <w:sz w:val="13"/>
                <w:szCs w:val="13"/>
                <w:color w:val="0000FF"/>
                <w:w w:val="99"/>
              </w:rPr>
            </w:pPr>
            <w:hyperlink r:id="rId69">
              <w:r>
                <w:rPr>
                  <w:rFonts w:ascii="Arial" w:cs="Arial" w:eastAsia="Arial" w:hAnsi="Arial"/>
                  <w:sz w:val="13"/>
                  <w:szCs w:val="13"/>
                  <w:color w:val="0000FF"/>
                  <w:w w:val="99"/>
                </w:rPr>
                <w:t>4.</w:t>
              </w:r>
              <w:r>
                <w:rPr>
                  <w:rFonts w:ascii="Arial" w:cs="Arial" w:eastAsia="Arial" w:hAnsi="Arial"/>
                  <w:sz w:val="13"/>
                  <w:szCs w:val="13"/>
                  <w:u w:val="single" w:color="auto"/>
                  <w:color w:val="0000FF"/>
                  <w:w w:val="99"/>
                </w:rPr>
                <w:t>4</w:t>
              </w:r>
            </w:hyperlink>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320" w:type="dxa"/>
            <w:vAlign w:val="bottom"/>
            <w:tcBorders>
              <w:top w:val="single" w:sz="8" w:color="0000FF"/>
              <w:bottom w:val="single" w:sz="8" w:color="0000FF"/>
            </w:tcBorders>
            <w:gridSpan w:val="69"/>
          </w:tcPr>
          <w:p>
            <w:pPr>
              <w:spacing w:after="0" w:line="119" w:lineRule="exact"/>
              <w:rPr>
                <w:rFonts w:ascii="Arial" w:cs="Arial" w:eastAsia="Arial" w:hAnsi="Arial"/>
                <w:sz w:val="13"/>
                <w:szCs w:val="13"/>
                <w:color w:val="0000FF"/>
                <w:w w:val="98"/>
              </w:rPr>
            </w:pPr>
            <w:hyperlink r:id="rId68">
              <w:r>
                <w:rPr>
                  <w:rFonts w:ascii="Arial" w:cs="Arial" w:eastAsia="Arial" w:hAnsi="Arial"/>
                  <w:sz w:val="13"/>
                  <w:szCs w:val="13"/>
                  <w:color w:val="0000FF"/>
                  <w:w w:val="98"/>
                </w:rPr>
                <w:t>filed with the Securities and Exchange Commission on December 30, 2021).</w:t>
              </w:r>
            </w:hyperlink>
          </w:p>
        </w:tc>
        <w:tc>
          <w:tcPr>
            <w:tcW w:w="2600" w:type="dxa"/>
            <w:vAlign w:val="bottom"/>
            <w:tcBorders>
              <w:top w:val="single" w:sz="8" w:color="0000FF"/>
            </w:tcBorders>
            <w:gridSpan w:val="54"/>
          </w:tcPr>
          <w:p>
            <w:pPr>
              <w:spacing w:after="0"/>
              <w:rPr>
                <w:sz w:val="10"/>
                <w:szCs w:val="10"/>
                <w:color w:val="auto"/>
              </w:rPr>
            </w:pP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 w:type="dxa"/>
            <w:vAlign w:val="bottom"/>
            <w:gridSpan w:val="3"/>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29" w:lineRule="exact"/>
              <w:rPr>
                <w:rFonts w:ascii="Arial" w:cs="Arial" w:eastAsia="Arial" w:hAnsi="Arial"/>
                <w:sz w:val="13"/>
                <w:szCs w:val="13"/>
                <w:color w:val="0000FF"/>
                <w:w w:val="98"/>
              </w:rPr>
            </w:pPr>
            <w:hyperlink r:id="rId70">
              <w:r>
                <w:rPr>
                  <w:rFonts w:ascii="Arial" w:cs="Arial" w:eastAsia="Arial" w:hAnsi="Arial"/>
                  <w:sz w:val="13"/>
                  <w:szCs w:val="13"/>
                  <w:color w:val="0000FF"/>
                  <w:w w:val="98"/>
                </w:rPr>
                <w:t>Description of USCB Financial Holdings, Inc.’s securities (incorporated by reference to Exhibit4.4 to the Registrant's Annual</w:t>
              </w:r>
            </w:hyperlink>
          </w:p>
        </w:tc>
        <w:tc>
          <w:tcPr>
            <w:tcW w:w="0" w:type="dxa"/>
            <w:vAlign w:val="bottom"/>
          </w:tcPr>
          <w:p>
            <w:pPr>
              <w:spacing w:after="0"/>
              <w:rPr>
                <w:sz w:val="1"/>
                <w:szCs w:val="1"/>
                <w:color w:val="auto"/>
              </w:rPr>
            </w:pPr>
          </w:p>
        </w:tc>
      </w:tr>
      <w:tr>
        <w:trPr>
          <w:trHeight w:val="20"/>
        </w:trPr>
        <w:tc>
          <w:tcPr>
            <w:tcW w:w="1440" w:type="dxa"/>
            <w:vAlign w:val="bottom"/>
            <w:tcBorders>
              <w:right w:val="single" w:sz="8" w:color="0000FF"/>
            </w:tcBorders>
            <w:gridSpan w:val="11"/>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tcBorders>
              <w:right w:val="single" w:sz="8" w:color="0000FF"/>
            </w:tcBorders>
            <w:gridSpan w:val="23"/>
            <w:shd w:val="clear" w:color="auto" w:fill="0000FF"/>
          </w:tcPr>
          <w:p>
            <w:pPr>
              <w:spacing w:after="0" w:line="20" w:lineRule="exact"/>
              <w:rPr>
                <w:sz w:val="1"/>
                <w:szCs w:val="1"/>
                <w:color w:val="auto"/>
              </w:rPr>
            </w:pPr>
          </w:p>
        </w:tc>
        <w:tc>
          <w:tcPr>
            <w:tcW w:w="62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340" w:type="dxa"/>
            <w:vAlign w:val="bottom"/>
            <w:tcBorders>
              <w:right w:val="single" w:sz="8" w:color="0000FF"/>
            </w:tcBorders>
            <w:gridSpan w:val="7"/>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0" w:type="dxa"/>
            <w:vAlign w:val="bottom"/>
            <w:gridSpan w:val="6"/>
            <w:vMerge w:val="restart"/>
          </w:tcPr>
          <w:p>
            <w:pPr>
              <w:jc w:val="center"/>
              <w:ind w:left="254"/>
              <w:spacing w:after="0"/>
              <w:rPr>
                <w:sz w:val="20"/>
                <w:szCs w:val="20"/>
                <w:color w:val="auto"/>
              </w:rPr>
            </w:pPr>
            <w:r>
              <w:rPr>
                <w:rFonts w:ascii="Arial" w:cs="Arial" w:eastAsia="Arial" w:hAnsi="Arial"/>
                <w:sz w:val="14"/>
                <w:szCs w:val="14"/>
                <w:color w:val="0000FF"/>
              </w:rPr>
              <w:t>4.</w:t>
            </w:r>
            <w:r>
              <w:rPr>
                <w:rFonts w:ascii="Arial" w:cs="Arial" w:eastAsia="Arial" w:hAnsi="Arial"/>
                <w:sz w:val="14"/>
                <w:szCs w:val="14"/>
                <w:u w:val="single" w:color="auto"/>
                <w:color w:val="0000FF"/>
              </w:rPr>
              <w:t>5</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520" w:type="dxa"/>
            <w:vAlign w:val="bottom"/>
            <w:tcBorders>
              <w:bottom w:val="single" w:sz="8" w:color="0000FF"/>
            </w:tcBorders>
            <w:gridSpan w:val="112"/>
          </w:tcPr>
          <w:p>
            <w:pPr>
              <w:spacing w:after="0" w:line="129" w:lineRule="exact"/>
              <w:rPr>
                <w:rFonts w:ascii="Arial" w:cs="Arial" w:eastAsia="Arial" w:hAnsi="Arial"/>
                <w:sz w:val="13"/>
                <w:szCs w:val="13"/>
                <w:color w:val="0000FF"/>
                <w:w w:val="97"/>
              </w:rPr>
            </w:pPr>
            <w:hyperlink r:id="rId70">
              <w:r>
                <w:rPr>
                  <w:rFonts w:ascii="Arial" w:cs="Arial" w:eastAsia="Arial" w:hAnsi="Arial"/>
                  <w:sz w:val="13"/>
                  <w:szCs w:val="13"/>
                  <w:color w:val="0000FF"/>
                  <w:w w:val="97"/>
                </w:rPr>
                <w:t>Report on Form 10-K (File No. 001-41196) filed with the Securities and Exchange Commission on March 22, 2024).</w:t>
              </w:r>
            </w:hyperlink>
          </w:p>
        </w:tc>
        <w:tc>
          <w:tcPr>
            <w:tcW w:w="460" w:type="dxa"/>
            <w:vAlign w:val="bottom"/>
            <w:gridSpan w:val="13"/>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80" w:type="dxa"/>
            <w:vAlign w:val="bottom"/>
            <w:tcBorders>
              <w:bottom w:val="single" w:sz="8" w:color="0000FF"/>
            </w:tcBorders>
            <w:gridSpan w:val="121"/>
          </w:tcPr>
          <w:p>
            <w:pPr>
              <w:spacing w:after="0" w:line="119" w:lineRule="exact"/>
              <w:rPr>
                <w:rFonts w:ascii="Arial" w:cs="Arial" w:eastAsia="Arial" w:hAnsi="Arial"/>
                <w:sz w:val="13"/>
                <w:szCs w:val="13"/>
                <w:color w:val="0000FF"/>
                <w:w w:val="96"/>
              </w:rPr>
            </w:pPr>
            <w:hyperlink r:id="rId71">
              <w:r>
                <w:rPr>
                  <w:rFonts w:ascii="Arial" w:cs="Arial" w:eastAsia="Arial" w:hAnsi="Arial"/>
                  <w:sz w:val="13"/>
                  <w:szCs w:val="13"/>
                  <w:color w:val="0000FF"/>
                  <w:w w:val="96"/>
                </w:rPr>
                <w:t>Indenture, dated August 14, by and between USCB Financial Holdings, Inc. and Wilmington Trust, National Association, as</w:t>
              </w:r>
            </w:hyperlink>
          </w:p>
        </w:tc>
        <w:tc>
          <w:tcPr>
            <w:tcW w:w="1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980" w:type="dxa"/>
            <w:vAlign w:val="bottom"/>
            <w:gridSpan w:val="125"/>
          </w:tcPr>
          <w:p>
            <w:pPr>
              <w:spacing w:after="0" w:line="110" w:lineRule="exact"/>
              <w:rPr>
                <w:rFonts w:ascii="Arial" w:cs="Arial" w:eastAsia="Arial" w:hAnsi="Arial"/>
                <w:sz w:val="12"/>
                <w:szCs w:val="12"/>
                <w:color w:val="0000FF"/>
              </w:rPr>
            </w:pPr>
            <w:hyperlink r:id="rId71">
              <w:r>
                <w:rPr>
                  <w:rFonts w:ascii="Arial" w:cs="Arial" w:eastAsia="Arial" w:hAnsi="Arial"/>
                  <w:sz w:val="12"/>
                  <w:szCs w:val="12"/>
                  <w:color w:val="0000FF"/>
                </w:rPr>
                <w:t>trustee (incorporated by reference to Exhibit 4.1 to the Registrant’s Current Report on Form 8-K (File No. 001-41196) filed</w:t>
              </w:r>
            </w:hyperlink>
          </w:p>
        </w:tc>
        <w:tc>
          <w:tcPr>
            <w:tcW w:w="0" w:type="dxa"/>
            <w:vAlign w:val="bottom"/>
          </w:tcPr>
          <w:p>
            <w:pPr>
              <w:spacing w:after="0"/>
              <w:rPr>
                <w:sz w:val="1"/>
                <w:szCs w:val="1"/>
                <w:color w:val="auto"/>
              </w:rPr>
            </w:pPr>
          </w:p>
        </w:tc>
      </w:tr>
      <w:tr>
        <w:trPr>
          <w:trHeight w:val="119"/>
        </w:trPr>
        <w:tc>
          <w:tcPr>
            <w:tcW w:w="560" w:type="dxa"/>
            <w:vAlign w:val="bottom"/>
            <w:gridSpan w:val="6"/>
            <w:vMerge w:val="restart"/>
          </w:tcPr>
          <w:p>
            <w:pPr>
              <w:jc w:val="center"/>
              <w:ind w:left="254"/>
              <w:spacing w:after="0"/>
              <w:rPr>
                <w:sz w:val="20"/>
                <w:szCs w:val="20"/>
                <w:color w:val="auto"/>
              </w:rPr>
            </w:pPr>
            <w:r>
              <w:rPr>
                <w:rFonts w:ascii="Arial" w:cs="Arial" w:eastAsia="Arial" w:hAnsi="Arial"/>
                <w:sz w:val="14"/>
                <w:szCs w:val="14"/>
                <w:color w:val="0000FF"/>
              </w:rPr>
              <w:t>4.</w:t>
            </w:r>
            <w:r>
              <w:rPr>
                <w:rFonts w:ascii="Arial" w:cs="Arial" w:eastAsia="Arial" w:hAnsi="Arial"/>
                <w:sz w:val="14"/>
                <w:szCs w:val="14"/>
                <w:u w:val="single" w:color="auto"/>
                <w:color w:val="0000FF"/>
              </w:rPr>
              <w:t>6</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0" w:type="dxa"/>
            <w:vAlign w:val="bottom"/>
            <w:tcBorders>
              <w:top w:val="single" w:sz="8" w:color="0000FF"/>
              <w:bottom w:val="single" w:sz="8" w:color="0000FF"/>
            </w:tcBorders>
            <w:gridSpan w:val="43"/>
          </w:tcPr>
          <w:p>
            <w:pPr>
              <w:spacing w:after="0" w:line="119" w:lineRule="exact"/>
              <w:rPr>
                <w:rFonts w:ascii="Arial" w:cs="Arial" w:eastAsia="Arial" w:hAnsi="Arial"/>
                <w:sz w:val="13"/>
                <w:szCs w:val="13"/>
                <w:color w:val="0000FF"/>
              </w:rPr>
            </w:pPr>
            <w:hyperlink r:id="rId71">
              <w:r>
                <w:rPr>
                  <w:rFonts w:ascii="Arial" w:cs="Arial" w:eastAsia="Arial" w:hAnsi="Arial"/>
                  <w:sz w:val="13"/>
                  <w:szCs w:val="13"/>
                  <w:color w:val="0000FF"/>
                </w:rPr>
                <w:t>with the Securities and Exchange Commission on</w:t>
              </w:r>
            </w:hyperlink>
          </w:p>
        </w:tc>
        <w:tc>
          <w:tcPr>
            <w:tcW w:w="860" w:type="dxa"/>
            <w:vAlign w:val="bottom"/>
            <w:tcBorders>
              <w:top w:val="single" w:sz="8" w:color="0000FF"/>
              <w:bottom w:val="single" w:sz="8" w:color="0000FF"/>
            </w:tcBorders>
            <w:gridSpan w:val="15"/>
          </w:tcPr>
          <w:p>
            <w:pPr>
              <w:spacing w:after="0" w:line="119" w:lineRule="exact"/>
              <w:rPr>
                <w:rFonts w:ascii="Arial" w:cs="Arial" w:eastAsia="Arial" w:hAnsi="Arial"/>
                <w:sz w:val="13"/>
                <w:szCs w:val="13"/>
                <w:color w:val="0000FF"/>
                <w:w w:val="81"/>
              </w:rPr>
            </w:pPr>
            <w:hyperlink r:id="rId71">
              <w:r>
                <w:rPr>
                  <w:rFonts w:ascii="Arial" w:cs="Arial" w:eastAsia="Arial" w:hAnsi="Arial"/>
                  <w:sz w:val="13"/>
                  <w:szCs w:val="13"/>
                  <w:color w:val="0000FF"/>
                  <w:w w:val="81"/>
                </w:rPr>
                <w:t>August 14, 2025).</w:t>
              </w:r>
            </w:hyperlink>
          </w:p>
        </w:tc>
        <w:tc>
          <w:tcPr>
            <w:tcW w:w="1620" w:type="dxa"/>
            <w:vAlign w:val="bottom"/>
            <w:tcBorders>
              <w:top w:val="single" w:sz="8" w:color="0000FF"/>
            </w:tcBorders>
            <w:gridSpan w:val="34"/>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gridSpan w:val="4"/>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gridSpan w:val="2"/>
          </w:tcPr>
          <w:p>
            <w:pPr>
              <w:spacing w:after="0"/>
              <w:rPr>
                <w:sz w:val="10"/>
                <w:szCs w:val="10"/>
                <w:color w:val="auto"/>
              </w:rPr>
            </w:pPr>
          </w:p>
        </w:tc>
        <w:tc>
          <w:tcPr>
            <w:tcW w:w="260" w:type="dxa"/>
            <w:vAlign w:val="bottom"/>
            <w:tcBorders>
              <w:top w:val="single" w:sz="8" w:color="0000FF"/>
            </w:tcBorders>
            <w:gridSpan w:val="5"/>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gridSpan w:val="3"/>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gridSpan w:val="4"/>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60" w:type="dxa"/>
            <w:vAlign w:val="bottom"/>
            <w:gridSpan w:val="6"/>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19" w:lineRule="exact"/>
              <w:rPr>
                <w:rFonts w:ascii="Arial" w:cs="Arial" w:eastAsia="Arial" w:hAnsi="Arial"/>
                <w:sz w:val="13"/>
                <w:szCs w:val="13"/>
                <w:color w:val="0000FF"/>
              </w:rPr>
            </w:pPr>
            <w:hyperlink r:id="rId71">
              <w:r>
                <w:rPr>
                  <w:rFonts w:ascii="Arial" w:cs="Arial" w:eastAsia="Arial" w:hAnsi="Arial"/>
                  <w:sz w:val="13"/>
                  <w:szCs w:val="13"/>
                  <w:color w:val="0000FF"/>
                </w:rPr>
                <w:t>Form of 7.625% Fixed-to-Floating Rate Subordinated Note due 2035 (included as Exhibit A-1 and Exhibit A-2 to the</w:t>
              </w:r>
            </w:hyperlink>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900" w:type="dxa"/>
            <w:vAlign w:val="bottom"/>
            <w:tcBorders>
              <w:right w:val="single" w:sz="8" w:color="0000FF"/>
            </w:tcBorders>
            <w:gridSpan w:val="6"/>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4"/>
            <w:shd w:val="clear" w:color="auto" w:fill="0000FF"/>
          </w:tcPr>
          <w:p>
            <w:pPr>
              <w:spacing w:after="0" w:line="20" w:lineRule="exact"/>
              <w:rPr>
                <w:sz w:val="1"/>
                <w:szCs w:val="1"/>
                <w:color w:val="auto"/>
              </w:rPr>
            </w:pPr>
          </w:p>
        </w:tc>
        <w:tc>
          <w:tcPr>
            <w:tcW w:w="1400" w:type="dxa"/>
            <w:vAlign w:val="bottom"/>
            <w:tcBorders>
              <w:right w:val="single" w:sz="8" w:color="0000FF"/>
            </w:tcBorders>
            <w:gridSpan w:val="23"/>
          </w:tcPr>
          <w:p>
            <w:pPr>
              <w:spacing w:after="0" w:line="20" w:lineRule="exact"/>
              <w:rPr>
                <w:sz w:val="1"/>
                <w:szCs w:val="1"/>
                <w:color w:val="auto"/>
              </w:rPr>
            </w:pPr>
          </w:p>
        </w:tc>
        <w:tc>
          <w:tcPr>
            <w:tcW w:w="62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340" w:type="dxa"/>
            <w:vAlign w:val="bottom"/>
            <w:tcBorders>
              <w:right w:val="single" w:sz="8" w:color="0000FF"/>
            </w:tcBorders>
            <w:gridSpan w:val="7"/>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tcBorders>
              <w:right w:val="single" w:sz="8" w:color="0000FF"/>
            </w:tcBorders>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5"/>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5"/>
          </w:tcPr>
          <w:p>
            <w:pPr>
              <w:spacing w:after="0" w:line="20" w:lineRule="exact"/>
              <w:rPr>
                <w:sz w:val="1"/>
                <w:szCs w:val="1"/>
                <w:color w:val="auto"/>
              </w:rPr>
            </w:pPr>
          </w:p>
        </w:tc>
        <w:tc>
          <w:tcPr>
            <w:tcW w:w="240" w:type="dxa"/>
            <w:vAlign w:val="bottom"/>
            <w:gridSpan w:val="8"/>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980" w:type="dxa"/>
            <w:vAlign w:val="bottom"/>
            <w:gridSpan w:val="125"/>
          </w:tcPr>
          <w:p>
            <w:pPr>
              <w:spacing w:after="0" w:line="110" w:lineRule="exact"/>
              <w:rPr>
                <w:rFonts w:ascii="Arial" w:cs="Arial" w:eastAsia="Arial" w:hAnsi="Arial"/>
                <w:sz w:val="12"/>
                <w:szCs w:val="12"/>
                <w:color w:val="0000FF"/>
              </w:rPr>
            </w:pPr>
            <w:hyperlink r:id="rId71">
              <w:r>
                <w:rPr>
                  <w:rFonts w:ascii="Arial" w:cs="Arial" w:eastAsia="Arial" w:hAnsi="Arial"/>
                  <w:sz w:val="12"/>
                  <w:szCs w:val="12"/>
                  <w:color w:val="0000FF"/>
                </w:rPr>
                <w:t>Indenture referenced in Exhibit 4.5 hereto (incorporated by reference to Exhibit 4.1 to the Registrant’s Current Report on</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FF"/>
            </w:tcBorders>
            <w:gridSpan w:val="1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gridSpan w:val="11"/>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920" w:type="dxa"/>
            <w:vAlign w:val="bottom"/>
            <w:tcBorders>
              <w:bottom w:val="single" w:sz="8" w:color="0000FF"/>
            </w:tcBorders>
            <w:gridSpan w:val="100"/>
          </w:tcPr>
          <w:p>
            <w:pPr>
              <w:spacing w:after="0" w:line="129" w:lineRule="exact"/>
              <w:rPr>
                <w:rFonts w:ascii="Arial" w:cs="Arial" w:eastAsia="Arial" w:hAnsi="Arial"/>
                <w:sz w:val="13"/>
                <w:szCs w:val="13"/>
                <w:color w:val="0000FF"/>
                <w:w w:val="98"/>
              </w:rPr>
            </w:pPr>
            <w:hyperlink r:id="rId71">
              <w:r>
                <w:rPr>
                  <w:rFonts w:ascii="Arial" w:cs="Arial" w:eastAsia="Arial" w:hAnsi="Arial"/>
                  <w:sz w:val="13"/>
                  <w:szCs w:val="13"/>
                  <w:color w:val="0000FF"/>
                  <w:w w:val="98"/>
                </w:rPr>
                <w:t>Form 8-K (File No. 001-41196) filed with the Securities and Exchange Commission on August 14, 2025).</w:t>
              </w:r>
            </w:hyperlink>
          </w:p>
        </w:tc>
        <w:tc>
          <w:tcPr>
            <w:tcW w:w="1060" w:type="dxa"/>
            <w:vAlign w:val="bottom"/>
            <w:gridSpan w:val="25"/>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840" w:type="dxa"/>
            <w:vAlign w:val="bottom"/>
            <w:gridSpan w:val="7"/>
          </w:tcPr>
          <w:p>
            <w:pPr>
              <w:jc w:val="center"/>
              <w:spacing w:after="0" w:line="110" w:lineRule="exact"/>
              <w:rPr>
                <w:rFonts w:ascii="Arial" w:cs="Arial" w:eastAsia="Arial" w:hAnsi="Arial"/>
                <w:sz w:val="12"/>
                <w:szCs w:val="12"/>
                <w:color w:val="0000FF"/>
              </w:rPr>
            </w:pPr>
            <w:hyperlink r:id="rId72">
              <w:r>
                <w:rPr>
                  <w:rFonts w:ascii="Arial" w:cs="Arial" w:eastAsia="Arial" w:hAnsi="Arial"/>
                  <w:sz w:val="12"/>
                  <w:szCs w:val="12"/>
                  <w:color w:val="0000FF"/>
                </w:rPr>
                <w:t>10.</w:t>
              </w:r>
              <w:r>
                <w:rPr>
                  <w:rFonts w:ascii="Arial" w:cs="Arial" w:eastAsia="Arial" w:hAnsi="Arial"/>
                  <w:sz w:val="12"/>
                  <w:szCs w:val="12"/>
                  <w:u w:val="single" w:color="auto"/>
                  <w:color w:val="0000FF"/>
                </w:rPr>
                <w:t>1</w:t>
              </w:r>
            </w:hyperlink>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bottom w:val="single" w:sz="8" w:color="0000FF"/>
            </w:tcBorders>
            <w:gridSpan w:val="4"/>
          </w:tcPr>
          <w:p>
            <w:pPr>
              <w:spacing w:after="0" w:line="108" w:lineRule="exact"/>
              <w:rPr>
                <w:rFonts w:ascii="Arial" w:cs="Arial" w:eastAsia="Arial" w:hAnsi="Arial"/>
                <w:sz w:val="12"/>
                <w:szCs w:val="12"/>
                <w:color w:val="0000FF"/>
              </w:rPr>
            </w:pPr>
            <w:hyperlink r:id="rId72">
              <w:r>
                <w:rPr>
                  <w:rFonts w:ascii="Arial" w:cs="Arial" w:eastAsia="Arial" w:hAnsi="Arial"/>
                  <w:sz w:val="12"/>
                  <w:szCs w:val="12"/>
                  <w:color w:val="0000FF"/>
                </w:rPr>
                <w:t>Form of</w:t>
              </w:r>
            </w:hyperlink>
          </w:p>
        </w:tc>
        <w:tc>
          <w:tcPr>
            <w:tcW w:w="1100" w:type="dxa"/>
            <w:vAlign w:val="bottom"/>
            <w:tcBorders>
              <w:bottom w:val="single" w:sz="8" w:color="0000FF"/>
            </w:tcBorders>
            <w:gridSpan w:val="18"/>
          </w:tcPr>
          <w:p>
            <w:pPr>
              <w:spacing w:after="0" w:line="108" w:lineRule="exact"/>
              <w:rPr>
                <w:rFonts w:ascii="Arial" w:cs="Arial" w:eastAsia="Arial" w:hAnsi="Arial"/>
                <w:sz w:val="12"/>
                <w:szCs w:val="12"/>
                <w:color w:val="0000FF"/>
              </w:rPr>
            </w:pPr>
            <w:hyperlink r:id="rId72">
              <w:r>
                <w:rPr>
                  <w:rFonts w:ascii="Arial" w:cs="Arial" w:eastAsia="Arial" w:hAnsi="Arial"/>
                  <w:sz w:val="12"/>
                  <w:szCs w:val="12"/>
                  <w:color w:val="0000FF"/>
                </w:rPr>
                <w:t>Subordinated Note</w:t>
              </w:r>
            </w:hyperlink>
          </w:p>
        </w:tc>
        <w:tc>
          <w:tcPr>
            <w:tcW w:w="20" w:type="dxa"/>
            <w:vAlign w:val="bottom"/>
          </w:tcPr>
          <w:p>
            <w:pPr>
              <w:spacing w:after="0"/>
              <w:rPr>
                <w:sz w:val="10"/>
                <w:szCs w:val="10"/>
                <w:color w:val="auto"/>
              </w:rPr>
            </w:pPr>
          </w:p>
        </w:tc>
        <w:tc>
          <w:tcPr>
            <w:tcW w:w="1380" w:type="dxa"/>
            <w:vAlign w:val="bottom"/>
            <w:tcBorders>
              <w:bottom w:val="single" w:sz="8" w:color="0000FF"/>
            </w:tcBorders>
            <w:gridSpan w:val="20"/>
          </w:tcPr>
          <w:p>
            <w:pPr>
              <w:spacing w:after="0" w:line="108" w:lineRule="exact"/>
              <w:rPr>
                <w:rFonts w:ascii="Arial" w:cs="Arial" w:eastAsia="Arial" w:hAnsi="Arial"/>
                <w:sz w:val="12"/>
                <w:szCs w:val="12"/>
                <w:color w:val="0000FF"/>
              </w:rPr>
            </w:pPr>
            <w:hyperlink r:id="rId72">
              <w:r>
                <w:rPr>
                  <w:rFonts w:ascii="Arial" w:cs="Arial" w:eastAsia="Arial" w:hAnsi="Arial"/>
                  <w:sz w:val="12"/>
                  <w:szCs w:val="12"/>
                  <w:color w:val="0000FF"/>
                </w:rPr>
                <w:t>Purchase Agreement,</w:t>
              </w:r>
            </w:hyperlink>
          </w:p>
        </w:tc>
        <w:tc>
          <w:tcPr>
            <w:tcW w:w="760" w:type="dxa"/>
            <w:vAlign w:val="bottom"/>
            <w:tcBorders>
              <w:bottom w:val="single" w:sz="8" w:color="0000FF"/>
            </w:tcBorders>
            <w:gridSpan w:val="13"/>
          </w:tcPr>
          <w:p>
            <w:pPr>
              <w:spacing w:after="0" w:line="108" w:lineRule="exact"/>
              <w:rPr>
                <w:rFonts w:ascii="Arial" w:cs="Arial" w:eastAsia="Arial" w:hAnsi="Arial"/>
                <w:sz w:val="12"/>
                <w:szCs w:val="12"/>
                <w:color w:val="0000FF"/>
              </w:rPr>
            </w:pPr>
            <w:hyperlink r:id="rId72">
              <w:r>
                <w:rPr>
                  <w:rFonts w:ascii="Arial" w:cs="Arial" w:eastAsia="Arial" w:hAnsi="Arial"/>
                  <w:sz w:val="12"/>
                  <w:szCs w:val="12"/>
                  <w:color w:val="0000FF"/>
                </w:rPr>
                <w:t>dated August</w:t>
              </w:r>
            </w:hyperlink>
          </w:p>
        </w:tc>
        <w:tc>
          <w:tcPr>
            <w:tcW w:w="520" w:type="dxa"/>
            <w:vAlign w:val="bottom"/>
            <w:tcBorders>
              <w:bottom w:val="single" w:sz="8" w:color="0000FF"/>
            </w:tcBorders>
            <w:gridSpan w:val="11"/>
          </w:tcPr>
          <w:p>
            <w:pPr>
              <w:jc w:val="right"/>
              <w:ind w:right="40"/>
              <w:spacing w:after="0" w:line="108" w:lineRule="exact"/>
              <w:rPr>
                <w:rFonts w:ascii="Arial" w:cs="Arial" w:eastAsia="Arial" w:hAnsi="Arial"/>
                <w:sz w:val="12"/>
                <w:szCs w:val="12"/>
                <w:color w:val="0000FF"/>
                <w:w w:val="91"/>
              </w:rPr>
            </w:pPr>
            <w:hyperlink r:id="rId72">
              <w:r>
                <w:rPr>
                  <w:rFonts w:ascii="Arial" w:cs="Arial" w:eastAsia="Arial" w:hAnsi="Arial"/>
                  <w:sz w:val="12"/>
                  <w:szCs w:val="12"/>
                  <w:color w:val="0000FF"/>
                  <w:w w:val="91"/>
                </w:rPr>
                <w:t>14, 2024,</w:t>
              </w:r>
            </w:hyperlink>
          </w:p>
        </w:tc>
        <w:tc>
          <w:tcPr>
            <w:tcW w:w="20" w:type="dxa"/>
            <w:vAlign w:val="bottom"/>
          </w:tcPr>
          <w:p>
            <w:pPr>
              <w:spacing w:after="0"/>
              <w:rPr>
                <w:sz w:val="10"/>
                <w:szCs w:val="10"/>
                <w:color w:val="auto"/>
              </w:rPr>
            </w:pPr>
          </w:p>
        </w:tc>
        <w:tc>
          <w:tcPr>
            <w:tcW w:w="440" w:type="dxa"/>
            <w:vAlign w:val="bottom"/>
            <w:tcBorders>
              <w:bottom w:val="single" w:sz="8" w:color="0000FF"/>
            </w:tcBorders>
            <w:gridSpan w:val="10"/>
          </w:tcPr>
          <w:p>
            <w:pPr>
              <w:spacing w:after="0" w:line="108" w:lineRule="exact"/>
              <w:rPr>
                <w:rFonts w:ascii="Arial" w:cs="Arial" w:eastAsia="Arial" w:hAnsi="Arial"/>
                <w:sz w:val="12"/>
                <w:szCs w:val="12"/>
                <w:color w:val="0000FF"/>
              </w:rPr>
            </w:pPr>
            <w:hyperlink r:id="rId72">
              <w:r>
                <w:rPr>
                  <w:rFonts w:ascii="Arial" w:cs="Arial" w:eastAsia="Arial" w:hAnsi="Arial"/>
                  <w:sz w:val="12"/>
                  <w:szCs w:val="12"/>
                  <w:color w:val="0000FF"/>
                </w:rPr>
                <w:t>by and</w:t>
              </w:r>
            </w:hyperlink>
          </w:p>
        </w:tc>
        <w:tc>
          <w:tcPr>
            <w:tcW w:w="840" w:type="dxa"/>
            <w:vAlign w:val="bottom"/>
            <w:tcBorders>
              <w:bottom w:val="single" w:sz="8" w:color="0000FF"/>
            </w:tcBorders>
            <w:gridSpan w:val="15"/>
          </w:tcPr>
          <w:p>
            <w:pPr>
              <w:spacing w:after="0" w:line="108" w:lineRule="exact"/>
              <w:rPr>
                <w:rFonts w:ascii="Arial" w:cs="Arial" w:eastAsia="Arial" w:hAnsi="Arial"/>
                <w:sz w:val="12"/>
                <w:szCs w:val="12"/>
                <w:color w:val="0000FF"/>
              </w:rPr>
            </w:pPr>
            <w:hyperlink r:id="rId72">
              <w:r>
                <w:rPr>
                  <w:rFonts w:ascii="Arial" w:cs="Arial" w:eastAsia="Arial" w:hAnsi="Arial"/>
                  <w:sz w:val="12"/>
                  <w:szCs w:val="12"/>
                  <w:color w:val="0000FF"/>
                </w:rPr>
                <w:t>among USCB</w:t>
              </w:r>
            </w:hyperlink>
          </w:p>
        </w:tc>
        <w:tc>
          <w:tcPr>
            <w:tcW w:w="1120" w:type="dxa"/>
            <w:vAlign w:val="bottom"/>
            <w:tcBorders>
              <w:bottom w:val="single" w:sz="8" w:color="0000FF"/>
            </w:tcBorders>
            <w:gridSpan w:val="23"/>
          </w:tcPr>
          <w:p>
            <w:pPr>
              <w:spacing w:after="0" w:line="108" w:lineRule="exact"/>
              <w:rPr>
                <w:rFonts w:ascii="Arial" w:cs="Arial" w:eastAsia="Arial" w:hAnsi="Arial"/>
                <w:sz w:val="12"/>
                <w:szCs w:val="12"/>
                <w:color w:val="0000FF"/>
              </w:rPr>
            </w:pPr>
            <w:hyperlink r:id="rId72">
              <w:r>
                <w:rPr>
                  <w:rFonts w:ascii="Arial" w:cs="Arial" w:eastAsia="Arial" w:hAnsi="Arial"/>
                  <w:sz w:val="12"/>
                  <w:szCs w:val="12"/>
                  <w:color w:val="0000FF"/>
                </w:rPr>
                <w:t>Financial Holdings,</w:t>
              </w:r>
            </w:hyperlink>
          </w:p>
        </w:tc>
        <w:tc>
          <w:tcPr>
            <w:tcW w:w="40" w:type="dxa"/>
            <w:vAlign w:val="bottom"/>
          </w:tcPr>
          <w:p>
            <w:pPr>
              <w:spacing w:after="0"/>
              <w:rPr>
                <w:sz w:val="10"/>
                <w:szCs w:val="10"/>
                <w:color w:val="auto"/>
              </w:rPr>
            </w:pPr>
          </w:p>
        </w:tc>
        <w:tc>
          <w:tcPr>
            <w:tcW w:w="140" w:type="dxa"/>
            <w:vAlign w:val="bottom"/>
            <w:tcBorders>
              <w:bottom w:val="single" w:sz="8" w:color="0000FF"/>
            </w:tcBorders>
            <w:gridSpan w:val="4"/>
          </w:tcPr>
          <w:p>
            <w:pPr>
              <w:spacing w:after="0"/>
              <w:rPr>
                <w:rFonts w:ascii="Arial" w:cs="Arial" w:eastAsia="Arial" w:hAnsi="Arial"/>
                <w:sz w:val="7"/>
                <w:szCs w:val="7"/>
                <w:color w:val="0000FF"/>
                <w:w w:val="88"/>
              </w:rPr>
            </w:pPr>
            <w:hyperlink r:id="rId72">
              <w:r>
                <w:rPr>
                  <w:rFonts w:ascii="Arial" w:cs="Arial" w:eastAsia="Arial" w:hAnsi="Arial"/>
                  <w:sz w:val="7"/>
                  <w:szCs w:val="7"/>
                  <w:color w:val="0000FF"/>
                  <w:w w:val="88"/>
                </w:rPr>
                <w:t>Inc.</w:t>
              </w:r>
            </w:hyperlink>
          </w:p>
        </w:tc>
        <w:tc>
          <w:tcPr>
            <w:tcW w:w="10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980" w:type="dxa"/>
            <w:vAlign w:val="bottom"/>
            <w:gridSpan w:val="125"/>
            <w:vMerge w:val="restart"/>
          </w:tcPr>
          <w:p>
            <w:pPr>
              <w:spacing w:after="0" w:line="129" w:lineRule="exact"/>
              <w:rPr>
                <w:rFonts w:ascii="Arial" w:cs="Arial" w:eastAsia="Arial" w:hAnsi="Arial"/>
                <w:sz w:val="13"/>
                <w:szCs w:val="13"/>
                <w:color w:val="0000FF"/>
              </w:rPr>
            </w:pPr>
            <w:hyperlink r:id="rId72">
              <w:r>
                <w:rPr>
                  <w:rFonts w:ascii="Arial" w:cs="Arial" w:eastAsia="Arial" w:hAnsi="Arial"/>
                  <w:sz w:val="13"/>
                  <w:szCs w:val="13"/>
                  <w:color w:val="0000FF"/>
                </w:rPr>
                <w:t>and certain qualified institutional buyers (incorporated by reference to Exhibit 10.1 to the Registrant’s Current Report on</w:t>
              </w:r>
            </w:hyperlink>
          </w:p>
        </w:tc>
        <w:tc>
          <w:tcPr>
            <w:tcW w:w="0" w:type="dxa"/>
            <w:vAlign w:val="bottom"/>
          </w:tcPr>
          <w:p>
            <w:pPr>
              <w:spacing w:after="0" w:line="20" w:lineRule="exact"/>
              <w:rPr>
                <w:sz w:val="1"/>
                <w:szCs w:val="1"/>
                <w:color w:val="auto"/>
              </w:rPr>
            </w:pPr>
          </w:p>
        </w:tc>
      </w:tr>
      <w:tr>
        <w:trPr>
          <w:trHeight w:val="89"/>
        </w:trPr>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980" w:type="dxa"/>
            <w:vAlign w:val="bottom"/>
            <w:gridSpan w:val="12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0000FF"/>
            </w:tcBorders>
            <w:gridSpan w:val="6"/>
            <w:shd w:val="clear" w:color="auto" w:fill="0000FF"/>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20"/>
            <w:shd w:val="clear" w:color="auto" w:fill="0000FF"/>
          </w:tcPr>
          <w:p>
            <w:pPr>
              <w:spacing w:after="0" w:line="20" w:lineRule="exact"/>
              <w:rPr>
                <w:sz w:val="1"/>
                <w:szCs w:val="1"/>
                <w:color w:val="auto"/>
              </w:rPr>
            </w:pPr>
          </w:p>
        </w:tc>
        <w:tc>
          <w:tcPr>
            <w:tcW w:w="1240" w:type="dxa"/>
            <w:vAlign w:val="bottom"/>
            <w:gridSpan w:val="18"/>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right w:val="single" w:sz="8" w:color="0000FF"/>
            </w:tcBorders>
            <w:gridSpan w:val="17"/>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gridSpan w:val="7"/>
            <w:vMerge w:val="restart"/>
          </w:tcPr>
          <w:p>
            <w:pPr>
              <w:jc w:val="center"/>
              <w:spacing w:after="0"/>
              <w:rPr>
                <w:sz w:val="20"/>
                <w:szCs w:val="20"/>
                <w:color w:val="auto"/>
              </w:rPr>
            </w:pPr>
            <w:r>
              <w:rPr>
                <w:rFonts w:ascii="Arial" w:cs="Arial" w:eastAsia="Arial" w:hAnsi="Arial"/>
                <w:sz w:val="14"/>
                <w:szCs w:val="14"/>
                <w:color w:val="0000FF"/>
                <w:w w:val="95"/>
              </w:rPr>
              <w:t>10.</w:t>
            </w:r>
            <w:r>
              <w:rPr>
                <w:rFonts w:ascii="Arial" w:cs="Arial" w:eastAsia="Arial" w:hAnsi="Arial"/>
                <w:sz w:val="14"/>
                <w:szCs w:val="14"/>
                <w:u w:val="single" w:color="auto"/>
                <w:color w:val="0000FF"/>
                <w:w w:val="95"/>
              </w:rPr>
              <w:t>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920" w:type="dxa"/>
            <w:vAlign w:val="bottom"/>
            <w:tcBorders>
              <w:bottom w:val="single" w:sz="8" w:color="0000FF"/>
            </w:tcBorders>
            <w:gridSpan w:val="100"/>
          </w:tcPr>
          <w:p>
            <w:pPr>
              <w:spacing w:after="0" w:line="129" w:lineRule="exact"/>
              <w:rPr>
                <w:rFonts w:ascii="Arial" w:cs="Arial" w:eastAsia="Arial" w:hAnsi="Arial"/>
                <w:sz w:val="13"/>
                <w:szCs w:val="13"/>
                <w:color w:val="0000FF"/>
                <w:w w:val="98"/>
              </w:rPr>
            </w:pPr>
            <w:hyperlink r:id="rId72">
              <w:r>
                <w:rPr>
                  <w:rFonts w:ascii="Arial" w:cs="Arial" w:eastAsia="Arial" w:hAnsi="Arial"/>
                  <w:sz w:val="13"/>
                  <w:szCs w:val="13"/>
                  <w:color w:val="0000FF"/>
                  <w:w w:val="98"/>
                </w:rPr>
                <w:t>Form 8-K (File No. 001-41196) filed with the Securities and Exchange Commission on August 14, 2025).</w:t>
              </w:r>
            </w:hyperlink>
          </w:p>
        </w:tc>
        <w:tc>
          <w:tcPr>
            <w:tcW w:w="1060" w:type="dxa"/>
            <w:vAlign w:val="bottom"/>
            <w:gridSpan w:val="25"/>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 w:type="dxa"/>
            <w:vAlign w:val="bottom"/>
            <w:gridSpan w:val="7"/>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19" w:lineRule="exact"/>
              <w:rPr>
                <w:rFonts w:ascii="Arial" w:cs="Arial" w:eastAsia="Arial" w:hAnsi="Arial"/>
                <w:sz w:val="13"/>
                <w:szCs w:val="13"/>
                <w:color w:val="0000FF"/>
                <w:w w:val="99"/>
              </w:rPr>
            </w:pPr>
            <w:hyperlink r:id="rId73">
              <w:r>
                <w:rPr>
                  <w:rFonts w:ascii="Arial" w:cs="Arial" w:eastAsia="Arial" w:hAnsi="Arial"/>
                  <w:sz w:val="13"/>
                  <w:szCs w:val="13"/>
                  <w:color w:val="0000FF"/>
                  <w:w w:val="99"/>
                </w:rPr>
                <w:t>Form of Registration Rights Agreement, dated August 14, 2025, by and among USCB Financial Holdings, Inc. and certain</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49"/>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40" w:type="dxa"/>
            <w:vAlign w:val="bottom"/>
            <w:tcBorders>
              <w:right w:val="single" w:sz="8" w:color="0000FF"/>
            </w:tcBorders>
            <w:gridSpan w:val="15"/>
            <w:shd w:val="clear" w:color="auto" w:fill="0000FF"/>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1380" w:type="dxa"/>
            <w:vAlign w:val="bottom"/>
            <w:tcBorders>
              <w:left w:val="single" w:sz="8" w:color="0000FF"/>
              <w:right w:val="single" w:sz="8" w:color="0000FF"/>
            </w:tcBorders>
            <w:gridSpan w:val="25"/>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13"/>
            <w:shd w:val="clear" w:color="auto" w:fill="0000FF"/>
          </w:tcPr>
          <w:p>
            <w:pPr>
              <w:spacing w:after="0" w:line="20" w:lineRule="exact"/>
              <w:rPr>
                <w:sz w:val="1"/>
                <w:szCs w:val="1"/>
                <w:color w:val="auto"/>
              </w:rPr>
            </w:pPr>
          </w:p>
        </w:tc>
        <w:tc>
          <w:tcPr>
            <w:tcW w:w="100" w:type="dxa"/>
            <w:vAlign w:val="bottom"/>
            <w:tcBorders>
              <w:left w:val="single" w:sz="8" w:color="0000FF"/>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980" w:type="dxa"/>
            <w:vAlign w:val="bottom"/>
            <w:gridSpan w:val="125"/>
          </w:tcPr>
          <w:p>
            <w:pPr>
              <w:spacing w:after="0" w:line="110" w:lineRule="exact"/>
              <w:rPr>
                <w:rFonts w:ascii="Arial" w:cs="Arial" w:eastAsia="Arial" w:hAnsi="Arial"/>
                <w:sz w:val="12"/>
                <w:szCs w:val="12"/>
                <w:color w:val="0000FF"/>
              </w:rPr>
            </w:pPr>
            <w:hyperlink r:id="rId73">
              <w:r>
                <w:rPr>
                  <w:rFonts w:ascii="Arial" w:cs="Arial" w:eastAsia="Arial" w:hAnsi="Arial"/>
                  <w:sz w:val="12"/>
                  <w:szCs w:val="12"/>
                  <w:color w:val="0000FF"/>
                </w:rPr>
                <w:t>institutional buyers (incorporated by reference to Exhibit 10.2 to the Registrant’s Current Report on Form 8-K (File No. 001-</w:t>
              </w:r>
            </w:hyperlink>
          </w:p>
        </w:tc>
        <w:tc>
          <w:tcPr>
            <w:tcW w:w="0" w:type="dxa"/>
            <w:vAlign w:val="bottom"/>
          </w:tcPr>
          <w:p>
            <w:pPr>
              <w:spacing w:after="0"/>
              <w:rPr>
                <w:sz w:val="1"/>
                <w:szCs w:val="1"/>
                <w:color w:val="auto"/>
              </w:rPr>
            </w:pPr>
          </w:p>
        </w:tc>
      </w:tr>
      <w:tr>
        <w:trPr>
          <w:trHeight w:val="119"/>
        </w:trPr>
        <w:tc>
          <w:tcPr>
            <w:tcW w:w="560" w:type="dxa"/>
            <w:vAlign w:val="bottom"/>
            <w:gridSpan w:val="6"/>
            <w:vMerge w:val="restart"/>
          </w:tcPr>
          <w:p>
            <w:pPr>
              <w:jc w:val="center"/>
              <w:ind w:left="234"/>
              <w:spacing w:after="0"/>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1</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80" w:type="dxa"/>
            <w:vAlign w:val="bottom"/>
            <w:tcBorders>
              <w:top w:val="single" w:sz="8" w:color="0000FF"/>
            </w:tcBorders>
            <w:gridSpan w:val="121"/>
          </w:tcPr>
          <w:p>
            <w:pPr>
              <w:spacing w:after="0" w:line="119" w:lineRule="exact"/>
              <w:rPr>
                <w:rFonts w:ascii="Arial" w:cs="Arial" w:eastAsia="Arial" w:hAnsi="Arial"/>
                <w:sz w:val="13"/>
                <w:szCs w:val="13"/>
                <w:color w:val="0000FF"/>
              </w:rPr>
            </w:pPr>
            <w:hyperlink r:id="rId73">
              <w:r>
                <w:rPr>
                  <w:rFonts w:ascii="Arial" w:cs="Arial" w:eastAsia="Arial" w:hAnsi="Arial"/>
                  <w:sz w:val="13"/>
                  <w:szCs w:val="13"/>
                  <w:color w:val="0000FF"/>
                </w:rPr>
                <w:t>41196) filed with the Securities and Exchange Commission on August 14, 2025).</w:t>
              </w:r>
            </w:hyperlink>
          </w:p>
        </w:tc>
        <w:tc>
          <w:tcPr>
            <w:tcW w:w="10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gridSpan w:val="6"/>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340" w:type="dxa"/>
            <w:vAlign w:val="bottom"/>
            <w:tcBorders>
              <w:left w:val="single" w:sz="8" w:color="0000FF"/>
            </w:tcBorders>
            <w:gridSpan w:val="10"/>
            <w:shd w:val="clear" w:color="auto" w:fill="0000FF"/>
          </w:tcPr>
          <w:p>
            <w:pPr>
              <w:spacing w:after="0" w:line="20" w:lineRule="exact"/>
              <w:rPr>
                <w:sz w:val="1"/>
                <w:szCs w:val="1"/>
                <w:color w:val="auto"/>
              </w:rPr>
            </w:pPr>
          </w:p>
        </w:tc>
        <w:tc>
          <w:tcPr>
            <w:tcW w:w="1380" w:type="dxa"/>
            <w:vAlign w:val="bottom"/>
            <w:gridSpan w:val="2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0" w:type="dxa"/>
            <w:vAlign w:val="bottom"/>
            <w:gridSpan w:val="6"/>
            <w:vMerge w:val="continue"/>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980" w:type="dxa"/>
            <w:vAlign w:val="bottom"/>
            <w:gridSpan w:val="125"/>
          </w:tcPr>
          <w:p>
            <w:pPr>
              <w:spacing w:after="0" w:line="129" w:lineRule="exact"/>
              <w:rPr>
                <w:sz w:val="20"/>
                <w:szCs w:val="20"/>
                <w:color w:val="auto"/>
              </w:rPr>
            </w:pPr>
            <w:r>
              <w:rPr>
                <w:rFonts w:ascii="Arial" w:cs="Arial" w:eastAsia="Arial" w:hAnsi="Arial"/>
                <w:sz w:val="13"/>
                <w:szCs w:val="13"/>
                <w:color w:val="0000FF"/>
              </w:rPr>
              <w:t>Certification of Chief Executive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35"/>
            <w:shd w:val="clear" w:color="auto" w:fill="0000FF"/>
          </w:tcPr>
          <w:p>
            <w:pPr>
              <w:spacing w:after="0" w:line="20" w:lineRule="exact"/>
              <w:rPr>
                <w:sz w:val="1"/>
                <w:szCs w:val="1"/>
                <w:color w:val="auto"/>
              </w:rPr>
            </w:pPr>
          </w:p>
        </w:tc>
        <w:tc>
          <w:tcPr>
            <w:tcW w:w="80" w:type="dxa"/>
            <w:vAlign w:val="bottom"/>
            <w:tcBorders>
              <w:left w:val="single" w:sz="8" w:color="0000FF"/>
            </w:tcBorders>
            <w:gridSpan w:val="2"/>
            <w:shd w:val="clear" w:color="auto" w:fill="0000FF"/>
          </w:tcPr>
          <w:p>
            <w:pPr>
              <w:spacing w:after="0" w:line="20" w:lineRule="exact"/>
              <w:rPr>
                <w:sz w:val="1"/>
                <w:szCs w:val="1"/>
                <w:color w:val="auto"/>
              </w:rPr>
            </w:pPr>
          </w:p>
        </w:tc>
        <w:tc>
          <w:tcPr>
            <w:tcW w:w="98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0" w:type="dxa"/>
            <w:vAlign w:val="bottom"/>
            <w:gridSpan w:val="6"/>
          </w:tcPr>
          <w:p>
            <w:pPr>
              <w:jc w:val="center"/>
              <w:ind w:left="234"/>
              <w:spacing w:after="0"/>
              <w:rPr>
                <w:sz w:val="20"/>
                <w:szCs w:val="20"/>
                <w:color w:val="auto"/>
              </w:rPr>
            </w:pPr>
            <w:r>
              <w:rPr>
                <w:rFonts w:ascii="Arial" w:cs="Arial" w:eastAsia="Arial" w:hAnsi="Arial"/>
                <w:sz w:val="13"/>
                <w:szCs w:val="13"/>
                <w:color w:val="0000FF"/>
              </w:rPr>
              <w:t>31.</w:t>
            </w:r>
            <w:r>
              <w:rPr>
                <w:rFonts w:ascii="Arial" w:cs="Arial" w:eastAsia="Arial" w:hAnsi="Arial"/>
                <w:sz w:val="13"/>
                <w:szCs w:val="13"/>
                <w:u w:val="single" w:color="auto"/>
                <w:color w:val="0000FF"/>
              </w:rPr>
              <w:t>2</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25"/>
          </w:tcPr>
          <w:p>
            <w:pPr>
              <w:spacing w:after="0"/>
              <w:rPr>
                <w:sz w:val="20"/>
                <w:szCs w:val="20"/>
                <w:color w:val="auto"/>
              </w:rPr>
            </w:pPr>
            <w:r>
              <w:rPr>
                <w:rFonts w:ascii="Arial" w:cs="Arial" w:eastAsia="Arial" w:hAnsi="Arial"/>
                <w:sz w:val="13"/>
                <w:szCs w:val="13"/>
                <w:color w:val="0000FF"/>
              </w:rPr>
              <w:t>Certification of Chief Financial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FF"/>
            </w:tcBorders>
            <w:gridSpan w:val="35"/>
            <w:shd w:val="clear" w:color="auto" w:fill="0000FF"/>
          </w:tcPr>
          <w:p>
            <w:pPr>
              <w:spacing w:after="0" w:line="20" w:lineRule="exact"/>
              <w:rPr>
                <w:sz w:val="1"/>
                <w:szCs w:val="1"/>
                <w:color w:val="auto"/>
              </w:rPr>
            </w:pPr>
          </w:p>
        </w:tc>
        <w:tc>
          <w:tcPr>
            <w:tcW w:w="1060" w:type="dxa"/>
            <w:vAlign w:val="bottom"/>
            <w:tcBorders>
              <w:left w:val="single" w:sz="8" w:color="0000FF"/>
            </w:tcBorders>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60" w:type="dxa"/>
            <w:vAlign w:val="bottom"/>
            <w:gridSpan w:val="6"/>
          </w:tcPr>
          <w:p>
            <w:pPr>
              <w:jc w:val="center"/>
              <w:ind w:left="234"/>
              <w:spacing w:after="0" w:line="140" w:lineRule="exact"/>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25"/>
          </w:tcPr>
          <w:p>
            <w:pPr>
              <w:spacing w:after="0" w:line="140" w:lineRule="exact"/>
              <w:rPr>
                <w:sz w:val="20"/>
                <w:szCs w:val="20"/>
                <w:color w:val="auto"/>
              </w:rPr>
            </w:pPr>
            <w:r>
              <w:rPr>
                <w:rFonts w:ascii="Arial" w:cs="Arial" w:eastAsia="Arial" w:hAnsi="Arial"/>
                <w:sz w:val="13"/>
                <w:szCs w:val="13"/>
                <w:color w:val="0000FF"/>
              </w:rPr>
              <w:t>Certification of Chief Executive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2780" w:type="dxa"/>
            <w:vAlign w:val="bottom"/>
            <w:tcBorders>
              <w:left w:val="single" w:sz="8" w:color="0000FF"/>
            </w:tcBorders>
            <w:gridSpan w:val="6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60" w:type="dxa"/>
            <w:vAlign w:val="bottom"/>
            <w:gridSpan w:val="6"/>
          </w:tcPr>
          <w:p>
            <w:pPr>
              <w:jc w:val="center"/>
              <w:ind w:left="234"/>
              <w:spacing w:after="0" w:line="140" w:lineRule="exact"/>
              <w:rPr>
                <w:sz w:val="20"/>
                <w:szCs w:val="20"/>
                <w:color w:val="auto"/>
              </w:rPr>
            </w:pPr>
            <w:r>
              <w:rPr>
                <w:rFonts w:ascii="Arial" w:cs="Arial" w:eastAsia="Arial" w:hAnsi="Arial"/>
                <w:sz w:val="13"/>
                <w:szCs w:val="13"/>
                <w:color w:val="0000FF"/>
              </w:rPr>
              <w:t>32.</w:t>
            </w:r>
            <w:r>
              <w:rPr>
                <w:rFonts w:ascii="Arial" w:cs="Arial" w:eastAsia="Arial" w:hAnsi="Arial"/>
                <w:sz w:val="13"/>
                <w:szCs w:val="13"/>
                <w:u w:val="single" w:color="auto"/>
                <w:color w:val="0000FF"/>
              </w:rPr>
              <w:t>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25"/>
          </w:tcPr>
          <w:p>
            <w:pPr>
              <w:spacing w:after="0" w:line="140" w:lineRule="exact"/>
              <w:rPr>
                <w:sz w:val="20"/>
                <w:szCs w:val="20"/>
                <w:color w:val="auto"/>
              </w:rPr>
            </w:pPr>
            <w:r>
              <w:rPr>
                <w:rFonts w:ascii="Arial" w:cs="Arial" w:eastAsia="Arial" w:hAnsi="Arial"/>
                <w:sz w:val="13"/>
                <w:szCs w:val="13"/>
                <w:color w:val="0000FF"/>
              </w:rPr>
              <w:t>Certification of Chief Financial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Borders>
              <w:right w:val="single" w:sz="8" w:color="0000FF"/>
            </w:tcBorders>
            <w:gridSpan w:val="65"/>
            <w:shd w:val="clear" w:color="auto" w:fill="0000FF"/>
          </w:tcPr>
          <w:p>
            <w:pPr>
              <w:spacing w:after="0" w:line="20" w:lineRule="exact"/>
              <w:rPr>
                <w:sz w:val="1"/>
                <w:szCs w:val="1"/>
                <w:color w:val="auto"/>
              </w:rPr>
            </w:pPr>
          </w:p>
        </w:tc>
        <w:tc>
          <w:tcPr>
            <w:tcW w:w="2780" w:type="dxa"/>
            <w:vAlign w:val="bottom"/>
            <w:gridSpan w:val="6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0" w:type="dxa"/>
            <w:vAlign w:val="bottom"/>
            <w:gridSpan w:val="2"/>
          </w:tcPr>
          <w:p>
            <w:pPr>
              <w:spacing w:after="0"/>
              <w:rPr>
                <w:sz w:val="13"/>
                <w:szCs w:val="13"/>
                <w:color w:val="auto"/>
              </w:rPr>
            </w:pPr>
          </w:p>
        </w:tc>
        <w:tc>
          <w:tcPr>
            <w:tcW w:w="240" w:type="dxa"/>
            <w:vAlign w:val="bottom"/>
            <w:gridSpan w:val="4"/>
          </w:tcPr>
          <w:p>
            <w:pPr>
              <w:jc w:val="center"/>
              <w:ind w:right="20"/>
              <w:spacing w:after="0"/>
              <w:rPr>
                <w:sz w:val="20"/>
                <w:szCs w:val="20"/>
                <w:color w:val="auto"/>
              </w:rPr>
            </w:pPr>
            <w:r>
              <w:rPr>
                <w:rFonts w:ascii="Arial" w:cs="Arial" w:eastAsia="Arial" w:hAnsi="Arial"/>
                <w:sz w:val="13"/>
                <w:szCs w:val="13"/>
                <w:color w:val="auto"/>
              </w:rPr>
              <w:t>101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980" w:type="dxa"/>
            <w:vAlign w:val="bottom"/>
            <w:gridSpan w:val="125"/>
          </w:tcPr>
          <w:p>
            <w:pPr>
              <w:spacing w:after="0"/>
              <w:rPr>
                <w:sz w:val="20"/>
                <w:szCs w:val="20"/>
                <w:color w:val="auto"/>
              </w:rPr>
            </w:pPr>
            <w:r>
              <w:rPr>
                <w:rFonts w:ascii="Arial" w:cs="Arial" w:eastAsia="Arial" w:hAnsi="Arial"/>
                <w:sz w:val="13"/>
                <w:szCs w:val="13"/>
                <w:color w:val="auto"/>
                <w:w w:val="99"/>
              </w:rPr>
              <w:t>The following financialstatements from the Company’s Quarterly Report on Form 10-Q forthe quarter endedSeptember 30,</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25"/>
          </w:tcPr>
          <w:p>
            <w:pPr>
              <w:spacing w:after="0"/>
              <w:rPr>
                <w:sz w:val="20"/>
                <w:szCs w:val="20"/>
                <w:color w:val="auto"/>
              </w:rPr>
            </w:pPr>
            <w:r>
              <w:rPr>
                <w:rFonts w:ascii="Arial" w:cs="Arial" w:eastAsia="Arial" w:hAnsi="Arial"/>
                <w:sz w:val="13"/>
                <w:szCs w:val="13"/>
                <w:color w:val="auto"/>
              </w:rPr>
              <w:t>2025 formatted in Inline XBRL: (i) Consolidated Balance Sheets (unaudited), (ii) Consolidated Statements of Operations</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25"/>
          </w:tcPr>
          <w:p>
            <w:pPr>
              <w:spacing w:after="0"/>
              <w:rPr>
                <w:sz w:val="20"/>
                <w:szCs w:val="20"/>
                <w:color w:val="auto"/>
              </w:rPr>
            </w:pPr>
            <w:r>
              <w:rPr>
                <w:rFonts w:ascii="Arial" w:cs="Arial" w:eastAsia="Arial" w:hAnsi="Arial"/>
                <w:sz w:val="13"/>
                <w:szCs w:val="13"/>
                <w:color w:val="auto"/>
                <w:w w:val="98"/>
              </w:rPr>
              <w:t>(unaudited), (iii) Consolidated Statements of Comprehensive Income (unaudited), (iv) Consolidated Statements of Changes</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980" w:type="dxa"/>
            <w:vAlign w:val="bottom"/>
            <w:gridSpan w:val="125"/>
          </w:tcPr>
          <w:p>
            <w:pPr>
              <w:spacing w:after="0"/>
              <w:rPr>
                <w:sz w:val="20"/>
                <w:szCs w:val="20"/>
                <w:color w:val="auto"/>
              </w:rPr>
            </w:pPr>
            <w:r>
              <w:rPr>
                <w:rFonts w:ascii="Arial" w:cs="Arial" w:eastAsia="Arial" w:hAnsi="Arial"/>
                <w:sz w:val="13"/>
                <w:szCs w:val="13"/>
                <w:color w:val="auto"/>
              </w:rPr>
              <w:t>in Stockholders’ Equity (unaudited), (v) Consolidated  Statements of Cash Flows (unaudited), (vi) Notes to Consolidated</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980" w:type="dxa"/>
            <w:vAlign w:val="bottom"/>
            <w:gridSpan w:val="125"/>
          </w:tcPr>
          <w:p>
            <w:pPr>
              <w:spacing w:after="0"/>
              <w:rPr>
                <w:sz w:val="20"/>
                <w:szCs w:val="20"/>
                <w:color w:val="auto"/>
              </w:rPr>
            </w:pPr>
            <w:r>
              <w:rPr>
                <w:rFonts w:ascii="Arial" w:cs="Arial" w:eastAsia="Arial" w:hAnsi="Arial"/>
                <w:sz w:val="13"/>
                <w:szCs w:val="13"/>
                <w:color w:val="auto"/>
              </w:rPr>
              <w:t>Financial Statements (unaudited).</w:t>
            </w:r>
          </w:p>
        </w:tc>
        <w:tc>
          <w:tcPr>
            <w:tcW w:w="0" w:type="dxa"/>
            <w:vAlign w:val="bottom"/>
          </w:tcPr>
          <w:p>
            <w:pPr>
              <w:spacing w:after="0"/>
              <w:rPr>
                <w:sz w:val="1"/>
                <w:szCs w:val="1"/>
                <w:color w:val="auto"/>
              </w:rPr>
            </w:pPr>
          </w:p>
        </w:tc>
      </w:tr>
    </w:tbl>
    <w:p>
      <w:pPr>
        <w:ind w:left="1280" w:right="2499" w:hanging="596"/>
        <w:spacing w:after="0" w:line="376" w:lineRule="auto"/>
        <w:tabs>
          <w:tab w:leader="none" w:pos="1483" w:val="left"/>
        </w:tabs>
        <w:numPr>
          <w:ilvl w:val="0"/>
          <w:numId w:val="35"/>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Management Contract or Compensatory plan or arrangement.</w:t>
      </w:r>
    </w:p>
    <w:p>
      <w:pPr>
        <w:spacing w:after="0" w:line="1" w:lineRule="exact"/>
        <w:rPr>
          <w:rFonts w:ascii="Arial" w:cs="Arial" w:eastAsia="Arial" w:hAnsi="Arial"/>
          <w:sz w:val="13"/>
          <w:szCs w:val="13"/>
          <w:color w:val="auto"/>
        </w:rPr>
      </w:pPr>
    </w:p>
    <w:p>
      <w:pPr>
        <w:ind w:left="1480" w:hanging="251"/>
        <w:spacing w:after="0"/>
        <w:tabs>
          <w:tab w:leader="none" w:pos="1480" w:val="left"/>
        </w:tabs>
        <w:numPr>
          <w:ilvl w:val="1"/>
          <w:numId w:val="36"/>
        </w:numPr>
        <w:rPr>
          <w:rFonts w:ascii="Arial" w:cs="Arial" w:eastAsia="Arial" w:hAnsi="Arial"/>
          <w:sz w:val="13"/>
          <w:szCs w:val="13"/>
          <w:color w:val="auto"/>
        </w:rPr>
      </w:pPr>
      <w:r>
        <w:rPr>
          <w:rFonts w:ascii="Arial" w:cs="Arial" w:eastAsia="Arial" w:hAnsi="Arial"/>
          <w:sz w:val="13"/>
          <w:szCs w:val="13"/>
          <w:color w:val="auto"/>
        </w:rPr>
        <w:t>Filed herewith.</w:t>
      </w:r>
    </w:p>
    <w:p>
      <w:pPr>
        <w:ind w:left="1480" w:hanging="305"/>
        <w:spacing w:after="0"/>
        <w:tabs>
          <w:tab w:leader="none" w:pos="1480" w:val="left"/>
        </w:tabs>
        <w:numPr>
          <w:ilvl w:val="1"/>
          <w:numId w:val="37"/>
        </w:numPr>
        <w:rPr>
          <w:rFonts w:ascii="Arial" w:cs="Arial" w:eastAsia="Arial" w:hAnsi="Arial"/>
          <w:sz w:val="13"/>
          <w:szCs w:val="13"/>
          <w:color w:val="auto"/>
        </w:rPr>
      </w:pPr>
      <w:r>
        <w:rPr>
          <w:rFonts w:ascii="Arial" w:cs="Arial" w:eastAsia="Arial" w:hAnsi="Arial"/>
          <w:sz w:val="13"/>
          <w:szCs w:val="13"/>
          <w:color w:val="auto"/>
        </w:rPr>
        <w:t>Furnished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55" w:name="page56"/>
    <w:bookmarkEnd w:id="5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70" w:lineRule="exact"/>
        <w:rPr>
          <w:sz w:val="20"/>
          <w:szCs w:val="20"/>
          <w:color w:val="auto"/>
        </w:rPr>
      </w:pPr>
    </w:p>
    <w:p>
      <w:pPr>
        <w:ind w:left="660" w:right="699" w:firstLine="256"/>
        <w:spacing w:after="0" w:line="276"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10"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520" w:type="dxa"/>
            <w:vAlign w:val="bottom"/>
            <w:gridSpan w:val="3"/>
          </w:tcPr>
          <w:p>
            <w:pPr>
              <w:ind w:left="60"/>
              <w:spacing w:after="0"/>
              <w:rPr>
                <w:sz w:val="20"/>
                <w:szCs w:val="20"/>
                <w:color w:val="auto"/>
              </w:rPr>
            </w:pPr>
            <w:r>
              <w:rPr>
                <w:rFonts w:ascii="Arial" w:cs="Arial" w:eastAsia="Arial" w:hAnsi="Arial"/>
                <w:sz w:val="14"/>
                <w:szCs w:val="14"/>
                <w:color w:val="auto"/>
              </w:rPr>
              <w:t>USCB FINANCIAL HOLDINGS, INC.</w:t>
            </w:r>
          </w:p>
        </w:tc>
      </w:t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ind w:left="400"/>
              <w:spacing w:after="0"/>
              <w:rPr>
                <w:sz w:val="20"/>
                <w:szCs w:val="20"/>
                <w:color w:val="auto"/>
              </w:rPr>
            </w:pPr>
            <w:r>
              <w:rPr>
                <w:rFonts w:ascii="Arial" w:cs="Arial" w:eastAsia="Arial" w:hAnsi="Arial"/>
                <w:sz w:val="14"/>
                <w:szCs w:val="14"/>
                <w:color w:val="auto"/>
              </w:rPr>
              <w:t>(Registrant)</w:t>
            </w:r>
          </w:p>
        </w:tc>
      </w:tr>
      <w:tr>
        <w:trPr>
          <w:trHeight w:val="377"/>
        </w:trPr>
        <w:tc>
          <w:tcPr>
            <w:tcW w:w="20" w:type="dxa"/>
            <w:vAlign w:val="bottom"/>
          </w:tcPr>
          <w:p>
            <w:pPr>
              <w:spacing w:after="0"/>
              <w:rPr>
                <w:sz w:val="24"/>
                <w:szCs w:val="24"/>
                <w:color w:val="auto"/>
              </w:rPr>
            </w:pPr>
          </w:p>
        </w:tc>
        <w:tc>
          <w:tcPr>
            <w:tcW w:w="200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24"/>
                <w:szCs w:val="24"/>
                <w:color w:val="auto"/>
              </w:rPr>
            </w:pPr>
          </w:p>
        </w:tc>
        <w:tc>
          <w:tcPr>
            <w:tcW w:w="272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Title</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56"/>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Chairman, President and Chief Executive</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64"/>
        </w:trPr>
        <w:tc>
          <w:tcPr>
            <w:tcW w:w="20" w:type="dxa"/>
            <w:vAlign w:val="bottom"/>
          </w:tcPr>
          <w:p>
            <w:pPr>
              <w:spacing w:after="0"/>
              <w:rPr>
                <w:sz w:val="14"/>
                <w:szCs w:val="14"/>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Luis de la Aguilera</w:t>
            </w:r>
          </w:p>
        </w:tc>
        <w:tc>
          <w:tcPr>
            <w:tcW w:w="180" w:type="dxa"/>
            <w:vAlign w:val="bottom"/>
          </w:tcPr>
          <w:p>
            <w:pPr>
              <w:spacing w:after="0"/>
              <w:rPr>
                <w:sz w:val="14"/>
                <w:szCs w:val="14"/>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Officer</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November 7, 2025</w:t>
            </w:r>
          </w:p>
        </w:tc>
      </w:tr>
      <w:tr>
        <w:trPr>
          <w:trHeight w:val="177"/>
        </w:trPr>
        <w:tc>
          <w:tcPr>
            <w:tcW w:w="2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Luis de la Aguilera</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(Principal Executive Officer)</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33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40" w:type="dxa"/>
            <w:vAlign w:val="bottom"/>
            <w:gridSpan w:val="4"/>
          </w:tcPr>
          <w:p>
            <w:pPr>
              <w:ind w:left="60"/>
              <w:spacing w:after="0"/>
              <w:rPr>
                <w:sz w:val="20"/>
                <w:szCs w:val="20"/>
                <w:color w:val="auto"/>
              </w:rPr>
            </w:pPr>
            <w:r>
              <w:rPr>
                <w:rFonts w:ascii="Arial" w:cs="Arial" w:eastAsia="Arial" w:hAnsi="Arial"/>
                <w:sz w:val="14"/>
                <w:szCs w:val="14"/>
                <w:color w:val="auto"/>
              </w:rPr>
              <w:t>Executive Vice President and Chief Financial</w:t>
            </w:r>
          </w:p>
        </w:tc>
      </w:tr>
      <w:tr>
        <w:trPr>
          <w:trHeight w:val="174"/>
        </w:trPr>
        <w:tc>
          <w:tcPr>
            <w:tcW w:w="20" w:type="dxa"/>
            <w:vAlign w:val="bottom"/>
          </w:tcPr>
          <w:p>
            <w:pPr>
              <w:spacing w:after="0"/>
              <w:rPr>
                <w:sz w:val="15"/>
                <w:szCs w:val="15"/>
                <w:color w:val="auto"/>
              </w:rPr>
            </w:pPr>
          </w:p>
        </w:tc>
        <w:tc>
          <w:tcPr>
            <w:tcW w:w="2000" w:type="dxa"/>
            <w:vAlign w:val="bottom"/>
            <w:gridSpan w:val="2"/>
          </w:tcPr>
          <w:p>
            <w:pPr>
              <w:ind w:left="60"/>
              <w:spacing w:after="0"/>
              <w:rPr>
                <w:sz w:val="20"/>
                <w:szCs w:val="20"/>
                <w:color w:val="auto"/>
              </w:rPr>
            </w:pPr>
            <w:r>
              <w:rPr>
                <w:rFonts w:ascii="Arial" w:cs="Arial" w:eastAsia="Arial" w:hAnsi="Arial"/>
                <w:sz w:val="14"/>
                <w:szCs w:val="14"/>
                <w:color w:val="auto"/>
              </w:rPr>
              <w:t>/s/ Robert Anderson</w:t>
            </w:r>
          </w:p>
        </w:tc>
        <w:tc>
          <w:tcPr>
            <w:tcW w:w="180" w:type="dxa"/>
            <w:vAlign w:val="bottom"/>
          </w:tcPr>
          <w:p>
            <w:pPr>
              <w:spacing w:after="0"/>
              <w:rPr>
                <w:sz w:val="15"/>
                <w:szCs w:val="15"/>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Officer</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rPr>
              <w:t>November 7, 2025</w:t>
            </w:r>
          </w:p>
        </w:tc>
      </w:tr>
      <w:tr>
        <w:trPr>
          <w:trHeight w:val="147"/>
        </w:trPr>
        <w:tc>
          <w:tcPr>
            <w:tcW w:w="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ind w:left="60"/>
              <w:spacing w:after="0" w:line="147" w:lineRule="exact"/>
              <w:rPr>
                <w:sz w:val="20"/>
                <w:szCs w:val="20"/>
                <w:color w:val="auto"/>
              </w:rPr>
            </w:pPr>
            <w:r>
              <w:rPr>
                <w:rFonts w:ascii="Arial" w:cs="Arial" w:eastAsia="Arial" w:hAnsi="Arial"/>
                <w:sz w:val="14"/>
                <w:szCs w:val="14"/>
                <w:color w:val="auto"/>
              </w:rPr>
              <w:t>Robert Anderson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tcPr>
          <w:p>
            <w:pPr>
              <w:ind w:left="60"/>
              <w:spacing w:after="0" w:line="147" w:lineRule="exact"/>
              <w:rPr>
                <w:sz w:val="20"/>
                <w:szCs w:val="20"/>
                <w:color w:val="auto"/>
              </w:rPr>
            </w:pPr>
            <w:r>
              <w:rPr>
                <w:rFonts w:ascii="Arial" w:cs="Arial" w:eastAsia="Arial" w:hAnsi="Arial"/>
                <w:sz w:val="14"/>
                <w:szCs w:val="14"/>
                <w:color w:val="auto"/>
              </w:rPr>
              <w:t>(Principal Financial Officer and Principal</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tcPr>
          <w:p>
            <w:pPr>
              <w:ind w:left="60"/>
              <w:spacing w:after="0"/>
              <w:rPr>
                <w:sz w:val="20"/>
                <w:szCs w:val="20"/>
                <w:color w:val="auto"/>
              </w:rPr>
            </w:pPr>
            <w:r>
              <w:rPr>
                <w:rFonts w:ascii="Arial" w:cs="Arial" w:eastAsia="Arial" w:hAnsi="Arial"/>
                <w:sz w:val="14"/>
                <w:szCs w:val="14"/>
                <w:color w:val="auto"/>
              </w:rPr>
              <w:t>Accounting Officer)</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tabs>
          <w:tab w:leader="none" w:pos="260" w:val="left"/>
          <w:tab w:leader="none" w:pos="12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USCB Financial Holdings, Inc.</w:t>
        <w:tab/>
        <w:t>Q3 2025 Form 10-Q</w:t>
      </w:r>
    </w:p>
    <w:p>
      <w:pPr>
        <w:sectPr>
          <w:pgSz w:w="11900" w:h="16838" w:orient="portrait"/>
          <w:cols w:equalWidth="0" w:num="1">
            <w:col w:w="9019"/>
          </w:cols>
          <w:pgMar w:left="1440" w:top="477" w:right="1440" w:bottom="1440" w:gutter="0" w:footer="0" w:header="0"/>
        </w:sectPr>
      </w:pPr>
    </w:p>
    <w:bookmarkStart w:id="56" w:name="page57"/>
    <w:bookmarkEnd w:id="56"/>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70" w:lineRule="exact"/>
        <w:rPr>
          <w:sz w:val="20"/>
          <w:szCs w:val="20"/>
          <w:color w:val="auto"/>
        </w:rPr>
      </w:pPr>
    </w:p>
    <w:p>
      <w:pPr>
        <w:ind w:left="640" w:hanging="233"/>
        <w:spacing w:after="0"/>
        <w:tabs>
          <w:tab w:leader="none" w:pos="6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5" w:lineRule="auto"/>
        <w:tabs>
          <w:tab w:leader="none" w:pos="641"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jc w:val="both"/>
        <w:ind w:left="660" w:right="679" w:hanging="253"/>
        <w:spacing w:after="0" w:line="257" w:lineRule="auto"/>
        <w:tabs>
          <w:tab w:leader="none" w:pos="641"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4"/>
          <w:szCs w:val="14"/>
          <w:color w:val="auto"/>
        </w:rPr>
      </w:pPr>
    </w:p>
    <w:p>
      <w:pPr>
        <w:jc w:val="both"/>
        <w:ind w:left="1180" w:right="679" w:hanging="261"/>
        <w:spacing w:after="0" w:line="257" w:lineRule="auto"/>
        <w:tabs>
          <w:tab w:leader="none" w:pos="11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4"/>
          <w:szCs w:val="14"/>
          <w:color w:val="auto"/>
        </w:rPr>
      </w:pPr>
    </w:p>
    <w:p>
      <w:pPr>
        <w:jc w:val="both"/>
        <w:ind w:left="660" w:right="679" w:hanging="253"/>
        <w:spacing w:after="0" w:line="257" w:lineRule="auto"/>
        <w:tabs>
          <w:tab w:leader="none" w:pos="639"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jc w:val="both"/>
        <w:ind w:left="1180" w:right="679" w:hanging="261"/>
        <w:spacing w:after="0" w:line="265" w:lineRule="auto"/>
        <w:tabs>
          <w:tab w:leader="none" w:pos="1168" w:val="left"/>
        </w:tabs>
        <w:numPr>
          <w:ilvl w:val="1"/>
          <w:numId w:val="3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4"/>
          <w:szCs w:val="14"/>
          <w:color w:val="auto"/>
        </w:rPr>
      </w:pPr>
    </w:p>
    <w:p>
      <w:pPr>
        <w:ind w:left="1180" w:right="679" w:hanging="261"/>
        <w:spacing w:after="0" w:line="292" w:lineRule="auto"/>
        <w:tabs>
          <w:tab w:leader="none" w:pos="11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20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November 7, 2025</w:t>
      </w:r>
    </w:p>
    <w:p>
      <w:pPr>
        <w:sectPr>
          <w:pgSz w:w="11900" w:h="16838" w:orient="portrait"/>
          <w:cols w:equalWidth="0" w:num="1">
            <w:col w:w="9019"/>
          </w:cols>
          <w:pgMar w:left="1440" w:top="723" w:right="1440" w:bottom="1440" w:gutter="0" w:footer="0" w:header="0"/>
        </w:sectPr>
      </w:pPr>
    </w:p>
    <w:bookmarkStart w:id="57" w:name="page58"/>
    <w:bookmarkEnd w:id="57"/>
    <w:p>
      <w:pPr>
        <w:ind w:left="75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70" w:lineRule="exact"/>
        <w:rPr>
          <w:sz w:val="20"/>
          <w:szCs w:val="20"/>
          <w:color w:val="auto"/>
        </w:rPr>
      </w:pPr>
    </w:p>
    <w:p>
      <w:pPr>
        <w:ind w:left="660" w:hanging="253"/>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USCB Financial Holdings, Inc.;</w:t>
      </w:r>
    </w:p>
    <w:p>
      <w:pPr>
        <w:spacing w:after="0" w:line="159" w:lineRule="exact"/>
        <w:rPr>
          <w:rFonts w:ascii="Arial" w:cs="Arial" w:eastAsia="Arial" w:hAnsi="Arial"/>
          <w:sz w:val="14"/>
          <w:szCs w:val="14"/>
          <w:color w:val="auto"/>
        </w:rPr>
      </w:pPr>
    </w:p>
    <w:p>
      <w:pPr>
        <w:jc w:val="both"/>
        <w:ind w:left="660" w:right="679" w:hanging="253"/>
        <w:spacing w:after="0" w:line="265" w:lineRule="auto"/>
        <w:tabs>
          <w:tab w:leader="none" w:pos="641"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4"/>
          <w:szCs w:val="14"/>
          <w:color w:val="auto"/>
        </w:rPr>
      </w:pPr>
    </w:p>
    <w:p>
      <w:pPr>
        <w:jc w:val="both"/>
        <w:ind w:left="660" w:right="679" w:hanging="253"/>
        <w:spacing w:after="0" w:line="257" w:lineRule="auto"/>
        <w:tabs>
          <w:tab w:leader="none" w:pos="641"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4"/>
          <w:szCs w:val="14"/>
          <w:color w:val="auto"/>
        </w:rPr>
      </w:pPr>
    </w:p>
    <w:p>
      <w:pPr>
        <w:jc w:val="both"/>
        <w:ind w:left="1180" w:right="679" w:hanging="261"/>
        <w:spacing w:after="0" w:line="265" w:lineRule="auto"/>
        <w:tabs>
          <w:tab w:leader="none" w:pos="1180" w:val="left"/>
        </w:tabs>
        <w:numPr>
          <w:ilvl w:val="1"/>
          <w:numId w:val="3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4"/>
          <w:szCs w:val="14"/>
          <w:color w:val="auto"/>
        </w:rPr>
      </w:pPr>
    </w:p>
    <w:p>
      <w:pPr>
        <w:jc w:val="both"/>
        <w:ind w:left="1180" w:right="679" w:hanging="261"/>
        <w:spacing w:after="0" w:line="256" w:lineRule="auto"/>
        <w:tabs>
          <w:tab w:leader="none" w:pos="1180" w:val="left"/>
        </w:tabs>
        <w:numPr>
          <w:ilvl w:val="1"/>
          <w:numId w:val="3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4"/>
          <w:szCs w:val="14"/>
          <w:color w:val="auto"/>
        </w:rPr>
      </w:pPr>
    </w:p>
    <w:p>
      <w:pPr>
        <w:jc w:val="both"/>
        <w:ind w:left="660" w:right="679" w:hanging="253"/>
        <w:spacing w:after="0" w:line="265" w:lineRule="auto"/>
        <w:tabs>
          <w:tab w:leader="none" w:pos="639"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4"/>
          <w:szCs w:val="14"/>
          <w:color w:val="auto"/>
        </w:rPr>
      </w:pPr>
    </w:p>
    <w:p>
      <w:pPr>
        <w:jc w:val="both"/>
        <w:ind w:left="1180" w:right="679" w:hanging="261"/>
        <w:spacing w:after="0" w:line="265" w:lineRule="auto"/>
        <w:tabs>
          <w:tab w:leader="none" w:pos="1168" w:val="left"/>
        </w:tabs>
        <w:numPr>
          <w:ilvl w:val="1"/>
          <w:numId w:val="3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4"/>
          <w:szCs w:val="14"/>
          <w:color w:val="auto"/>
        </w:rPr>
      </w:pPr>
    </w:p>
    <w:p>
      <w:pPr>
        <w:ind w:left="1180" w:right="679" w:hanging="261"/>
        <w:spacing w:after="0" w:line="276" w:lineRule="auto"/>
        <w:tabs>
          <w:tab w:leader="none" w:pos="1168" w:val="left"/>
        </w:tabs>
        <w:numPr>
          <w:ilvl w:val="1"/>
          <w:numId w:val="3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November 7, 2025</w:t>
      </w:r>
    </w:p>
    <w:p>
      <w:pPr>
        <w:sectPr>
          <w:pgSz w:w="11900" w:h="16838" w:orient="portrait"/>
          <w:cols w:equalWidth="0" w:num="1">
            <w:col w:w="9019"/>
          </w:cols>
          <w:pgMar w:left="1440" w:top="723" w:right="1440" w:bottom="1440" w:gutter="0" w:footer="0" w:header="0"/>
        </w:sectPr>
      </w:pPr>
    </w:p>
    <w:bookmarkStart w:id="58" w:name="page59"/>
    <w:bookmarkEnd w:id="58"/>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56" w:lineRule="exact"/>
        <w:rPr>
          <w:sz w:val="20"/>
          <w:szCs w:val="20"/>
          <w:color w:val="auto"/>
        </w:rPr>
      </w:pPr>
    </w:p>
    <w:p>
      <w:pPr>
        <w:jc w:val="both"/>
        <w:ind w:left="660" w:right="679" w:firstLine="256"/>
        <w:spacing w:after="0" w:line="250"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September 30, 2025, as filed with the Securities and Exchange Commission on the date hereof (the “Report”), I, Luis de la Aguilera, as President and Chief Executive Officer of the Company, certify, to the best of my knowledge, pursuant 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18 U.S.C. §1350, as adopted pursuant to Section 906 of the Sarbanes-Oxley Act of 2002, that:</w:t>
      </w:r>
    </w:p>
    <w:p>
      <w:pPr>
        <w:spacing w:after="0" w:line="156" w:lineRule="exact"/>
        <w:rPr>
          <w:sz w:val="20"/>
          <w:szCs w:val="20"/>
          <w:color w:val="auto"/>
        </w:rPr>
      </w:pPr>
    </w:p>
    <w:p>
      <w:pPr>
        <w:ind w:left="1440" w:right="679" w:hanging="265"/>
        <w:spacing w:after="0" w:line="276" w:lineRule="auto"/>
        <w:tabs>
          <w:tab w:leader="none" w:pos="1428"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20" w:lineRule="exact"/>
        <w:rPr>
          <w:rFonts w:ascii="Arial" w:cs="Arial" w:eastAsia="Arial" w:hAnsi="Arial"/>
          <w:sz w:val="14"/>
          <w:szCs w:val="14"/>
          <w:color w:val="auto"/>
        </w:rPr>
      </w:pPr>
    </w:p>
    <w:p>
      <w:pPr>
        <w:ind w:left="1440" w:right="679" w:hanging="265"/>
        <w:spacing w:after="0" w:line="276" w:lineRule="auto"/>
        <w:tabs>
          <w:tab w:leader="none" w:pos="1428"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Chairman, President and Chief Executive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November 7, 2025</w:t>
      </w:r>
    </w:p>
    <w:p>
      <w:pPr>
        <w:sectPr>
          <w:pgSz w:w="11900" w:h="16838" w:orient="portrait"/>
          <w:cols w:equalWidth="0" w:num="1">
            <w:col w:w="9019"/>
          </w:cols>
          <w:pgMar w:left="1440" w:top="723" w:right="1440" w:bottom="1440" w:gutter="0" w:footer="0" w:header="0"/>
        </w:sectPr>
      </w:pPr>
    </w:p>
    <w:bookmarkStart w:id="59" w:name="page60"/>
    <w:bookmarkEnd w:id="59"/>
    <w:p>
      <w:pPr>
        <w:jc w:val="right"/>
        <w:ind w:right="6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 -Oxley Act of 2002</w:t>
      </w:r>
    </w:p>
    <w:p>
      <w:pPr>
        <w:spacing w:after="0" w:line="156" w:lineRule="exact"/>
        <w:rPr>
          <w:sz w:val="20"/>
          <w:szCs w:val="20"/>
          <w:color w:val="auto"/>
        </w:rPr>
      </w:pPr>
    </w:p>
    <w:p>
      <w:pPr>
        <w:jc w:val="both"/>
        <w:ind w:left="660" w:right="679" w:firstLine="256"/>
        <w:spacing w:after="0" w:line="256" w:lineRule="auto"/>
        <w:rPr>
          <w:sz w:val="20"/>
          <w:szCs w:val="20"/>
          <w:color w:val="auto"/>
        </w:rPr>
      </w:pPr>
      <w:r>
        <w:rPr>
          <w:rFonts w:ascii="Arial" w:cs="Arial" w:eastAsia="Arial" w:hAnsi="Arial"/>
          <w:sz w:val="14"/>
          <w:szCs w:val="14"/>
          <w:color w:val="auto"/>
        </w:rPr>
        <w:t>In connection with the Quarterly Report of USCB Financial Holdings, Inc. (the “Company”) on Form 10-Q for the quarter ended September 30, 2025,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35" w:lineRule="exact"/>
        <w:rPr>
          <w:sz w:val="20"/>
          <w:szCs w:val="20"/>
          <w:color w:val="auto"/>
        </w:rPr>
      </w:pPr>
    </w:p>
    <w:p>
      <w:pPr>
        <w:ind w:left="1440" w:right="679" w:hanging="265"/>
        <w:spacing w:after="0" w:line="276" w:lineRule="auto"/>
        <w:tabs>
          <w:tab w:leader="none" w:pos="1428"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20" w:lineRule="exact"/>
        <w:rPr>
          <w:rFonts w:ascii="Arial" w:cs="Arial" w:eastAsia="Arial" w:hAnsi="Arial"/>
          <w:sz w:val="14"/>
          <w:szCs w:val="14"/>
          <w:color w:val="auto"/>
        </w:rPr>
      </w:pPr>
    </w:p>
    <w:p>
      <w:pPr>
        <w:ind w:left="1440" w:right="679" w:hanging="265"/>
        <w:spacing w:after="0" w:line="276" w:lineRule="auto"/>
        <w:tabs>
          <w:tab w:leader="none" w:pos="1428"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5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November 7, 2025</w:t>
      </w:r>
    </w:p>
    <w:p>
      <w:pPr>
        <w:sectPr>
          <w:pgSz w:w="11900" w:h="16838" w:orient="portrait"/>
          <w:cols w:equalWidth="0" w:num="1">
            <w:col w:w="9019"/>
          </w:cols>
          <w:pgMar w:left="1440" w:top="723" w:right="1440"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1."/>
      <w:numFmt w:val="decimal"/>
      <w:start w:val="3"/>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4"/>
    </w:lvl>
  </w:abstractNum>
  <w:abstractNum w:abstractNumId="8">
    <w:nsid w:val="79838CB2"/>
    <w:multiLevelType w:val="hybridMultilevel"/>
    <w:lvl w:ilvl="0">
      <w:lvlJc w:val="left"/>
      <w:lvlText w:val="%1."/>
      <w:numFmt w:val="decimal"/>
      <w:start w:val="5"/>
    </w:lvl>
  </w:abstractNum>
  <w:abstractNum w:abstractNumId="9">
    <w:nsid w:val="4353D0CD"/>
    <w:multiLevelType w:val="hybridMultilevel"/>
    <w:lvl w:ilvl="0">
      <w:lvlJc w:val="left"/>
      <w:lvlText w:val="%1."/>
      <w:numFmt w:val="decimal"/>
      <w:start w:val="6"/>
    </w:lvl>
  </w:abstractNum>
  <w:abstractNum w:abstractNumId="10">
    <w:nsid w:val="B03E0C6"/>
    <w:multiLevelType w:val="hybridMultilevel"/>
    <w:lvl w:ilvl="0">
      <w:lvlJc w:val="left"/>
      <w:lvlText w:val="%1."/>
      <w:numFmt w:val="decimal"/>
      <w:start w:val="7"/>
    </w:lvl>
  </w:abstractNum>
  <w:abstractNum w:abstractNumId="11">
    <w:nsid w:val="189A769B"/>
    <w:multiLevelType w:val="hybridMultilevel"/>
    <w:lvl w:ilvl="0">
      <w:lvlJc w:val="left"/>
      <w:lvlText w:val="%1."/>
      <w:numFmt w:val="decimal"/>
      <w:start w:val="8"/>
    </w:lvl>
  </w:abstractNum>
  <w:abstractNum w:abstractNumId="12">
    <w:nsid w:val="54E49EB4"/>
    <w:multiLevelType w:val="hybridMultilevel"/>
    <w:lvl w:ilvl="0">
      <w:lvlJc w:val="left"/>
      <w:lvlText w:val="%1."/>
      <w:numFmt w:val="decimal"/>
      <w:start w:val="9"/>
    </w:lvl>
  </w:abstractNum>
  <w:abstractNum w:abstractNumId="13">
    <w:nsid w:val="71F32454"/>
    <w:multiLevelType w:val="hybridMultilevel"/>
    <w:lvl w:ilvl="0">
      <w:lvlJc w:val="left"/>
      <w:lvlText w:val="%1."/>
      <w:numFmt w:val="decimal"/>
      <w:start w:val="10"/>
    </w:lvl>
  </w:abstractNum>
  <w:abstractNum w:abstractNumId="14">
    <w:nsid w:val="2CA88611"/>
    <w:multiLevelType w:val="hybridMultilevel"/>
    <w:lvl w:ilvl="0">
      <w:lvlJc w:val="left"/>
      <w:lvlText w:val="%1."/>
      <w:numFmt w:val="decimal"/>
      <w:start w:val="11"/>
    </w:lvl>
  </w:abstractNum>
  <w:abstractNum w:abstractNumId="15">
    <w:nsid w:val="836C40E"/>
    <w:multiLevelType w:val="hybridMultilevel"/>
    <w:lvl w:ilvl="0">
      <w:lvlJc w:val="left"/>
      <w:lvlText w:val="%1."/>
      <w:numFmt w:val="decimal"/>
      <w:start w:val="12"/>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2"/>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3"/>
    </w:lvl>
  </w:abstractNum>
  <w:abstractNum w:abstractNumId="34">
    <w:nsid w:val="5C482A97"/>
    <w:multiLevelType w:val="hybridMultilevel"/>
    <w:lvl w:ilvl="0">
      <w:lvlJc w:val="left"/>
      <w:lvlText w:val="%1"/>
      <w:numFmt w:val="decimal"/>
      <w:start w:val="104"/>
    </w:lvl>
    <w:lvl w:ilvl="1">
      <w:lvlJc w:val="left"/>
      <w:lvlText w:val="*"/>
      <w:numFmt w:val="bullet"/>
      <w:start w:val="1"/>
    </w:lvl>
  </w:abstractNum>
  <w:abstractNum w:abstractNumId="35">
    <w:nsid w:val="2463B9EA"/>
    <w:multiLevelType w:val="hybridMultilevel"/>
    <w:lvl w:ilvl="0">
      <w:lvlJc w:val="left"/>
      <w:lvlText w:val="%1"/>
      <w:numFmt w:val="decimal"/>
      <w:start w:val="1"/>
    </w:lvl>
    <w:lvl w:ilvl="1">
      <w:lvlJc w:val="left"/>
      <w:lvlText w:val="**"/>
      <w:numFmt w:val="bullet"/>
      <w:start w:val="1"/>
    </w:lvl>
  </w:abstractNum>
  <w:abstractNum w:abstractNumId="36">
    <w:nsid w:val="5E884ADC"/>
    <w:multiLevelType w:val="hybridMultilevel"/>
    <w:lvl w:ilvl="0">
      <w:lvlJc w:val="left"/>
      <w:lvlText w:val="%1"/>
      <w:numFmt w:val="decimal"/>
      <w:start w:val="1"/>
    </w:lvl>
    <w:lvl w:ilvl="1">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63" Type="http://schemas.openxmlformats.org/officeDocument/2006/relationships/hyperlink" Target="http://www.sec.gov/Archives/edgar/data/0001901637/000119312521369812/d628417dex21.htm" TargetMode="External"/><Relationship Id="rId64" Type="http://schemas.openxmlformats.org/officeDocument/2006/relationships/hyperlink" Target="http://www.sec.gov/Archives/edgar/data/1901637/000156276223000333/exhibit31.htm" TargetMode="External"/><Relationship Id="rId65" Type="http://schemas.openxmlformats.org/officeDocument/2006/relationships/hyperlink" Target="http://www.sec.gov/Archives/edgar/data/1901637/000092708923000110/ex_549234.htm" TargetMode="External"/><Relationship Id="rId66" Type="http://schemas.openxmlformats.org/officeDocument/2006/relationships/hyperlink" Target="http://www.sec.gov/Archives/edgar/data/0001901637/000119312521369812/d628417dex41.htm" TargetMode="External"/><Relationship Id="rId67" Type="http://schemas.openxmlformats.org/officeDocument/2006/relationships/hyperlink" Target="http://www.sec.gov/Archives/edgar/data/0001901637/000119312521369812/d628417dex42.htm" TargetMode="External"/><Relationship Id="rId68" Type="http://schemas.openxmlformats.org/officeDocument/2006/relationships/hyperlink" Target="http://www.sec.gov/Archives/edgar/data/0001901637/000119312521369812/d628417dex43.htm" TargetMode="External"/><Relationship Id="rId69" Type="http://schemas.openxmlformats.org/officeDocument/2006/relationships/hyperlink" Target="http://www.sec.gov/Archives/edgar/data/1901637/000156276222000137/exhibit44.htm" TargetMode="External"/><Relationship Id="rId70" Type="http://schemas.openxmlformats.org/officeDocument/2006/relationships/hyperlink" Target="http://www.sec.gov/Archives/edgar/data/1901637/000156276224000061/exhibit44.htm" TargetMode="External"/><Relationship Id="rId71" Type="http://schemas.openxmlformats.org/officeDocument/2006/relationships/hyperlink" Target="http://www.sec.gov/Archives/edgar/data/1901637/000119312525180879/d23435dex41.htm" TargetMode="External"/><Relationship Id="rId72" Type="http://schemas.openxmlformats.org/officeDocument/2006/relationships/hyperlink" Target="http://www.sec.gov/Archives/edgar/data/1901637/000119312525180879/d23435dex101.htm" TargetMode="External"/><Relationship Id="rId73" Type="http://schemas.openxmlformats.org/officeDocument/2006/relationships/hyperlink" Target="http://www.sec.gov/Archives/edgar/data/1901637/000119312525180879/d2343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2025-11-07T11:16:06Z</dcterms:created>
  <dcterms:modified xsi:type="dcterms:W3CDTF">2025-11-07T11:16:06Z</dcterms:modified>
</cp:coreProperties>
</file>