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6156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15632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300"/>
            <w:col w:w="8520"/>
          </w:cols>
          <w:pgMar w:left="460" w:top="218"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Anderson Robert B.</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DORAL</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33172</w:t>
            </w: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760" w:type="dxa"/>
            <w:vAlign w:val="bottom"/>
            <w:gridSpan w:val="2"/>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USCB FINANCIAL HOLDINGS, INC. </w:t>
              </w:r>
            </w:hyperlink>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USCB </w:t>
            </w:r>
            <w:r>
              <w:rPr>
                <w:rFonts w:ascii="Times New Roman" w:cs="Times New Roman" w:eastAsia="Times New Roman" w:hAnsi="Times New Roman"/>
                <w:sz w:val="20"/>
                <w:szCs w:val="20"/>
                <w:color w:val="000000"/>
              </w:rPr>
              <w:t>]</w:t>
            </w: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3760" w:type="dxa"/>
            <w:vAlign w:val="bottom"/>
            <w:gridSpan w:val="2"/>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9"/>
        </w:trPr>
        <w:tc>
          <w:tcPr>
            <w:tcW w:w="60" w:type="dxa"/>
            <w:vAlign w:val="bottom"/>
            <w:tcBorders>
              <w:bottom w:val="single" w:sz="8" w:color="808080"/>
            </w:tcBorders>
          </w:tcPr>
          <w:p>
            <w:pPr>
              <w:spacing w:after="0"/>
              <w:rPr>
                <w:sz w:val="4"/>
                <w:szCs w:val="4"/>
                <w:color w:val="auto"/>
              </w:rPr>
            </w:pPr>
          </w:p>
        </w:tc>
        <w:tc>
          <w:tcPr>
            <w:tcW w:w="33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60" w:type="dxa"/>
            <w:vAlign w:val="bottom"/>
            <w:tcBorders>
              <w:top w:val="single" w:sz="8" w:color="2C2C2C"/>
            </w:tcBorders>
          </w:tcPr>
          <w:p>
            <w:pPr>
              <w:spacing w:after="0"/>
              <w:rPr>
                <w:sz w:val="5"/>
                <w:szCs w:val="5"/>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4"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Executive VP and CFO</w:t>
            </w:r>
          </w:p>
        </w:tc>
        <w:tc>
          <w:tcPr>
            <w:tcW w:w="0" w:type="dxa"/>
            <w:vAlign w:val="bottom"/>
          </w:tcPr>
          <w:p>
            <w:pPr>
              <w:spacing w:after="0"/>
              <w:rPr>
                <w:sz w:val="1"/>
                <w:szCs w:val="1"/>
                <w:color w:val="auto"/>
              </w:rPr>
            </w:pPr>
          </w:p>
        </w:tc>
      </w:tr>
      <w:tr>
        <w:trPr>
          <w:trHeight w:val="218"/>
        </w:trPr>
        <w:tc>
          <w:tcPr>
            <w:tcW w:w="34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05/15/2024</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8"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05/15/2024</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P</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5,000</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12.13</w:t>
            </w:r>
            <w:r>
              <w:rPr>
                <w:rFonts w:ascii="Times New Roman" w:cs="Times New Roman" w:eastAsia="Times New Roman" w:hAnsi="Times New Roman"/>
                <w:sz w:val="21"/>
                <w:szCs w:val="21"/>
                <w:color w:val="008000"/>
                <w:w w:val="96"/>
                <w:vertAlign w:val="superscript"/>
              </w:rPr>
              <w:t>(1)</w:t>
            </w:r>
          </w:p>
        </w:tc>
        <w:tc>
          <w:tcPr>
            <w:tcW w:w="1180" w:type="dxa"/>
            <w:vAlign w:val="bottom"/>
            <w:tcBorders>
              <w:bottom w:val="single" w:sz="8" w:color="2C2C2C"/>
            </w:tcBorders>
            <w:gridSpan w:val="2"/>
          </w:tcPr>
          <w:p>
            <w:pPr>
              <w:jc w:val="right"/>
              <w:ind w:right="321"/>
              <w:spacing w:after="0"/>
              <w:rPr>
                <w:sz w:val="20"/>
                <w:szCs w:val="20"/>
                <w:color w:val="auto"/>
              </w:rPr>
            </w:pPr>
            <w:r>
              <w:rPr>
                <w:rFonts w:ascii="Times New Roman" w:cs="Times New Roman" w:eastAsia="Times New Roman" w:hAnsi="Times New Roman"/>
                <w:sz w:val="17"/>
                <w:szCs w:val="17"/>
                <w:color w:val="0000FF"/>
              </w:rPr>
              <w:t>79,408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05/16/2024</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w w:val="82"/>
              </w:rPr>
              <w:t>P</w:t>
            </w:r>
          </w:p>
        </w:tc>
        <w:tc>
          <w:tcPr>
            <w:tcW w:w="660" w:type="dxa"/>
            <w:vAlign w:val="bottom"/>
            <w:tcBorders>
              <w:bottom w:val="single" w:sz="8" w:color="2C2C2C"/>
            </w:tcBorders>
          </w:tcPr>
          <w:p>
            <w:pPr>
              <w:jc w:val="right"/>
              <w:ind w:right="55"/>
              <w:spacing w:after="0"/>
              <w:rPr>
                <w:sz w:val="20"/>
                <w:szCs w:val="20"/>
                <w:color w:val="auto"/>
              </w:rPr>
            </w:pPr>
            <w:r>
              <w:rPr>
                <w:rFonts w:ascii="Times New Roman" w:cs="Times New Roman" w:eastAsia="Times New Roman" w:hAnsi="Times New Roman"/>
                <w:sz w:val="17"/>
                <w:szCs w:val="17"/>
                <w:color w:val="0000FF"/>
              </w:rPr>
              <w:t>525</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12.15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41"/>
              <w:spacing w:after="0"/>
              <w:rPr>
                <w:sz w:val="20"/>
                <w:szCs w:val="20"/>
                <w:color w:val="auto"/>
              </w:rPr>
            </w:pPr>
            <w:r>
              <w:rPr>
                <w:rFonts w:ascii="Times New Roman" w:cs="Times New Roman" w:eastAsia="Times New Roman" w:hAnsi="Times New Roman"/>
                <w:sz w:val="17"/>
                <w:szCs w:val="17"/>
                <w:color w:val="0000FF"/>
              </w:rPr>
              <w:t>79,933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Expiration Date</w:t>
            </w:r>
          </w:p>
        </w:tc>
        <w:tc>
          <w:tcPr>
            <w:tcW w:w="6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8.75</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09/10/2030</w:t>
            </w: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30,000</w:t>
            </w:r>
          </w:p>
        </w:tc>
        <w:tc>
          <w:tcPr>
            <w:tcW w:w="280" w:type="dxa"/>
            <w:vAlign w:val="bottom"/>
          </w:tcPr>
          <w:p>
            <w:pPr>
              <w:spacing w:after="0"/>
              <w:rPr>
                <w:sz w:val="11"/>
                <w:szCs w:val="11"/>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Voting</w:t>
            </w:r>
          </w:p>
        </w:tc>
        <w:tc>
          <w:tcPr>
            <w:tcW w:w="7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09/10/2021</w:t>
            </w:r>
          </w:p>
        </w:tc>
        <w:tc>
          <w:tcPr>
            <w:tcW w:w="660" w:type="dxa"/>
            <w:vAlign w:val="bottom"/>
            <w:vMerge w:val="continue"/>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 to</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Purchase</w:t>
            </w:r>
          </w:p>
        </w:tc>
        <w:tc>
          <w:tcPr>
            <w:tcW w:w="780" w:type="dxa"/>
            <w:vAlign w:val="bottom"/>
            <w:vMerge w:val="restart"/>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12.05</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09/27/2031</w:t>
            </w: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w w:val="99"/>
              </w:rPr>
              <w:t>Voting</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60,000</w:t>
            </w:r>
          </w:p>
        </w:tc>
        <w:tc>
          <w:tcPr>
            <w:tcW w:w="280" w:type="dxa"/>
            <w:vAlign w:val="bottom"/>
          </w:tcPr>
          <w:p>
            <w:pPr>
              <w:spacing w:after="0"/>
              <w:rPr>
                <w:sz w:val="11"/>
                <w:szCs w:val="11"/>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09/27/2022</w:t>
            </w:r>
          </w:p>
        </w:tc>
        <w:tc>
          <w:tcPr>
            <w:tcW w:w="660" w:type="dxa"/>
            <w:vAlign w:val="bottom"/>
            <w:vMerge w:val="continue"/>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Voting</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-2810510</wp:posOffset>
            </wp:positionV>
            <wp:extent cx="29210" cy="2815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155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$11.96 to $12.14, inclusive. The reporting person undertakes to provide to USCB Financial Holdings, Inc. ("USCB"), any securities holder of USCB, or the staff of the Securities and Exchange Commission, upon request, full information regarding the number of shares purchased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36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4,127 shares of restricted stock which vest at a rate of one-third per year commencing on the first anniversary of the date of grant, which was 1/22/2024, and 5,367 shares of restricted stock which vest at a rate of one-third per year commencing on the first anniversary of the date of grant, which was 3/8/2023.</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vested at a rate of one-third per year commencing on the first anniversary of the date of grant, which was 9/10/2020.</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at a rate of one-third per year commencing on the first anniversary of the date of grant, which was 9/27/2021.</w:t>
      </w:r>
    </w:p>
    <w:p>
      <w:pPr>
        <w:spacing w:after="0" w:line="5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Robert Anderson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05/17/2024</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5230" TargetMode="External"/><Relationship Id="rId13" Type="http://schemas.openxmlformats.org/officeDocument/2006/relationships/hyperlink" Target="http://www.sec.gov/cgi-bin/browse-edgar?action=getcompany&amp;CIK=0001901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2024-05-17T12:38:31Z</dcterms:created>
  <dcterms:modified xsi:type="dcterms:W3CDTF">2024-05-17T12:38:31Z</dcterms:modified>
</cp:coreProperties>
</file>