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09"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ANNUAL REPORT PURSUANT TO SECTION 13 OR 15(d) OF THE SECURITIES EXCHANGE ACT OF 1934</w:t>
      </w:r>
    </w:p>
    <w:p>
      <w:pPr>
        <w:spacing w:after="0" w:line="200" w:lineRule="exact"/>
        <w:rPr>
          <w:sz w:val="24"/>
          <w:szCs w:val="24"/>
          <w:color w:val="auto"/>
        </w:rPr>
      </w:pPr>
    </w:p>
    <w:p>
      <w:pPr>
        <w:spacing w:after="0" w:line="274" w:lineRule="exact"/>
        <w:rPr>
          <w:sz w:val="24"/>
          <w:szCs w:val="24"/>
          <w:color w:val="auto"/>
        </w:rPr>
      </w:pPr>
    </w:p>
    <w:p>
      <w:pPr>
        <w:ind w:left="1600" w:hanging="531"/>
        <w:spacing w:after="0"/>
        <w:tabs>
          <w:tab w:leader="none" w:pos="1600" w:val="left"/>
        </w:tabs>
        <w:numPr>
          <w:ilvl w:val="0"/>
          <w:numId w:val="2"/>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TRANSITION REPORT PURSUANT TO SECTION 13 OR 15(d) OF THE SECURITIES EXCHANGE ACT OF 1934</w:t>
      </w:r>
    </w:p>
    <w:p>
      <w:pPr>
        <w:spacing w:after="0" w:line="119" w:lineRule="exact"/>
        <w:rPr>
          <w:sz w:val="24"/>
          <w:szCs w:val="24"/>
          <w:color w:val="auto"/>
        </w:rPr>
      </w:pPr>
    </w:p>
    <w:p>
      <w:pPr>
        <w:ind w:left="3320"/>
        <w:spacing w:after="0"/>
        <w:rPr>
          <w:sz w:val="20"/>
          <w:szCs w:val="20"/>
          <w:color w:val="auto"/>
        </w:rPr>
      </w:pPr>
      <w:r>
        <w:rPr>
          <w:rFonts w:ascii="Arial" w:cs="Arial" w:eastAsia="Arial" w:hAnsi="Arial"/>
          <w:sz w:val="11"/>
          <w:szCs w:val="11"/>
          <w:b w:val="1"/>
          <w:bCs w:val="1"/>
          <w:color w:val="auto"/>
        </w:rPr>
        <w:t>For the transition period from _____to_____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1"/>
          <w:szCs w:val="11"/>
          <w:i w:val="1"/>
          <w:iCs w:val="1"/>
          <w:color w:val="auto"/>
        </w:rPr>
        <w:t>(Exact name of registrant as specified in its charter)</w:t>
      </w:r>
    </w:p>
    <w:p>
      <w:pPr>
        <w:sectPr>
          <w:pgSz w:w="11900" w:h="16838" w:orient="portrait"/>
          <w:cols w:equalWidth="0" w:num="1">
            <w:col w:w="9019"/>
          </w:cols>
          <w:pgMar w:left="1440" w:top="797" w:right="1440" w:bottom="1440" w:gutter="0" w:footer="0" w:header="0"/>
        </w:sectPr>
      </w:pPr>
    </w:p>
    <w:p>
      <w:pPr>
        <w:spacing w:after="0" w:line="105" w:lineRule="exact"/>
        <w:rPr>
          <w:sz w:val="24"/>
          <w:szCs w:val="24"/>
          <w:color w:val="auto"/>
        </w:rPr>
      </w:pPr>
    </w:p>
    <w:p>
      <w:pPr>
        <w:ind w:left="1740"/>
        <w:spacing w:after="0"/>
        <w:rPr>
          <w:sz w:val="20"/>
          <w:szCs w:val="20"/>
          <w:color w:val="auto"/>
        </w:rPr>
      </w:pPr>
      <w:r>
        <w:rPr>
          <w:rFonts w:ascii="Arial" w:cs="Arial" w:eastAsia="Arial" w:hAnsi="Arial"/>
          <w:sz w:val="11"/>
          <w:szCs w:val="11"/>
          <w:b w:val="1"/>
          <w:bCs w:val="1"/>
          <w:color w:val="auto"/>
        </w:rPr>
        <w:t>Florida</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87-4070846</w:t>
      </w:r>
    </w:p>
    <w:p>
      <w:pPr>
        <w:spacing w:after="0" w:line="57" w:lineRule="exact"/>
        <w:rPr>
          <w:sz w:val="24"/>
          <w:szCs w:val="24"/>
          <w:color w:val="auto"/>
        </w:rPr>
      </w:pPr>
    </w:p>
    <w:p>
      <w:pPr>
        <w:sectPr>
          <w:pgSz w:w="11900" w:h="16838" w:orient="portrait"/>
          <w:cols w:equalWidth="0" w:num="2">
            <w:col w:w="6060" w:space="720"/>
            <w:col w:w="2239"/>
          </w:cols>
          <w:pgMar w:left="1440" w:top="797" w:right="1440" w:bottom="1440" w:gutter="0" w:footer="0" w:header="0"/>
          <w:type w:val="continuous"/>
        </w:sectPr>
      </w:pPr>
    </w:p>
    <w:p>
      <w:pPr>
        <w:ind w:left="1220"/>
        <w:spacing w:after="0"/>
        <w:rPr>
          <w:sz w:val="20"/>
          <w:szCs w:val="20"/>
          <w:color w:val="auto"/>
        </w:rPr>
      </w:pPr>
      <w:r>
        <w:rPr>
          <w:rFonts w:ascii="Arial" w:cs="Arial" w:eastAsia="Arial" w:hAnsi="Arial"/>
          <w:sz w:val="11"/>
          <w:szCs w:val="11"/>
          <w:i w:val="1"/>
          <w:iCs w:val="1"/>
          <w:color w:val="auto"/>
        </w:rPr>
        <w:t>(State or other jurisdiction of</w:t>
      </w:r>
    </w:p>
    <w:p>
      <w:pPr>
        <w:spacing w:after="0" w:line="14" w:lineRule="exact"/>
        <w:rPr>
          <w:sz w:val="24"/>
          <w:szCs w:val="24"/>
          <w:color w:val="auto"/>
        </w:rPr>
      </w:pPr>
    </w:p>
    <w:p>
      <w:pPr>
        <w:ind w:left="120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i w:val="1"/>
          <w:i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1"/>
          <w:szCs w:val="11"/>
          <w:i w:val="1"/>
          <w:iCs w:val="1"/>
          <w:color w:val="auto"/>
        </w:rPr>
        <w:t>Identification No.)</w:t>
      </w:r>
    </w:p>
    <w:p>
      <w:pPr>
        <w:spacing w:after="0" w:line="11" w:lineRule="exact"/>
        <w:rPr>
          <w:sz w:val="24"/>
          <w:szCs w:val="24"/>
          <w:color w:val="auto"/>
        </w:rPr>
      </w:pPr>
    </w:p>
    <w:p>
      <w:pPr>
        <w:sectPr>
          <w:pgSz w:w="11900" w:h="16838" w:orient="portrait"/>
          <w:cols w:equalWidth="0" w:num="2">
            <w:col w:w="5900" w:space="720"/>
            <w:col w:w="2399"/>
          </w:cols>
          <w:pgMar w:left="1440" w:top="797"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2301 NW 87th Avenue, Doral, FL 33172</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1"/>
          <w:szCs w:val="11"/>
          <w:i w:val="1"/>
          <w:iCs w:val="1"/>
          <w:color w:val="auto"/>
        </w:rPr>
        <w:t>(Address of principal executive offices) (zip code)</w:t>
      </w:r>
    </w:p>
    <w:p>
      <w:pPr>
        <w:sectPr>
          <w:pgSz w:w="11900" w:h="16838" w:orient="portrait"/>
          <w:cols w:equalWidth="0" w:num="1">
            <w:col w:w="9019"/>
          </w:cols>
          <w:pgMar w:left="1440" w:top="797" w:right="1440"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(305) 715-5200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16" w:lineRule="exact"/>
        <w:rPr>
          <w:sz w:val="24"/>
          <w:szCs w:val="24"/>
          <w:color w:val="auto"/>
        </w:rPr>
      </w:pPr>
    </w:p>
    <w:tbl>
      <w:tblPr>
        <w:tblLayout w:type="fixed"/>
        <w:tblInd w:w="820" w:type="dxa"/>
        <w:tblCellMar>
          <w:top w:w="0" w:type="dxa"/>
          <w:left w:w="0" w:type="dxa"/>
          <w:bottom w:w="0" w:type="dxa"/>
          <w:right w:w="0" w:type="dxa"/>
        </w:tblCellMar>
      </w:tblPr>
      <w:tr>
        <w:trPr>
          <w:trHeight w:val="128"/>
        </w:trPr>
        <w:tc>
          <w:tcPr>
            <w:tcW w:w="6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Trading Symbol(s)</w:t>
            </w:r>
          </w:p>
        </w:tc>
        <w:tc>
          <w:tcPr>
            <w:tcW w:w="2860" w:type="dxa"/>
            <w:vAlign w:val="bottom"/>
            <w:gridSpan w:val="3"/>
          </w:tcPr>
          <w:p>
            <w:pPr>
              <w:jc w:val="center"/>
              <w:ind w:left="383"/>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20"/>
        </w:trPr>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2720" w:type="dxa"/>
            <w:vAlign w:val="bottom"/>
            <w:gridSpan w:val="3"/>
          </w:tcPr>
          <w:p>
            <w:pPr>
              <w:jc w:val="center"/>
              <w:ind w:right="460"/>
              <w:spacing w:after="0"/>
              <w:rPr>
                <w:sz w:val="20"/>
                <w:szCs w:val="20"/>
                <w:color w:val="auto"/>
              </w:rPr>
            </w:pPr>
            <w:r>
              <w:rPr>
                <w:rFonts w:ascii="Arial" w:cs="Arial" w:eastAsia="Arial" w:hAnsi="Arial"/>
                <w:sz w:val="11"/>
                <w:szCs w:val="11"/>
                <w:color w:val="auto"/>
              </w:rPr>
              <w:t>Class A Common Stock, $1.00 par value per</w:t>
            </w:r>
          </w:p>
        </w:tc>
        <w:tc>
          <w:tcPr>
            <w:tcW w:w="46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1"/>
                <w:szCs w:val="11"/>
                <w:color w:val="auto"/>
              </w:rPr>
              <w:t>USCB</w:t>
            </w:r>
          </w:p>
        </w:tc>
        <w:tc>
          <w:tcPr>
            <w:tcW w:w="440" w:type="dxa"/>
            <w:vAlign w:val="bottom"/>
          </w:tcPr>
          <w:p>
            <w:pPr>
              <w:spacing w:after="0"/>
              <w:rPr>
                <w:sz w:val="14"/>
                <w:szCs w:val="14"/>
                <w:color w:val="auto"/>
              </w:rPr>
            </w:pPr>
          </w:p>
        </w:tc>
        <w:tc>
          <w:tcPr>
            <w:tcW w:w="2420" w:type="dxa"/>
            <w:vAlign w:val="bottom"/>
            <w:gridSpan w:val="2"/>
          </w:tcPr>
          <w:p>
            <w:pPr>
              <w:jc w:val="center"/>
              <w:ind w:right="20"/>
              <w:spacing w:after="0"/>
              <w:rPr>
                <w:sz w:val="20"/>
                <w:szCs w:val="20"/>
                <w:color w:val="auto"/>
              </w:rPr>
            </w:pPr>
            <w:r>
              <w:rPr>
                <w:rFonts w:ascii="Arial" w:cs="Arial" w:eastAsia="Arial" w:hAnsi="Arial"/>
                <w:sz w:val="11"/>
                <w:szCs w:val="11"/>
                <w:color w:val="auto"/>
              </w:rPr>
              <w:t>The Nasdaq Stock Market LLC</w:t>
            </w:r>
          </w:p>
        </w:tc>
      </w:tr>
      <w:tr>
        <w:trPr>
          <w:trHeight w:val="138"/>
        </w:trPr>
        <w:tc>
          <w:tcPr>
            <w:tcW w:w="640" w:type="dxa"/>
            <w:vAlign w:val="bottom"/>
          </w:tcPr>
          <w:p>
            <w:pPr>
              <w:spacing w:after="0"/>
              <w:rPr>
                <w:sz w:val="11"/>
                <w:szCs w:val="11"/>
                <w:color w:val="auto"/>
              </w:rPr>
            </w:pPr>
          </w:p>
        </w:tc>
        <w:tc>
          <w:tcPr>
            <w:tcW w:w="2080" w:type="dxa"/>
            <w:vAlign w:val="bottom"/>
            <w:gridSpan w:val="2"/>
          </w:tcPr>
          <w:p>
            <w:pPr>
              <w:jc w:val="center"/>
              <w:ind w:right="1100"/>
              <w:spacing w:after="0"/>
              <w:rPr>
                <w:sz w:val="20"/>
                <w:szCs w:val="20"/>
                <w:color w:val="auto"/>
              </w:rPr>
            </w:pPr>
            <w:r>
              <w:rPr>
                <w:rFonts w:ascii="Arial" w:cs="Arial" w:eastAsia="Arial" w:hAnsi="Arial"/>
                <w:sz w:val="11"/>
                <w:szCs w:val="11"/>
                <w:color w:val="auto"/>
              </w:rPr>
              <w:t>share</w:t>
            </w: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90" w:lineRule="exact"/>
        <w:rPr>
          <w:sz w:val="24"/>
          <w:szCs w:val="24"/>
          <w:color w:val="auto"/>
        </w:rPr>
      </w:pPr>
    </w:p>
    <w:p>
      <w:pPr>
        <w:ind w:left="92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62" w:lineRule="exact"/>
        <w:rPr>
          <w:sz w:val="24"/>
          <w:szCs w:val="24"/>
          <w:color w:val="auto"/>
        </w:rPr>
      </w:pPr>
    </w:p>
    <w:p>
      <w:pPr>
        <w:ind w:left="92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w:t>
      </w:r>
      <w:r>
        <w:rPr>
          <w:rFonts w:ascii="MS PGothic" w:cs="MS PGothic" w:eastAsia="MS PGothic" w:hAnsi="MS PGothic"/>
          <w:sz w:val="11"/>
          <w:szCs w:val="11"/>
          <w:color w:val="auto"/>
        </w:rPr>
        <w:t>☐</w:t>
      </w:r>
      <w:r>
        <w:rPr>
          <w:rFonts w:ascii="Arial" w:cs="Arial" w:eastAsia="Arial" w:hAnsi="Arial"/>
          <w:sz w:val="11"/>
          <w:szCs w:val="11"/>
          <w:color w:val="auto"/>
        </w:rPr>
        <w:t xml:space="preserve"> Yes No </w:t>
      </w:r>
      <w:r>
        <w:rPr>
          <w:rFonts w:ascii="MS PGothic" w:cs="MS PGothic" w:eastAsia="MS PGothic" w:hAnsi="MS PGothic"/>
          <w:sz w:val="11"/>
          <w:szCs w:val="11"/>
          <w:color w:val="auto"/>
        </w:rPr>
        <w:t>☒</w:t>
      </w:r>
    </w:p>
    <w:p>
      <w:pPr>
        <w:spacing w:after="0" w:line="98" w:lineRule="exact"/>
        <w:rPr>
          <w:sz w:val="24"/>
          <w:szCs w:val="24"/>
          <w:color w:val="auto"/>
        </w:rPr>
      </w:pPr>
    </w:p>
    <w:p>
      <w:pPr>
        <w:ind w:left="920"/>
        <w:spacing w:after="0" w:line="127"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26" w:lineRule="exact"/>
        <w:rPr>
          <w:sz w:val="24"/>
          <w:szCs w:val="24"/>
          <w:color w:val="auto"/>
        </w:rPr>
      </w:pPr>
    </w:p>
    <w:p>
      <w:pPr>
        <w:jc w:val="both"/>
        <w:ind w:left="920" w:right="659"/>
        <w:spacing w:after="0"/>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ind w:left="920"/>
        <w:spacing w:after="0" w:line="227" w:lineRule="exact"/>
        <w:rPr>
          <w:sz w:val="20"/>
          <w:szCs w:val="20"/>
          <w:color w:val="auto"/>
        </w:rPr>
      </w:pPr>
      <w:r>
        <w:rPr>
          <w:rFonts w:ascii="Arial" w:cs="Arial" w:eastAsia="Arial" w:hAnsi="Arial"/>
          <w:sz w:val="11"/>
          <w:szCs w:val="11"/>
          <w:color w:val="auto"/>
        </w:rPr>
        <w:t xml:space="preserve">such filing requirements for the past 90 days.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ind w:left="920"/>
        <w:spacing w:after="0" w:line="238" w:lineRule="exact"/>
        <w:rPr>
          <w:sz w:val="20"/>
          <w:szCs w:val="20"/>
          <w:color w:val="auto"/>
        </w:rPr>
      </w:pPr>
      <w:r>
        <w:rPr>
          <w:rFonts w:ascii="Arial" w:cs="Arial" w:eastAsia="Arial" w:hAnsi="Arial"/>
          <w:sz w:val="11"/>
          <w:szCs w:val="11"/>
          <w:color w:val="auto"/>
        </w:rPr>
        <w:t xml:space="preserve">such files).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25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30" w:lineRule="exact"/>
        <w:rPr>
          <w:sz w:val="24"/>
          <w:szCs w:val="24"/>
          <w:color w:val="auto"/>
        </w:rPr>
      </w:pPr>
    </w:p>
    <w:p>
      <w:pPr>
        <w:ind w:left="920"/>
        <w:spacing w:after="0" w:line="127" w:lineRule="exact"/>
        <w:tabs>
          <w:tab w:leader="none" w:pos="22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rFonts w:ascii="Arial" w:cs="Arial" w:eastAsia="Arial" w:hAnsi="Arial"/>
          <w:sz w:val="11"/>
          <w:szCs w:val="11"/>
          <w:color w:val="auto"/>
        </w:rPr>
        <w:tab/>
        <w:t xml:space="preserve">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 Non-accelerated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 Smaller reporting company </w:t>
      </w:r>
      <w:r>
        <w:rPr>
          <w:rFonts w:ascii="MS PGothic" w:cs="MS PGothic" w:eastAsia="MS PGothic" w:hAnsi="MS PGothic"/>
          <w:sz w:val="11"/>
          <w:szCs w:val="11"/>
          <w:color w:val="auto"/>
        </w:rPr>
        <w:t>☒</w:t>
      </w:r>
      <w:r>
        <w:rPr>
          <w:rFonts w:ascii="Arial" w:cs="Arial" w:eastAsia="Arial" w:hAnsi="Arial"/>
          <w:sz w:val="11"/>
          <w:szCs w:val="11"/>
          <w:color w:val="auto"/>
        </w:rPr>
        <w:t xml:space="preserve"> Emerging growth company </w:t>
      </w:r>
      <w:r>
        <w:rPr>
          <w:rFonts w:ascii="MS PGothic" w:cs="MS PGothic" w:eastAsia="MS PGothic" w:hAnsi="MS PGothic"/>
          <w:sz w:val="11"/>
          <w:szCs w:val="11"/>
          <w:color w:val="auto"/>
        </w:rPr>
        <w:t>☒</w:t>
      </w:r>
    </w:p>
    <w:p>
      <w:pPr>
        <w:spacing w:after="0" w:line="137" w:lineRule="exact"/>
        <w:rPr>
          <w:sz w:val="24"/>
          <w:szCs w:val="24"/>
          <w:color w:val="auto"/>
        </w:rPr>
      </w:pPr>
    </w:p>
    <w:p>
      <w:pPr>
        <w:ind w:left="920" w:right="679"/>
        <w:spacing w:after="0" w:line="176"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139"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1"/>
          <w:szCs w:val="11"/>
          <w:color w:val="auto"/>
        </w:rPr>
        <w:t>☐</w:t>
      </w:r>
    </w:p>
    <w:p>
      <w:pPr>
        <w:spacing w:after="0" w:line="36" w:lineRule="exact"/>
        <w:rPr>
          <w:sz w:val="24"/>
          <w:szCs w:val="24"/>
          <w:color w:val="auto"/>
        </w:rPr>
      </w:pPr>
    </w:p>
    <w:p>
      <w:pPr>
        <w:ind w:left="920"/>
        <w:spacing w:after="0" w:line="253"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Securities Exchange Act of 1934).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0" w:lineRule="exact"/>
        <w:rPr>
          <w:sz w:val="24"/>
          <w:szCs w:val="24"/>
          <w:color w:val="auto"/>
        </w:rPr>
      </w:pPr>
    </w:p>
    <w:p>
      <w:pPr>
        <w:jc w:val="both"/>
        <w:ind w:left="920" w:right="659"/>
        <w:spacing w:after="0" w:line="254" w:lineRule="auto"/>
        <w:rPr>
          <w:sz w:val="20"/>
          <w:szCs w:val="20"/>
          <w:color w:val="auto"/>
        </w:rPr>
      </w:pPr>
      <w:r>
        <w:rPr>
          <w:rFonts w:ascii="Arial" w:cs="Arial" w:eastAsia="Arial" w:hAnsi="Arial"/>
          <w:sz w:val="11"/>
          <w:szCs w:val="11"/>
          <w:color w:val="auto"/>
        </w:rPr>
        <w:t>The aggregate market value of the voting and non-voting common stock held by non-affiliates of the registrant on March 1, 2022, based on the closing price of $13.41 for shares of the Registrant’s Class A common stock as reported by the Nasdaq Stock Market was approximately $268.1 million. The registrant has elected to use March 1, 2022 as the calculation date because on June 30, 2021 (the last business day of the Registrant’s second fiscal quarter), the Registrant was a privately held company. As of March 1, 2022, the registrant had20,000,753 shares of Class A common stock outstanding.</w:t>
      </w:r>
    </w:p>
    <w:p>
      <w:pPr>
        <w:spacing w:after="0" w:line="176" w:lineRule="exact"/>
        <w:rPr>
          <w:sz w:val="24"/>
          <w:szCs w:val="24"/>
          <w:color w:val="auto"/>
        </w:rPr>
      </w:pPr>
    </w:p>
    <w:p>
      <w:pPr>
        <w:jc w:val="center"/>
        <w:ind w:right="-200"/>
        <w:spacing w:after="0"/>
        <w:rPr>
          <w:sz w:val="20"/>
          <w:szCs w:val="20"/>
          <w:color w:val="auto"/>
        </w:rPr>
      </w:pPr>
      <w:r>
        <w:rPr>
          <w:rFonts w:ascii="Arial" w:cs="Arial" w:eastAsia="Arial" w:hAnsi="Arial"/>
          <w:sz w:val="11"/>
          <w:szCs w:val="11"/>
          <w:b w:val="1"/>
          <w:bCs w:val="1"/>
          <w:color w:val="auto"/>
        </w:rPr>
        <w:t>DOCUMENTS INCORPORATED BY REFERENCE</w:t>
      </w:r>
    </w:p>
    <w:p>
      <w:pPr>
        <w:spacing w:after="0" w:line="101" w:lineRule="exact"/>
        <w:rPr>
          <w:sz w:val="24"/>
          <w:szCs w:val="24"/>
          <w:color w:val="auto"/>
        </w:rPr>
      </w:pPr>
    </w:p>
    <w:p>
      <w:pPr>
        <w:ind w:left="900" w:right="699"/>
        <w:spacing w:after="0" w:line="263" w:lineRule="auto"/>
        <w:rPr>
          <w:sz w:val="20"/>
          <w:szCs w:val="20"/>
          <w:color w:val="auto"/>
        </w:rPr>
      </w:pPr>
      <w:r>
        <w:rPr>
          <w:rFonts w:ascii="Arial" w:cs="Arial" w:eastAsia="Arial" w:hAnsi="Arial"/>
          <w:sz w:val="11"/>
          <w:szCs w:val="11"/>
          <w:color w:val="auto"/>
        </w:rPr>
        <w:t>Certain portions of the registrant’s Proxy Statement for the 2022 Annual Meeting of Shareholders (the “2022 Proxy Statement”) are incorporated by reference into Part III of this report.</w:t>
      </w:r>
    </w:p>
    <w:p>
      <w:pPr>
        <w:sectPr>
          <w:pgSz w:w="11900" w:h="16838" w:orient="portrait"/>
          <w:cols w:equalWidth="0" w:num="1">
            <w:col w:w="9019"/>
          </w:cols>
          <w:pgMar w:left="1440" w:top="797" w:right="1440" w:bottom="1440" w:gutter="0" w:footer="0" w:header="0"/>
          <w:type w:val="continuous"/>
        </w:sectPr>
      </w:pPr>
    </w:p>
    <w:bookmarkStart w:id="1" w:name="page2"/>
    <w:bookmarkEnd w:id="1"/>
    <w:tbl>
      <w:tblPr>
        <w:tblLayout w:type="fixed"/>
        <w:tblInd w:w="6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gridSpan w:val="11"/>
          </w:tcPr>
          <w:p>
            <w:pPr>
              <w:jc w:val="center"/>
              <w:ind w:right="2460"/>
              <w:spacing w:after="0"/>
              <w:rPr>
                <w:sz w:val="20"/>
                <w:szCs w:val="20"/>
                <w:color w:val="auto"/>
              </w:rPr>
            </w:pPr>
            <w:r>
              <w:rPr>
                <w:rFonts w:ascii="Arial" w:cs="Arial" w:eastAsia="Arial" w:hAnsi="Arial"/>
                <w:sz w:val="14"/>
                <w:szCs w:val="14"/>
                <w:b w:val="1"/>
                <w:bCs w:val="1"/>
                <w:color w:val="auto"/>
              </w:rPr>
              <w:t>FORM 10-K</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8"/>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13"/>
          </w:tcPr>
          <w:p>
            <w:pPr>
              <w:jc w:val="center"/>
              <w:ind w:right="2200"/>
              <w:spacing w:after="0"/>
              <w:rPr>
                <w:sz w:val="20"/>
                <w:szCs w:val="20"/>
                <w:color w:val="auto"/>
              </w:rPr>
            </w:pPr>
            <w:r>
              <w:rPr>
                <w:rFonts w:ascii="Arial" w:cs="Arial" w:eastAsia="Arial" w:hAnsi="Arial"/>
                <w:sz w:val="14"/>
                <w:szCs w:val="14"/>
                <w:b w:val="1"/>
                <w:bCs w:val="1"/>
                <w:color w:val="auto"/>
              </w:rPr>
              <w:t>DECEMBER 31, 2021</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31"/>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13"/>
          </w:tcPr>
          <w:p>
            <w:pPr>
              <w:jc w:val="center"/>
              <w:ind w:right="2200"/>
              <w:spacing w:after="0"/>
              <w:rPr>
                <w:sz w:val="20"/>
                <w:szCs w:val="20"/>
                <w:color w:val="auto"/>
              </w:rPr>
            </w:pPr>
            <w:r>
              <w:rPr>
                <w:rFonts w:ascii="Arial" w:cs="Arial" w:eastAsia="Arial" w:hAnsi="Arial"/>
                <w:sz w:val="14"/>
                <w:szCs w:val="14"/>
                <w:b w:val="1"/>
                <w:bCs w:val="1"/>
                <w:color w:val="auto"/>
              </w:rPr>
              <w:t>TABLE OF CONTENTS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3"/>
          </w:tcPr>
          <w:p>
            <w:pPr>
              <w:spacing w:after="0"/>
              <w:rPr>
                <w:rFonts w:ascii="Arial" w:cs="Arial" w:eastAsia="Arial" w:hAnsi="Arial"/>
                <w:sz w:val="13"/>
                <w:szCs w:val="13"/>
                <w:color w:val="0000FF"/>
              </w:rPr>
            </w:pPr>
            <w:hyperlink w:anchor="page3">
              <w:r>
                <w:rPr>
                  <w:rFonts w:ascii="Arial" w:cs="Arial" w:eastAsia="Arial" w:hAnsi="Arial"/>
                  <w:sz w:val="13"/>
                  <w:szCs w:val="13"/>
                  <w:color w:val="0000FF"/>
                </w:rPr>
                <w:t>Cautionary Note Regarding Forward-Looking Statements</w:t>
              </w:r>
            </w:hyperlink>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9"/>
        </w:trPr>
        <w:tc>
          <w:tcPr>
            <w:tcW w:w="400" w:type="dxa"/>
            <w:vAlign w:val="bottom"/>
          </w:tcPr>
          <w:p>
            <w:pPr>
              <w:spacing w:after="0"/>
              <w:rPr>
                <w:rFonts w:ascii="Arial" w:cs="Arial" w:eastAsia="Arial" w:hAnsi="Arial"/>
                <w:sz w:val="13"/>
                <w:szCs w:val="13"/>
                <w:b w:val="1"/>
                <w:bCs w:val="1"/>
                <w:color w:val="0000FF"/>
                <w:w w:val="84"/>
              </w:rPr>
            </w:pPr>
            <w:hyperlink w:anchor="page4">
              <w:r>
                <w:rPr>
                  <w:rFonts w:ascii="Arial" w:cs="Arial" w:eastAsia="Arial" w:hAnsi="Arial"/>
                  <w:sz w:val="13"/>
                  <w:szCs w:val="13"/>
                  <w:b w:val="1"/>
                  <w:bCs w:val="1"/>
                  <w:color w:val="0000FF"/>
                  <w:w w:val="84"/>
                </w:rPr>
                <w:t>PART I</w:t>
              </w:r>
            </w:hyperlink>
          </w:p>
        </w:tc>
        <w:tc>
          <w:tcPr>
            <w:tcW w:w="280" w:type="dxa"/>
            <w:vAlign w:val="bottom"/>
            <w:gridSpan w:val="2"/>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rFonts w:ascii="Arial" w:cs="Arial" w:eastAsia="Arial" w:hAnsi="Arial"/>
                <w:sz w:val="13"/>
                <w:szCs w:val="13"/>
                <w:color w:val="0000FF"/>
              </w:rPr>
            </w:pPr>
            <w:hyperlink w:anchor="page4">
              <w:r>
                <w:rPr>
                  <w:rFonts w:ascii="Arial" w:cs="Arial" w:eastAsia="Arial" w:hAnsi="Arial"/>
                  <w:sz w:val="13"/>
                  <w:szCs w:val="13"/>
                  <w:color w:val="0000FF"/>
                </w:rPr>
                <w:t>4</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68"/>
        </w:trPr>
        <w:tc>
          <w:tcPr>
            <w:tcW w:w="400" w:type="dxa"/>
            <w:vAlign w:val="bottom"/>
          </w:tcPr>
          <w:p>
            <w:pPr>
              <w:spacing w:after="0"/>
              <w:rPr>
                <w:rFonts w:ascii="Arial" w:cs="Arial" w:eastAsia="Arial" w:hAnsi="Arial"/>
                <w:sz w:val="13"/>
                <w:szCs w:val="13"/>
                <w:color w:val="0000FF"/>
                <w:w w:val="90"/>
              </w:rPr>
            </w:pPr>
            <w:hyperlink w:anchor="page4">
              <w:r>
                <w:rPr>
                  <w:rFonts w:ascii="Arial" w:cs="Arial" w:eastAsia="Arial" w:hAnsi="Arial"/>
                  <w:sz w:val="13"/>
                  <w:szCs w:val="13"/>
                  <w:color w:val="0000FF"/>
                  <w:w w:val="90"/>
                </w:rPr>
                <w:t>Item 1.</w:t>
              </w:r>
            </w:hyperlink>
          </w:p>
        </w:tc>
        <w:tc>
          <w:tcPr>
            <w:tcW w:w="280" w:type="dxa"/>
            <w:vAlign w:val="bottom"/>
            <w:gridSpan w:val="2"/>
          </w:tcPr>
          <w:p>
            <w:pPr>
              <w:spacing w:after="0"/>
              <w:rPr>
                <w:sz w:val="23"/>
                <w:szCs w:val="23"/>
                <w:color w:val="auto"/>
              </w:rPr>
            </w:pPr>
          </w:p>
        </w:tc>
        <w:tc>
          <w:tcPr>
            <w:tcW w:w="6320" w:type="dxa"/>
            <w:vAlign w:val="bottom"/>
            <w:gridSpan w:val="23"/>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Business</w:t>
              </w:r>
            </w:hyperlink>
          </w:p>
        </w:tc>
        <w:tc>
          <w:tcPr>
            <w:tcW w:w="680" w:type="dxa"/>
            <w:vAlign w:val="bottom"/>
            <w:gridSpan w:val="2"/>
          </w:tcPr>
          <w:p>
            <w:pPr>
              <w:jc w:val="right"/>
              <w:spacing w:after="0"/>
              <w:rPr>
                <w:rFonts w:ascii="Arial" w:cs="Arial" w:eastAsia="Arial" w:hAnsi="Arial"/>
                <w:sz w:val="13"/>
                <w:szCs w:val="13"/>
                <w:color w:val="0000FF"/>
              </w:rPr>
            </w:pPr>
            <w:hyperlink w:anchor="page4">
              <w:r>
                <w:rPr>
                  <w:rFonts w:ascii="Arial" w:cs="Arial" w:eastAsia="Arial" w:hAnsi="Arial"/>
                  <w:sz w:val="13"/>
                  <w:szCs w:val="13"/>
                  <w:color w:val="0000FF"/>
                </w:rPr>
                <w:t>4</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60" w:type="dxa"/>
            <w:vAlign w:val="bottom"/>
            <w:tcBorders>
              <w:bottom w:val="single" w:sz="8" w:color="0000FF"/>
            </w:tcBorders>
            <w:gridSpan w:val="2"/>
          </w:tcPr>
          <w:p>
            <w:pPr>
              <w:spacing w:after="0" w:line="129" w:lineRule="exact"/>
              <w:rPr>
                <w:rFonts w:ascii="Arial" w:cs="Arial" w:eastAsia="Arial" w:hAnsi="Arial"/>
                <w:sz w:val="13"/>
                <w:szCs w:val="13"/>
                <w:color w:val="0000FF"/>
                <w:w w:val="86"/>
              </w:rPr>
            </w:pPr>
            <w:hyperlink w:anchor="page18">
              <w:r>
                <w:rPr>
                  <w:rFonts w:ascii="Arial" w:cs="Arial" w:eastAsia="Arial" w:hAnsi="Arial"/>
                  <w:sz w:val="13"/>
                  <w:szCs w:val="13"/>
                  <w:color w:val="0000FF"/>
                  <w:w w:val="86"/>
                </w:rPr>
                <w:t>Item 1A.</w:t>
              </w:r>
            </w:hyperlink>
          </w:p>
        </w:tc>
        <w:tc>
          <w:tcPr>
            <w:tcW w:w="22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rFonts w:ascii="Arial" w:cs="Arial" w:eastAsia="Arial" w:hAnsi="Arial"/>
                <w:sz w:val="13"/>
                <w:szCs w:val="13"/>
                <w:color w:val="0000FF"/>
                <w:w w:val="96"/>
              </w:rPr>
            </w:pPr>
            <w:hyperlink w:anchor="page18">
              <w:r>
                <w:rPr>
                  <w:rFonts w:ascii="Arial" w:cs="Arial" w:eastAsia="Arial" w:hAnsi="Arial"/>
                  <w:sz w:val="13"/>
                  <w:szCs w:val="13"/>
                  <w:color w:val="0000FF"/>
                  <w:w w:val="96"/>
                </w:rPr>
                <w:t>Risk Factors</w:t>
              </w:r>
            </w:hyperlink>
          </w:p>
        </w:tc>
        <w:tc>
          <w:tcPr>
            <w:tcW w:w="5580" w:type="dxa"/>
            <w:vAlign w:val="bottom"/>
            <w:gridSpan w:val="20"/>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rFonts w:ascii="Arial" w:cs="Arial" w:eastAsia="Arial" w:hAnsi="Arial"/>
                <w:sz w:val="13"/>
                <w:szCs w:val="13"/>
                <w:color w:val="0000FF"/>
                <w:w w:val="82"/>
              </w:rPr>
            </w:pPr>
            <w:hyperlink w:anchor="page18">
              <w:r>
                <w:rPr>
                  <w:rFonts w:ascii="Arial" w:cs="Arial" w:eastAsia="Arial" w:hAnsi="Arial"/>
                  <w:sz w:val="13"/>
                  <w:szCs w:val="13"/>
                  <w:color w:val="0000FF"/>
                  <w:w w:val="82"/>
                </w:rPr>
                <w:t>18</w:t>
              </w:r>
            </w:hyperlink>
          </w:p>
        </w:tc>
      </w:tr>
      <w:tr>
        <w:trPr>
          <w:trHeight w:val="129"/>
        </w:trPr>
        <w:tc>
          <w:tcPr>
            <w:tcW w:w="460" w:type="dxa"/>
            <w:vAlign w:val="bottom"/>
            <w:gridSpan w:val="2"/>
          </w:tcPr>
          <w:p>
            <w:pPr>
              <w:spacing w:after="0" w:line="129" w:lineRule="exact"/>
              <w:rPr>
                <w:rFonts w:ascii="Arial" w:cs="Arial" w:eastAsia="Arial" w:hAnsi="Arial"/>
                <w:sz w:val="13"/>
                <w:szCs w:val="13"/>
                <w:color w:val="0000FF"/>
                <w:w w:val="86"/>
              </w:rPr>
            </w:pPr>
            <w:hyperlink w:anchor="page39">
              <w:r>
                <w:rPr>
                  <w:rFonts w:ascii="Arial" w:cs="Arial" w:eastAsia="Arial" w:hAnsi="Arial"/>
                  <w:sz w:val="13"/>
                  <w:szCs w:val="13"/>
                  <w:color w:val="0000FF"/>
                  <w:w w:val="86"/>
                </w:rPr>
                <w:t>Item 1B.</w:t>
              </w:r>
            </w:hyperlink>
          </w:p>
        </w:tc>
        <w:tc>
          <w:tcPr>
            <w:tcW w:w="220" w:type="dxa"/>
            <w:vAlign w:val="bottom"/>
          </w:tcPr>
          <w:p>
            <w:pPr>
              <w:spacing w:after="0"/>
              <w:rPr>
                <w:sz w:val="11"/>
                <w:szCs w:val="11"/>
                <w:color w:val="auto"/>
              </w:rPr>
            </w:pPr>
          </w:p>
        </w:tc>
        <w:tc>
          <w:tcPr>
            <w:tcW w:w="6320" w:type="dxa"/>
            <w:vAlign w:val="bottom"/>
            <w:gridSpan w:val="23"/>
          </w:tcPr>
          <w:p>
            <w:pPr>
              <w:spacing w:after="0" w:line="129" w:lineRule="exact"/>
              <w:rPr>
                <w:rFonts w:ascii="Arial" w:cs="Arial" w:eastAsia="Arial" w:hAnsi="Arial"/>
                <w:sz w:val="13"/>
                <w:szCs w:val="13"/>
                <w:color w:val="0000FF"/>
              </w:rPr>
            </w:pPr>
            <w:hyperlink w:anchor="page39">
              <w:r>
                <w:rPr>
                  <w:rFonts w:ascii="Arial" w:cs="Arial" w:eastAsia="Arial" w:hAnsi="Arial"/>
                  <w:sz w:val="13"/>
                  <w:szCs w:val="13"/>
                  <w:color w:val="0000FF"/>
                </w:rPr>
                <w:t>Unresolved Staff Comments</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39">
              <w:r>
                <w:rPr>
                  <w:rFonts w:ascii="Arial" w:cs="Arial" w:eastAsia="Arial" w:hAnsi="Arial"/>
                  <w:sz w:val="13"/>
                  <w:szCs w:val="13"/>
                  <w:color w:val="0000FF"/>
                </w:rPr>
                <w:t>40</w:t>
              </w:r>
            </w:hyperlink>
          </w:p>
        </w:tc>
      </w:tr>
      <w:tr>
        <w:trPr>
          <w:trHeight w:val="129"/>
        </w:trPr>
        <w:tc>
          <w:tcPr>
            <w:tcW w:w="400" w:type="dxa"/>
            <w:vAlign w:val="bottom"/>
            <w:tcBorders>
              <w:top w:val="single" w:sz="8" w:color="0000FF"/>
            </w:tcBorders>
          </w:tcPr>
          <w:p>
            <w:pPr>
              <w:spacing w:after="0" w:line="129" w:lineRule="exact"/>
              <w:rPr>
                <w:rFonts w:ascii="Arial" w:cs="Arial" w:eastAsia="Arial" w:hAnsi="Arial"/>
                <w:sz w:val="13"/>
                <w:szCs w:val="13"/>
                <w:color w:val="0000FF"/>
                <w:w w:val="90"/>
              </w:rPr>
            </w:pPr>
            <w:hyperlink w:anchor="page40">
              <w:r>
                <w:rPr>
                  <w:rFonts w:ascii="Arial" w:cs="Arial" w:eastAsia="Arial" w:hAnsi="Arial"/>
                  <w:sz w:val="13"/>
                  <w:szCs w:val="13"/>
                  <w:color w:val="0000FF"/>
                  <w:w w:val="90"/>
                </w:rPr>
                <w:t>Item 2.</w:t>
              </w:r>
            </w:hyperlink>
          </w:p>
        </w:tc>
        <w:tc>
          <w:tcPr>
            <w:tcW w:w="6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Borders>
              <w:top w:val="single" w:sz="8" w:color="0000FF"/>
            </w:tcBorders>
            <w:gridSpan w:val="7"/>
          </w:tcPr>
          <w:p>
            <w:pPr>
              <w:spacing w:after="0" w:line="129" w:lineRule="exact"/>
              <w:rPr>
                <w:rFonts w:ascii="Arial" w:cs="Arial" w:eastAsia="Arial" w:hAnsi="Arial"/>
                <w:sz w:val="13"/>
                <w:szCs w:val="13"/>
                <w:color w:val="0000FF"/>
              </w:rPr>
            </w:pPr>
            <w:hyperlink w:anchor="page40">
              <w:r>
                <w:rPr>
                  <w:rFonts w:ascii="Arial" w:cs="Arial" w:eastAsia="Arial" w:hAnsi="Arial"/>
                  <w:sz w:val="13"/>
                  <w:szCs w:val="13"/>
                  <w:color w:val="0000FF"/>
                </w:rPr>
                <w:t>Properties</w:t>
              </w:r>
            </w:hyperlink>
          </w:p>
        </w:tc>
        <w:tc>
          <w:tcPr>
            <w:tcW w:w="4720" w:type="dxa"/>
            <w:vAlign w:val="bottom"/>
            <w:gridSpan w:val="16"/>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top w:val="single" w:sz="8" w:color="0000FF"/>
            </w:tcBorders>
          </w:tcPr>
          <w:p>
            <w:pPr>
              <w:jc w:val="right"/>
              <w:spacing w:after="0" w:line="129" w:lineRule="exact"/>
              <w:rPr>
                <w:rFonts w:ascii="Arial" w:cs="Arial" w:eastAsia="Arial" w:hAnsi="Arial"/>
                <w:sz w:val="13"/>
                <w:szCs w:val="13"/>
                <w:color w:val="0000FF"/>
                <w:w w:val="82"/>
              </w:rPr>
            </w:pPr>
            <w:hyperlink w:anchor="page40">
              <w:r>
                <w:rPr>
                  <w:rFonts w:ascii="Arial" w:cs="Arial" w:eastAsia="Arial" w:hAnsi="Arial"/>
                  <w:sz w:val="13"/>
                  <w:szCs w:val="13"/>
                  <w:color w:val="0000FF"/>
                  <w:w w:val="82"/>
                </w:rPr>
                <w:t>40</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00" w:type="dxa"/>
            <w:vAlign w:val="bottom"/>
          </w:tcPr>
          <w:p>
            <w:pPr>
              <w:spacing w:after="0" w:line="129" w:lineRule="exact"/>
              <w:rPr>
                <w:rFonts w:ascii="Arial" w:cs="Arial" w:eastAsia="Arial" w:hAnsi="Arial"/>
                <w:sz w:val="13"/>
                <w:szCs w:val="13"/>
                <w:color w:val="0000FF"/>
                <w:w w:val="90"/>
              </w:rPr>
            </w:pPr>
            <w:hyperlink w:anchor="page40">
              <w:r>
                <w:rPr>
                  <w:rFonts w:ascii="Arial" w:cs="Arial" w:eastAsia="Arial" w:hAnsi="Arial"/>
                  <w:sz w:val="13"/>
                  <w:szCs w:val="13"/>
                  <w:color w:val="0000FF"/>
                  <w:w w:val="90"/>
                </w:rPr>
                <w:t>Item 3.</w:t>
              </w:r>
            </w:hyperlink>
          </w:p>
        </w:tc>
        <w:tc>
          <w:tcPr>
            <w:tcW w:w="280" w:type="dxa"/>
            <w:vAlign w:val="bottom"/>
            <w:gridSpan w:val="2"/>
          </w:tcPr>
          <w:p>
            <w:pPr>
              <w:spacing w:after="0"/>
              <w:rPr>
                <w:sz w:val="11"/>
                <w:szCs w:val="11"/>
                <w:color w:val="auto"/>
              </w:rPr>
            </w:pPr>
          </w:p>
        </w:tc>
        <w:tc>
          <w:tcPr>
            <w:tcW w:w="6320" w:type="dxa"/>
            <w:vAlign w:val="bottom"/>
            <w:gridSpan w:val="23"/>
          </w:tcPr>
          <w:p>
            <w:pPr>
              <w:spacing w:after="0" w:line="129" w:lineRule="exact"/>
              <w:rPr>
                <w:rFonts w:ascii="Arial" w:cs="Arial" w:eastAsia="Arial" w:hAnsi="Arial"/>
                <w:sz w:val="13"/>
                <w:szCs w:val="13"/>
                <w:color w:val="0000FF"/>
              </w:rPr>
            </w:pPr>
            <w:hyperlink w:anchor="page40">
              <w:r>
                <w:rPr>
                  <w:rFonts w:ascii="Arial" w:cs="Arial" w:eastAsia="Arial" w:hAnsi="Arial"/>
                  <w:sz w:val="13"/>
                  <w:szCs w:val="13"/>
                  <w:color w:val="0000FF"/>
                </w:rPr>
                <w:t>Legal Proceedings</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40">
              <w:r>
                <w:rPr>
                  <w:rFonts w:ascii="Arial" w:cs="Arial" w:eastAsia="Arial" w:hAnsi="Arial"/>
                  <w:sz w:val="13"/>
                  <w:szCs w:val="13"/>
                  <w:color w:val="0000FF"/>
                </w:rPr>
                <w:t>40</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19"/>
        </w:trPr>
        <w:tc>
          <w:tcPr>
            <w:tcW w:w="400" w:type="dxa"/>
            <w:vAlign w:val="bottom"/>
            <w:tcBorders>
              <w:bottom w:val="single" w:sz="8" w:color="0000FF"/>
            </w:tcBorders>
          </w:tcPr>
          <w:p>
            <w:pPr>
              <w:spacing w:after="0" w:line="119" w:lineRule="exact"/>
              <w:rPr>
                <w:rFonts w:ascii="Arial" w:cs="Arial" w:eastAsia="Arial" w:hAnsi="Arial"/>
                <w:sz w:val="13"/>
                <w:szCs w:val="13"/>
                <w:color w:val="0000FF"/>
                <w:w w:val="90"/>
              </w:rPr>
            </w:pPr>
            <w:hyperlink w:anchor="page40">
              <w:r>
                <w:rPr>
                  <w:rFonts w:ascii="Arial" w:cs="Arial" w:eastAsia="Arial" w:hAnsi="Arial"/>
                  <w:sz w:val="13"/>
                  <w:szCs w:val="13"/>
                  <w:color w:val="0000FF"/>
                  <w:w w:val="90"/>
                </w:rPr>
                <w:t>Item 4.</w:t>
              </w:r>
            </w:hyperlink>
          </w:p>
        </w:tc>
        <w:tc>
          <w:tcPr>
            <w:tcW w:w="280" w:type="dxa"/>
            <w:vAlign w:val="bottom"/>
            <w:gridSpan w:val="2"/>
          </w:tcPr>
          <w:p>
            <w:pPr>
              <w:spacing w:after="0"/>
              <w:rPr>
                <w:sz w:val="10"/>
                <w:szCs w:val="10"/>
                <w:color w:val="auto"/>
              </w:rPr>
            </w:pPr>
          </w:p>
        </w:tc>
        <w:tc>
          <w:tcPr>
            <w:tcW w:w="1380" w:type="dxa"/>
            <w:vAlign w:val="bottom"/>
            <w:tcBorders>
              <w:bottom w:val="single" w:sz="8" w:color="0000FF"/>
            </w:tcBorders>
            <w:gridSpan w:val="5"/>
          </w:tcPr>
          <w:p>
            <w:pPr>
              <w:spacing w:after="0" w:line="119" w:lineRule="exact"/>
              <w:rPr>
                <w:rFonts w:ascii="Arial" w:cs="Arial" w:eastAsia="Arial" w:hAnsi="Arial"/>
                <w:sz w:val="13"/>
                <w:szCs w:val="13"/>
                <w:color w:val="0000FF"/>
                <w:w w:val="97"/>
              </w:rPr>
            </w:pPr>
            <w:hyperlink w:anchor="page40">
              <w:r>
                <w:rPr>
                  <w:rFonts w:ascii="Arial" w:cs="Arial" w:eastAsia="Arial" w:hAnsi="Arial"/>
                  <w:sz w:val="13"/>
                  <w:szCs w:val="13"/>
                  <w:color w:val="0000FF"/>
                  <w:w w:val="97"/>
                </w:rPr>
                <w:t>Mine Safety Disclosures</w:t>
              </w:r>
            </w:hyperlink>
          </w:p>
        </w:tc>
        <w:tc>
          <w:tcPr>
            <w:tcW w:w="4940" w:type="dxa"/>
            <w:vAlign w:val="bottom"/>
            <w:gridSpan w:val="18"/>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rFonts w:ascii="Arial" w:cs="Arial" w:eastAsia="Arial" w:hAnsi="Arial"/>
                <w:sz w:val="13"/>
                <w:szCs w:val="13"/>
                <w:color w:val="0000FF"/>
                <w:w w:val="82"/>
              </w:rPr>
            </w:pPr>
            <w:hyperlink w:anchor="page40">
              <w:r>
                <w:rPr>
                  <w:rFonts w:ascii="Arial" w:cs="Arial" w:eastAsia="Arial" w:hAnsi="Arial"/>
                  <w:sz w:val="13"/>
                  <w:szCs w:val="13"/>
                  <w:color w:val="0000FF"/>
                  <w:w w:val="82"/>
                </w:rPr>
                <w:t>40</w:t>
              </w:r>
            </w:hyperlink>
          </w:p>
        </w:tc>
      </w:tr>
      <w:tr>
        <w:trPr>
          <w:trHeight w:val="279"/>
        </w:trPr>
        <w:tc>
          <w:tcPr>
            <w:tcW w:w="680" w:type="dxa"/>
            <w:vAlign w:val="bottom"/>
            <w:gridSpan w:val="3"/>
          </w:tcPr>
          <w:p>
            <w:pPr>
              <w:spacing w:after="0"/>
              <w:rPr>
                <w:rFonts w:ascii="Arial" w:cs="Arial" w:eastAsia="Arial" w:hAnsi="Arial"/>
                <w:sz w:val="13"/>
                <w:szCs w:val="13"/>
                <w:b w:val="1"/>
                <w:bCs w:val="1"/>
                <w:color w:val="0000FF"/>
              </w:rPr>
            </w:pPr>
            <w:hyperlink w:anchor="page41">
              <w:r>
                <w:rPr>
                  <w:rFonts w:ascii="Arial" w:cs="Arial" w:eastAsia="Arial" w:hAnsi="Arial"/>
                  <w:sz w:val="13"/>
                  <w:szCs w:val="13"/>
                  <w:b w:val="1"/>
                  <w:bCs w:val="1"/>
                  <w:color w:val="0000FF"/>
                </w:rPr>
                <w:t>PART II</w:t>
              </w:r>
            </w:hyperlink>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rFonts w:ascii="Arial" w:cs="Arial" w:eastAsia="Arial" w:hAnsi="Arial"/>
                <w:sz w:val="13"/>
                <w:szCs w:val="13"/>
                <w:color w:val="0000FF"/>
              </w:rPr>
            </w:pPr>
            <w:hyperlink w:anchor="page41">
              <w:r>
                <w:rPr>
                  <w:rFonts w:ascii="Arial" w:cs="Arial" w:eastAsia="Arial" w:hAnsi="Arial"/>
                  <w:sz w:val="13"/>
                  <w:szCs w:val="13"/>
                  <w:color w:val="0000FF"/>
                </w:rPr>
                <w:t>41</w:t>
              </w:r>
            </w:hyperlink>
          </w:p>
        </w:tc>
      </w:tr>
      <w:tr>
        <w:trPr>
          <w:trHeight w:val="279"/>
        </w:trPr>
        <w:tc>
          <w:tcPr>
            <w:tcW w:w="400" w:type="dxa"/>
            <w:vAlign w:val="bottom"/>
            <w:tcBorders>
              <w:top w:val="single" w:sz="8" w:color="0000FF"/>
              <w:bottom w:val="single" w:sz="8" w:color="0000FF"/>
            </w:tcBorders>
          </w:tcPr>
          <w:p>
            <w:pPr>
              <w:spacing w:after="0"/>
              <w:rPr>
                <w:rFonts w:ascii="Arial" w:cs="Arial" w:eastAsia="Arial" w:hAnsi="Arial"/>
                <w:sz w:val="13"/>
                <w:szCs w:val="13"/>
                <w:color w:val="0000FF"/>
                <w:w w:val="90"/>
              </w:rPr>
            </w:pPr>
            <w:hyperlink w:anchor="page41">
              <w:r>
                <w:rPr>
                  <w:rFonts w:ascii="Arial" w:cs="Arial" w:eastAsia="Arial" w:hAnsi="Arial"/>
                  <w:sz w:val="13"/>
                  <w:szCs w:val="13"/>
                  <w:color w:val="0000FF"/>
                  <w:w w:val="90"/>
                </w:rPr>
                <w:t>Item 5.</w:t>
              </w:r>
            </w:hyperlink>
          </w:p>
        </w:tc>
        <w:tc>
          <w:tcPr>
            <w:tcW w:w="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Borders>
              <w:bottom w:val="single" w:sz="8" w:color="0000FF"/>
            </w:tcBorders>
            <w:gridSpan w:val="23"/>
          </w:tcPr>
          <w:p>
            <w:pPr>
              <w:spacing w:after="0"/>
              <w:rPr>
                <w:rFonts w:ascii="Arial" w:cs="Arial" w:eastAsia="Arial" w:hAnsi="Arial"/>
                <w:sz w:val="13"/>
                <w:szCs w:val="13"/>
                <w:color w:val="0000FF"/>
                <w:w w:val="98"/>
              </w:rPr>
            </w:pPr>
            <w:hyperlink w:anchor="page41">
              <w:r>
                <w:rPr>
                  <w:rFonts w:ascii="Arial" w:cs="Arial" w:eastAsia="Arial" w:hAnsi="Arial"/>
                  <w:sz w:val="13"/>
                  <w:szCs w:val="13"/>
                  <w:color w:val="0000FF"/>
                  <w:w w:val="98"/>
                </w:rPr>
                <w:t>Market for Registrant’s Common Equity, Related Stockholder Matters and Issuer Purchases of Equity Securities</w:t>
              </w:r>
            </w:hyperlink>
          </w:p>
        </w:tc>
        <w:tc>
          <w:tcPr>
            <w:tcW w:w="540" w:type="dxa"/>
            <w:vAlign w:val="bottom"/>
          </w:tcPr>
          <w:p>
            <w:pPr>
              <w:spacing w:after="0"/>
              <w:rPr>
                <w:sz w:val="24"/>
                <w:szCs w:val="24"/>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3"/>
                <w:szCs w:val="13"/>
                <w:color w:val="0000FF"/>
                <w:w w:val="82"/>
              </w:rPr>
            </w:pPr>
            <w:hyperlink w:anchor="page41">
              <w:r>
                <w:rPr>
                  <w:rFonts w:ascii="Arial" w:cs="Arial" w:eastAsia="Arial" w:hAnsi="Arial"/>
                  <w:sz w:val="13"/>
                  <w:szCs w:val="13"/>
                  <w:color w:val="0000FF"/>
                  <w:w w:val="82"/>
                </w:rPr>
                <w:t>41</w:t>
              </w:r>
            </w:hyperlink>
          </w:p>
        </w:tc>
      </w:tr>
      <w:tr>
        <w:trPr>
          <w:trHeight w:val="119"/>
        </w:trPr>
        <w:tc>
          <w:tcPr>
            <w:tcW w:w="400" w:type="dxa"/>
            <w:vAlign w:val="bottom"/>
            <w:tcBorders>
              <w:bottom w:val="single" w:sz="8" w:color="0000FF"/>
            </w:tcBorders>
          </w:tcPr>
          <w:p>
            <w:pPr>
              <w:spacing w:after="0" w:line="119" w:lineRule="exact"/>
              <w:rPr>
                <w:rFonts w:ascii="Arial" w:cs="Arial" w:eastAsia="Arial" w:hAnsi="Arial"/>
                <w:sz w:val="13"/>
                <w:szCs w:val="13"/>
                <w:color w:val="0000FF"/>
                <w:w w:val="90"/>
              </w:rPr>
            </w:pPr>
            <w:hyperlink w:anchor="page42">
              <w:r>
                <w:rPr>
                  <w:rFonts w:ascii="Arial" w:cs="Arial" w:eastAsia="Arial" w:hAnsi="Arial"/>
                  <w:sz w:val="13"/>
                  <w:szCs w:val="13"/>
                  <w:color w:val="0000FF"/>
                  <w:w w:val="90"/>
                </w:rPr>
                <w:t>Item 6.</w:t>
              </w:r>
            </w:hyperlink>
          </w:p>
        </w:tc>
        <w:tc>
          <w:tcPr>
            <w:tcW w:w="280" w:type="dxa"/>
            <w:vAlign w:val="bottom"/>
            <w:gridSpan w:val="2"/>
          </w:tcPr>
          <w:p>
            <w:pPr>
              <w:spacing w:after="0"/>
              <w:rPr>
                <w:sz w:val="10"/>
                <w:szCs w:val="10"/>
                <w:color w:val="auto"/>
              </w:rPr>
            </w:pPr>
          </w:p>
        </w:tc>
        <w:tc>
          <w:tcPr>
            <w:tcW w:w="580" w:type="dxa"/>
            <w:vAlign w:val="bottom"/>
            <w:tcBorders>
              <w:bottom w:val="single" w:sz="8" w:color="0000FF"/>
            </w:tcBorders>
            <w:gridSpan w:val="2"/>
          </w:tcPr>
          <w:p>
            <w:pPr>
              <w:spacing w:after="0" w:line="119" w:lineRule="exact"/>
              <w:rPr>
                <w:rFonts w:ascii="Arial" w:cs="Arial" w:eastAsia="Arial" w:hAnsi="Arial"/>
                <w:sz w:val="13"/>
                <w:szCs w:val="13"/>
                <w:color w:val="0000FF"/>
                <w:w w:val="96"/>
              </w:rPr>
            </w:pPr>
            <w:hyperlink w:anchor="page42">
              <w:r>
                <w:rPr>
                  <w:rFonts w:ascii="Arial" w:cs="Arial" w:eastAsia="Arial" w:hAnsi="Arial"/>
                  <w:sz w:val="13"/>
                  <w:szCs w:val="13"/>
                  <w:color w:val="0000FF"/>
                  <w:w w:val="96"/>
                </w:rPr>
                <w:t>Reserved</w:t>
              </w:r>
            </w:hyperlink>
          </w:p>
        </w:tc>
        <w:tc>
          <w:tcPr>
            <w:tcW w:w="5740" w:type="dxa"/>
            <w:vAlign w:val="bottom"/>
            <w:gridSpan w:val="21"/>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rFonts w:ascii="Arial" w:cs="Arial" w:eastAsia="Arial" w:hAnsi="Arial"/>
                <w:sz w:val="13"/>
                <w:szCs w:val="13"/>
                <w:color w:val="0000FF"/>
                <w:w w:val="82"/>
              </w:rPr>
            </w:pPr>
            <w:hyperlink w:anchor="page42">
              <w:r>
                <w:rPr>
                  <w:rFonts w:ascii="Arial" w:cs="Arial" w:eastAsia="Arial" w:hAnsi="Arial"/>
                  <w:sz w:val="13"/>
                  <w:szCs w:val="13"/>
                  <w:color w:val="0000FF"/>
                  <w:w w:val="82"/>
                </w:rPr>
                <w:t>42</w:t>
              </w:r>
            </w:hyperlink>
          </w:p>
        </w:tc>
      </w:tr>
      <w:tr>
        <w:trPr>
          <w:trHeight w:val="129"/>
        </w:trPr>
        <w:tc>
          <w:tcPr>
            <w:tcW w:w="400" w:type="dxa"/>
            <w:vAlign w:val="bottom"/>
            <w:tcBorders>
              <w:bottom w:val="single" w:sz="8" w:color="0000FF"/>
            </w:tcBorders>
          </w:tcPr>
          <w:p>
            <w:pPr>
              <w:spacing w:after="0" w:line="129" w:lineRule="exact"/>
              <w:rPr>
                <w:rFonts w:ascii="Arial" w:cs="Arial" w:eastAsia="Arial" w:hAnsi="Arial"/>
                <w:sz w:val="13"/>
                <w:szCs w:val="13"/>
                <w:color w:val="0000FF"/>
                <w:w w:val="90"/>
              </w:rPr>
            </w:pPr>
            <w:hyperlink w:anchor="page43">
              <w:r>
                <w:rPr>
                  <w:rFonts w:ascii="Arial" w:cs="Arial" w:eastAsia="Arial" w:hAnsi="Arial"/>
                  <w:sz w:val="13"/>
                  <w:szCs w:val="13"/>
                  <w:color w:val="0000FF"/>
                  <w:w w:val="90"/>
                </w:rPr>
                <w:t>Item 7.</w:t>
              </w:r>
            </w:hyperlink>
          </w:p>
        </w:tc>
        <w:tc>
          <w:tcPr>
            <w:tcW w:w="280" w:type="dxa"/>
            <w:vAlign w:val="bottom"/>
            <w:gridSpan w:val="2"/>
          </w:tcPr>
          <w:p>
            <w:pPr>
              <w:spacing w:after="0"/>
              <w:rPr>
                <w:sz w:val="11"/>
                <w:szCs w:val="11"/>
                <w:color w:val="auto"/>
              </w:rPr>
            </w:pPr>
          </w:p>
        </w:tc>
        <w:tc>
          <w:tcPr>
            <w:tcW w:w="5040" w:type="dxa"/>
            <w:vAlign w:val="bottom"/>
            <w:tcBorders>
              <w:bottom w:val="single" w:sz="8" w:color="0000FF"/>
            </w:tcBorders>
            <w:gridSpan w:val="20"/>
          </w:tcPr>
          <w:p>
            <w:pPr>
              <w:spacing w:after="0" w:line="129" w:lineRule="exact"/>
              <w:rPr>
                <w:rFonts w:ascii="Arial" w:cs="Arial" w:eastAsia="Arial" w:hAnsi="Arial"/>
                <w:sz w:val="13"/>
                <w:szCs w:val="13"/>
                <w:color w:val="0000FF"/>
                <w:w w:val="98"/>
              </w:rPr>
            </w:pPr>
            <w:hyperlink w:anchor="page43">
              <w:r>
                <w:rPr>
                  <w:rFonts w:ascii="Arial" w:cs="Arial" w:eastAsia="Arial" w:hAnsi="Arial"/>
                  <w:sz w:val="13"/>
                  <w:szCs w:val="13"/>
                  <w:color w:val="0000FF"/>
                  <w:w w:val="98"/>
                </w:rPr>
                <w:t>Management's Discussion and Analysis of Financial Condition and Results of Operations</w:t>
              </w:r>
            </w:hyperlink>
          </w:p>
        </w:tc>
        <w:tc>
          <w:tcPr>
            <w:tcW w:w="1280" w:type="dxa"/>
            <w:vAlign w:val="bottom"/>
            <w:gridSpan w:val="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rFonts w:ascii="Arial" w:cs="Arial" w:eastAsia="Arial" w:hAnsi="Arial"/>
                <w:sz w:val="13"/>
                <w:szCs w:val="13"/>
                <w:color w:val="0000FF"/>
                <w:w w:val="82"/>
              </w:rPr>
            </w:pPr>
            <w:hyperlink w:anchor="page43">
              <w:r>
                <w:rPr>
                  <w:rFonts w:ascii="Arial" w:cs="Arial" w:eastAsia="Arial" w:hAnsi="Arial"/>
                  <w:sz w:val="13"/>
                  <w:szCs w:val="13"/>
                  <w:color w:val="0000FF"/>
                  <w:w w:val="82"/>
                </w:rPr>
                <w:t>43</w:t>
              </w:r>
            </w:hyperlink>
          </w:p>
        </w:tc>
      </w:tr>
      <w:tr>
        <w:trPr>
          <w:trHeight w:val="129"/>
        </w:trPr>
        <w:tc>
          <w:tcPr>
            <w:tcW w:w="460" w:type="dxa"/>
            <w:vAlign w:val="bottom"/>
            <w:tcBorders>
              <w:bottom w:val="single" w:sz="8" w:color="0000FF"/>
            </w:tcBorders>
            <w:gridSpan w:val="2"/>
          </w:tcPr>
          <w:p>
            <w:pPr>
              <w:spacing w:after="0" w:line="129" w:lineRule="exact"/>
              <w:rPr>
                <w:rFonts w:ascii="Arial" w:cs="Arial" w:eastAsia="Arial" w:hAnsi="Arial"/>
                <w:sz w:val="13"/>
                <w:szCs w:val="13"/>
                <w:color w:val="0000FF"/>
                <w:w w:val="86"/>
              </w:rPr>
            </w:pPr>
            <w:hyperlink w:anchor="page43">
              <w:r>
                <w:rPr>
                  <w:rFonts w:ascii="Arial" w:cs="Arial" w:eastAsia="Arial" w:hAnsi="Arial"/>
                  <w:sz w:val="13"/>
                  <w:szCs w:val="13"/>
                  <w:color w:val="0000FF"/>
                  <w:w w:val="86"/>
                </w:rPr>
                <w:t>Item 7A.</w:t>
              </w:r>
            </w:hyperlink>
          </w:p>
        </w:tc>
        <w:tc>
          <w:tcPr>
            <w:tcW w:w="220" w:type="dxa"/>
            <w:vAlign w:val="bottom"/>
          </w:tcPr>
          <w:p>
            <w:pPr>
              <w:spacing w:after="0"/>
              <w:rPr>
                <w:sz w:val="11"/>
                <w:szCs w:val="11"/>
                <w:color w:val="auto"/>
              </w:rPr>
            </w:pPr>
          </w:p>
        </w:tc>
        <w:tc>
          <w:tcPr>
            <w:tcW w:w="3360" w:type="dxa"/>
            <w:vAlign w:val="bottom"/>
            <w:tcBorders>
              <w:bottom w:val="single" w:sz="8" w:color="0000FF"/>
            </w:tcBorders>
            <w:gridSpan w:val="16"/>
          </w:tcPr>
          <w:p>
            <w:pPr>
              <w:spacing w:after="0" w:line="129" w:lineRule="exact"/>
              <w:rPr>
                <w:rFonts w:ascii="Arial" w:cs="Arial" w:eastAsia="Arial" w:hAnsi="Arial"/>
                <w:sz w:val="13"/>
                <w:szCs w:val="13"/>
                <w:color w:val="0000FF"/>
                <w:w w:val="98"/>
              </w:rPr>
            </w:pPr>
            <w:hyperlink w:anchor="page63">
              <w:r>
                <w:rPr>
                  <w:rFonts w:ascii="Arial" w:cs="Arial" w:eastAsia="Arial" w:hAnsi="Arial"/>
                  <w:sz w:val="13"/>
                  <w:szCs w:val="13"/>
                  <w:color w:val="0000FF"/>
                  <w:w w:val="98"/>
                </w:rPr>
                <w:t>Quantitative and Qualitative Disclosures About Market Risk</w:t>
              </w:r>
            </w:hyperlink>
          </w:p>
        </w:tc>
        <w:tc>
          <w:tcPr>
            <w:tcW w:w="2960" w:type="dxa"/>
            <w:vAlign w:val="bottom"/>
            <w:gridSpan w:val="7"/>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rFonts w:ascii="Arial" w:cs="Arial" w:eastAsia="Arial" w:hAnsi="Arial"/>
                <w:sz w:val="13"/>
                <w:szCs w:val="13"/>
                <w:color w:val="0000FF"/>
                <w:w w:val="82"/>
              </w:rPr>
            </w:pPr>
            <w:hyperlink w:anchor="page43">
              <w:r>
                <w:rPr>
                  <w:rFonts w:ascii="Arial" w:cs="Arial" w:eastAsia="Arial" w:hAnsi="Arial"/>
                  <w:sz w:val="13"/>
                  <w:szCs w:val="13"/>
                  <w:color w:val="0000FF"/>
                  <w:w w:val="82"/>
                </w:rPr>
                <w:t>63</w:t>
              </w:r>
            </w:hyperlink>
          </w:p>
        </w:tc>
      </w:tr>
      <w:tr>
        <w:trPr>
          <w:trHeight w:val="129"/>
        </w:trPr>
        <w:tc>
          <w:tcPr>
            <w:tcW w:w="400" w:type="dxa"/>
            <w:vAlign w:val="bottom"/>
            <w:tcBorders>
              <w:bottom w:val="single" w:sz="8" w:color="0000FF"/>
            </w:tcBorders>
          </w:tcPr>
          <w:p>
            <w:pPr>
              <w:spacing w:after="0" w:line="129" w:lineRule="exact"/>
              <w:rPr>
                <w:rFonts w:ascii="Arial" w:cs="Arial" w:eastAsia="Arial" w:hAnsi="Arial"/>
                <w:sz w:val="13"/>
                <w:szCs w:val="13"/>
                <w:color w:val="0000FF"/>
                <w:w w:val="90"/>
              </w:rPr>
            </w:pPr>
            <w:hyperlink w:anchor="page64">
              <w:r>
                <w:rPr>
                  <w:rFonts w:ascii="Arial" w:cs="Arial" w:eastAsia="Arial" w:hAnsi="Arial"/>
                  <w:sz w:val="13"/>
                  <w:szCs w:val="13"/>
                  <w:color w:val="0000FF"/>
                  <w:w w:val="90"/>
                </w:rPr>
                <w:t>Item 8.</w:t>
              </w:r>
            </w:hyperlink>
          </w:p>
        </w:tc>
        <w:tc>
          <w:tcPr>
            <w:tcW w:w="280" w:type="dxa"/>
            <w:vAlign w:val="bottom"/>
            <w:gridSpan w:val="2"/>
          </w:tcPr>
          <w:p>
            <w:pPr>
              <w:spacing w:after="0"/>
              <w:rPr>
                <w:sz w:val="11"/>
                <w:szCs w:val="11"/>
                <w:color w:val="auto"/>
              </w:rPr>
            </w:pPr>
          </w:p>
        </w:tc>
        <w:tc>
          <w:tcPr>
            <w:tcW w:w="2660" w:type="dxa"/>
            <w:vAlign w:val="bottom"/>
            <w:tcBorders>
              <w:bottom w:val="single" w:sz="8" w:color="0000FF"/>
            </w:tcBorders>
            <w:gridSpan w:val="11"/>
          </w:tcPr>
          <w:p>
            <w:pPr>
              <w:spacing w:after="0" w:line="129" w:lineRule="exact"/>
              <w:rPr>
                <w:rFonts w:ascii="Arial" w:cs="Arial" w:eastAsia="Arial" w:hAnsi="Arial"/>
                <w:sz w:val="13"/>
                <w:szCs w:val="13"/>
                <w:color w:val="0000FF"/>
                <w:w w:val="98"/>
              </w:rPr>
            </w:pPr>
            <w:hyperlink w:anchor="page64">
              <w:r>
                <w:rPr>
                  <w:rFonts w:ascii="Arial" w:cs="Arial" w:eastAsia="Arial" w:hAnsi="Arial"/>
                  <w:sz w:val="13"/>
                  <w:szCs w:val="13"/>
                  <w:color w:val="0000FF"/>
                  <w:w w:val="98"/>
                </w:rPr>
                <w:t>Financial Statements and Supplementary Data</w:t>
              </w:r>
            </w:hyperlink>
          </w:p>
        </w:tc>
        <w:tc>
          <w:tcPr>
            <w:tcW w:w="3660" w:type="dxa"/>
            <w:vAlign w:val="bottom"/>
            <w:gridSpan w:val="1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rFonts w:ascii="Arial" w:cs="Arial" w:eastAsia="Arial" w:hAnsi="Arial"/>
                <w:sz w:val="13"/>
                <w:szCs w:val="13"/>
                <w:color w:val="0000FF"/>
                <w:w w:val="82"/>
              </w:rPr>
            </w:pPr>
            <w:hyperlink w:anchor="page64">
              <w:r>
                <w:rPr>
                  <w:rFonts w:ascii="Arial" w:cs="Arial" w:eastAsia="Arial" w:hAnsi="Arial"/>
                  <w:sz w:val="13"/>
                  <w:szCs w:val="13"/>
                  <w:color w:val="0000FF"/>
                  <w:w w:val="82"/>
                </w:rPr>
                <w:t>66</w:t>
              </w:r>
            </w:hyperlink>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3"/>
          </w:tcPr>
          <w:p>
            <w:pPr>
              <w:spacing w:after="0" w:line="129" w:lineRule="exact"/>
              <w:rPr>
                <w:rFonts w:ascii="Arial" w:cs="Arial" w:eastAsia="Arial" w:hAnsi="Arial"/>
                <w:sz w:val="13"/>
                <w:szCs w:val="13"/>
                <w:color w:val="0000FF"/>
              </w:rPr>
            </w:pPr>
            <w:hyperlink w:anchor="page66">
              <w:r>
                <w:rPr>
                  <w:rFonts w:ascii="Arial" w:cs="Arial" w:eastAsia="Arial" w:hAnsi="Arial"/>
                  <w:sz w:val="13"/>
                  <w:szCs w:val="13"/>
                  <w:color w:val="0000FF"/>
                </w:rPr>
                <w:t>Consolidated Balance Sheets</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66">
              <w:r>
                <w:rPr>
                  <w:rFonts w:ascii="Arial" w:cs="Arial" w:eastAsia="Arial" w:hAnsi="Arial"/>
                  <w:sz w:val="13"/>
                  <w:szCs w:val="13"/>
                  <w:color w:val="0000FF"/>
                </w:rPr>
                <w:t>66</w:t>
              </w:r>
            </w:hyperlink>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3"/>
          </w:tcPr>
          <w:p>
            <w:pPr>
              <w:spacing w:after="0" w:line="129" w:lineRule="exact"/>
              <w:rPr>
                <w:rFonts w:ascii="Arial" w:cs="Arial" w:eastAsia="Arial" w:hAnsi="Arial"/>
                <w:sz w:val="13"/>
                <w:szCs w:val="13"/>
                <w:color w:val="0000FF"/>
              </w:rPr>
            </w:pPr>
            <w:hyperlink w:anchor="page67">
              <w:r>
                <w:rPr>
                  <w:rFonts w:ascii="Arial" w:cs="Arial" w:eastAsia="Arial" w:hAnsi="Arial"/>
                  <w:sz w:val="13"/>
                  <w:szCs w:val="13"/>
                  <w:color w:val="0000FF"/>
                </w:rPr>
                <w:t>Consolidated Statements of Operations</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67">
              <w:r>
                <w:rPr>
                  <w:rFonts w:ascii="Arial" w:cs="Arial" w:eastAsia="Arial" w:hAnsi="Arial"/>
                  <w:sz w:val="13"/>
                  <w:szCs w:val="13"/>
                  <w:color w:val="0000FF"/>
                </w:rPr>
                <w:t>67</w:t>
              </w:r>
            </w:hyperlink>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320" w:type="dxa"/>
            <w:vAlign w:val="bottom"/>
            <w:gridSpan w:val="23"/>
          </w:tcPr>
          <w:p>
            <w:pPr>
              <w:spacing w:after="0" w:line="119" w:lineRule="exact"/>
              <w:rPr>
                <w:rFonts w:ascii="Arial" w:cs="Arial" w:eastAsia="Arial" w:hAnsi="Arial"/>
                <w:sz w:val="13"/>
                <w:szCs w:val="13"/>
                <w:color w:val="0000FF"/>
              </w:rPr>
            </w:pPr>
            <w:hyperlink w:anchor="page68">
              <w:r>
                <w:rPr>
                  <w:rFonts w:ascii="Arial" w:cs="Arial" w:eastAsia="Arial" w:hAnsi="Arial"/>
                  <w:sz w:val="13"/>
                  <w:szCs w:val="13"/>
                  <w:color w:val="0000FF"/>
                </w:rPr>
                <w:t>Consolidated Statements of Comprehensive Income</w:t>
              </w:r>
            </w:hyperlink>
          </w:p>
        </w:tc>
        <w:tc>
          <w:tcPr>
            <w:tcW w:w="680" w:type="dxa"/>
            <w:vAlign w:val="bottom"/>
            <w:gridSpan w:val="2"/>
          </w:tcPr>
          <w:p>
            <w:pPr>
              <w:jc w:val="right"/>
              <w:spacing w:after="0" w:line="119" w:lineRule="exact"/>
              <w:rPr>
                <w:rFonts w:ascii="Arial" w:cs="Arial" w:eastAsia="Arial" w:hAnsi="Arial"/>
                <w:sz w:val="13"/>
                <w:szCs w:val="13"/>
                <w:color w:val="0000FF"/>
              </w:rPr>
            </w:pPr>
            <w:hyperlink w:anchor="page68">
              <w:r>
                <w:rPr>
                  <w:rFonts w:ascii="Arial" w:cs="Arial" w:eastAsia="Arial" w:hAnsi="Arial"/>
                  <w:sz w:val="13"/>
                  <w:szCs w:val="13"/>
                  <w:color w:val="0000FF"/>
                </w:rPr>
                <w:t>68</w:t>
              </w:r>
            </w:hyperlink>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tcBorders>
              <w:bottom w:val="single" w:sz="8" w:color="0000FF"/>
            </w:tcBorders>
            <w:gridSpan w:val="17"/>
          </w:tcPr>
          <w:p>
            <w:pPr>
              <w:spacing w:after="0" w:line="129" w:lineRule="exact"/>
              <w:rPr>
                <w:rFonts w:ascii="Arial" w:cs="Arial" w:eastAsia="Arial" w:hAnsi="Arial"/>
                <w:sz w:val="13"/>
                <w:szCs w:val="13"/>
                <w:color w:val="0000FF"/>
                <w:w w:val="98"/>
              </w:rPr>
            </w:pPr>
            <w:hyperlink w:anchor="page69">
              <w:r>
                <w:rPr>
                  <w:rFonts w:ascii="Arial" w:cs="Arial" w:eastAsia="Arial" w:hAnsi="Arial"/>
                  <w:sz w:val="13"/>
                  <w:szCs w:val="13"/>
                  <w:color w:val="0000FF"/>
                  <w:w w:val="98"/>
                </w:rPr>
                <w:t>Consolidated Statements of Changes in Stockholders’ Equity</w:t>
              </w:r>
            </w:hyperlink>
          </w:p>
        </w:tc>
        <w:tc>
          <w:tcPr>
            <w:tcW w:w="2860" w:type="dxa"/>
            <w:vAlign w:val="bottom"/>
            <w:gridSpan w:val="6"/>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rFonts w:ascii="Arial" w:cs="Arial" w:eastAsia="Arial" w:hAnsi="Arial"/>
                <w:sz w:val="13"/>
                <w:szCs w:val="13"/>
                <w:color w:val="0000FF"/>
                <w:w w:val="82"/>
              </w:rPr>
            </w:pPr>
            <w:hyperlink w:anchor="page69">
              <w:r>
                <w:rPr>
                  <w:rFonts w:ascii="Arial" w:cs="Arial" w:eastAsia="Arial" w:hAnsi="Arial"/>
                  <w:sz w:val="13"/>
                  <w:szCs w:val="13"/>
                  <w:color w:val="0000FF"/>
                  <w:w w:val="82"/>
                </w:rPr>
                <w:t>69</w:t>
              </w:r>
            </w:hyperlink>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3"/>
          </w:tcPr>
          <w:p>
            <w:pPr>
              <w:spacing w:after="0" w:line="129" w:lineRule="exact"/>
              <w:rPr>
                <w:rFonts w:ascii="Arial" w:cs="Arial" w:eastAsia="Arial" w:hAnsi="Arial"/>
                <w:sz w:val="13"/>
                <w:szCs w:val="13"/>
                <w:color w:val="0000FF"/>
              </w:rPr>
            </w:pPr>
            <w:hyperlink w:anchor="page70">
              <w:r>
                <w:rPr>
                  <w:rFonts w:ascii="Arial" w:cs="Arial" w:eastAsia="Arial" w:hAnsi="Arial"/>
                  <w:sz w:val="13"/>
                  <w:szCs w:val="13"/>
                  <w:color w:val="0000FF"/>
                </w:rPr>
                <w:t>Consolidated Statements of Cash Flows</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70">
              <w:r>
                <w:rPr>
                  <w:rFonts w:ascii="Arial" w:cs="Arial" w:eastAsia="Arial" w:hAnsi="Arial"/>
                  <w:sz w:val="13"/>
                  <w:szCs w:val="13"/>
                  <w:color w:val="0000FF"/>
                </w:rPr>
                <w:t>70</w:t>
              </w:r>
            </w:hyperlink>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20" w:type="dxa"/>
            <w:vAlign w:val="bottom"/>
            <w:tcBorders>
              <w:bottom w:val="single" w:sz="8" w:color="0000FF"/>
            </w:tcBorders>
            <w:gridSpan w:val="12"/>
          </w:tcPr>
          <w:p>
            <w:pPr>
              <w:spacing w:after="0" w:line="129" w:lineRule="exact"/>
              <w:rPr>
                <w:rFonts w:ascii="Arial" w:cs="Arial" w:eastAsia="Arial" w:hAnsi="Arial"/>
                <w:sz w:val="13"/>
                <w:szCs w:val="13"/>
                <w:color w:val="0000FF"/>
                <w:w w:val="98"/>
              </w:rPr>
            </w:pPr>
            <w:hyperlink w:anchor="page72">
              <w:r>
                <w:rPr>
                  <w:rFonts w:ascii="Arial" w:cs="Arial" w:eastAsia="Arial" w:hAnsi="Arial"/>
                  <w:sz w:val="13"/>
                  <w:szCs w:val="13"/>
                  <w:color w:val="0000FF"/>
                  <w:w w:val="98"/>
                </w:rPr>
                <w:t>Notes to the Consolidated Financial Statements</w:t>
              </w:r>
            </w:hyperlink>
          </w:p>
        </w:tc>
        <w:tc>
          <w:tcPr>
            <w:tcW w:w="3600" w:type="dxa"/>
            <w:vAlign w:val="bottom"/>
            <w:gridSpan w:val="11"/>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rFonts w:ascii="Arial" w:cs="Arial" w:eastAsia="Arial" w:hAnsi="Arial"/>
                <w:sz w:val="13"/>
                <w:szCs w:val="13"/>
                <w:color w:val="0000FF"/>
                <w:w w:val="82"/>
              </w:rPr>
            </w:pPr>
            <w:hyperlink w:anchor="page72">
              <w:r>
                <w:rPr>
                  <w:rFonts w:ascii="Arial" w:cs="Arial" w:eastAsia="Arial" w:hAnsi="Arial"/>
                  <w:sz w:val="13"/>
                  <w:szCs w:val="13"/>
                  <w:color w:val="0000FF"/>
                  <w:w w:val="82"/>
                </w:rPr>
                <w:t>72</w:t>
              </w:r>
            </w:hyperlink>
          </w:p>
        </w:tc>
      </w:tr>
      <w:tr>
        <w:trPr>
          <w:trHeight w:val="129"/>
        </w:trPr>
        <w:tc>
          <w:tcPr>
            <w:tcW w:w="400" w:type="dxa"/>
            <w:vAlign w:val="bottom"/>
          </w:tcPr>
          <w:p>
            <w:pPr>
              <w:spacing w:after="0" w:line="129" w:lineRule="exact"/>
              <w:rPr>
                <w:rFonts w:ascii="Arial" w:cs="Arial" w:eastAsia="Arial" w:hAnsi="Arial"/>
                <w:sz w:val="13"/>
                <w:szCs w:val="13"/>
                <w:color w:val="0000FF"/>
                <w:w w:val="90"/>
              </w:rPr>
            </w:pPr>
            <w:hyperlink w:anchor="page105">
              <w:r>
                <w:rPr>
                  <w:rFonts w:ascii="Arial" w:cs="Arial" w:eastAsia="Arial" w:hAnsi="Arial"/>
                  <w:sz w:val="13"/>
                  <w:szCs w:val="13"/>
                  <w:color w:val="0000FF"/>
                  <w:w w:val="90"/>
                </w:rPr>
                <w:t>Item 9.</w:t>
              </w:r>
            </w:hyperlink>
          </w:p>
        </w:tc>
        <w:tc>
          <w:tcPr>
            <w:tcW w:w="280" w:type="dxa"/>
            <w:vAlign w:val="bottom"/>
            <w:gridSpan w:val="2"/>
          </w:tcPr>
          <w:p>
            <w:pPr>
              <w:spacing w:after="0"/>
              <w:rPr>
                <w:sz w:val="11"/>
                <w:szCs w:val="11"/>
                <w:color w:val="auto"/>
              </w:rPr>
            </w:pPr>
          </w:p>
        </w:tc>
        <w:tc>
          <w:tcPr>
            <w:tcW w:w="6320" w:type="dxa"/>
            <w:vAlign w:val="bottom"/>
            <w:gridSpan w:val="23"/>
          </w:tcPr>
          <w:p>
            <w:pPr>
              <w:spacing w:after="0" w:line="129" w:lineRule="exact"/>
              <w:rPr>
                <w:rFonts w:ascii="Arial" w:cs="Arial" w:eastAsia="Arial" w:hAnsi="Arial"/>
                <w:sz w:val="13"/>
                <w:szCs w:val="13"/>
                <w:color w:val="0000FF"/>
              </w:rPr>
            </w:pPr>
            <w:hyperlink w:anchor="page105">
              <w:r>
                <w:rPr>
                  <w:rFonts w:ascii="Arial" w:cs="Arial" w:eastAsia="Arial" w:hAnsi="Arial"/>
                  <w:sz w:val="13"/>
                  <w:szCs w:val="13"/>
                  <w:color w:val="0000FF"/>
                </w:rPr>
                <w:t>Changes in and Disagreements With Accountants on Accounting and Financial Disclosure</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105">
              <w:r>
                <w:rPr>
                  <w:rFonts w:ascii="Arial" w:cs="Arial" w:eastAsia="Arial" w:hAnsi="Arial"/>
                  <w:sz w:val="13"/>
                  <w:szCs w:val="13"/>
                  <w:color w:val="0000FF"/>
                </w:rPr>
                <w:t>105</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19"/>
        </w:trPr>
        <w:tc>
          <w:tcPr>
            <w:tcW w:w="460" w:type="dxa"/>
            <w:vAlign w:val="bottom"/>
            <w:gridSpan w:val="2"/>
          </w:tcPr>
          <w:p>
            <w:pPr>
              <w:spacing w:after="0" w:line="119" w:lineRule="exact"/>
              <w:rPr>
                <w:rFonts w:ascii="Arial" w:cs="Arial" w:eastAsia="Arial" w:hAnsi="Arial"/>
                <w:sz w:val="13"/>
                <w:szCs w:val="13"/>
                <w:color w:val="0000FF"/>
                <w:w w:val="86"/>
              </w:rPr>
            </w:pPr>
            <w:hyperlink w:anchor="page105">
              <w:r>
                <w:rPr>
                  <w:rFonts w:ascii="Arial" w:cs="Arial" w:eastAsia="Arial" w:hAnsi="Arial"/>
                  <w:sz w:val="13"/>
                  <w:szCs w:val="13"/>
                  <w:color w:val="0000FF"/>
                  <w:w w:val="86"/>
                </w:rPr>
                <w:t>Item 9A.</w:t>
              </w:r>
            </w:hyperlink>
          </w:p>
        </w:tc>
        <w:tc>
          <w:tcPr>
            <w:tcW w:w="220" w:type="dxa"/>
            <w:vAlign w:val="bottom"/>
          </w:tcPr>
          <w:p>
            <w:pPr>
              <w:spacing w:after="0"/>
              <w:rPr>
                <w:sz w:val="10"/>
                <w:szCs w:val="10"/>
                <w:color w:val="auto"/>
              </w:rPr>
            </w:pPr>
          </w:p>
        </w:tc>
        <w:tc>
          <w:tcPr>
            <w:tcW w:w="6320" w:type="dxa"/>
            <w:vAlign w:val="bottom"/>
            <w:gridSpan w:val="23"/>
          </w:tcPr>
          <w:p>
            <w:pPr>
              <w:spacing w:after="0" w:line="119" w:lineRule="exact"/>
              <w:rPr>
                <w:rFonts w:ascii="Arial" w:cs="Arial" w:eastAsia="Arial" w:hAnsi="Arial"/>
                <w:sz w:val="13"/>
                <w:szCs w:val="13"/>
                <w:color w:val="0000FF"/>
              </w:rPr>
            </w:pPr>
            <w:hyperlink w:anchor="page105">
              <w:r>
                <w:rPr>
                  <w:rFonts w:ascii="Arial" w:cs="Arial" w:eastAsia="Arial" w:hAnsi="Arial"/>
                  <w:sz w:val="13"/>
                  <w:szCs w:val="13"/>
                  <w:color w:val="0000FF"/>
                </w:rPr>
                <w:t>Controls and Procedures</w:t>
              </w:r>
            </w:hyperlink>
          </w:p>
        </w:tc>
        <w:tc>
          <w:tcPr>
            <w:tcW w:w="680" w:type="dxa"/>
            <w:vAlign w:val="bottom"/>
            <w:gridSpan w:val="2"/>
          </w:tcPr>
          <w:p>
            <w:pPr>
              <w:jc w:val="right"/>
              <w:spacing w:after="0" w:line="119" w:lineRule="exact"/>
              <w:rPr>
                <w:rFonts w:ascii="Arial" w:cs="Arial" w:eastAsia="Arial" w:hAnsi="Arial"/>
                <w:sz w:val="13"/>
                <w:szCs w:val="13"/>
                <w:color w:val="0000FF"/>
              </w:rPr>
            </w:pPr>
            <w:hyperlink w:anchor="page105">
              <w:r>
                <w:rPr>
                  <w:rFonts w:ascii="Arial" w:cs="Arial" w:eastAsia="Arial" w:hAnsi="Arial"/>
                  <w:sz w:val="13"/>
                  <w:szCs w:val="13"/>
                  <w:color w:val="0000FF"/>
                </w:rPr>
                <w:t>105</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60" w:type="dxa"/>
            <w:vAlign w:val="bottom"/>
            <w:gridSpan w:val="2"/>
          </w:tcPr>
          <w:p>
            <w:pPr>
              <w:spacing w:after="0" w:line="129" w:lineRule="exact"/>
              <w:rPr>
                <w:rFonts w:ascii="Arial" w:cs="Arial" w:eastAsia="Arial" w:hAnsi="Arial"/>
                <w:sz w:val="13"/>
                <w:szCs w:val="13"/>
                <w:color w:val="0000FF"/>
                <w:w w:val="86"/>
              </w:rPr>
            </w:pPr>
            <w:hyperlink w:anchor="page105">
              <w:r>
                <w:rPr>
                  <w:rFonts w:ascii="Arial" w:cs="Arial" w:eastAsia="Arial" w:hAnsi="Arial"/>
                  <w:sz w:val="13"/>
                  <w:szCs w:val="13"/>
                  <w:color w:val="0000FF"/>
                  <w:w w:val="86"/>
                </w:rPr>
                <w:t>Item 9B.</w:t>
              </w:r>
            </w:hyperlink>
          </w:p>
        </w:tc>
        <w:tc>
          <w:tcPr>
            <w:tcW w:w="220" w:type="dxa"/>
            <w:vAlign w:val="bottom"/>
          </w:tcPr>
          <w:p>
            <w:pPr>
              <w:spacing w:after="0"/>
              <w:rPr>
                <w:sz w:val="11"/>
                <w:szCs w:val="11"/>
                <w:color w:val="auto"/>
              </w:rPr>
            </w:pPr>
          </w:p>
        </w:tc>
        <w:tc>
          <w:tcPr>
            <w:tcW w:w="1420" w:type="dxa"/>
            <w:vAlign w:val="bottom"/>
            <w:gridSpan w:val="6"/>
          </w:tcPr>
          <w:p>
            <w:pPr>
              <w:spacing w:after="0" w:line="129" w:lineRule="exact"/>
              <w:rPr>
                <w:rFonts w:ascii="Arial" w:cs="Arial" w:eastAsia="Arial" w:hAnsi="Arial"/>
                <w:sz w:val="13"/>
                <w:szCs w:val="13"/>
                <w:color w:val="0000FF"/>
              </w:rPr>
            </w:pPr>
            <w:hyperlink w:anchor="page105">
              <w:r>
                <w:rPr>
                  <w:rFonts w:ascii="Arial" w:cs="Arial" w:eastAsia="Arial" w:hAnsi="Arial"/>
                  <w:sz w:val="13"/>
                  <w:szCs w:val="13"/>
                  <w:color w:val="0000FF"/>
                </w:rPr>
                <w:t>Other Information</w:t>
              </w:r>
            </w:hyperlink>
          </w:p>
        </w:tc>
        <w:tc>
          <w:tcPr>
            <w:tcW w:w="4900" w:type="dxa"/>
            <w:vAlign w:val="bottom"/>
            <w:gridSpan w:val="17"/>
          </w:tcPr>
          <w:p>
            <w:pPr>
              <w:spacing w:after="0"/>
              <w:rPr>
                <w:sz w:val="11"/>
                <w:szCs w:val="11"/>
                <w:color w:val="auto"/>
              </w:rPr>
            </w:pPr>
          </w:p>
        </w:tc>
        <w:tc>
          <w:tcPr>
            <w:tcW w:w="680" w:type="dxa"/>
            <w:vAlign w:val="bottom"/>
            <w:gridSpan w:val="2"/>
          </w:tcPr>
          <w:p>
            <w:pPr>
              <w:jc w:val="right"/>
              <w:spacing w:after="0" w:line="129" w:lineRule="exact"/>
              <w:rPr>
                <w:rFonts w:ascii="Arial" w:cs="Arial" w:eastAsia="Arial" w:hAnsi="Arial"/>
                <w:sz w:val="13"/>
                <w:szCs w:val="13"/>
                <w:color w:val="0000FF"/>
              </w:rPr>
            </w:pPr>
            <w:hyperlink w:anchor="page105">
              <w:r>
                <w:rPr>
                  <w:rFonts w:ascii="Arial" w:cs="Arial" w:eastAsia="Arial" w:hAnsi="Arial"/>
                  <w:sz w:val="13"/>
                  <w:szCs w:val="13"/>
                  <w:color w:val="0000FF"/>
                </w:rPr>
                <w:t>105</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60" w:type="dxa"/>
            <w:vAlign w:val="bottom"/>
            <w:gridSpan w:val="2"/>
          </w:tcPr>
          <w:p>
            <w:pPr>
              <w:spacing w:after="0" w:line="129" w:lineRule="exact"/>
              <w:rPr>
                <w:rFonts w:ascii="Arial" w:cs="Arial" w:eastAsia="Arial" w:hAnsi="Arial"/>
                <w:sz w:val="13"/>
                <w:szCs w:val="13"/>
                <w:color w:val="0000FF"/>
                <w:w w:val="85"/>
              </w:rPr>
            </w:pPr>
            <w:hyperlink w:anchor="page105">
              <w:r>
                <w:rPr>
                  <w:rFonts w:ascii="Arial" w:cs="Arial" w:eastAsia="Arial" w:hAnsi="Arial"/>
                  <w:sz w:val="13"/>
                  <w:szCs w:val="13"/>
                  <w:color w:val="0000FF"/>
                  <w:w w:val="85"/>
                </w:rPr>
                <w:t>Item 9C.</w:t>
              </w:r>
            </w:hyperlink>
          </w:p>
        </w:tc>
        <w:tc>
          <w:tcPr>
            <w:tcW w:w="220" w:type="dxa"/>
            <w:vAlign w:val="bottom"/>
          </w:tcPr>
          <w:p>
            <w:pPr>
              <w:spacing w:after="0"/>
              <w:rPr>
                <w:sz w:val="11"/>
                <w:szCs w:val="11"/>
                <w:color w:val="auto"/>
              </w:rPr>
            </w:pPr>
          </w:p>
        </w:tc>
        <w:tc>
          <w:tcPr>
            <w:tcW w:w="3900" w:type="dxa"/>
            <w:vAlign w:val="bottom"/>
            <w:gridSpan w:val="18"/>
          </w:tcPr>
          <w:p>
            <w:pPr>
              <w:spacing w:after="0" w:line="129" w:lineRule="exact"/>
              <w:rPr>
                <w:rFonts w:ascii="Arial" w:cs="Arial" w:eastAsia="Arial" w:hAnsi="Arial"/>
                <w:sz w:val="13"/>
                <w:szCs w:val="13"/>
                <w:color w:val="0000FF"/>
                <w:w w:val="98"/>
              </w:rPr>
            </w:pPr>
            <w:hyperlink w:anchor="page105">
              <w:r>
                <w:rPr>
                  <w:rFonts w:ascii="Arial" w:cs="Arial" w:eastAsia="Arial" w:hAnsi="Arial"/>
                  <w:sz w:val="13"/>
                  <w:szCs w:val="13"/>
                  <w:color w:val="0000FF"/>
                  <w:w w:val="98"/>
                </w:rPr>
                <w:t>Disclosure Regarding Foreign Jurisdictions That Prevent Inspections</w:t>
              </w:r>
            </w:hyperlink>
          </w:p>
        </w:tc>
        <w:tc>
          <w:tcPr>
            <w:tcW w:w="2420" w:type="dxa"/>
            <w:vAlign w:val="bottom"/>
            <w:gridSpan w:val="5"/>
          </w:tcPr>
          <w:p>
            <w:pPr>
              <w:spacing w:after="0"/>
              <w:rPr>
                <w:sz w:val="11"/>
                <w:szCs w:val="11"/>
                <w:color w:val="auto"/>
              </w:rPr>
            </w:pPr>
          </w:p>
        </w:tc>
        <w:tc>
          <w:tcPr>
            <w:tcW w:w="680" w:type="dxa"/>
            <w:vAlign w:val="bottom"/>
            <w:gridSpan w:val="2"/>
          </w:tcPr>
          <w:p>
            <w:pPr>
              <w:jc w:val="right"/>
              <w:spacing w:after="0" w:line="129" w:lineRule="exact"/>
              <w:rPr>
                <w:rFonts w:ascii="Arial" w:cs="Arial" w:eastAsia="Arial" w:hAnsi="Arial"/>
                <w:sz w:val="13"/>
                <w:szCs w:val="13"/>
                <w:color w:val="0000FF"/>
              </w:rPr>
            </w:pPr>
            <w:hyperlink w:anchor="page105">
              <w:r>
                <w:rPr>
                  <w:rFonts w:ascii="Arial" w:cs="Arial" w:eastAsia="Arial" w:hAnsi="Arial"/>
                  <w:sz w:val="13"/>
                  <w:szCs w:val="13"/>
                  <w:color w:val="0000FF"/>
                </w:rPr>
                <w:t>105</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79"/>
        </w:trPr>
        <w:tc>
          <w:tcPr>
            <w:tcW w:w="460" w:type="dxa"/>
            <w:vAlign w:val="bottom"/>
            <w:gridSpan w:val="2"/>
          </w:tcPr>
          <w:p>
            <w:pPr>
              <w:spacing w:after="0"/>
              <w:rPr>
                <w:rFonts w:ascii="Arial" w:cs="Arial" w:eastAsia="Arial" w:hAnsi="Arial"/>
                <w:sz w:val="13"/>
                <w:szCs w:val="13"/>
                <w:b w:val="1"/>
                <w:bCs w:val="1"/>
                <w:color w:val="0000FF"/>
                <w:w w:val="84"/>
              </w:rPr>
            </w:pPr>
            <w:hyperlink w:anchor="page106">
              <w:r>
                <w:rPr>
                  <w:rFonts w:ascii="Arial" w:cs="Arial" w:eastAsia="Arial" w:hAnsi="Arial"/>
                  <w:sz w:val="13"/>
                  <w:szCs w:val="13"/>
                  <w:b w:val="1"/>
                  <w:bCs w:val="1"/>
                  <w:color w:val="0000FF"/>
                  <w:w w:val="84"/>
                </w:rPr>
                <w:t>PART III</w:t>
              </w:r>
            </w:hyperlink>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rFonts w:ascii="Arial" w:cs="Arial" w:eastAsia="Arial" w:hAnsi="Arial"/>
                <w:sz w:val="13"/>
                <w:szCs w:val="13"/>
                <w:color w:val="0000FF"/>
              </w:rPr>
            </w:pPr>
            <w:hyperlink w:anchor="page106">
              <w:r>
                <w:rPr>
                  <w:rFonts w:ascii="Arial" w:cs="Arial" w:eastAsia="Arial" w:hAnsi="Arial"/>
                  <w:sz w:val="13"/>
                  <w:szCs w:val="13"/>
                  <w:color w:val="0000FF"/>
                </w:rPr>
                <w:t>106</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68"/>
        </w:trPr>
        <w:tc>
          <w:tcPr>
            <w:tcW w:w="460" w:type="dxa"/>
            <w:vAlign w:val="bottom"/>
            <w:gridSpan w:val="2"/>
          </w:tcPr>
          <w:p>
            <w:pPr>
              <w:spacing w:after="0"/>
              <w:rPr>
                <w:rFonts w:ascii="Arial" w:cs="Arial" w:eastAsia="Arial" w:hAnsi="Arial"/>
                <w:sz w:val="13"/>
                <w:szCs w:val="13"/>
                <w:color w:val="0000FF"/>
                <w:w w:val="89"/>
              </w:rPr>
            </w:pPr>
            <w:hyperlink w:anchor="page106">
              <w:r>
                <w:rPr>
                  <w:rFonts w:ascii="Arial" w:cs="Arial" w:eastAsia="Arial" w:hAnsi="Arial"/>
                  <w:sz w:val="13"/>
                  <w:szCs w:val="13"/>
                  <w:color w:val="0000FF"/>
                  <w:w w:val="89"/>
                </w:rPr>
                <w:t>Item 10.</w:t>
              </w:r>
            </w:hyperlink>
          </w:p>
        </w:tc>
        <w:tc>
          <w:tcPr>
            <w:tcW w:w="220" w:type="dxa"/>
            <w:vAlign w:val="bottom"/>
          </w:tcPr>
          <w:p>
            <w:pPr>
              <w:spacing w:after="0"/>
              <w:rPr>
                <w:sz w:val="23"/>
                <w:szCs w:val="23"/>
                <w:color w:val="auto"/>
              </w:rPr>
            </w:pPr>
          </w:p>
        </w:tc>
        <w:tc>
          <w:tcPr>
            <w:tcW w:w="6320" w:type="dxa"/>
            <w:vAlign w:val="bottom"/>
            <w:gridSpan w:val="23"/>
          </w:tcPr>
          <w:p>
            <w:pPr>
              <w:spacing w:after="0"/>
              <w:rPr>
                <w:rFonts w:ascii="Arial" w:cs="Arial" w:eastAsia="Arial" w:hAnsi="Arial"/>
                <w:sz w:val="13"/>
                <w:szCs w:val="13"/>
                <w:color w:val="0000FF"/>
              </w:rPr>
            </w:pPr>
            <w:hyperlink w:anchor="page106">
              <w:r>
                <w:rPr>
                  <w:rFonts w:ascii="Arial" w:cs="Arial" w:eastAsia="Arial" w:hAnsi="Arial"/>
                  <w:sz w:val="13"/>
                  <w:szCs w:val="13"/>
                  <w:color w:val="0000FF"/>
                </w:rPr>
                <w:t>Directors, Executive Officers and Corporate Governance</w:t>
              </w:r>
            </w:hyperlink>
          </w:p>
        </w:tc>
        <w:tc>
          <w:tcPr>
            <w:tcW w:w="680" w:type="dxa"/>
            <w:vAlign w:val="bottom"/>
            <w:gridSpan w:val="2"/>
          </w:tcPr>
          <w:p>
            <w:pPr>
              <w:jc w:val="right"/>
              <w:spacing w:after="0"/>
              <w:rPr>
                <w:rFonts w:ascii="Arial" w:cs="Arial" w:eastAsia="Arial" w:hAnsi="Arial"/>
                <w:sz w:val="13"/>
                <w:szCs w:val="13"/>
                <w:color w:val="0000FF"/>
              </w:rPr>
            </w:pPr>
            <w:hyperlink w:anchor="page106">
              <w:r>
                <w:rPr>
                  <w:rFonts w:ascii="Arial" w:cs="Arial" w:eastAsia="Arial" w:hAnsi="Arial"/>
                  <w:sz w:val="13"/>
                  <w:szCs w:val="13"/>
                  <w:color w:val="0000FF"/>
                </w:rPr>
                <w:t>106</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680" w:type="dxa"/>
            <w:vAlign w:val="bottom"/>
            <w:gridSpan w:val="3"/>
          </w:tcPr>
          <w:p>
            <w:pPr>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Item 11.</w:t>
              </w:r>
            </w:hyperlink>
          </w:p>
        </w:tc>
        <w:tc>
          <w:tcPr>
            <w:tcW w:w="6320" w:type="dxa"/>
            <w:vAlign w:val="bottom"/>
            <w:gridSpan w:val="23"/>
          </w:tcPr>
          <w:p>
            <w:pPr>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Executive Compensation</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106</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680" w:type="dxa"/>
            <w:vAlign w:val="bottom"/>
            <w:gridSpan w:val="3"/>
          </w:tcPr>
          <w:p>
            <w:pPr>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Item 12.</w:t>
              </w:r>
            </w:hyperlink>
          </w:p>
        </w:tc>
        <w:tc>
          <w:tcPr>
            <w:tcW w:w="6320" w:type="dxa"/>
            <w:vAlign w:val="bottom"/>
            <w:gridSpan w:val="23"/>
          </w:tcPr>
          <w:p>
            <w:pPr>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Security Ownership of Certain Beneficial Owners and Management and Related Stockholder Matters</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106</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19"/>
        </w:trPr>
        <w:tc>
          <w:tcPr>
            <w:tcW w:w="680" w:type="dxa"/>
            <w:vAlign w:val="bottom"/>
            <w:gridSpan w:val="3"/>
          </w:tcPr>
          <w:p>
            <w:pPr>
              <w:spacing w:after="0" w:line="119" w:lineRule="exact"/>
              <w:rPr>
                <w:rFonts w:ascii="Arial" w:cs="Arial" w:eastAsia="Arial" w:hAnsi="Arial"/>
                <w:sz w:val="13"/>
                <w:szCs w:val="13"/>
                <w:color w:val="0000FF"/>
              </w:rPr>
            </w:pPr>
            <w:hyperlink w:anchor="page106">
              <w:r>
                <w:rPr>
                  <w:rFonts w:ascii="Arial" w:cs="Arial" w:eastAsia="Arial" w:hAnsi="Arial"/>
                  <w:sz w:val="13"/>
                  <w:szCs w:val="13"/>
                  <w:color w:val="0000FF"/>
                </w:rPr>
                <w:t>Item 13.</w:t>
              </w:r>
            </w:hyperlink>
          </w:p>
        </w:tc>
        <w:tc>
          <w:tcPr>
            <w:tcW w:w="6320" w:type="dxa"/>
            <w:vAlign w:val="bottom"/>
            <w:gridSpan w:val="23"/>
          </w:tcPr>
          <w:p>
            <w:pPr>
              <w:spacing w:after="0" w:line="119" w:lineRule="exact"/>
              <w:rPr>
                <w:rFonts w:ascii="Arial" w:cs="Arial" w:eastAsia="Arial" w:hAnsi="Arial"/>
                <w:sz w:val="13"/>
                <w:szCs w:val="13"/>
                <w:color w:val="0000FF"/>
              </w:rPr>
            </w:pPr>
            <w:hyperlink w:anchor="page106">
              <w:r>
                <w:rPr>
                  <w:rFonts w:ascii="Arial" w:cs="Arial" w:eastAsia="Arial" w:hAnsi="Arial"/>
                  <w:sz w:val="13"/>
                  <w:szCs w:val="13"/>
                  <w:color w:val="0000FF"/>
                </w:rPr>
                <w:t>Certain Relationships and Related Transactions, and Director Independence</w:t>
              </w:r>
            </w:hyperlink>
          </w:p>
        </w:tc>
        <w:tc>
          <w:tcPr>
            <w:tcW w:w="680" w:type="dxa"/>
            <w:vAlign w:val="bottom"/>
            <w:gridSpan w:val="2"/>
          </w:tcPr>
          <w:p>
            <w:pPr>
              <w:jc w:val="right"/>
              <w:spacing w:after="0" w:line="119" w:lineRule="exact"/>
              <w:rPr>
                <w:rFonts w:ascii="Arial" w:cs="Arial" w:eastAsia="Arial" w:hAnsi="Arial"/>
                <w:sz w:val="13"/>
                <w:szCs w:val="13"/>
                <w:color w:val="0000FF"/>
              </w:rPr>
            </w:pPr>
            <w:hyperlink w:anchor="page106">
              <w:r>
                <w:rPr>
                  <w:rFonts w:ascii="Arial" w:cs="Arial" w:eastAsia="Arial" w:hAnsi="Arial"/>
                  <w:sz w:val="13"/>
                  <w:szCs w:val="13"/>
                  <w:color w:val="0000FF"/>
                </w:rPr>
                <w:t>106</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680" w:type="dxa"/>
            <w:vAlign w:val="bottom"/>
            <w:gridSpan w:val="3"/>
          </w:tcPr>
          <w:p>
            <w:pPr>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Item 14.</w:t>
              </w:r>
            </w:hyperlink>
          </w:p>
        </w:tc>
        <w:tc>
          <w:tcPr>
            <w:tcW w:w="6320" w:type="dxa"/>
            <w:vAlign w:val="bottom"/>
            <w:gridSpan w:val="23"/>
          </w:tcPr>
          <w:p>
            <w:pPr>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Principal Accountant Fees and Services</w:t>
              </w:r>
            </w:hyperlink>
          </w:p>
        </w:tc>
        <w:tc>
          <w:tcPr>
            <w:tcW w:w="680" w:type="dxa"/>
            <w:vAlign w:val="bottom"/>
            <w:gridSpan w:val="2"/>
          </w:tcPr>
          <w:p>
            <w:pPr>
              <w:jc w:val="right"/>
              <w:spacing w:after="0" w:line="129" w:lineRule="exact"/>
              <w:rPr>
                <w:rFonts w:ascii="Arial" w:cs="Arial" w:eastAsia="Arial" w:hAnsi="Arial"/>
                <w:sz w:val="13"/>
                <w:szCs w:val="13"/>
                <w:color w:val="0000FF"/>
              </w:rPr>
            </w:pPr>
            <w:hyperlink w:anchor="page106">
              <w:r>
                <w:rPr>
                  <w:rFonts w:ascii="Arial" w:cs="Arial" w:eastAsia="Arial" w:hAnsi="Arial"/>
                  <w:sz w:val="13"/>
                  <w:szCs w:val="13"/>
                  <w:color w:val="0000FF"/>
                </w:rPr>
                <w:t>106</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79"/>
        </w:trPr>
        <w:tc>
          <w:tcPr>
            <w:tcW w:w="460" w:type="dxa"/>
            <w:vAlign w:val="bottom"/>
            <w:gridSpan w:val="2"/>
          </w:tcPr>
          <w:p>
            <w:pPr>
              <w:spacing w:after="0"/>
              <w:rPr>
                <w:rFonts w:ascii="Arial" w:cs="Arial" w:eastAsia="Arial" w:hAnsi="Arial"/>
                <w:sz w:val="13"/>
                <w:szCs w:val="13"/>
                <w:b w:val="1"/>
                <w:bCs w:val="1"/>
                <w:color w:val="0000FF"/>
                <w:w w:val="81"/>
              </w:rPr>
            </w:pPr>
            <w:hyperlink w:anchor="page107">
              <w:r>
                <w:rPr>
                  <w:rFonts w:ascii="Arial" w:cs="Arial" w:eastAsia="Arial" w:hAnsi="Arial"/>
                  <w:sz w:val="13"/>
                  <w:szCs w:val="13"/>
                  <w:b w:val="1"/>
                  <w:bCs w:val="1"/>
                  <w:color w:val="0000FF"/>
                  <w:w w:val="81"/>
                </w:rPr>
                <w:t>PART IV</w:t>
              </w:r>
            </w:hyperlink>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rFonts w:ascii="Arial" w:cs="Arial" w:eastAsia="Arial" w:hAnsi="Arial"/>
                <w:sz w:val="13"/>
                <w:szCs w:val="13"/>
                <w:color w:val="0000FF"/>
              </w:rPr>
            </w:pPr>
            <w:hyperlink w:anchor="page107">
              <w:r>
                <w:rPr>
                  <w:rFonts w:ascii="Arial" w:cs="Arial" w:eastAsia="Arial" w:hAnsi="Arial"/>
                  <w:sz w:val="13"/>
                  <w:szCs w:val="13"/>
                  <w:color w:val="0000FF"/>
                </w:rPr>
                <w:t>107</w:t>
              </w:r>
            </w:hyperlink>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8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68"/>
        </w:trPr>
        <w:tc>
          <w:tcPr>
            <w:tcW w:w="460" w:type="dxa"/>
            <w:vAlign w:val="bottom"/>
            <w:gridSpan w:val="2"/>
          </w:tcPr>
          <w:p>
            <w:pPr>
              <w:spacing w:after="0"/>
              <w:rPr>
                <w:rFonts w:ascii="Arial" w:cs="Arial" w:eastAsia="Arial" w:hAnsi="Arial"/>
                <w:sz w:val="13"/>
                <w:szCs w:val="13"/>
                <w:color w:val="0000FF"/>
                <w:w w:val="89"/>
              </w:rPr>
            </w:pPr>
            <w:hyperlink w:anchor="page107">
              <w:r>
                <w:rPr>
                  <w:rFonts w:ascii="Arial" w:cs="Arial" w:eastAsia="Arial" w:hAnsi="Arial"/>
                  <w:sz w:val="13"/>
                  <w:szCs w:val="13"/>
                  <w:color w:val="0000FF"/>
                  <w:w w:val="89"/>
                </w:rPr>
                <w:t>Item 15.</w:t>
              </w:r>
            </w:hyperlink>
          </w:p>
        </w:tc>
        <w:tc>
          <w:tcPr>
            <w:tcW w:w="220" w:type="dxa"/>
            <w:vAlign w:val="bottom"/>
          </w:tcPr>
          <w:p>
            <w:pPr>
              <w:spacing w:after="0"/>
              <w:rPr>
                <w:sz w:val="23"/>
                <w:szCs w:val="23"/>
                <w:color w:val="auto"/>
              </w:rPr>
            </w:pPr>
          </w:p>
        </w:tc>
        <w:tc>
          <w:tcPr>
            <w:tcW w:w="6320" w:type="dxa"/>
            <w:vAlign w:val="bottom"/>
            <w:gridSpan w:val="23"/>
          </w:tcPr>
          <w:p>
            <w:pPr>
              <w:spacing w:after="0"/>
              <w:rPr>
                <w:rFonts w:ascii="Arial" w:cs="Arial" w:eastAsia="Arial" w:hAnsi="Arial"/>
                <w:sz w:val="13"/>
                <w:szCs w:val="13"/>
                <w:color w:val="0000FF"/>
              </w:rPr>
            </w:pPr>
            <w:hyperlink w:anchor="page107">
              <w:r>
                <w:rPr>
                  <w:rFonts w:ascii="Arial" w:cs="Arial" w:eastAsia="Arial" w:hAnsi="Arial"/>
                  <w:sz w:val="13"/>
                  <w:szCs w:val="13"/>
                  <w:color w:val="0000FF"/>
                </w:rPr>
                <w:t>Exhibit and Financial Statement Schedules</w:t>
              </w:r>
            </w:hyperlink>
          </w:p>
        </w:tc>
        <w:tc>
          <w:tcPr>
            <w:tcW w:w="680" w:type="dxa"/>
            <w:vAlign w:val="bottom"/>
            <w:gridSpan w:val="2"/>
          </w:tcPr>
          <w:p>
            <w:pPr>
              <w:jc w:val="right"/>
              <w:spacing w:after="0"/>
              <w:rPr>
                <w:rFonts w:ascii="Arial" w:cs="Arial" w:eastAsia="Arial" w:hAnsi="Arial"/>
                <w:sz w:val="13"/>
                <w:szCs w:val="13"/>
                <w:color w:val="0000FF"/>
              </w:rPr>
            </w:pPr>
            <w:hyperlink w:anchor="page107">
              <w:r>
                <w:rPr>
                  <w:rFonts w:ascii="Arial" w:cs="Arial" w:eastAsia="Arial" w:hAnsi="Arial"/>
                  <w:sz w:val="13"/>
                  <w:szCs w:val="13"/>
                  <w:color w:val="0000FF"/>
                </w:rPr>
                <w:t>107</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38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spacing w:after="0" w:line="129" w:lineRule="exact"/>
              <w:rPr>
                <w:rFonts w:ascii="Arial" w:cs="Arial" w:eastAsia="Arial" w:hAnsi="Arial"/>
                <w:sz w:val="13"/>
                <w:szCs w:val="13"/>
                <w:color w:val="0000FF"/>
                <w:w w:val="93"/>
              </w:rPr>
            </w:pPr>
            <w:hyperlink w:anchor="page108">
              <w:r>
                <w:rPr>
                  <w:rFonts w:ascii="Arial" w:cs="Arial" w:eastAsia="Arial" w:hAnsi="Arial"/>
                  <w:sz w:val="13"/>
                  <w:szCs w:val="13"/>
                  <w:color w:val="0000FF"/>
                  <w:w w:val="93"/>
                </w:rPr>
                <w:t>Exhibit Index</w:t>
              </w:r>
            </w:hyperlink>
          </w:p>
        </w:tc>
        <w:tc>
          <w:tcPr>
            <w:tcW w:w="1700" w:type="dxa"/>
            <w:vAlign w:val="bottom"/>
            <w:gridSpan w:val="7"/>
          </w:tcPr>
          <w:p>
            <w:pPr>
              <w:spacing w:after="0"/>
              <w:rPr>
                <w:sz w:val="11"/>
                <w:szCs w:val="11"/>
                <w:color w:val="auto"/>
              </w:rPr>
            </w:pPr>
          </w:p>
        </w:tc>
        <w:tc>
          <w:tcPr>
            <w:tcW w:w="3880" w:type="dxa"/>
            <w:vAlign w:val="bottom"/>
            <w:gridSpan w:val="13"/>
          </w:tcPr>
          <w:p>
            <w:pPr>
              <w:spacing w:after="0"/>
              <w:rPr>
                <w:sz w:val="11"/>
                <w:szCs w:val="11"/>
                <w:color w:val="auto"/>
              </w:rPr>
            </w:pPr>
          </w:p>
        </w:tc>
        <w:tc>
          <w:tcPr>
            <w:tcW w:w="680" w:type="dxa"/>
            <w:vAlign w:val="bottom"/>
            <w:gridSpan w:val="2"/>
          </w:tcPr>
          <w:p>
            <w:pPr>
              <w:jc w:val="right"/>
              <w:spacing w:after="0" w:line="129" w:lineRule="exact"/>
              <w:rPr>
                <w:rFonts w:ascii="Arial" w:cs="Arial" w:eastAsia="Arial" w:hAnsi="Arial"/>
                <w:sz w:val="13"/>
                <w:szCs w:val="13"/>
                <w:color w:val="0000FF"/>
              </w:rPr>
            </w:pPr>
            <w:hyperlink w:anchor="page108">
              <w:r>
                <w:rPr>
                  <w:rFonts w:ascii="Arial" w:cs="Arial" w:eastAsia="Arial" w:hAnsi="Arial"/>
                  <w:sz w:val="13"/>
                  <w:szCs w:val="13"/>
                  <w:color w:val="0000FF"/>
                </w:rPr>
                <w:t>108</w:t>
              </w:r>
            </w:hyperlink>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bl>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340"/>
        <w:spacing w:after="0"/>
        <w:rPr>
          <w:rFonts w:ascii="Arial" w:cs="Arial" w:eastAsia="Arial" w:hAnsi="Arial"/>
          <w:sz w:val="13"/>
          <w:szCs w:val="13"/>
          <w:u w:val="single" w:color="auto"/>
          <w:color w:val="0000FF"/>
        </w:rPr>
      </w:pPr>
      <w:hyperlink w:anchor="page109">
        <w:r>
          <w:rPr>
            <w:rFonts w:ascii="Arial" w:cs="Arial" w:eastAsia="Arial" w:hAnsi="Arial"/>
            <w:sz w:val="13"/>
            <w:szCs w:val="13"/>
            <w:u w:val="single" w:color="auto"/>
            <w:color w:val="0000FF"/>
          </w:rPr>
          <w:t>Signatures</w:t>
        </w:r>
      </w:hyperlink>
    </w:p>
    <w:p>
      <w:pPr>
        <w:sectPr>
          <w:pgSz w:w="11900" w:h="16838" w:orient="portrait"/>
          <w:cols w:equalWidth="0" w:num="1">
            <w:col w:w="9019"/>
          </w:cols>
          <w:pgMar w:left="1440" w:top="143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CAUTIONARY NOTE REGARDING FORWARD -LOOKING STATEMENTS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5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53" w:lineRule="exact"/>
        <w:rPr>
          <w:sz w:val="20"/>
          <w:szCs w:val="20"/>
          <w:color w:val="auto"/>
        </w:rPr>
      </w:pPr>
    </w:p>
    <w:p>
      <w:pPr>
        <w:ind w:left="1180" w:right="699" w:hanging="261"/>
        <w:spacing w:after="0" w:line="246" w:lineRule="auto"/>
        <w:tabs>
          <w:tab w:leader="none" w:pos="117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1180" w:right="679" w:hanging="261"/>
        <w:spacing w:after="0" w:line="238" w:lineRule="auto"/>
        <w:tabs>
          <w:tab w:leader="none" w:pos="117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COVID-19 pandemic and its impact on us, our employees, customers and third-party service providers, and the ultimate extent of the impacts of the pandemic and related government stimulus programs;</w:t>
      </w:r>
    </w:p>
    <w:p>
      <w:pPr>
        <w:spacing w:after="0" w:line="1" w:lineRule="exact"/>
        <w:rPr>
          <w:sz w:val="20"/>
          <w:szCs w:val="20"/>
          <w:color w:val="auto"/>
        </w:rPr>
      </w:pP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spacing w:after="0" w:line="10" w:lineRule="exact"/>
        <w:rPr>
          <w:sz w:val="20"/>
          <w:szCs w:val="20"/>
          <w:color w:val="auto"/>
        </w:rPr>
      </w:pPr>
    </w:p>
    <w:p>
      <w:pPr>
        <w:ind w:left="1180" w:right="679" w:hanging="261"/>
        <w:spacing w:after="0" w:line="238"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spacing w:after="0" w:line="9" w:lineRule="exact"/>
        <w:rPr>
          <w:rFonts w:ascii="Arial" w:cs="Arial" w:eastAsia="Arial" w:hAnsi="Arial"/>
          <w:sz w:val="14"/>
          <w:szCs w:val="14"/>
          <w:color w:val="auto"/>
        </w:rPr>
      </w:pPr>
    </w:p>
    <w:p>
      <w:pPr>
        <w:ind w:left="1180" w:right="719" w:hanging="261"/>
        <w:spacing w:after="0" w:line="238"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99" w:hanging="261"/>
        <w:spacing w:after="0" w:line="246"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forthcoming implementation of the Current Expected Credit Losses (“CECL”) standard ;</w:t>
      </w:r>
    </w:p>
    <w:p>
      <w:pPr>
        <w:jc w:val="both"/>
        <w:ind w:left="1180" w:right="699" w:hanging="261"/>
        <w:spacing w:after="0" w:line="243"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concentration of ownership of our Class A common stock;</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and its effect on pricing of our products and services as well as our margins;</w:t>
      </w:r>
    </w:p>
    <w:p>
      <w:pPr>
        <w:ind w:left="1180" w:right="699" w:hanging="261"/>
        <w:spacing w:after="0" w:line="246"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right="719" w:hanging="261"/>
        <w:spacing w:after="0" w:line="252" w:lineRule="auto"/>
        <w:tabs>
          <w:tab w:leader="none" w:pos="1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described this Form 10-K and other filings we make with the Securities and Exchange Commission (“SEC”).</w:t>
      </w:r>
    </w:p>
    <w:p>
      <w:pPr>
        <w:spacing w:after="0" w:line="15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presentation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the Bank filed with the Federal Deposit Insurance Corporation (“FDIC”).</w:t>
      </w:r>
    </w:p>
    <w:p>
      <w:pPr>
        <w:sectPr>
          <w:pgSz w:w="11900" w:h="16838" w:orient="portrait"/>
          <w:cols w:equalWidth="0" w:num="1">
            <w:col w:w="9019"/>
          </w:cols>
          <w:pgMar w:left="1440" w:top="719" w:right="1440" w:bottom="1440" w:gutter="0" w:footer="0" w:header="0"/>
        </w:sectPr>
      </w:pPr>
    </w:p>
    <w:bookmarkStart w:id="3" w:name="page4"/>
    <w:bookmarkEnd w:id="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USCB Financial Holdings, Inc., a Florida corporation (the “Company”), was formed on December 17, 2021, to serve as the holding company for U.S. Century Bank, a Florida state-chartered bank (the “Bank”), and is a bank holding company (a “BHC”) registered with the Board of Governors of the Federal Reserve System (the “Federal Reserve”) under the Bank Holding Company Act of 1956, as amended (the “BHC Act”). The Company is headquartered in Miami, Florida, and, through the Bank, its sole subsidiary, operates 10 banking centers in South Florida providing a wide range of personal and business banking products and services. As of December 31, 2021, the Company had total consolidated assets of $1.9 billion.</w:t>
      </w:r>
    </w:p>
    <w:p>
      <w:pPr>
        <w:spacing w:after="0" w:line="14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Bank commenced operations on October 28,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Most recently, in December 2021, the Bank reached agreements with holders of its Class B common stock, to exchange all outstanding Class B common stock for Class A common stock in a 1-for-5 reverse stock split.</w:t>
      </w:r>
    </w:p>
    <w:p>
      <w:pPr>
        <w:spacing w:after="0" w:line="16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42"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sole subsidiary of the Company, the Company became the holding company for the Bank and the stockholders of the Bank became stockholders of the Company.</w:t>
      </w:r>
    </w:p>
    <w:p>
      <w:pPr>
        <w:spacing w:after="0" w:line="15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Prior the Effective Date, the Bank’s Class A common stock was registered under Section 12(b) of the Securities Exchange Act of 1934 (the “Exchange Act”), and the Bank was subject to the information requirements of the Exchange Act and, in accordance with Section 12(i) thereof, filed quarterly reports, proxy statements and other information with the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 The trading symbol for the Company’s Class A Common Stock is “USCB”, which is the same as the Bank’s former trading symbol.</w:t>
      </w:r>
    </w:p>
    <w:p>
      <w:pPr>
        <w:spacing w:after="0" w:line="158" w:lineRule="exact"/>
        <w:rPr>
          <w:sz w:val="20"/>
          <w:szCs w:val="20"/>
          <w:color w:val="auto"/>
        </w:rPr>
      </w:pPr>
    </w:p>
    <w:p>
      <w:pPr>
        <w:ind w:left="660" w:right="719" w:firstLine="256"/>
        <w:spacing w:after="0" w:line="252" w:lineRule="auto"/>
        <w:rPr>
          <w:sz w:val="20"/>
          <w:szCs w:val="20"/>
          <w:color w:val="auto"/>
        </w:rPr>
      </w:pPr>
      <w:r>
        <w:rPr>
          <w:rFonts w:ascii="Arial" w:cs="Arial" w:eastAsia="Arial" w:hAnsi="Arial"/>
          <w:sz w:val="14"/>
          <w:szCs w:val="14"/>
          <w:color w:val="auto"/>
        </w:rPr>
        <w:t>Prior to the Reorganization, the Company had no material assets and had not conducted any business or operations except for activities related to its incorporation and the Reorganization.</w:t>
      </w:r>
    </w:p>
    <w:p>
      <w:pPr>
        <w:spacing w:after="0" w:line="15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strategy in becoming a publicly traded company and forming a BHC is to continue pursuing organic growth as well as strategic acquisitions if the opportunity arises which efforts will be further facilitated by access to public capital and the added flexibility provided by a BHC structure.</w:t>
      </w:r>
    </w:p>
    <w:p>
      <w:pPr>
        <w:spacing w:after="0" w:line="158"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In this Annual Report, unless the context indicated otherwise, references to “we,” “us,”, and “our” refer to the Company and the Bank. However, if the discussion relates to a period before the Effective Date, the terms refer only to the Bank.</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Products and Services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Lending Services</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mission is to provide high value, relationship -based banking products, services and solutions to a diverse set of clients in the markets we serve. We focus on serving small-to-medium sized businesses (“SMBs”) and catering to the needs of local business owners, entrepreneurs and professionals in South Florida. We have further leveraged our success in providing comprehensive banking solutions to SMBs to also secure the personal retail deposit relationships of the owners, operators, and employees of our commercial lending clients, which has been a cornerstone of our deposit growth strategy.</w:t>
      </w:r>
    </w:p>
    <w:p>
      <w:pPr>
        <w:spacing w:after="0" w:line="256"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2021 10-K</w:t>
      </w:r>
    </w:p>
    <w:p>
      <w:pPr>
        <w:sectPr>
          <w:pgSz w:w="11900" w:h="16838" w:orient="portrait"/>
          <w:cols w:equalWidth="0" w:num="1">
            <w:col w:w="9019"/>
          </w:cols>
          <w:pgMar w:left="1440" w:top="491" w:right="1440" w:bottom="1440" w:gutter="0" w:footer="0" w:header="0"/>
        </w:sectPr>
      </w:pPr>
    </w:p>
    <w:bookmarkStart w:id="4" w:name="page5"/>
    <w:bookmarkEnd w:id="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33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addition to our traditional commercial banking services, we are among a select number of banks of our size within our market area that can offer certain specialty banking products, services and solutions designed for small businesses, homeowner associations, law firms, medical practices and other professional services firms, and global banking services. Our major specialty banking offerings include the following:</w:t>
      </w:r>
    </w:p>
    <w:p>
      <w:pPr>
        <w:spacing w:after="0" w:line="138" w:lineRule="exact"/>
        <w:rPr>
          <w:sz w:val="20"/>
          <w:szCs w:val="20"/>
          <w:color w:val="auto"/>
        </w:rPr>
      </w:pPr>
    </w:p>
    <w:p>
      <w:pPr>
        <w:jc w:val="both"/>
        <w:ind w:left="1440" w:right="679" w:hanging="265"/>
        <w:spacing w:after="0" w:line="24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Small Business Administration (SBA) lending: </w:t>
      </w:r>
      <w:r>
        <w:rPr>
          <w:rFonts w:ascii="Arial" w:cs="Arial" w:eastAsia="Arial" w:hAnsi="Arial"/>
          <w:sz w:val="14"/>
          <w:szCs w:val="14"/>
          <w:color w:val="auto"/>
        </w:rPr>
        <w:t>Our SBA platform originates loans under Sections 7(a) and</w:t>
      </w:r>
      <w:r>
        <w:rPr>
          <w:rFonts w:ascii="Arial" w:cs="Arial" w:eastAsia="Arial" w:hAnsi="Arial"/>
          <w:sz w:val="14"/>
          <w:szCs w:val="14"/>
          <w:b w:val="1"/>
          <w:bCs w:val="1"/>
          <w:color w:val="auto"/>
        </w:rPr>
        <w:t xml:space="preserve"> </w:t>
      </w:r>
      <w:r>
        <w:rPr>
          <w:rFonts w:ascii="Arial" w:cs="Arial" w:eastAsia="Arial" w:hAnsi="Arial"/>
          <w:sz w:val="14"/>
          <w:szCs w:val="14"/>
          <w:color w:val="auto"/>
        </w:rPr>
        <w:t>504 of the SBA program. The 7(a) loan program, SBA's most common loan program, includes financial help for small businesses with special requirements while the 504 loan program provides long-term, fixed rate financing of up to $5.0 million for major fixed assets that promote business growth and job creation. Since its formation in 2018, the platform serves as an opportunity to generate commercial and industrial loans, or C&amp;I loans, and to diversify our revenue stream through originating and selling SBA 7(a) loans. As of December 31, 2021, the Bank is a Preferred Lending Partner with the SBA which allows us to offer the full range of SBA loan products and to exercise lending authority at the local Bank level, allowing us to make timely credit decisions for prospective clients.</w:t>
      </w:r>
    </w:p>
    <w:p>
      <w:pPr>
        <w:spacing w:after="0" w:line="5" w:lineRule="exact"/>
        <w:rPr>
          <w:rFonts w:ascii="Arial" w:cs="Arial" w:eastAsia="Arial" w:hAnsi="Arial"/>
          <w:sz w:val="14"/>
          <w:szCs w:val="14"/>
          <w:color w:val="auto"/>
        </w:rPr>
      </w:pPr>
    </w:p>
    <w:p>
      <w:pPr>
        <w:ind w:left="1440" w:right="699" w:hanging="265"/>
        <w:spacing w:after="0" w:line="238"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Yacht lending: </w:t>
      </w:r>
      <w:r>
        <w:rPr>
          <w:rFonts w:ascii="Arial" w:cs="Arial" w:eastAsia="Arial" w:hAnsi="Arial"/>
          <w:sz w:val="14"/>
          <w:szCs w:val="14"/>
          <w:color w:val="auto"/>
        </w:rPr>
        <w:t>In 2021, two portfolios of yacht loans were purchased as part of our strategic initiative to launch</w:t>
      </w:r>
      <w:r>
        <w:rPr>
          <w:rFonts w:ascii="Arial" w:cs="Arial" w:eastAsia="Arial" w:hAnsi="Arial"/>
          <w:sz w:val="14"/>
          <w:szCs w:val="14"/>
          <w:b w:val="1"/>
          <w:bCs w:val="1"/>
          <w:color w:val="auto"/>
        </w:rPr>
        <w:t xml:space="preserve"> </w:t>
      </w:r>
      <w:r>
        <w:rPr>
          <w:rFonts w:ascii="Arial" w:cs="Arial" w:eastAsia="Arial" w:hAnsi="Arial"/>
          <w:sz w:val="14"/>
          <w:szCs w:val="14"/>
          <w:color w:val="auto"/>
        </w:rPr>
        <w:t>a new business vertical and diversify our portfolio.</w:t>
      </w:r>
    </w:p>
    <w:p>
      <w:pPr>
        <w:jc w:val="both"/>
        <w:ind w:left="1440" w:right="679" w:hanging="265"/>
        <w:spacing w:after="0" w:line="24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Homeowner Association (HOA) services: </w:t>
      </w:r>
      <w:r>
        <w:rPr>
          <w:rFonts w:ascii="Arial" w:cs="Arial" w:eastAsia="Arial" w:hAnsi="Arial"/>
          <w:sz w:val="14"/>
          <w:szCs w:val="14"/>
          <w:color w:val="auto"/>
        </w:rPr>
        <w:t>We provide banking services to HOAs and property managers,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deposit collection, lockbox services, payment services, and lending products. Launched in 2016, we offer our HOA customers a unique combination of market knowledge of a local bank, and a highly personalized “white glove” approach to customer service.</w:t>
      </w:r>
    </w:p>
    <w:p>
      <w:pPr>
        <w:spacing w:after="0" w:line="1" w:lineRule="exact"/>
        <w:rPr>
          <w:rFonts w:ascii="Arial" w:cs="Arial" w:eastAsia="Arial" w:hAnsi="Arial"/>
          <w:sz w:val="14"/>
          <w:szCs w:val="14"/>
          <w:color w:val="auto"/>
        </w:rPr>
      </w:pPr>
    </w:p>
    <w:p>
      <w:pPr>
        <w:jc w:val="both"/>
        <w:ind w:left="1440" w:right="679" w:hanging="265"/>
        <w:spacing w:after="0" w:line="262" w:lineRule="auto"/>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Jurist Advantage and Private Client Group services: </w:t>
      </w:r>
      <w:r>
        <w:rPr>
          <w:rFonts w:ascii="Arial" w:cs="Arial" w:eastAsia="Arial" w:hAnsi="Arial"/>
          <w:sz w:val="13"/>
          <w:szCs w:val="13"/>
          <w:color w:val="auto"/>
        </w:rPr>
        <w:t>Our Jurist Advantage and Private Client Group vertical</w:t>
      </w:r>
      <w:r>
        <w:rPr>
          <w:rFonts w:ascii="Arial" w:cs="Arial" w:eastAsia="Arial" w:hAnsi="Arial"/>
          <w:sz w:val="13"/>
          <w:szCs w:val="13"/>
          <w:b w:val="1"/>
          <w:bCs w:val="1"/>
          <w:color w:val="auto"/>
        </w:rPr>
        <w:t xml:space="preserve"> </w:t>
      </w:r>
      <w:r>
        <w:rPr>
          <w:rFonts w:ascii="Arial" w:cs="Arial" w:eastAsia="Arial" w:hAnsi="Arial"/>
          <w:sz w:val="13"/>
          <w:szCs w:val="13"/>
          <w:color w:val="auto"/>
        </w:rPr>
        <w:t>provides customized banking solutions for law firms as well as their partners, associates, staff, and high net worth clients. We also leverage our relationships with our law firm clients to generate personal deposit accounts.</w:t>
      </w:r>
    </w:p>
    <w:p>
      <w:pPr>
        <w:jc w:val="both"/>
        <w:ind w:left="1440" w:right="679" w:hanging="265"/>
        <w:spacing w:after="0" w:line="24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Global Banking services: </w:t>
      </w:r>
      <w:r>
        <w:rPr>
          <w:rFonts w:ascii="Arial" w:cs="Arial" w:eastAsia="Arial" w:hAnsi="Arial"/>
          <w:sz w:val="14"/>
          <w:szCs w:val="14"/>
          <w:color w:val="auto"/>
        </w:rPr>
        <w:t>Our Global Banking vertical provides correspondent banking services for banks</w:t>
      </w:r>
      <w:r>
        <w:rPr>
          <w:rFonts w:ascii="Arial" w:cs="Arial" w:eastAsia="Arial" w:hAnsi="Arial"/>
          <w:sz w:val="14"/>
          <w:szCs w:val="14"/>
          <w:b w:val="1"/>
          <w:bCs w:val="1"/>
          <w:color w:val="auto"/>
        </w:rPr>
        <w:t xml:space="preserve"> </w:t>
      </w:r>
      <w:r>
        <w:rPr>
          <w:rFonts w:ascii="Arial" w:cs="Arial" w:eastAsia="Arial" w:hAnsi="Arial"/>
          <w:sz w:val="14"/>
          <w:szCs w:val="14"/>
          <w:color w:val="auto"/>
        </w:rPr>
        <w:t>headquartered in certain Latin America and the Caribbean countries. We also cross-sell our correspondent banking relationships to generate international personal banking clients for our Bank. Our compliance team is experienced in issues related to foreign banking, and we have consistent open communication with our foreign bank clients to ensure proper compliance controls are maintained at such institutions.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Credit Practices</w:t>
      </w:r>
    </w:p>
    <w:p>
      <w:pPr>
        <w:spacing w:after="0" w:line="186" w:lineRule="exact"/>
        <w:rPr>
          <w:sz w:val="20"/>
          <w:szCs w:val="20"/>
          <w:color w:val="auto"/>
        </w:rPr>
      </w:pPr>
    </w:p>
    <w:p>
      <w:pPr>
        <w:jc w:val="both"/>
        <w:ind w:left="660" w:right="699" w:firstLine="256"/>
        <w:spacing w:after="0" w:line="243" w:lineRule="auto"/>
        <w:rPr>
          <w:sz w:val="20"/>
          <w:szCs w:val="20"/>
          <w:color w:val="auto"/>
        </w:rPr>
      </w:pPr>
      <w:r>
        <w:rPr>
          <w:rFonts w:ascii="Arial" w:cs="Arial" w:eastAsia="Arial" w:hAnsi="Arial"/>
          <w:sz w:val="14"/>
          <w:szCs w:val="14"/>
          <w:color w:val="auto"/>
        </w:rPr>
        <w:t>Our underwriting process is informed by a conservative credit culture that encourages prudent lending. We believe our strong asset quality is due to our understanding of and experience with businesses within Florida, our long-standing relationships with clients and our disciplined underwriting processes. Our thorough underwriting processes collaboratively engage our seasoned business bankers, credit underwriters and portfolio managers in the analysis of each loan request.</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We manage our credit risk by analyzing metrics related to our different lines of business, which allows us to maintain a conservative and well-diversified loan portfolio reflective of our assessment of various industry sectors. Based upon our aggregate exposure to any given borrower relationship, we undertake a scaled review of loan originations that may involve senior credit officers, our Chief Credit Officer, our Credit Committee or, ultimately, our Board of Directors (“Board”).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 Products</w:t>
      </w:r>
    </w:p>
    <w:p>
      <w:pPr>
        <w:spacing w:after="0" w:line="186" w:lineRule="exact"/>
        <w:rPr>
          <w:sz w:val="20"/>
          <w:szCs w:val="20"/>
          <w:color w:val="auto"/>
        </w:rPr>
      </w:pPr>
    </w:p>
    <w:p>
      <w:pPr>
        <w:jc w:val="both"/>
        <w:ind w:left="660" w:right="699" w:firstLine="256"/>
        <w:spacing w:after="0" w:line="243" w:lineRule="auto"/>
        <w:rPr>
          <w:sz w:val="20"/>
          <w:szCs w:val="20"/>
          <w:color w:val="auto"/>
        </w:rPr>
      </w:pPr>
      <w:r>
        <w:rPr>
          <w:rFonts w:ascii="Arial" w:cs="Arial" w:eastAsia="Arial" w:hAnsi="Arial"/>
          <w:sz w:val="14"/>
          <w:szCs w:val="14"/>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We offer commercial and consumer deposit products across our primary geographic footprint.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Seasonality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We do not believe our business to be seasonal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2021 10-K</w:t>
      </w:r>
    </w:p>
    <w:p>
      <w:pPr>
        <w:sectPr>
          <w:pgSz w:w="11900" w:h="16838" w:orient="portrait"/>
          <w:cols w:equalWidth="0" w:num="1">
            <w:col w:w="9019"/>
          </w:cols>
          <w:pgMar w:left="1440" w:top="491" w:right="1440" w:bottom="1440" w:gutter="0" w:footer="0" w:header="0"/>
        </w:sectPr>
      </w:pPr>
    </w:p>
    <w:bookmarkStart w:id="5" w:name="page6"/>
    <w:bookmarkEnd w:id="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Markets</w:t>
      </w:r>
    </w:p>
    <w:p>
      <w:pPr>
        <w:spacing w:after="0" w:line="177"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Our primary banking market is South Florida. Due to the recent acceptance and expected ongoing emphasis on remote work, coupled with a low tax environment, warm weather and a strong real estate market has encouraged companies to relocate some or all of their operations to South Florida. We believe this trend is further demonstrated by recent relocation initiatives undertaken by large financial institutions such as Blackstone Group Inc., Goldman Sachs Group Inc., and Citadel Advisors LLC, all of which have established operations in South Florida. We believe Florida offers long-term attractive banking opportunities. Our largest concentration is in the Miami metropolitan statistical area; however, we are also focused on growth in other urban Florida markets in which we have a presence, such as Broward and Palm Beach counties .</w:t>
      </w:r>
    </w:p>
    <w:p>
      <w:pPr>
        <w:spacing w:after="0" w:line="14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According to the 2020 United States Census Bureau, Florida was the third most populous state in the country and the three largest populations were in Miami-Dade, Broward, and Palm Beach counties, all located in South Florida. According to estimates from the United States Census Bureau, from 2010 to 2021, Florida’s population increased to 21.8 million residents, an increase of 3.0 million new residents. The percentage change in Florida’s population between April 2020 and July 2021 alone was 1.1% according to the United States Census Bureau.</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Competition</w:t>
      </w:r>
    </w:p>
    <w:p>
      <w:pPr>
        <w:spacing w:after="0" w:line="188"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Our markets are highly competitive, and we compete with a wide range of lenders and other financial institutions within our markets, including local, regional, national, and international commercial banks and credit unions. We also compete with mortgage companies, brokerage firms, trust service providers, consumer finance companies, mutual funds, securities firms, insurance companies, third-party payment processors, financial technology companies, or Fintechs, and other financial intermediaries on various of our products and services. Some of our competitors are not subject to the regulatory restrictions and the level of regulatory supervision applicable to us. Many of our competitors are much larger financial institutions that have greater financial resources than we do and compete aggressively for market share. These competitors attempt to gain market share through their financial product mix, pricing strategies and larger banking center networks.</w:t>
      </w:r>
    </w:p>
    <w:p>
      <w:pPr>
        <w:spacing w:after="0" w:line="15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and continuity of personnel and services.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Emerging Growth Company</w:t>
      </w:r>
    </w:p>
    <w:p>
      <w:pPr>
        <w:spacing w:after="0" w:line="18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We are an “emerging growth company,” or “EGC”, as defined in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47"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 addition, Section 107 of the JOBS Act also provides that an EGC can take advantage of the extended transition period provided in Section 7(a)(2)(B) of the Securities Act of 1933, as amended (the “Securities Act”), for complying with new or revised accounting standards. In other words, an EGC can delay the adoption of certain accounting standards until those standards would otherwise apply to private companies. We intend to take advantage of the benefits of this extended transition period, for as long as it is available.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Human Capital Resources</w:t>
      </w:r>
    </w:p>
    <w:p>
      <w:pPr>
        <w:spacing w:after="0" w:line="18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We respect the values and diversity throughout our organization and the community. Diversity and inclusion are integral parts of our organization’s culture. We seek the active engagement and participation of people with diverse backgrounds and ethnicities. We are taking steps to create programs to ensure that we are organized in a way where the unique contributions of each individual in our Company is recognized and supported. Each team member is to be treated fairly with equal access to opportunities and resources for success. Additionally, we run homebuyer educational and financial literacy workshops in an effort to reach the financing needs of the sectors of our communities in which these workshops are most needed.</w:t>
      </w:r>
    </w:p>
    <w:p>
      <w:pPr>
        <w:spacing w:after="0" w:line="15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At December 31, 2021, we had 187 full-time equivalent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class status,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2021 10-K</w:t>
      </w:r>
    </w:p>
    <w:p>
      <w:pPr>
        <w:sectPr>
          <w:pgSz w:w="11900" w:h="16838" w:orient="portrait"/>
          <w:cols w:equalWidth="0" w:num="1">
            <w:col w:w="9019"/>
          </w:cols>
          <w:pgMar w:left="1440" w:top="491" w:right="1440" w:bottom="1440" w:gutter="0" w:footer="0" w:header="0"/>
        </w:sectPr>
      </w:pPr>
    </w:p>
    <w:bookmarkStart w:id="6" w:name="page7"/>
    <w:bookmarkEnd w:id="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ind w:left="660" w:right="639"/>
        <w:spacing w:after="0" w:line="252" w:lineRule="auto"/>
        <w:rPr>
          <w:sz w:val="20"/>
          <w:szCs w:val="20"/>
          <w:color w:val="auto"/>
        </w:rPr>
      </w:pPr>
      <w:r>
        <w:rPr>
          <w:rFonts w:ascii="Arial" w:cs="Arial" w:eastAsia="Arial" w:hAnsi="Arial"/>
          <w:sz w:val="14"/>
          <w:szCs w:val="14"/>
          <w:color w:val="auto"/>
        </w:rPr>
        <w:t>but with an appreciation for a diversity of perspectives and experiences. We have designed a compensation structure including an array of benefit plans and programs that we believe is attractive to our current and prospective employees.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and Supervision</w:t>
      </w:r>
    </w:p>
    <w:p>
      <w:pPr>
        <w:spacing w:after="0" w:line="177"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Bank holding companies, banks, and their affiliates are extensively regulated under federal and state law. These regulations have a material effect on the operations of the Company and its direct and indirect subsidiaries, including the Bank, which is currently the Company’s only subsidiary .</w:t>
      </w:r>
    </w:p>
    <w:p>
      <w:pPr>
        <w:spacing w:after="0" w:line="152"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Statutes, regulations and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insurance funds and the banking system as a whole, and not for the protection of our stockholders or creditors. In many cases, the applicable regulatory authorities have broad enforcement power over bank holding companies, banks and their subsidiaries, including the power to impose substantial fines, remove officers and directors from their positions, force the termination of certain activities and the divestures of certain investments and other penalties for violations of laws and regulations.</w:t>
      </w:r>
    </w:p>
    <w:p>
      <w:pPr>
        <w:spacing w:after="0" w:line="14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Further, the regulatory system imposes reporting and information collection obligations. Banking statutes and regulations are subject to change, and additional statutes, regulations, and corresponding guidance may be adopted. We are unable to predict these future changes or the effects, if any, that these changes could have on the business, prospects, revenues, and results of operations of our Bank and Company.</w:t>
      </w:r>
    </w:p>
    <w:p>
      <w:pPr>
        <w:spacing w:after="0" w:line="14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material statutory and regulatory requirements that are applicable to us are summarized below. The description below is not intended to summarize all laws and regulations applicable to us. These summary descriptions are not complete, and you should refer to the full text of the statutes, regulations, and corresponding guidance for more information.</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Bank and Bank Holding Company Regulation</w:t>
      </w:r>
    </w:p>
    <w:p>
      <w:pPr>
        <w:spacing w:after="0" w:line="175"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As a Florida state-chartered bank, the Bank is subject to ongoing and comprehensive supervision, regulation, examination, and enforcement by the FDIC and Florida Office of Financial Regulation (“FOFR”). The FOFR supervises and regulates all areas of our operations including, without limitation, the making of loans, the issuance of securities, the conduct of our corporate affairs, the satisfaction of capital adequacy requirements, the payment of dividends, and the establishment or closing of banking centers. In addition, our deposit accounts are insured by the Deposit Insurance Fund administered by the FDIC to the maximum extent permitted by law, and the FDIC has certain supervisory and enforcement powers over us.</w:t>
      </w:r>
    </w:p>
    <w:p>
      <w:pPr>
        <w:spacing w:after="0" w:line="147"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Any entity that directly or indirectly controls a bank must be approved by the Federal Reserve Board under the Bank Holding Company Act of 1956 (the “BHC Act”) to become a BHC, BHCs and their bank affiliates. BHCs are subject to regulation, inspection, examination, supervision and enforcement by the Federal Reserve Board under the BHC Act. The Federal Reserve Board's jurisdiction also extends to any company (except, in most instances, a bank) that is directly or indirectly controlled by a BHC.</w:t>
      </w:r>
    </w:p>
    <w:p>
      <w:pPr>
        <w:spacing w:after="0" w:line="146"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The Company, which controls the Bank, is a BHC and, as such, is subject to ongoing and comprehensive supervision, regulation, examination and enforcement by the Federal Reserve Board.</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Prior Notice and Approval Requirements Related to Control</w:t>
      </w:r>
    </w:p>
    <w:p>
      <w:pPr>
        <w:spacing w:after="0" w:line="175"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Banking laws impose prior notice, approval, and ongoing regulatory requirements on any stockholder or other party that seeks to acquire, and subsequently acquires, direct or indirect "control" of an FDIC-insured depository institution. These laws include the BHC Act and the Change in Bank Control Act. Among other things, these laws require regulatory filings by individuals or companies that seek to acquire direct or indirect "control" of an FDIC-insured depository institution. The determination of whether an investor "controls" a depository institution is based on all of the facts and circumstances surrounding the investment. As a general matter, a party is deemed to control a depository institution or other company if the party owns or controls 25% or more of any class of voting stock of the depository institution, control the election of a majority of the board of directors of the depositary institution and/or exercises a controlling influence over the management and policies of such institution. Subject to rebuttal, a party generally may be presumed to control a depository institution or other company if the investor owns or controls 10% or more of any class of voting stock. Except under very limited circumstances, bank holding companies are prohibited from acquiring, without prior approval, control of any other bank or BHC or substantially all the assets thereof or more than 5% of the voting shares of a bank or BHC which is not already a subsidiary.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2021 10-K</w:t>
      </w:r>
    </w:p>
    <w:p>
      <w:pPr>
        <w:sectPr>
          <w:pgSz w:w="11900" w:h="16838" w:orient="portrait"/>
          <w:cols w:equalWidth="0" w:num="1">
            <w:col w:w="9019"/>
          </w:cols>
          <w:pgMar w:left="1440" w:top="491" w:right="1440" w:bottom="1440" w:gutter="0" w:footer="0" w:header="0"/>
        </w:sectPr>
      </w:pPr>
    </w:p>
    <w:bookmarkStart w:id="7" w:name="page8"/>
    <w:bookmarkEnd w:id="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Source of Strength</w:t>
      </w:r>
    </w:p>
    <w:p>
      <w:pPr>
        <w:spacing w:after="0" w:line="175"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All companies, including BHCs, that directly or indirectly control an insured depository institution, are required to serve as a source of strength for the institution. Under this requirement, the Company in the future could be required to provide financial assistance to the Bank should it experience financial distress. Such support may be required at times when, absent this statutory and Federal Reserve Policy requirement, a BHC may not be inclined to provide it.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Safety and Soundness Regulation</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an insured depository institution, the Bank is subject to prudential regulation and supervision and must undergo regular on-site examinations by our state and federal bank regulatory agencies. The cost of examinations of insured depository institutions and any affiliates are assessed by the appropriate agency against each institution or affiliate that is subject to examination as it deems necessary or appropriate. We file quarterly consolidated reports of condition and income, or call reports, with the FDIC and FOFR.</w:t>
      </w:r>
    </w:p>
    <w:p>
      <w:pPr>
        <w:spacing w:after="0" w:line="160"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federal banking agencies have also adopted guidelines establishing safety and soundness standards for all insured depository institutions including our Bank. The safety and soundness guidelines relate to, among other things, our internal controls, information systems, internal audit systems, liquidity, capital adequacy, loan underwriting and documentation, anti-money laundering policies and procedures, transactions with insiders, risk management, compensation, asset growth, and interest rate exposure. These standards assist the federal banking agencies with early identification and resolution of problems at insured depository institutions. If we were to fail to meet or otherwise comply with any of these standards, the FDIC could require us to submit a plan for achieving and maintaining compliance. If a financial institution fails to submit an acceptable compliance plan, or fails in any material respect to implement a compliance plan that has been accepted by the FDIC, the FDIC is required to issue an order directing the institution to cure the deficiency. Until the deficiency cited in the order is cured, the FDIC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including cease and desist orders and civil money penalty assessments. In addition, the FDIC could terminate our deposit insurance if it determines that our financial condition was unsafe or unsound or that we engaged in unsafe or unsound practices that violated applicable rules, regulations, orders or conditions enacted or imposed on us by our regulators.</w:t>
      </w:r>
    </w:p>
    <w:p>
      <w:pPr>
        <w:spacing w:after="0" w:line="16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interest rate, cybersecurity, operational, legal and reputational risk. Recent regulatory pronouncements have focused on operational risk, which arises from the potential that inadequate information systems, operational problems, breaches in internal controls, fraud or unforeseen deficiencies will result in unexpected losses. New products and services, use of outside vendors and cybersecurity are critical sources of operational risk that financial institutions are expected to address in the current environment. We expect to have active Board and senior management oversight; adequate policies, procedures and risk limits; adequate risk measurement and monitoring and adequate management information systems; and comprehensive internal controls to address these various risks.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Permissible Activities and Investments</w:t>
      </w:r>
    </w:p>
    <w:p>
      <w:pPr>
        <w:spacing w:after="0" w:line="17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Bank regulatory laws generally restrict the ability of the Company, as a BHC, to engage in activities other than those determined by the Federal Reserve Board to be so closely related to banking as to be a proper incident thereto. The Gramm-Leach-Bliley Act (the “GLB Act”) expanded the scope of permissible activities for a BHC that qualifies as a financial holding company. Under the regulations implementing the GLB Act, a financial holding company may engage in additional activities that are financial in nature or incidental or complementary to a financial activity. The Company is not a financial holding company.</w:t>
      </w:r>
    </w:p>
    <w:p>
      <w:pPr>
        <w:spacing w:after="0" w:line="15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addition, as a general matter, the establishment or acquisition by the Company, of a non-bank entity, or the initiation of a non-banking activity, requires prior regulatory approval from the Federal Reserve Board. In approving acquisitions or the addition of activities, the Federal Reserve Board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 .</w:t>
      </w: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2021 10-K</w:t>
      </w:r>
    </w:p>
    <w:p>
      <w:pPr>
        <w:sectPr>
          <w:pgSz w:w="11900" w:h="16838" w:orient="portrait"/>
          <w:cols w:equalWidth="0" w:num="1">
            <w:col w:w="9019"/>
          </w:cols>
          <w:pgMar w:left="1440" w:top="491" w:right="1440" w:bottom="1440" w:gutter="0" w:footer="0" w:header="0"/>
        </w:sectPr>
      </w:pPr>
    </w:p>
    <w:bookmarkStart w:id="8" w:name="page9"/>
    <w:bookmarkEnd w:id="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75"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The federal banking regulators have adopted risk-based capital adequacy guidelines for bank holding companies and their subsidiary banks and banks without bank holding companies based on the Basel III standards. Under these guidelines, assets and off-balance sheet items are assigned to specific risk categories, each with designated risk weightings. The risk-based capital guidelines are designed to make regulatory capital requirements more sensitive to differences in risk profiles among banks and bank holding companies, to account for off-balance sheet exposure, to minimize disincentives for holding liquid assets, and to achieve greater consistency in evaluating the capital adequacy of major banks throughout the world. The resulting capital ratio requirements represent capital as a percentage of total risk-weighted assets and off-balance sheet items. Final rules implementing the capital adequacy guidelines became effective, with various phase-in periods, on January 1, 2015 for community banks such as us. All of the rules were fully phased in as of January 1, 2019. These final rules represent a significant change to the prior general risk-based capital rules and are designed to substantially conform to the Basel III international standards.</w:t>
      </w:r>
    </w:p>
    <w:p>
      <w:pPr>
        <w:spacing w:after="0" w:line="159"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In computing total risk-weighted assets, bank and bank holding company assets are given risk-weights of 0%, 20%, 50%, 100% and 150%. In addition, certain off-balance sheet items are given similar credit conversion factors to convert them to asset equivalent amounts to which an appropriate risk-weight will apply. Most loans will be assigned to the 100% risk category, except for performing first mortgage loans fully secured by 1-to-4 family and certain multi-family residential property, which carry a 50% risk rating. Most investment securities (including, primarily, general obligation claims on states or other political subdivisions of the United States) will be assigned to the 20% category, except for municipal or state revenue bonds, which have a 50% risk-weight, and direct obligations of the U.S. Treasury or obligations backed by the full faith and credit of the U.S. government, which have a 0% risk-weight. In covering off-balance sheet items, direct credit substitutes, including general guarantees and standby letters of credit backing financial obligations, are given a 100% conversion factor. Transaction-related contingencies such as bid bonds, standby letters of credit backing nonfinancial obligations, and undrawn commitments (including commercial credit lines with an initial maturity of more than one year) have a 50% conversion factor. Short-term commercial letters of credit are converted at 20% and certain short-term unconditionally cancelable commitments have a 0% factor.</w:t>
      </w:r>
    </w:p>
    <w:p>
      <w:pPr>
        <w:spacing w:after="0" w:line="147"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Under the final rules, minimum requirements increased for both the quality and quantity of capital held by banking organizations. In this respect, the final rules implement strict eligibility criteria for regulatory capital instruments and improve the methodology for calculating risk-weighted assets to enhance risk sensitivity. Consistent with the international Basel III framework, the rules include a new minimum ratio of Common Equity Tier 1 Capital to Risk-Weighted Assets of 4.5%. The rules also create a Common Equity Tier 1 Capital conservation buffer of 2.5% of risk -weighted assets. This buffer is added to each of the three risk-based capital ratios to determine whether an institution has established the buffer. The rules raise the minimum ratio of Tier 1 Capital to Risk-Weighted Assets from 4% to 6% and include a minimum leverage ratio of 4% for all banking organizations. If a financial institution’s capital conservation buffer falls below 2.5% — e.g., if the institution’s Common Equity Tier 1 Capital to Risk -Weighted Assets is less than 7.0% — then capital distributions and discretionary payments will be limited or prohibited based on the size of the institution’s buffer. The types of payments subject to this limitation include dividends, share buybacks, discretionary payments on Tier 1 instruments, and discretionary bonus payments.</w:t>
      </w:r>
    </w:p>
    <w:p>
      <w:pPr>
        <w:spacing w:after="0" w:line="151"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The new capital regulations may also impact the treatment of accumulated other comprehensive income, or AOCI, for regulatory capital purposes. Under the new rules, AOCI generally flows through to regulatory capital, however, community banks and their holding companies (if any) may make a one-time irrevocable opt-out election to continue to treat AOCI the same as under the old regulations for regulatory capital purposes. This election was required to be made on the first call report filed after January 1, 2015. We made the opt-out election. Additionally, the new rules also permit community banks with less than $15.0 billion in total assets to continue to count certain non-qualifying capital instruments issued prior to May 19, 2010 as Tier 1 capital, including trust preferred securities and cumulative perpetual preferred stock (subject to a limit of 25% of Tier 1 capital). However, non-qualifying capital instruments issued on or after May 19, 2010 do not qualify for Tier 1 capital treatment.</w:t>
      </w:r>
    </w:p>
    <w:p>
      <w:pPr>
        <w:spacing w:after="0" w:line="15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or CBLR, framework, as required by Section 201 of the Regulatory Relief Act.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elsewhere in this offering circular and will not be required to report or calculate risk-based capital. In order to qualify for the CBLR framework, a community banking organization must have a tier 1 leverage ratio of greater than 9%, less than $10.0 billion in total consolidated assets, off-balance sheet exposures of 25% or less of total consolidated assets, and trading assets and liabilities of 5% or less of</w:t>
      </w:r>
    </w:p>
    <w:p>
      <w:pPr>
        <w:spacing w:after="0" w:line="256"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2021 10-K</w:t>
      </w:r>
    </w:p>
    <w:p>
      <w:pPr>
        <w:sectPr>
          <w:pgSz w:w="11900" w:h="16838" w:orient="portrait"/>
          <w:cols w:equalWidth="0" w:num="1">
            <w:col w:w="9019"/>
          </w:cols>
          <w:pgMar w:left="1440" w:top="491" w:right="1440" w:bottom="1440" w:gutter="0" w:footer="0" w:header="0"/>
        </w:sectPr>
      </w:pPr>
    </w:p>
    <w:bookmarkStart w:id="9" w:name="page10"/>
    <w:bookmarkEnd w:id="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6" w:lineRule="auto"/>
        <w:rPr>
          <w:sz w:val="20"/>
          <w:szCs w:val="20"/>
          <w:color w:val="auto"/>
        </w:rPr>
      </w:pPr>
      <w:r>
        <w:rPr>
          <w:rFonts w:ascii="Arial" w:cs="Arial" w:eastAsia="Arial" w:hAnsi="Arial"/>
          <w:sz w:val="14"/>
          <w:szCs w:val="14"/>
          <w:color w:val="auto"/>
        </w:rPr>
        <w:t>total consolidated assets. However, Section 4012 of the CARES Act required that the CBLR be temporarily lowered to 8%. The federal regulators issued a rule implementing the lower CBLR effective April 23, 2020. The rule also established a two-quarter grace period for a qualifying institution whose leverage ratio falls below the 8% CBLR requirement so long as the bank maintains a leverage ratio of 7% or greater. Another rule was issued to transition back to the 9% CBLR by increasing the ratio to 8.5% for calendar year 2021 and 9% thereafter. Although the Bank is a qualifying community banking organization, the Bank has elected not to opt in to the CBLR framework at this time and will continue to follow the Basel III capital requirements as described above.</w:t>
      </w:r>
    </w:p>
    <w:p>
      <w:pPr>
        <w:spacing w:after="0" w:line="157" w:lineRule="exact"/>
        <w:rPr>
          <w:sz w:val="20"/>
          <w:szCs w:val="20"/>
          <w:color w:val="auto"/>
        </w:rPr>
      </w:pPr>
    </w:p>
    <w:p>
      <w:pPr>
        <w:ind w:left="660" w:right="719" w:firstLine="256"/>
        <w:spacing w:after="0" w:line="252" w:lineRule="auto"/>
        <w:rPr>
          <w:sz w:val="20"/>
          <w:szCs w:val="20"/>
          <w:color w:val="auto"/>
        </w:rPr>
      </w:pPr>
      <w:r>
        <w:rPr>
          <w:rFonts w:ascii="Arial" w:cs="Arial" w:eastAsia="Arial" w:hAnsi="Arial"/>
          <w:sz w:val="14"/>
          <w:szCs w:val="14"/>
          <w:color w:val="auto"/>
        </w:rPr>
        <w:t>As of December 31, 2021 and 2020, the Bank qualified as a “well capitalized” institution. See Note 15 “Regulatory Matters” of the Consolidated Financial Statements filed herewith for further details.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Prompt Corrective Action</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Under the Federal Deposit Insurance Act (“FDIA”), the federal bank regulatory agencies must take "prompt corrective action" against undercapitalized U.S. depository institutions. The capital-based regulatory framework contains five categories of compliance with regulatory capital requirements, including "well capitalized," "adequately capitalized," "undercapitalized," "significantly undercapitalized," and "critically undercapitalized," and depository institutions are subjected to differential regulation corresponding to the capital category within which the institution falls.</w:t>
      </w:r>
    </w:p>
    <w:p>
      <w:pPr>
        <w:spacing w:after="0" w:line="160"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As of December 31, 2021, a depository institution was deemed to be "well capitalized" if the banking institution had a total risk-based capital ratio of 10.0% or greater, a tier 1 risk-based capital ratio of 8.0% or greater, a CET1 risk-based capital ratio of 6.5% and a leverage ratio of 5.0% or greater, and the institution was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if it’s determined that the institution is in an unsafe or unsound condition or is engaging in an unsafe or unsound practice. The degree of regulatory scrutiny of a financial institution will increase, and the permissible activities of the institution will decrease, as it moves downward through the capital categories.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 depending upon the severity of the capital deficiency .</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Commercial Real Estate Concentration Guidelines</w:t>
      </w:r>
    </w:p>
    <w:p>
      <w:pPr>
        <w:spacing w:after="0" w:line="175"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 federal banking regulators have implemented guidelines to address increased concentrations in commercial real estate loans. These guidelines describe the criteria regulatory agencies will use as indicators to identify institutions potentially exposed to unacceptably high levels of commercial real estate concentration risk. An institution that has (i) experienced rapid growth in commercial real estate lending, (ii) notable exposure to a specific type of commercial real estate, (iii) total reported loans for construction, land development, and other land representing 100% or more of total capital, or (iv) total commercial real estate (including construction) loans representing 300% or more of total capital and the outstanding balance of the institutions commercial real estate portfolio has increased by 50% or more in the prior 36 months, may be identified for further supervisory analysis of a potential concentration risk.</w:t>
      </w:r>
    </w:p>
    <w:p>
      <w:pPr>
        <w:spacing w:after="0" w:line="15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As of December 31, 2021, our ratio of construction loans to total capital was 30%, and therefore, we were under the 100% threshold set forth in clause (iii) in the paragraph above. With respect to clause (iv) in the paragraph above, as of December 31, 2021, our ratio of total commercial real estate loans to total capital was 298%, but the outstanding balance of our commercial real estate portfolio has not increased by 50% or more in the prior 36 months. As a result, we are not deemed to have a concentration in commercial real estate lending under applicable regulatory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0" w:name="page11"/>
    <w:bookmarkEnd w:id="1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Payment of Dividends</w:t>
      </w:r>
    </w:p>
    <w:p>
      <w:pPr>
        <w:spacing w:after="0" w:line="175"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ability of the board of directors of an insured depository institution to declare a cash dividend or other distribution with respect to capital stock is subject to statutory and regulatory restrictions that limit the amount available for such distribution depending upon earnings, financial condition and cash needs of the institution, as well as general business conditions. Insured depository institutions are also prohibited from paying management fees to any controlling persons or other affiliates or, with certain limited exceptions, making capital distributions, including dividends, if after such transaction the institution would be less than adequately capitalized. Under Florida law, we may generally declare a dividend from retained net profits which accrued prior to the preceding two years, but we must, before the declaration of a dividend on our common stock, carry 20% of our net profits for such preceding period as is covered by the dividend to our surplus fund, until the same shall at least equal the amount of our common stock and preferred stock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w:t>
      </w:r>
    </w:p>
    <w:p>
      <w:pPr>
        <w:spacing w:after="0" w:line="162"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addition, because we are a BHC, we are dependent upon the payment of dividends by the Bank as our principal source of funds to pay dividends in the future, if any, and to make other payments. It is the policy of the Federal Reserve Board that BHCs should pay cash dividends on common stock only out of income available over the past year and only if prospective earnings retention is consistent with the organization’s expected future needs and financial condition. The policy provides that a BHC should not pay cash dividends at a level that undermines the BHC’s ability to serve as a source of strength to its banking subsidiaries.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Incentive Compensation</w:t>
      </w:r>
    </w:p>
    <w:p>
      <w:pPr>
        <w:spacing w:after="0" w:line="186"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142"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In June 2010, the federal banking agencies jointly adopted the Guidance on Sound Incentive Compensation Policies, or GSICP. The GSICP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w:t>
      </w:r>
    </w:p>
    <w:p>
      <w:pPr>
        <w:spacing w:after="0" w:line="158" w:lineRule="exact"/>
        <w:rPr>
          <w:sz w:val="20"/>
          <w:szCs w:val="20"/>
          <w:color w:val="auto"/>
        </w:rPr>
      </w:pPr>
    </w:p>
    <w:p>
      <w:pPr>
        <w:ind w:left="660" w:right="619" w:firstLine="256"/>
        <w:spacing w:after="0" w:line="244" w:lineRule="auto"/>
        <w:rPr>
          <w:sz w:val="20"/>
          <w:szCs w:val="20"/>
          <w:color w:val="auto"/>
        </w:rPr>
      </w:pPr>
      <w:r>
        <w:rPr>
          <w:rFonts w:ascii="Arial" w:cs="Arial" w:eastAsia="Arial" w:hAnsi="Arial"/>
          <w:sz w:val="14"/>
          <w:szCs w:val="14"/>
          <w:color w:val="auto"/>
        </w:rPr>
        <w:t>The Dodd-Frank Act requires the federal banking agencies and the SEC to establish joint regulations or guidelines prohibiting incentive-based payment arrangements at specified regulated entities, such as us, having at least $1.0 billion in total assets that encourage inappropriate risk-taking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with at least $1.0 billion in average total consolidated assets. Final regulations have not been adopted as of the date hereof. If adopted, these or other similar regulations would impose limitations on the manner in which we may structure compensation for our executives and other employees that could go beyond the requirements of GSICP. The scope and content of the federal banking agencies’ policies on incentive compensation are continuing to develop and are likely to continue evolving, but the timeframe for finalization of such policies is not known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tabs>
          <w:tab w:leader="none" w:pos="280" w:val="left"/>
          <w:tab w:leader="none" w:pos="16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1" w:name="page12"/>
    <w:bookmarkEnd w:id="1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Limits on Transactions with Affiliates and Insiders</w:t>
      </w:r>
    </w:p>
    <w:p>
      <w:pPr>
        <w:spacing w:after="0" w:line="17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Insured depository institutions are subject to restrictions on their ability to conduct transactions with affiliates and other related parties. Section 23A of the Federal Reserve Act imposes quantitative limits, qualitative requirements, and collateral requirements on certain loan transactions by an insured depository institution with, or for the benefit of, its affiliates. Transactions covered by Section 23A include loans, extensions of credit, investment in securities issued by an affiliate, and acquisitions of assets from an affiliate. Section 23B of the Federal Reserve Act requires that most types of transactions by an insured depository institution with, or for the benefit of, an affiliate be on terms at least as favorable to the insured depository institution as if the transaction were conducted between the insured depository institution and an unaffiliated third party.</w:t>
      </w:r>
    </w:p>
    <w:p>
      <w:pPr>
        <w:spacing w:after="0" w:line="147"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An affiliate of a bank is any entity that controls, is controlled by or is under common control with the bank. In a holding company context, the parent bank holding company, such as USCB Financial Holdings, Inc., and any companies that are controlled by such parent holding company (excluding subsidiaries of the bank) are affiliates of the bank.</w:t>
      </w:r>
    </w:p>
    <w:p>
      <w:pPr>
        <w:spacing w:after="0" w:line="152"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Loans to executive officers and directors of an insured depository institution or any of its affiliates or to any person who directly or indirectly, or acting through or in concert with one or more persons, owns, controls or has the power to vote more than 10% of any class of voting securities of a bank, which we refer to as 10% shareholders, or to any political or campaign committee the funds or services of which will benefit those executive officers, directors, or 10% shareholders or which is controlled by those executive officers, directors or 10% shareholders, are subject to Sections 22(g) and 22(h) of the Federal Reserve Act and the corresponding regulations (Regulation O) and Section 13(k) of the Exchange Act (as applied to us through FDIC regulations) relating to the prohibition on personal loans to executives (which exempts financial institutions in compliance with the insider lending restrictions of Section 22(h) of the Federal Reserve Act).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FDIC Deposit Insurance</w:t>
      </w:r>
    </w:p>
    <w:p>
      <w:pPr>
        <w:spacing w:after="0" w:line="186"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The FDIC is an independent federal agency that insures the deposits of federally insured depository institutions up to applicable limits. The FDIC also has certain regulatory, examination and enforcement powers with respect to FDIC-insured institutions. The deposits are insured by the FDIC up to applicable limits. As a general matter, the maximum deposit insurance amount which an insured bank may offer is $250 thousand per depositor.</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15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Under the current system, deposit insurance assessments are based on a bank’s assessment base, which is defined as average total assets minus average tangible equity. For established small institutions, such as the Bank, the FDIC sets deposit assessment rates based on the Financial Ratios Method, which takes into account several ratios that reflect leverage, asset quality, and earnings at each individual institution and then applies a pricing multiplier that is the same for all institutions. An institution’s rate must be within a certain minimum and a certain maximum range, and the range varies based on the institution’s composite CAMELS rating. The deposit insurance assessment is calculated by multiplying the bank’s assessment base by the total base assessment rate.</w:t>
      </w:r>
    </w:p>
    <w:p>
      <w:pPr>
        <w:spacing w:after="0" w:line="157"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Depositor Preference</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will have priority in payment ahead of unsecured, non-deposit creditors, including the Company, with respect to any extensions of credit they may have made to such insured depository institution.</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Overdraft Fee Regulation</w:t>
      </w:r>
    </w:p>
    <w:p>
      <w:pPr>
        <w:spacing w:after="0" w:line="17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Electronic Fund Transfer Act prohibits financial institutions from charging consumers fees for paying overdrafts on automated teller machines, or ATMs, and one-time debit card transactions, unless a consumer consents, or opts in, to the overdraft service for those types of transactions. If a consumer does not opt in, any ATM transaction or debit that overdraws</w:t>
      </w:r>
    </w:p>
    <w:p>
      <w:pPr>
        <w:spacing w:after="0" w:line="2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2" w:name="page13"/>
    <w:bookmarkEnd w:id="1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the consumer’s account will be denied. Overdrafts on the payment of checks and regular electronic bill payments are not covered by this new rule. Before opting in, the consumer must be provided with a notice that explains the financial institution’s overdraft services, including the fees associated with the service, and the consumer’s choices with respect to participating in the overdraft service offering. Financial institutions must provide consumers who do not opt in with the same account terms, conditions and features (including pricing) that they provide to consumers who do opt in.</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Home Loan Bank System</w:t>
      </w:r>
    </w:p>
    <w:p>
      <w:pPr>
        <w:spacing w:after="0" w:line="186" w:lineRule="exact"/>
        <w:rPr>
          <w:sz w:val="20"/>
          <w:szCs w:val="20"/>
          <w:color w:val="auto"/>
        </w:rPr>
      </w:pPr>
    </w:p>
    <w:p>
      <w:pPr>
        <w:jc w:val="both"/>
        <w:ind w:left="660" w:right="699" w:firstLine="256"/>
        <w:spacing w:after="0" w:line="243" w:lineRule="auto"/>
        <w:rPr>
          <w:sz w:val="20"/>
          <w:szCs w:val="20"/>
          <w:color w:val="auto"/>
        </w:rPr>
      </w:pPr>
      <w:r>
        <w:rPr>
          <w:rFonts w:ascii="Arial" w:cs="Arial" w:eastAsia="Arial" w:hAnsi="Arial"/>
          <w:sz w:val="14"/>
          <w:szCs w:val="14"/>
          <w:color w:val="auto"/>
        </w:rPr>
        <w:t>We are a member of the FHLB of Atlanta, which is one of 11 regional FHLBs. Each FHLB serves as a quasi-reserve bank for its members within its assigned region. It is funded primarily from funds deposited by member institutions and proceeds from the sale of consolidated obligations of the FHLB system. A FHLB makes loans to members (i.e., advances) in accordance with policies and procedures established by the Board of Trustees of the FHLB.</w:t>
      </w:r>
    </w:p>
    <w:p>
      <w:pPr>
        <w:spacing w:after="0" w:line="159"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As a member of the FHLB of Atlanta, we are required to own capital stock in the FHLB in an amount at least equal to 0.09% (or 9 basis points), which is subject to annual adjustments, of the Bank’s total assets at the end of each calendar year (up to a maximum of $15.0 million), plus 4.25% of its outstanding advances (borrowings) from the FHLB of Atlanta under the activity-based stock ownership requirement.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Anti-Money Laundering Regulation</w:t>
      </w:r>
    </w:p>
    <w:p>
      <w:pPr>
        <w:spacing w:after="0" w:line="186"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As a financial institution, the Bank must maintain anti-money laundering programs that include established internal policies, procedures and controls, a designated compliance officer, an ongoing employee training program, and testing of the program by an independent audit function in accordance with the Bank Secrecy Act of 1970, as amended, and the regulations issued by the Department of the Treasury in 31 CFR Chapter X, FDIC Rule 326.8 and the Florida Control of Money Laundering and Terrorist Financing in Financial Institutions Act. Financial institutions are prohibited from entering into certain specified financial transactions and account relationships and must meet enhanced standards for due diligence and “knowing your customer” in their dealings with foreign financial institutions, foreign customers and other high risk or sanctioned customers. Financial institutions must also take reasonable steps to conduct enhanced scrutiny of account relationships to guard against money laundering and to report transactions that meet certain dollar amount thresholds as well as any suspicious transactions. Certain laws, such as the USA PATRIOT Act, enacted in 2001 and renewed through 2019, as described below, provide law enforcement authorities with increased access to financial information maintained by banks.</w:t>
      </w:r>
    </w:p>
    <w:p>
      <w:pPr>
        <w:spacing w:after="0" w:line="159"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with the USA PATRIOT Act in connection with the regulatory review of certain applications. In recent years, regulators have expressed concern over banking institutions’ compliance with anti-money laundering requirements and, in some cases, have delayed approval of their expansionary proposals because of deficiencies in such institutions’ anti-money laundering programs. The regulators and other governmental authorities have been active in imposing “cease and desist” orders and significant civil money penalty sanctions against institutions found to be in violation of the anti-money laundering regulations.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Office of Foreign Assets Control</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Office of Foreign Assets Control (the “OFAC ”)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Such persons are referred to as “sanctioned” persons.</w:t>
      </w:r>
    </w:p>
    <w:p>
      <w:pPr>
        <w:spacing w:after="0" w:line="16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If a bank finds a name on any transaction, account or wire transfer that is on an OFAC list, it must freeze the account and/or block the transaction or wire transfer. We utilize an outside vendor to oversee the daily monitoring and surveillance of our accounts and the filing of any notifications. We also monitor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3" w:name="page14"/>
    <w:bookmarkEnd w:id="1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Laws and Regulations</w:t>
      </w:r>
    </w:p>
    <w:p>
      <w:pPr>
        <w:spacing w:after="0" w:line="175"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Our activities are subject to a variety of federal and state statutes and regulations designed to protect consumers in transactions with banks. Interest and other charges collected or contracted for by us are subject to state usury laws and federal laws concerning interest rates. Our loan operations are also subject to federal laws applicable to credit transactions, such as:</w:t>
      </w:r>
    </w:p>
    <w:p>
      <w:pPr>
        <w:spacing w:after="0" w:line="156" w:lineRule="exact"/>
        <w:rPr>
          <w:sz w:val="20"/>
          <w:szCs w:val="20"/>
          <w:color w:val="auto"/>
        </w:rPr>
      </w:pPr>
    </w:p>
    <w:p>
      <w:pPr>
        <w:jc w:val="both"/>
        <w:ind w:left="1180" w:right="679" w:hanging="261"/>
        <w:spacing w:after="0" w:line="243" w:lineRule="auto"/>
        <w:tabs>
          <w:tab w:leader="none" w:pos="117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Truth-In-Lending Act, or TILA, and Regulation Z, governing disclosures of credit and servicing terms to consumer borrowers and including substantial requirements for mortgage lending and servicing, as mandated by the Dodd-Frank Act</w:t>
      </w:r>
    </w:p>
    <w:p>
      <w:pPr>
        <w:spacing w:after="0" w:line="1" w:lineRule="exact"/>
        <w:rPr>
          <w:rFonts w:ascii="Arial" w:cs="Arial" w:eastAsia="Arial" w:hAnsi="Arial"/>
          <w:sz w:val="14"/>
          <w:szCs w:val="14"/>
          <w:color w:val="auto"/>
        </w:rPr>
      </w:pPr>
    </w:p>
    <w:p>
      <w:pPr>
        <w:jc w:val="both"/>
        <w:ind w:left="1180" w:right="699" w:hanging="261"/>
        <w:spacing w:after="0" w:line="243" w:lineRule="auto"/>
        <w:tabs>
          <w:tab w:leader="none" w:pos="117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they serve;</w:t>
      </w:r>
    </w:p>
    <w:p>
      <w:pPr>
        <w:spacing w:after="0" w:line="1" w:lineRule="exact"/>
        <w:rPr>
          <w:rFonts w:ascii="Arial" w:cs="Arial" w:eastAsia="Arial" w:hAnsi="Arial"/>
          <w:sz w:val="14"/>
          <w:szCs w:val="14"/>
          <w:color w:val="auto"/>
        </w:rPr>
      </w:pPr>
    </w:p>
    <w:p>
      <w:pPr>
        <w:ind w:left="1180" w:right="699" w:hanging="261"/>
        <w:spacing w:after="0" w:line="246" w:lineRule="auto"/>
        <w:tabs>
          <w:tab w:leader="none" w:pos="1219"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Equal Credit Opportunity Act and Regulation B, prohibiting discrimination on the basis of race, color, religion, or other prohibited factors in extending credit;</w:t>
      </w:r>
    </w:p>
    <w:p>
      <w:pPr>
        <w:jc w:val="both"/>
        <w:ind w:left="1180" w:right="679" w:hanging="261"/>
        <w:spacing w:after="0" w:line="243" w:lineRule="auto"/>
        <w:tabs>
          <w:tab w:leader="none" w:pos="117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Credit Reporting Act of 1978, as amended by the Fair and Accurate Credit Transactions Act, and Regulation V, as well as the rules and regulations of the FDIC governing the use and provision of information to credit reporting agencies, certain identity theft protections and certain credit and other disclosures;</w:t>
      </w:r>
    </w:p>
    <w:p>
      <w:pPr>
        <w:spacing w:after="0" w:line="1" w:lineRule="exact"/>
        <w:rPr>
          <w:rFonts w:ascii="Arial" w:cs="Arial" w:eastAsia="Arial" w:hAnsi="Arial"/>
          <w:sz w:val="14"/>
          <w:szCs w:val="14"/>
          <w:color w:val="auto"/>
        </w:rPr>
      </w:pPr>
    </w:p>
    <w:p>
      <w:pPr>
        <w:ind w:left="1180" w:right="699" w:hanging="261"/>
        <w:spacing w:after="0" w:line="246" w:lineRule="auto"/>
        <w:tabs>
          <w:tab w:leader="none" w:pos="117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Debt Collection Practices Act and Regulation F, governing the manner in which consumer debts may be collected by collection agencies; and</w:t>
      </w:r>
    </w:p>
    <w:p>
      <w:pPr>
        <w:ind w:left="1180" w:right="679" w:hanging="261"/>
        <w:spacing w:after="0" w:line="252" w:lineRule="auto"/>
        <w:tabs>
          <w:tab w:leader="none" w:pos="117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Real Estate Settlement Procedures Act, or RESPA, and Regulation X, which governs aspects of the settlement process for residential mortgage loans.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deposit operations are also subject to federal laws, such as:</w:t>
      </w:r>
    </w:p>
    <w:p>
      <w:pPr>
        <w:spacing w:after="0" w:line="170" w:lineRule="exact"/>
        <w:rPr>
          <w:sz w:val="20"/>
          <w:szCs w:val="20"/>
          <w:color w:val="auto"/>
        </w:rPr>
      </w:pPr>
    </w:p>
    <w:p>
      <w:pPr>
        <w:ind w:left="1180" w:right="739" w:hanging="261"/>
        <w:spacing w:after="0" w:line="246" w:lineRule="auto"/>
        <w:tabs>
          <w:tab w:leader="none" w:pos="1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FDIA, which, among other things, limits the amount of deposit insurance available per depositor to $250 thousand and imposes other limits on deposit-taking;</w:t>
      </w:r>
    </w:p>
    <w:p>
      <w:pPr>
        <w:ind w:left="1180" w:right="679" w:hanging="261"/>
        <w:spacing w:after="0" w:line="238" w:lineRule="auto"/>
        <w:tabs>
          <w:tab w:leader="none" w:pos="1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Right to Financial Privacy Act, which imposes a duty to maintain the confidentiality of consumer financial records and prescribes procedures for complying with administrative subpoenas of financial records;</w:t>
      </w:r>
    </w:p>
    <w:p>
      <w:pPr>
        <w:jc w:val="both"/>
        <w:ind w:left="1180" w:right="699" w:hanging="261"/>
        <w:spacing w:after="0" w:line="249" w:lineRule="auto"/>
        <w:tabs>
          <w:tab w:leader="none" w:pos="1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Electronic Funds Transfer Act and Regulation E, which governs automatic deposits to and withdrawals from deposit accounts and customers’ rights and liabilities arising from the use of ATMs and other electronic banking services; and</w:t>
      </w:r>
    </w:p>
    <w:p>
      <w:pPr>
        <w:ind w:left="1180" w:right="679" w:hanging="261"/>
        <w:spacing w:after="0" w:line="252" w:lineRule="auto"/>
        <w:tabs>
          <w:tab w:leader="none" w:pos="1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Truth in Savings Act and Regulation DD, which requires depository institutions to provide disclosures so that consumers can make meaningful comparisons about depository institutions and accounts.</w:t>
      </w:r>
    </w:p>
    <w:p>
      <w:pPr>
        <w:spacing w:after="0" w:line="142"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These laws and regulations mandate certain disclosure requirements and regulate the manner in which financial institutions must deal with clients when taking deposits or making loans to such clients. We must comply with the applicable provisions of these consumer protection laws and regulations as part of both our ongoing client relations and our regulatory compliance obligations.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Financial Privacy and Cybersecurity</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Banking organizations are subject to many federal and state laws and regulations governing the collection, use and protection of customer information. Under the privacy protection provisions of the Gramm-Leach-Bliley Act of 1999 and related regulations, we are limited in our ability to disclose non-public information about consumers to nonaffiliated third parties. These limitations require disclosure of privacy policies to consumers and, in some circumstances, allow consumers to prevent disclosure of certain personal customer information to nonaffiliated third parties. Federal banking agencies, including the FDIC, have adopted guidelines for establishing information security standards and cybersecurity programs for implementing safeguards. These guidelines, along with related regulatory guidance, increasingly focus on risk management and processes related to information technology and the use of third parties in the provision of financial services.</w:t>
      </w:r>
    </w:p>
    <w:p>
      <w:pPr>
        <w:spacing w:after="0" w:line="15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In addition to federal laws and regulations, we are subject to state laws governing customer privacy and cybersecurity. The Florida Information Protection Act of 2014 requires notification to the Florida Department of Legal Affairs of any breach involving personal information that affects more than 500 people as well as requiring notification of affected individuals of any such breach. The Act also requires us to take reasonable measures to protect and secure data in electronic form containing personal information and take all reasonable measures to dispose, or arrange for the disposal, of customer records containing personal information within our custody or control when the records are no longer to be retained. We incur significant costs and expenses in order to address compliance with the federal and state customer privacy and cybersecurity laws and regulations, and we expect such costs and expenses will continue into the future.</w:t>
      </w:r>
    </w:p>
    <w:p>
      <w:pPr>
        <w:spacing w:after="0" w:line="200" w:lineRule="exact"/>
        <w:rPr>
          <w:sz w:val="20"/>
          <w:szCs w:val="20"/>
          <w:color w:val="auto"/>
        </w:rPr>
      </w:pPr>
    </w:p>
    <w:p>
      <w:pPr>
        <w:spacing w:after="0" w:line="3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4" w:name="page15"/>
    <w:bookmarkEnd w:id="1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Financial Protection Bureau</w:t>
      </w:r>
    </w:p>
    <w:p>
      <w:pPr>
        <w:spacing w:after="0" w:line="175"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The Consumer Financial Protection Bureau (“CFPB”) is an independent regulatory authority housed within the Federal Reserve. The CFPB has broad authority to regulate the offering and provision of consumer financial products and to prevent institutions subject to its authority from engaging in “unfair and deceptive or abusive acts or practices” with respect to their offering of consumer financial products or services. The CFPB has the authority to supervise and examine depository institutions with more than $10.0 billion in assets for compliance with federal consumer laws. The authority to supervise and examine depository institutions with $10.0 billion or less in assets, such as our Bank, for compliance with federal consumer laws remains largely with those institutions’ primary regulators. However, the CFPB may participate in examinations of these smaller institutions on a “sampling basis” and may refer potential enforcement actions against such institutions to their primary regulators. As such, the CFPB may participate in examinations of our Bank.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Volcker Rule</w:t>
      </w:r>
    </w:p>
    <w:p>
      <w:pPr>
        <w:spacing w:after="0" w:line="17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Dodd-Frank Act prohibits (subject to certain exceptions) us and our affiliates from engaging in short term proprietary trading in securities and derivatives and from investing in and/or sponsoring certain investment companies defined in the rule as “covered funds” (including not only hedge funds, commodity pools and private equity funds, but also a range of asset securitization structures that do not meet exemptive criteria in the final rules). This statutory provision is commonly called the “Volcker Rule.” At December 31, 2021, we are not subject to the Volcker Rule because of our asset size, which is below the $10.0 billion in assets Volcker Rule threshold.</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Community Reinvestment Act and Fair Lending Requirements</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We are subject to certain fair lending requirements and reporting obligations involving home mortgage lending operations. We are also subject to certain requirements and reporting obligations under the federal Community Reinvestment Act (“CRA”). The CRA and its corresponding regulations are intended to encourage banks to help meet the credit needs of the communities they serve, including low- and moderate-income neighborhoods, consistent with safe and sound banking practices.</w:t>
      </w:r>
    </w:p>
    <w:p>
      <w:pPr>
        <w:spacing w:after="0" w:line="16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Accordingly, the CRA generally requires federal banking agencies to evaluate the record of a financial institution in meeting applicable CRA requirements. The CRA further requires the agencies to take into account our record of meeting community credit needs when evaluating applications for, among other things, new banking centers or mergers. We are also subject to analogous state CRA requirements in Florida and certain other states in which we may establish banking centers. In connection with their assessments of CRA performance, the FDIC and FOFR assign a rating of “outstanding,” “satisfactory,” “needs to improve,” or “substantial noncompliance.” The Bank received a “satisfactory” CRA Assessment Rating from both regulatory agencies in our most recent CRA examinations. In addition to substantive penalties and corrective measures that may be required for a violation of certain fair lending laws, the federal banking agencies may take compliance with such laws and CRA into account when regulating and supervising other activities of the bank, including in acting on expansionary proposals such as when a bank submits an application to establish bank centers, merge with another bank, or acquire the assets and assume the liabilities of another bank. An unsatisfactory CRA and/or fair lending record could substantially delay or block any such transaction. The regulatory agency's assessment of the institution's record is made available to the public at www.ffiec.gov/craratings .</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Call Reports and Examination Cycle</w:t>
      </w:r>
    </w:p>
    <w:p>
      <w:pPr>
        <w:spacing w:after="0" w:line="175"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All banking institutions, regardless of size, submit a quarterly call report to their primary federal bank regulator that includes data used by federal banking agencies to monitor the condition, performance, and risk profile of individual institutions and the industry as a whole. In June 2019, the federal banking agencies issued a final rule to permit insured depository institutions with total assets of less than $5.0 billion that do not engage in certain complex or international activities to file the most streamlined version of the quarterly call report, and to reduce data reportable on certain streamlined call report submissions.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Effect of Governmental Monetary Policies</w:t>
      </w:r>
    </w:p>
    <w:p>
      <w:pPr>
        <w:spacing w:after="0" w:line="18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commercial banking business is affected not only by general economic conditions, but also by the monetary policies of the Federal Reserve. Changes in the discount rate on member bank borrowing, availability of borrowing at the “discount window,” open market operations, changes in the Fed Funds target interest rate, the imposition of changes in reserve requirements against member banks’ deposits and assets of foreign banking centers and the imposition of and changes in reserve requirements against certain borrowings by banks and their affiliates are some of the instruments of monetary policy</w:t>
      </w:r>
    </w:p>
    <w:p>
      <w:pPr>
        <w:spacing w:after="0" w:line="2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5" w:name="page16"/>
    <w:bookmarkEnd w:id="1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6" w:lineRule="auto"/>
        <w:rPr>
          <w:sz w:val="20"/>
          <w:szCs w:val="20"/>
          <w:color w:val="auto"/>
        </w:rPr>
      </w:pPr>
      <w:r>
        <w:rPr>
          <w:rFonts w:ascii="Arial" w:cs="Arial" w:eastAsia="Arial" w:hAnsi="Arial"/>
          <w:sz w:val="14"/>
          <w:szCs w:val="14"/>
          <w:color w:val="auto"/>
        </w:rPr>
        <w:t>available to the Federal Reserve. These monetary policies are used in varying combinations to influence overall growth and distributions of bank loans, investments and deposits, which may affect interest rates charged on loans or paid on deposits. The monetary policies of the Federal Reserve have had a significant effect on the operating results of commercial banks and are expected to continue to do so in the future. The Federal Reserve’s policies are primarily influenced by the dual mandate of price stability and full employment in the U.S., and to a lesser degree by short-term and long-term changes in the international trade balance and in the fiscal policies of the U.S. government. Future changes in monetary policy and the effect of such changes on our business and earnings in the future cannot be predicted.</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Future Legislation and Regulation</w:t>
      </w:r>
    </w:p>
    <w:p>
      <w:pPr>
        <w:spacing w:after="0" w:line="175"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 of any such new legislation or regulations.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CARES Act and Initiatives Related to COVID-19</w:t>
      </w:r>
    </w:p>
    <w:p>
      <w:pPr>
        <w:spacing w:after="0" w:line="175"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On March 27, 2020, the CARES Act was signed into law and provided for approximately $2.2 trillion in direct economic relief in response to the public health and economic impacts of COVID-19. Many of the CARES Act’s programs are, and remain, dependent upon the direct involvement of financial institutions like us. These programs have been implemented through rules and guidance adopted by federal departments and agencies, including the U.S. Department of Treasury, the Federal Reserve and other federal bank regulatory authorities, including those with direct supervisory jurisdiction over us. Furthermore, as the COVID-19 pandemic evolves, federal regulatory authorities continue to issue additional guidance with respect to the implementation, life cycle, and eligibility requirements for the various CARES Act programs, as well as industry-specific recovery procedures for COVID-19. In addition, it is possible that Congress will enact supplementary COVID-19 response legislation, including amendments to the CARES Act or new bills comparable in scope to the CARES Act. We continue to assess the impact of the CARES Act, the Consolidated Appropriations Act, 2021 and the potential impact of new COVID-19 legislation and other statutes, regulations and supervisory guidance related to the COVID-19 pandemic.</w:t>
      </w:r>
    </w:p>
    <w:p>
      <w:pPr>
        <w:spacing w:after="0" w:line="162" w:lineRule="exact"/>
        <w:rPr>
          <w:sz w:val="20"/>
          <w:szCs w:val="20"/>
          <w:color w:val="auto"/>
        </w:rPr>
      </w:pPr>
    </w:p>
    <w:p>
      <w:pPr>
        <w:jc w:val="both"/>
        <w:ind w:left="660" w:right="619" w:firstLine="256"/>
        <w:spacing w:after="0" w:line="244" w:lineRule="auto"/>
        <w:rPr>
          <w:sz w:val="20"/>
          <w:szCs w:val="20"/>
          <w:color w:val="auto"/>
        </w:rPr>
      </w:pPr>
      <w:r>
        <w:rPr>
          <w:rFonts w:ascii="Arial" w:cs="Arial" w:eastAsia="Arial" w:hAnsi="Arial"/>
          <w:sz w:val="14"/>
          <w:szCs w:val="14"/>
          <w:color w:val="auto"/>
        </w:rPr>
        <w:t>A principal provision of the CARES Act amended the SBA’s loan program to create a guaranteed, unsecured loan program, the Paycheck Protection Program, or PPP, to fund operational costs of eligible businesses, organizations and self-employed persons impacted by COVID -19. These loans are fully guaranteed by the SBA and are eligible to be forgiven if certain conditions are satisfied. Additionally, loan payments will also be deferred for the first six months of the loan term. The PPP commenced on April 3, 2020 and was available to qualified borrowers through August 8, 2020. No collateral or personal guarantees were required. On December 27, 2020, President Trump signed the Consolidated Appropriations Act, 2021 into law which included the Economic Aid to Hard-Hit Small Businesses, Nonprofits, and Venues Act, or the HHSB Act. Among other things, the HHSB Act renewed the PPP, allocating $284.5 billion for both new first time PPP loans under the existing PPP and the expansion of existing PPP loans for certain qualified, existing PPP borrowers. In addition to extending and amending the PPP, the HHSB Act also creates a new grant program for “shuttered venue operators.” As of December 31, 2021, we had 414 active PPP loans remaining totaling $42.4 million in outstanding principal balances.</w:t>
      </w:r>
    </w:p>
    <w:p>
      <w:pPr>
        <w:spacing w:after="0" w:line="16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CARES Act, as extended by certain provisions of the Consolidated Appropriations Act, 2021, permits banks to suspend requirements under generally accepted accounting principles (“GAAP”) for loan modifications to borrowers affected by COVID-19 that may otherwise be characterized as troubled debt restructurings and suspend any determination related thereto if (i) the borrower was not more than 30 days past due as of December 31, 2019, (ii) the modifications are related to COVID-19, and (iii) the modification occurs between March 1, 2020 and the earlier of 60 days after the date of termination of the national emergency or January 1, 2022. Federal bank regulatory authorities also issued guidance to encourage banks to make loan modifications for borrowers affected by COVID-19. As of December 31, 2021, there were no loans in our portfolio in deferral status associated with the COVID-19 pandemic.</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3 “Loans” of the Consolidated Financial Statements filed herewith for further details.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6" w:name="page17"/>
    <w:bookmarkEnd w:id="1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Available Information</w:t>
      </w:r>
    </w:p>
    <w:p>
      <w:pPr>
        <w:spacing w:after="0" w:line="177"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Our website address is www.uscentury.com. Our electronic filings with the FDIC and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FDIC or SEC. The information posted on our website is not incorporated into this Annual Report. In addition, the FDIC and the SEC maintains a website that contains reports and other information that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7" w:name="page18"/>
    <w:bookmarkEnd w:id="1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This section contains a description of the material risk and uncertainties identified by management that could, individually or in combination, harm our business, results of operations, liquidity and financial condition. The risks described below are not all inclusive. We may face other risks that are not presently known, or that we presently deem immaterial.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business is subject to a number of risks that could cause actual results to differ materially from those indicated by forward-looking statements made in this Form 10-K or presented elsewhere from time to time. These risks are discussed more fully in this Item 1A and include, without limitation, the following: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Business and Operations</w:t>
      </w:r>
    </w:p>
    <w:p>
      <w:pPr>
        <w:spacing w:after="0" w:line="186" w:lineRule="exact"/>
        <w:rPr>
          <w:sz w:val="20"/>
          <w:szCs w:val="20"/>
          <w:color w:val="auto"/>
        </w:rPr>
      </w:pPr>
    </w:p>
    <w:p>
      <w:pPr>
        <w:ind w:left="1180" w:right="719" w:hanging="261"/>
        <w:spacing w:after="0" w:line="252" w:lineRule="auto"/>
        <w:tabs>
          <w:tab w:leader="none" w:pos="1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business operations and lending activities are concentrated in South Florida, and we are more sensitive to adverse changes in the local economy than our more geographically diversified competitors.</w:t>
      </w:r>
    </w:p>
    <w:p>
      <w:pPr>
        <w:spacing w:after="0" w:line="142"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small- to medium-sized businesses to which we lend may have fewer resources to weather adverse business developments, which may impair a borrower's ability to repay a loan.</w:t>
      </w:r>
    </w:p>
    <w:p>
      <w:pPr>
        <w:spacing w:after="0" w:line="141"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ongoing COVID-19 pandemic has adversely impacted and could continue to adversely impact us.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U.S. trade policies and other global political factors beyond our control may adversely impact us.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lending business is subject to credit risk, which could lead to unexpected losses.</w:t>
      </w:r>
    </w:p>
    <w:p>
      <w:pPr>
        <w:spacing w:after="0" w:line="169"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potential for the replacement or discontinuation of London Inter-bank Offered Rate, or LIBOR, as a benchmark interest rate could present operational problems and result in market disruption.</w:t>
      </w:r>
    </w:p>
    <w:p>
      <w:pPr>
        <w:spacing w:after="0" w:line="142"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Natural disasters and severe weather events in Florida could have a material adverse impact on us.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business is subject to interest rate risk.</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allowance for credit losses may not be sufficie nt to absorb potential losses in our loan portfolio.</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commercial loan portfolio may expose us to increased credit risk.</w:t>
      </w:r>
    </w:p>
    <w:p>
      <w:pPr>
        <w:spacing w:after="0" w:line="169" w:lineRule="exact"/>
        <w:rPr>
          <w:rFonts w:ascii="Arial" w:cs="Arial" w:eastAsia="Arial" w:hAnsi="Arial"/>
          <w:sz w:val="14"/>
          <w:szCs w:val="14"/>
          <w:color w:val="auto"/>
        </w:rPr>
      </w:pPr>
    </w:p>
    <w:p>
      <w:pPr>
        <w:ind w:left="1180" w:right="679" w:hanging="261"/>
        <w:spacing w:after="0" w:line="268" w:lineRule="auto"/>
        <w:tabs>
          <w:tab w:leader="none" w:pos="1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SBA lending program depends on our status as a participant in the SBA's Preferred Lenders Program, and we face specific risks associated with originating SBA loans and selling the guaranteed portion thereof.</w:t>
      </w:r>
    </w:p>
    <w:p>
      <w:pPr>
        <w:spacing w:after="0" w:line="131"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SBA may not honor its guarantees if we do not originate loans in compliance with SBA guidelines.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Global banking is an important part of our business, which creates increased BSA/AML risk.</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not recover all amounts that are contractually owed to us by our borrowers.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Non-performing assets take significant time to resolve and adversely affect us.</w:t>
      </w:r>
    </w:p>
    <w:p>
      <w:pPr>
        <w:spacing w:after="0" w:line="169"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engage in lending secured by real estate and may foreclose on the collateral and own the underlying real estate, subjecting us to the costs and potential risks associated with the ownership of real property and other risks.</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subject to certain operational risks, such as fraud and data processing system failures and errors.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subject to liquidity risk, which could adversely affect our financial condition and results of operations.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have several large depositor relationships, the loss of which could adversely affect us.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value of our securities in our investment portfolio may decline in the future.</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not effectively execute on our expansion strategy.</w:t>
      </w:r>
    </w:p>
    <w:p>
      <w:pPr>
        <w:spacing w:after="0" w:line="200" w:lineRule="exact"/>
        <w:rPr>
          <w:sz w:val="20"/>
          <w:szCs w:val="20"/>
          <w:color w:val="auto"/>
        </w:rPr>
      </w:pPr>
    </w:p>
    <w:p>
      <w:pPr>
        <w:spacing w:after="0" w:line="2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8" w:name="page19"/>
    <w:bookmarkEnd w:id="1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330" w:lineRule="exact"/>
        <w:rPr>
          <w:sz w:val="20"/>
          <w:szCs w:val="20"/>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New lines of business, products, product enhancements or services may subject us to additional risk.</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Additional capital we need may not be available on terms acceptable to us or may dilute our shareholders.</w:t>
      </w:r>
    </w:p>
    <w:p>
      <w:pPr>
        <w:spacing w:after="0" w:line="159"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strategy to grow through mergers or acquisitions may not be successful or, if successful, may produce risks in successfully integrating and managing the merged companies or acquisitions and may dilute our shareholders.</w:t>
      </w:r>
    </w:p>
    <w:p>
      <w:pPr>
        <w:spacing w:after="0" w:line="141"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lose one or more of our key personnel or fail to attract and retain other highly qualified personnel.</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Damage to our reputation could significantly harm our businesses.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face strong competition and must respond to rapid technological changes to remain competitive.</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failure, interruption, or breach in the security of our or our contracted vendors’ systems could adversely affect us.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rely on other companies to provide key components of our business infrastructure.</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Litigation and regulatory actions could subject us to significant liabilities or restrictions.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of our directors may have conflicts of interest in presenting business opportunities to us.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Tax, Accounting and Regulatory Compliance</w:t>
      </w:r>
    </w:p>
    <w:p>
      <w:pPr>
        <w:spacing w:after="0" w:line="186" w:lineRule="exact"/>
        <w:rPr>
          <w:sz w:val="20"/>
          <w:szCs w:val="20"/>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be unable to recognize the benefits of deferred tax assets.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accuracy of our financial statements could be affected by our judgments, assumptions or estimates.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 new public company, we may not create an effective internal control environment.</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operate in a highly regulated environment.</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participation in the SBA PPP loan program exposes us to noncompliance risk and litigation risk.</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face a risk of noncompliance with the Bank Secrecy Act and other anti-money laundering laws.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are subject to capital adequacy requirements that may become more stringent.</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are periodically subject to examination and scrutiny by a number of banking agencies.</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are subject to numerous laws and regulations of certain regulatory agencies designed to protect consumers.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Class A Common Stock</w:t>
      </w:r>
    </w:p>
    <w:p>
      <w:pPr>
        <w:spacing w:after="0" w:line="186" w:lineRule="exact"/>
        <w:rPr>
          <w:sz w:val="20"/>
          <w:szCs w:val="20"/>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do not anticipate paying dividends on our common stock.</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market price and trading volume of our Class A common stock may be volatile.</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There are significant restrictions in our Articles of Incorporation that restrict the ability to sell our capital stock.</w:t>
      </w:r>
    </w:p>
    <w:p>
      <w:pPr>
        <w:spacing w:after="0" w:line="169" w:lineRule="exact"/>
        <w:rPr>
          <w:rFonts w:ascii="Arial" w:cs="Arial" w:eastAsia="Arial" w:hAnsi="Arial"/>
          <w:sz w:val="14"/>
          <w:szCs w:val="14"/>
          <w:color w:val="auto"/>
        </w:rPr>
      </w:pPr>
    </w:p>
    <w:p>
      <w:pPr>
        <w:ind w:left="1180" w:right="739" w:hanging="261"/>
        <w:spacing w:after="0" w:line="252" w:lineRule="auto"/>
        <w:tabs>
          <w:tab w:leader="none" w:pos="1176"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are an emerging growth company and have decided to take advantage of certain exemptions from various reporting and other requirements applicable to emerging growth companies.</w:t>
      </w:r>
    </w:p>
    <w:p>
      <w:pPr>
        <w:spacing w:after="0" w:line="152"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have existing investors that own a significant amount of our common stock whose individual interests may differ from yours.</w:t>
      </w:r>
    </w:p>
    <w:p>
      <w:pPr>
        <w:spacing w:after="0" w:line="152" w:lineRule="exact"/>
        <w:rPr>
          <w:rFonts w:ascii="Arial" w:cs="Arial" w:eastAsia="Arial" w:hAnsi="Arial"/>
          <w:sz w:val="14"/>
          <w:szCs w:val="14"/>
          <w:color w:val="auto"/>
        </w:rPr>
      </w:pPr>
    </w:p>
    <w:p>
      <w:pPr>
        <w:ind w:left="1180" w:right="699" w:hanging="261"/>
        <w:spacing w:after="0" w:line="252" w:lineRule="auto"/>
        <w:tabs>
          <w:tab w:leader="none" w:pos="117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Provisions in our governing documents and Florida law may have an anti-takeover effect and there are substantial regulatory limitations on changes of control of the Company.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9" w:name="page20"/>
    <w:bookmarkEnd w:id="1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Risks Related to our Business and Operations</w:t>
      </w:r>
    </w:p>
    <w:p>
      <w:pPr>
        <w:spacing w:after="0" w:line="161"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b w:val="1"/>
          <w:bCs w:val="1"/>
          <w:i w:val="1"/>
          <w:iCs w:val="1"/>
          <w:color w:val="auto"/>
        </w:rPr>
        <w:t>Our business operations and lending activities are concentrated in South Florida, and we are more sensitive to adverse changes in the local economy than our more geographically diversified competitors.</w:t>
      </w:r>
    </w:p>
    <w:p>
      <w:pPr>
        <w:spacing w:after="0" w:line="11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Unlike many of our larger competitors that maintain significant operations located outside of our market area, most of our customers are concentrated in South Florida. In addition, we have a high concentration of loans secured by real estate located in South Florida. Therefore, our success depends upon the general economic conditions in South Florida, which may differ from the economic conditions in other areas of the U.S. or the U.S. generally.</w:t>
      </w:r>
    </w:p>
    <w:p>
      <w:pPr>
        <w:spacing w:after="0" w:line="143"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Our real estate collateral provides an alternate source of repayment in the event of default by the borrower; however, the value of the collateral may decline during the time the credit is outstanding. The concentration of our loans in the South Florida area subjects us to risk that a downturn in the local economy or recession in this area could result in a decrease in loan originations and increases in delinquencies and foreclosures, which would have a greater negative effect on us than if our lending were more geographically diversified. If we are required to liquidate our real estate collateral securing a loan during a period of reduced real estate values to satisfy the debt, our earnings and capital could be adversely affected.</w:t>
      </w:r>
    </w:p>
    <w:p>
      <w:pPr>
        <w:spacing w:after="0" w:line="4"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Moreover, since a large portion of our portfolio is secured by properties located in South Florida, the occurrence of a natural disaster, such as a hurricane, or a man-made disaster could result in a decline in loan originations, a decline in the value or destruction of mortgaged properties and an increase in the risk of delinquencies, foreclosures or loss on loans originated by us. We may suffer further losses due to the decline in the value of the properties underlying our mortgage loans, which would have an adverse impact on our results of operations and financial condition.</w:t>
      </w:r>
    </w:p>
    <w:p>
      <w:pPr>
        <w:spacing w:after="0" w:line="146"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A downturn in the local economy generally may lead to loan losses that are not offset by operations in other markets; it may also reduce the ability of our customers to grow or maintain their deposits with us. For these reasons, any regional or local economic downturn that affects South Florida, or existing or prospective borrowers or depositors in South Florida, could have a material adverse effect on our business, financial condition and results of operations.</w:t>
      </w:r>
    </w:p>
    <w:p>
      <w:pPr>
        <w:spacing w:after="0" w:line="15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In addition, there are continuing concerns related to, among other things, the level of U.S. government debt and fiscal actions that may be taken to address that debt, price fluctuations of key natural resources, inflation, the potential resurgence of economic and political tensions with China, the Russian invasion of Ukraine and increasing oil prices due to Russian supply disruptions,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w:t>
      </w:r>
    </w:p>
    <w:p>
      <w:pPr>
        <w:spacing w:after="0" w:line="142"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The small- to medium-sized businesses to which we lend may have fewer resources to weather adverse business developments, which may impair a borrower's ability to repay a loan.</w:t>
      </w:r>
    </w:p>
    <w:p>
      <w:pPr>
        <w:spacing w:after="0" w:line="13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We target our business development and marketing strategies primarily to serve the banking and financial services needs of small- to medium-sized businesses, or SMBs, and the owners and operators of those businesses. SMBs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individually or in the aggregate, may impair their ability as a borrower to repay a loan. These factors may impact SMBs significantly more as a result of the effects of the COVID-19 pandemic. In addition, the success of SMBs often depends on the management skills, talents and efforts of a small group of key people, and the death, disability or resignation of one or more of these individuals could have an adverse impact on the business and its ability to repay its loan. If general economic conditions negatively impact the markets in which we operate or any of our borrowers otherwise are affected by adverse business developments, our SMB borrowers may be disproportionately affected and their ability to repay outstanding loans may be negatively affected,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0" w:name="page21"/>
    <w:bookmarkEnd w:id="2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b w:val="1"/>
          <w:bCs w:val="1"/>
          <w:i w:val="1"/>
          <w:iCs w:val="1"/>
          <w:color w:val="auto"/>
        </w:rPr>
        <w:t>The ongoing COVID-19 pandemic and resulting substantial disruption to global and domestic economies has adversely impacted, and could continue to adversely impact, our business operations, asset valuations, and financial results.</w:t>
      </w:r>
    </w:p>
    <w:p>
      <w:pPr>
        <w:spacing w:after="0" w:line="150"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 ongoing COVID-19 pandemic has created global and domestic economic and financial disruptions that have adversely affected, and could continue to adversely affect, our business operations, asset valuations and financial results. The pandemic has negatively impacted the global and domestic economies, disrupted supply chains, lowered certain equity market valuations in certain sectors, and created significant volatility and disruption in financial markets. Certain large, medium and small businesses within certain industries have been particularly hard hit both in the U.S. and internationally, including the aviation industry, the travel, hotel and hospitality industry, the restaurant industry, property management industry and the retail industry. In addition, the pandemic has resulted in remote working environments, travel restrictions, business entry requirements, and proposed return-to-office vaccination and testing requirements. Should the negative economic impacts of COVID-19 persist or worsen, this could have a continued adverse impact on our business, financial condition and results of operations, as these circumstances continue to impact our core SMB customers. Additionally, an expected recovery from the impacts of COVID-19 may not occur as fast as anticipated, and any such recovery may not yield the same benefits to us as other financial institutions or other companies in other industries.</w:t>
      </w:r>
    </w:p>
    <w:p>
      <w:pPr>
        <w:spacing w:after="0" w:line="151"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Because there have been no comparable recent global pandemics or similar disruptions that resulted in a similar global impact, the full extent to which the COVID-19 pandemic will impact our business operations, asset valuations and financial results will depend on future developments which remain uncertain and cannot be predicted at this time. These include the scope and duration of the pandemic, including the introduction of new strains of the virus, the efficacy and distribution of, and participation in, vaccination programs, the continued effectiveness of our business continuity plan, the direct and indirect impact of the pandemic on our employees, customers and third-party service providers, as well as other market participants, and the effectiveness of actions taken by governmental authorities and other third parties in response to the pandemic. If the pandemic continues to spread, morph or otherwise results in a continuation or worsening of the current economic and commercial environments, our business, financial condition, results of operations, cash flows, and ability to pay dividends, as well as our regulatory capital and liquidity ratios could be materially adversely affected.</w:t>
      </w:r>
    </w:p>
    <w:p>
      <w:pPr>
        <w:spacing w:after="0" w:line="13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b w:val="1"/>
          <w:bCs w:val="1"/>
          <w:i w:val="1"/>
          <w:iCs w:val="1"/>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44" w:lineRule="exact"/>
        <w:rPr>
          <w:sz w:val="20"/>
          <w:szCs w:val="20"/>
          <w:color w:val="auto"/>
        </w:rPr>
      </w:pPr>
    </w:p>
    <w:p>
      <w:pPr>
        <w:jc w:val="both"/>
        <w:ind w:left="660" w:right="639" w:firstLine="256"/>
        <w:spacing w:after="0" w:line="243" w:lineRule="auto"/>
        <w:rPr>
          <w:sz w:val="20"/>
          <w:szCs w:val="20"/>
          <w:color w:val="auto"/>
        </w:rPr>
      </w:pPr>
      <w:r>
        <w:rPr>
          <w:rFonts w:ascii="Arial" w:cs="Arial" w:eastAsia="Arial" w:hAnsi="Arial"/>
          <w:sz w:val="14"/>
          <w:szCs w:val="14"/>
          <w:color w:val="auto"/>
        </w:rPr>
        <w:t>There have been, and may be in the future, changes with respect to U.S. and international trade policies, legislation, treaties and tariffs, embargoes, sanctions and other trade restrictions.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our products, or the U.S. economy or certain sectors thereof and, thus, could adversely impact our business, financial condition and results of operations. As a result of Russia's invasion of Ukraine, the U.S. has imposed, and is likely to impose material additional, financial and economic sanctions and export controls against certain Russian organizations and/or individuals, with similar actions either implemented or planned by the European Union ("EU") and the U.K. and other jurisdictions. The U.S., the U.K., and the EU each imposed packages of financial and economic sanctions that, in various ways, constrain transactions with numerous Russian entities and individuals; transactions in Russian sovereign debt; and investment, trade, and financing to, from, or in certain regions of Ukraine. Moreover, actions by Russia, and any further measures taken by the U.S. or its allies, could have negative impacts on regional and global financial markets and economic conditions. To the extent changes in the global political environment, including Russia's invasion of Ukraine and the escalating tensions between Russia and the U.S., NATO, the EU and the UK, have a negative impact on us or on the markets in which we operate, our business, results of operations and financial condition could be materially and adversely impacted.</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lending business is subject to credit risk, which could lead to unexpected losses.</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primary business involves making loans to customers. The business of lending is inherently risky because the principal or interest on the loan may not be repaid timely or at all or the value of any collateral securing the loan may be insufficient to cover our outstanding exposure. These risks may be affected by the strength or weakness of the particular borrower's business sector and local, regional and national market and economic conditions. Many of our loans are made to SMBs that may be less able to withstand competitive, economic and financial pressures than larger borrowers. Our risk management practices, such as monitoring the concentration of our loans within specific industries in which we lend and concentrations with individual borrowers or related borrowers, and our credit approval practices, may not adequately reduce credit risk. In addition, there are risks inherent in making any loan, including risks relating to proper loan underwriting, risks resulting from changes in economic and industry conditions, risks inherent in dealing with individual borrowers, including the risk that a borrower may not provide information to us about their business in a timely manner, may present inaccurate</w:t>
      </w:r>
    </w:p>
    <w:p>
      <w:pPr>
        <w:spacing w:after="0" w:line="2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1" w:name="page22"/>
    <w:bookmarkEnd w:id="2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or incomplete information to us, may lack a U.S. credit history, or may leave the U.S. without fulfilling their loan obligations, leaving us with little recourse to them personally, and/or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for credit losses, each of which could adversely affect our net income. A failure to effectively manage credit risk associated with our loan portfolio could lead to unexpected losses and have a material adverse effect on our business, financial condition and results of operations.</w:t>
      </w:r>
    </w:p>
    <w:p>
      <w:pPr>
        <w:spacing w:after="0" w:line="133"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b w:val="1"/>
          <w:bCs w:val="1"/>
          <w:i w:val="1"/>
          <w:iCs w:val="1"/>
          <w:color w:val="auto"/>
        </w:rPr>
        <w:t>The potential for the replacement or discontinuation of London Inter-bank Offered Rate, or LIBOR, as a benchmark interest rate and a transition to an alternative reference interest rate could present operational problems and result in market disruption.</w:t>
      </w:r>
    </w:p>
    <w:p>
      <w:pPr>
        <w:spacing w:after="0" w:line="144"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In 2017, the Financial Conduct Authority announced that after 2021 it will no longer compel banks to submit the rates required to calculate LIBOR. In November 2020, the administrator of LIBOR announced it will consult on its intention to extend the retirement date of certain offered rates whereby the publication of the one week and two month LIBOR offered rates will cease after December 31, 2021; but, the publication of the remaining LIBOR offered rates will continue until June 30, 2023. Given consumer protection, litigation, and reputation risks, the bank regulatory agencies have indicated that entering into new contracts that use LIBOR as a reference rate after December 31, 2021 would create safety and soundness risks and that they will examine bank practices accordingly. Therefore, the agencies encouraged banks to cease entering into new contracts that use LIBOR as a reference rate as soon as practicable and in any event by December 31, 2021.</w:t>
      </w:r>
    </w:p>
    <w:p>
      <w:pPr>
        <w:spacing w:after="0" w:line="158"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There is uncertainty as to what rate or rates may become accepted alternatives to LIBOR, or what the effect of any such changes in views or alternatives may be on the markets for LIBOR-indexed financial instruments. In response, the Board of Governors of the Federal Reserve System, or the Federal Reserve, based on the recommendations of the New York Federal Reserve's Alternative Reference Rate Committee, has begun publishing SOFR, which is intended to replace LIBOR, and has encouraged banks to transition away from LIBOR as soon as practicable. Although SOFR appears to be the preferred replacement rate for LIBOR, there are conceptual and technical differences between LIBOR and SOFR that remain unresolved at this time. Accordingly,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w:t>
      </w:r>
    </w:p>
    <w:p>
      <w:pPr>
        <w:spacing w:after="0" w:line="16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Certain of our financial products are tied to LIBOR. Inconsistent approaches to a transition from LIBOR to an alternative rate among different market participants and for different financial products may cause market disruption and operational problems, which could adversely affect us, including by exposing us to increased interest rate risk and associated costs, including, but not limited to, creating the possibility of disagreements with counterparties.</w:t>
      </w:r>
    </w:p>
    <w:p>
      <w:pPr>
        <w:spacing w:after="0" w:line="129"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b w:val="1"/>
          <w:bCs w:val="1"/>
          <w:i w:val="1"/>
          <w:iCs w:val="1"/>
          <w:color w:val="auto"/>
        </w:rPr>
        <w:t>Natural disasters and severe weather events in Florida could have a material adverse impact on our business, financial condition and operations.</w:t>
      </w:r>
    </w:p>
    <w:p>
      <w:pPr>
        <w:spacing w:after="0" w:line="12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Our operations and our customer base are primarily located in South Florida. This region is vulnerable to natural disasters and severe weather events or acts of God, such as hurricanes or tropical storms, which can have a material adverse impact on our loan portfolio, our overall business, financial condition and operations, cause widespread property damage and have the potential to significantly depress the local economies in which we operate. Future adverse weather events in Florida could potentially result in extensive and costly property damage to businesses and residences, depress the value of property serving as collateral for our loans, force the relocation of residents, and significantly disrupt economic activity in the region.</w:t>
      </w:r>
    </w:p>
    <w:p>
      <w:pPr>
        <w:spacing w:after="0" w:line="14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We cannot predict the extent of damage that may result from such adverse weather events, which will depend on a variety of factors that are beyond our control, including, but not limited to, the severity and duration of the event, the timing and level of government responsiveness, the pace of economic recovery and availability of insurance to cover losses. In addition, the nature, frequency and severity of these adverse weather events and other natural disasters may be exacerbated by climate change. If a significant adverse weather event or other natural disaster were to occur, it could have a materially adverse impact on our financial condition, results of operations and our business, as well as potentially increase our exposure to credit and liquidity risks.</w:t>
      </w:r>
    </w:p>
    <w:p>
      <w:pPr>
        <w:spacing w:after="0" w:line="200" w:lineRule="exact"/>
        <w:rPr>
          <w:sz w:val="20"/>
          <w:szCs w:val="20"/>
          <w:color w:val="auto"/>
        </w:rPr>
      </w:pPr>
    </w:p>
    <w:p>
      <w:pPr>
        <w:spacing w:after="0" w:line="3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2" w:name="page23"/>
    <w:bookmarkEnd w:id="2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Our business is subject to interest rate risk, and variations in interest rates may materially and adversely affect our financial performance.</w:t>
      </w:r>
    </w:p>
    <w:p>
      <w:pPr>
        <w:spacing w:after="0" w:line="13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Changes in the interest rate environment may reduce our profits. It is expected that we will continue to realize income from the differential or "spread" between the interest earned on loans, securities and other interest-earning assets, and the interest paid on deposits, borrowings and other interest-bearing liabilities. Net interest spreads are affected, in part, by the difference between the maturities and repricing characteristics of interest-earning assets and interest-bearing liabilities. Changes in market interest rates generally affect loan volume, loan yields, funding sources and funding costs. Our net interest spread depends on many factors that are partly or completely out of our control, including competition, general economic conditions, and federal economic monetary and fiscal policies, and in particular, the Federal Reserve's policy determinations with respect to interest rates. After steadily increasing the target federal funds rate in 2017 and 2018, the Federal Reserve in 2019 decreased the target federal funds rate by 75 basis points, and in response to the COVID-19 pandemic in March 2020, effected an additional 150 basis point decrease to a range of 0.00% to 0.25% as of March 31, 2020 where it had remained until the Federal Reserve increased the target federal funds rate by 25 basis points to a range of 0.25% to 0.50% in March 2022. A prolonged low interest rate environment could negatively impact our net interest margin as assets reprice that are not subject to interest rate floors. The Federal Reserve Board has signaled that further increases in rates are coming but the exact timing and extent remain unknown and are largely subject to economic conditions.</w:t>
      </w:r>
    </w:p>
    <w:p>
      <w:pPr>
        <w:spacing w:after="0" w:line="162"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While an increase in interest rates may increase our loan yield, it may adversely affect the ability of certain borrowers with variable rate loans to pay the contractual interest and principal due to us. Following an increase in interest rates, our ability to maintain a positive net interest spread is dependent on our ability to increase our loan offering rates, replace loans that mature and repay or that prepay before maturity with new originations at higher rates, minimize increases on our deposit rates, and maintain an acceptable level and composition of funding. We cannot provide assurances that we will be able to increase our loan offering rates and continue to originate loans due to the competitive landscape in which we operate. Additionally, we cannot provide assurances that we can minimize the increases in our deposit rates while maintaining an acceptable level of deposits. Finally, we cannot provide any assurances that we can maintain our current levels of noninterest-bearing deposits as customers may seek higher -yielding products when interest rates increase.</w:t>
      </w:r>
    </w:p>
    <w:p>
      <w:pPr>
        <w:spacing w:after="0" w:line="14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Accordingly, changes in levels of interest rates could materially and adversely affect our net interest margin, asset quality, loan origination volume, average loan portfolio balance, liquidity, and overall profitability.</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allowance for credit losses may not be sufficient to absorb potential losses in our loan portfolio.</w:t>
      </w:r>
    </w:p>
    <w:p>
      <w:pPr>
        <w:spacing w:after="0" w:line="18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We maintain an allowance for credit losses that represents management's judgment of probable losses and risks inherent in our loan portfolio. The level of the allowance reflects management's continuing evaluation of general economic conditions, present political and regulatory conditions, diversification and seasoning of the loan portfolio, historic loss experience, identified credit problems, delinquency levels and adequacy of collateral. Determining the appropriate level of our allowance for credit losses involves a degree of subjective judgment and requires management to make significant estimates of and assumptions regarding current credit risks and future trends, all of which may undergo material changes.</w:t>
      </w:r>
    </w:p>
    <w:p>
      <w:pPr>
        <w:spacing w:after="0" w:line="147"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Inaccurate management assumptions, deterioration of economic conditions affecting borrowers, new negative information regarding existing loans, identification of additional problem loans or deterioration of existing problem loans, and other factors (including third-party review and analysis), both within and outside of our control, may require us to increase our allowance for credit losses. In addition, our regulators, as an integral part of their periodic examinations, review our methodology for calculating, and the adequacy of, our allowance for credit losses and may direct us to make additions to the allowance based on their judgments about information available to them at the time of their examination. Further, if actual charge-offs in future periods exceed the amounts allocated to our allowance for credit losses, we may need additional provisions for credit losses to restore the adequacy of our allowance for credit losses. Finally, the measure of our allowance for credit losses depends on the adoption and interpretation of accounting standards. The Financial Accounting Standards Board, or FASB, issued a new credit impairment model, the Current Expected Credit Loss, or CECL model, which is expected to become applicable to us on January 1, 2023 after the FASB elected to delay implementation for smaller reporting companies. CECL will require financial institutions to estimate and develop a provision for credit losses over the lifetime of the loan at origination, as opposed to reserving for incurred or probable losses up to the balance sheet date. Under the CECL model, expected credit deterioration would be reflected in the income statement in the period of origination or acquisition of a loan, with changes in expected credit losses due to further credit deterioration or improvement reflected in the periods in which the expectation changes. Accordingly, implementation of the CECL model could require financial institutions, like us, to increase our allowances for credit losses from levels in place prior to the implementation of CECL. Moreover, the CECL model may create more volatility in our level of allowance for credit losses. If we are required to materially increase our level of allowance for credit losses for any reason, such increase could adversely affect our business, prospects, cash flow, liquidity,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3" w:name="page24"/>
    <w:bookmarkEnd w:id="2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commercial loan portfolio may expose us to increased credit risk.</w:t>
      </w:r>
    </w:p>
    <w:p>
      <w:pPr>
        <w:spacing w:after="0" w:line="175"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Commercial business and real estate loans generally have a higher risk of loss because loan balances are typically larger than residential real estate and consumer loans and repayment is usually dependent on cash flows from the borrower’s business or the property securing the loan. Our commercial business loans are primarily made to small business and middle market customers. These loans typically involve repayment that depends upon income generated, or expected to be generated, by the property securing the loan and/or by the cash flow generated by the business borrower and may be adversely affected by changes in the economy or local market conditions. These loans expose a lender to the risk of having to liquidate the collateral securing these loans at times when there may be significant fluctuation of commercial real estate values or to the risk of inadequate cash flows to service the commercial loans. Unexpected deterioration in the credit quality of our commercial business and/or real estate loan portfolio could require us to increase our allowance for credit losses, which would reduce our profitability and could have an adverse effect on our business, financial condition, and results of operations.</w:t>
      </w:r>
    </w:p>
    <w:p>
      <w:pPr>
        <w:spacing w:after="0" w:line="159"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Commercial construction loans generally have a higher risk of loss due to the assumptions used to estimate the value of property at completion and the cost of the project, including interest. It can be difficult to accurately evaluate the total funds required to complete a project, and construction lending often involves the disbursement of substantial funds with repayment dependent, in large part, on the success of the ultimate project rather than the ability of a borrower or guarantor to repay the loan from sources other than the subject project. If the assumptions and estimates are inaccurate, the value of completed property may fall below the related loan amount. If we are forced to foreclose on a project prior to completion, we may be unable to recover the entire unpaid portion of the loan, which would lead to losses. In addition, we may be required to fund additional amounts to complete a project, incur taxes, maintenance and compliance costs for a foreclosed property and may have to hold the property for an indeterminate period of time, any of which could adversely affect our business, prospects, cash flow, liquidity, financial condition and results of operations.</w:t>
      </w:r>
    </w:p>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b w:val="1"/>
          <w:bCs w:val="1"/>
          <w:i w:val="1"/>
          <w:iCs w:val="1"/>
          <w:color w:val="auto"/>
        </w:rPr>
        <w:t>Our SBA lending program is dependent upon the federal government and our status as a participant in the SBA's Preferred Lenders Program, and we face specific risks associated with originating SBA loans and selling the guaranteed portion thereof.</w:t>
      </w:r>
    </w:p>
    <w:p>
      <w:pPr>
        <w:spacing w:after="0" w:line="134"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We have been approved by the SBA to participate in the SBA's Preferred Lenders Program. As an SBA Preferred Lender, we enable our clients to obtain SBA loans without being subject to the potentially lengthy SBA approval process necessary for lenders that are not SBA Preferred Lenders.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Preferred Lender status. If we lose our status as an SBA Preferred Lender, we may lose some or all of our customers to lenders who are SBA Preferred Lenders, which could adversely affect our business, financial condition and results of operations.</w:t>
      </w:r>
    </w:p>
    <w:p>
      <w:pPr>
        <w:spacing w:after="0" w:line="157"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We generally sell the guaranteed portion of our SBA 7(a) loans in the secondary market. These sales have resulted in both premium income for us at the time of sale and created a stream of future servicing income. There can be no assurance that we will be able to continue originating these loans, that a secondary market for these loans will continue to exist or that we will continue to realize premiums upon the sale of the guaranteed portion of these loans. When we sell the guaranteed portion of our SBA 7(a) loans, we incur credit risk on the non-guaranteed portion of the loans, and if a customer defaults on the non-guaranteed portion of a loan, we share any loss and recovery related to the loan pro-rata with the SBA.</w:t>
      </w:r>
    </w:p>
    <w:p>
      <w:pPr>
        <w:spacing w:after="0" w:line="160"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especially our organization, changes in the laws, regulations and procedures applicable to SBA loans could adversely affect our ability to operate profitably. In addition, the aggregate amount of SBA 7(a) and 504 loan guarantees by the SBA must be approved each fiscal year by the federal government. We cannot predict the amount of SBA 7(a) loan guarantees in any given fiscal year. If the federal government were to reduce the amount of SBA loan guarantees, such reduction could adversely impact our SBA lending program, including making and selling the guaranteed portion of fewer SBA 7(a) and 504 loans.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 xml:space="preserve">The SBA may not honor its guarantees if we do not originate loans in compliance with SBA guidelines </w:t>
      </w:r>
      <w:r>
        <w:rPr>
          <w:rFonts w:ascii="Arial" w:cs="Arial" w:eastAsia="Arial" w:hAnsi="Arial"/>
          <w:sz w:val="14"/>
          <w:szCs w:val="14"/>
          <w:color w:val="auto"/>
        </w:rPr>
        <w:t>.</w:t>
      </w:r>
    </w:p>
    <w:p>
      <w:pPr>
        <w:spacing w:after="0" w:line="186"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SBA lending programs typically guarantee 75.0% of the principal on an underlying loan. If the SBA establishes that a loss on an SBA guaranteed loan is attributable to significant technical deficiencies in the manner in which the loan was</w:t>
      </w:r>
    </w:p>
    <w:p>
      <w:pPr>
        <w:spacing w:after="0" w:line="2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4" w:name="page25"/>
    <w:bookmarkEnd w:id="2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99"/>
        <w:spacing w:after="0" w:line="246" w:lineRule="auto"/>
        <w:rPr>
          <w:sz w:val="20"/>
          <w:szCs w:val="20"/>
          <w:color w:val="auto"/>
        </w:rPr>
      </w:pPr>
      <w:r>
        <w:rPr>
          <w:rFonts w:ascii="Arial" w:cs="Arial" w:eastAsia="Arial" w:hAnsi="Arial"/>
          <w:sz w:val="14"/>
          <w:szCs w:val="14"/>
          <w:color w:val="auto"/>
        </w:rPr>
        <w:t>originated, funded or serviced by us, the SBA may seek recovery of the principal loss related to the deficiency from us notwithstanding that a portion of the loan was guaranteed by the SBA, which could adversely affect our business, financial condition and results of operations. While we follow the SBA's underwriting guidelines, our ability to do so depends on the knowledge and diligence of our employees and the effectiveness of controls we have established. If our employees do not follow the SBA guidelines in originating loans and if our loan review and audit programs fail to identify and rectify such failures, the SBA may reduce or, in some cases, refuse to honor its guarantee obligations and we may incur losses as a result.</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Global banking is an important part of our business, which creates increased BSA/AML risk.</w:t>
      </w:r>
    </w:p>
    <w:p>
      <w:pPr>
        <w:spacing w:after="0" w:line="175"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As our business model includes correspondent services to banks in Latin America and the Caribbean, these cross-border correspondent banking relationships pose unique risks because they create situations in which a U.S. financial institution will be handling funds from a financial institution in Latin America and the Caribbean whose customers may not be transparent to us. Moreover, many foreign financial institutions, including in Latin America and the Caribbean where our correspondent banking services are located, are not subject to the same or similar regulatory guidelines as U.S. banks. Accordingly, these foreign institutions may pose higher money laundering risk to their respective U.S. bank correspondent(s). Because of the large amount of funds, multiple transactions, and our potential lack of familiarity with a foreign correspondent financial institution's customers, these customers may be able to more easily conceal the source and use of illicit funds. Consequently, we may have a higher risk of non-compliance with the BSA and other AML rules and regulations due to our correspondent banking relationships with foreign financial institutions. Additionally, international private banking places additional pressure on our policies, procedures and systems for complying with the Bank Secrecy Act of 1970, as amended, or BSA, and other anti-money laundering, or AML, statutes and regulations. Our failure to strictly adhere to the terms and requirements of our OFAC license or our failure to adequately manage our BSA/AML compliance risk in light of our correspondent banking relationship with foreign financial institutions and international private banking could result in regulatory or other actions being taken against us, which could significantly increase our compliance costs and materially and adversely affect our results of operations.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may not recover all amounts that are contractually owed to us by our borrowers.</w:t>
      </w:r>
    </w:p>
    <w:p>
      <w:pPr>
        <w:spacing w:after="0" w:line="175" w:lineRule="exact"/>
        <w:rPr>
          <w:sz w:val="20"/>
          <w:szCs w:val="20"/>
          <w:color w:val="auto"/>
        </w:rPr>
      </w:pPr>
    </w:p>
    <w:p>
      <w:pPr>
        <w:jc w:val="both"/>
        <w:ind w:left="660" w:right="659" w:firstLine="256"/>
        <w:spacing w:after="0" w:line="268" w:lineRule="auto"/>
        <w:rPr>
          <w:sz w:val="20"/>
          <w:szCs w:val="20"/>
          <w:color w:val="auto"/>
        </w:rPr>
      </w:pPr>
      <w:r>
        <w:rPr>
          <w:rFonts w:ascii="Arial" w:cs="Arial" w:eastAsia="Arial" w:hAnsi="Arial"/>
          <w:sz w:val="14"/>
          <w:szCs w:val="14"/>
          <w:color w:val="auto"/>
        </w:rPr>
        <w:t>We are dependent on the collection of loan principal, interest, and fees to partially fund our operations. A shortfall in collections and proceeds may impair our ability to fund our operations or to repay our existing debt.</w:t>
      </w:r>
    </w:p>
    <w:p>
      <w:pPr>
        <w:spacing w:after="0" w:line="142"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When we lend funds, commit to fund a loan or enter into a letter of credit or other credit-related contract with a counterparty, we incur credit risk. The credit quality of our portfolio can have a significant impact on our earnings. We expect to experience charge-offs and delinquencies on our loans in the future. Many borrowers have been negatively impacted by the COVID-19 pandemic and related economic consequences, and may continue to be similarly or more severely affected in the future. Our customers' actual operating results may be worse than our underwriting contemplated when we originated the loans, and in these circumstances, we could incur substantial impairment or loss of the value on these loans. We may fail to identify problems because our customer did not report them in a timely manner or, even if the customer did report the problem, we may fail to address it quickly enough or at all, or some loans, due to market circumstances, may not be able to be fully rehabilitated. Even if customers provide us with full and accurate disclosure of all material information concerning their businesses, we may misinterpret or incorrectly analyze this information. Mistakes may cause us to make loans that we otherwise would not have made or to fund advances that we otherwise would not have funded, either of which could result in losses on loans, or necessitate that we significantly increase our allowance for loan and lease losses. As a result, we could suffer loan losses and have non-performing loans, which could have a material adverse effect on our net earnings and results of operations and financial condition, to the extent the losses exceed our allowance for loan and lease losses.</w:t>
      </w:r>
    </w:p>
    <w:p>
      <w:pPr>
        <w:spacing w:after="0" w:line="152"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Some of our loans are secured by a lien on specified collateral of the borrower and we may not obtain or properly perfect our liens or the value of the collateral securing any particular loan may not be sufficient to protect us from suffering a partial or complete loss if the loan becomes non-performing and we proceed to foreclose on or repossess the collateral. With respect to loans that we originate for condominium or homeowners' associations, or the Associations, these loans are primarily secured by and rely upon the cash flow received by the Associations from payments received from their property owners, as well as cash on hand. These Associations rely upon payments received from their property owners in order to perform on these loans and for the loan collateral. Accordingly, our ability to recover amounts on non-performing loans made to Associations is dependent upon the Association having sufficient cash on hand for repayment of the loan and/or having the ability to impose assessments on its property owners, some of whom may not have the ability to pay such assessments. In such events, we could suffer loan losses, which could have a material adverse effect on our net earnings, allowance for loan and lease losses,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5" w:name="page26"/>
    <w:bookmarkEnd w:id="2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Non-performing assets take significant time to resolve and adversely affect our results of operations and financial condition, and could result in further losses in the future.</w:t>
      </w:r>
    </w:p>
    <w:p>
      <w:pPr>
        <w:spacing w:after="0" w:line="136"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Our non-performing assets adversely affect our net income in various ways. We do not record interest income on nonaccrual loans or OREO,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These non-performing loans and OREO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44"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b w:val="1"/>
          <w:bCs w:val="1"/>
          <w:i w:val="1"/>
          <w:iCs w:val="1"/>
          <w:color w:val="auto"/>
        </w:rPr>
        <w:t>We engage in lending secured by real estate and may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153"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Since we originate loans secured by real estate, we may have to foreclose on the collateral property to recover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various assessments relating to the ownership of the property,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47"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Additionally, consumer protection initiatives or changes in state or federal law may substantially increase the time and expenses associated with the residential foreclosure process or prevent us from foreclosing at all. A number of states in recent years have either considered or adopted foreclosure reform laws that make it substantially more difficult and expensive for lenders to foreclose on residential properties in default. Furthermore, federal regulators have prosecuted a number of mortgage servicing companies for alleged consumer law violations. If new state or federal laws or regulations are ultimately enacted that significantly raise the cost of residential foreclosures or raise outright barriers, they could have an adverse effect on our business, financial condition, and results of operations.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exposed to risk of environmental liability when we take title to property.</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 the course of our business, we may foreclose on and take title to real estate. As a result, we could be subject to environmental liabilities with respect to these properties. We may be held liable to a governmental entity or to third parties for property damage, personal injury, investigation and clean-up costs incurred by these parties in connection with environmental contamination or may be required to investigate or clean up hazardous or toxic substances or chemical releases at a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and results of operations could be adversely affecte d.</w:t>
      </w:r>
    </w:p>
    <w:p>
      <w:pPr>
        <w:spacing w:after="0" w:line="142" w:lineRule="exact"/>
        <w:rPr>
          <w:sz w:val="20"/>
          <w:szCs w:val="20"/>
          <w:color w:val="auto"/>
        </w:rPr>
      </w:pPr>
    </w:p>
    <w:p>
      <w:pPr>
        <w:ind w:left="660" w:right="739" w:firstLine="256"/>
        <w:spacing w:after="0" w:line="276" w:lineRule="auto"/>
        <w:rPr>
          <w:sz w:val="20"/>
          <w:szCs w:val="20"/>
          <w:color w:val="auto"/>
        </w:rPr>
      </w:pPr>
      <w:r>
        <w:rPr>
          <w:rFonts w:ascii="Arial" w:cs="Arial" w:eastAsia="Arial" w:hAnsi="Arial"/>
          <w:sz w:val="14"/>
          <w:szCs w:val="14"/>
          <w:b w:val="1"/>
          <w:bCs w:val="1"/>
          <w:i w:val="1"/>
          <w:iCs w:val="1"/>
          <w:color w:val="auto"/>
        </w:rPr>
        <w:t>We are subject to certain operational risks, including, but not limited to, customer, employee or third-party fraud and data processing system failures and errors.</w:t>
      </w:r>
    </w:p>
    <w:p>
      <w:pPr>
        <w:spacing w:after="0" w:line="13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160"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We have implemented a system of internal controls designed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6" w:name="page27"/>
    <w:bookmarkEnd w:id="2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90" w:lineRule="auto"/>
        <w:rPr>
          <w:sz w:val="20"/>
          <w:szCs w:val="20"/>
          <w:color w:val="auto"/>
        </w:rPr>
      </w:pPr>
      <w:r>
        <w:rPr>
          <w:rFonts w:ascii="Arial" w:cs="Arial" w:eastAsia="Arial" w:hAnsi="Arial"/>
          <w:sz w:val="13"/>
          <w:szCs w:val="13"/>
          <w:color w:val="auto"/>
        </w:rPr>
        <w:t>internal controls fail to prevent or detect an occurrence, or if any resulting loss is not insured or exceeds applicable insurance limits, it could adversely affect our business, prospects, cash flow, liquidity, financial condition and results of operations.</w:t>
      </w:r>
    </w:p>
    <w:p>
      <w:pPr>
        <w:spacing w:after="0" w:line="130"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When we originate loans, we rely heavily upon information supplied by third parties, including the information contained in credit applications, property appraisals, title information, equipment pricing and valuation and employment and income documentation, in deciding which loans we will originate, as well as the terms of those loans. If any of the information upon which we rely is misrepresented, either fraudulently or inadvertently, and the misrepresentation is not detected prior to funding, the value of the loan may be significantly lower than expected, or we may fund a loan that we would not have funded or on terms that do not comply with our general underwriting standards. Whether a misrepresentation is made by the applicant, the borrower, one of our employees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subject to liquidity risk, which could adversely affect our financial condition and results of operations.</w:t>
      </w:r>
    </w:p>
    <w:p>
      <w:pPr>
        <w:spacing w:after="0" w:line="175"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Effective liquidity management is essential for the operation of our business. Although we have implemented strategies to maintain sufficient and diverse sources of funding to accommodate planned, as well as unanticipated, liquidity needs (including changes in assets, liabilities, and off-balance sheet commitments under various economic conditions), an inability to raise funds through deposits, borrowings, the sale of investment securities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disruption, a decrease in the borrowing capacity assigned to our pledged assets by our secured creditors, competition from other financial institutions which could drive up the costs of deposits or adverse regulatory action against us. Deterioration in economic conditions and the loss of confidence in financial institutions may increase our cost of funding and limit our access to some of our customary sources of liquidity, including, but not limited to, inter-bank borrowings and borrowings from the Federal Home Loan Bank of Atlanta, or the FHLB, and the Federal Reserve Bank of Atlanta. Our ability to acquire deposits or borrow could also be impaired by factors that are not specific to us, such as a severe disruption of the financial markets or negative views and expectations about the prospects for the financial services industry generally as a result of conditions faced by banking organizations in the domestic and international credit markets. Any decline in available funding or cost of liquidity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153"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have several large depositor relationships, the loss of which could force us to fund our business through more expensive and less stable sources.</w:t>
      </w:r>
    </w:p>
    <w:p>
      <w:pPr>
        <w:spacing w:after="0" w:line="136"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Withdrawals of deposits by any one of our largest depositors could force us to rely more heavily on more expensive and less stable funding sources. Consequently, the occurrence of any of these events could have a material adverse effect on our business, financial condition and results of operations.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value of our securities in our investment portfolio may decline in the future.</w:t>
      </w:r>
    </w:p>
    <w:p>
      <w:pPr>
        <w:spacing w:after="0" w:line="18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fair market value of our investment securities may be adversely affected by general economic and market conditions, including changes in interest rates, credit spreads, and the occurrence of any events adversely affecting the issuer of particular securities in our investments portfolio or any given market segment or industry in which we are invested. Any of these factors, among others, could cause OTTI and realized and/or unrealized losses in future periods and declines in other comprehensive income, which could have an adverse effect on our business, financial condition and results of operations. The process for determining whether impairment of a security is OTTI usually requires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7" w:name="page28"/>
    <w:bookmarkEnd w:id="2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may not effectively execute on our expansion strategy, which may adversely affect our ability to maintain our historical growth and earnings trends.</w:t>
      </w:r>
    </w:p>
    <w:p>
      <w:pPr>
        <w:spacing w:after="0" w:line="136"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primary expansion strategy focuses on organic growth, supplemented by acquisitions of financial institutions and banking teams; however, we may not be able to successfully execute on these aspects of our expansion strategy, which may cause our future growth rate to decline below our recent historical levels, or may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restrict the growth of our operations. Further, we may be unable to attract and retain experienced bankers, which could adversely affect our growth. The success of our strategy also depends on our ability to manage our growth effectively, which in turn depends on a number of factors, including our ability to adapt our credit, operational, technology, risk management, internal controls and governance infrastructure to accommodate expanded operations. Even if we are successful in continuing our growth, such growth may not offer the same levels of potential profitability, and we may not be successful in controlling costs and maintaining asset quality in the face of that growth. Accordingly, our inability to maintain growth or to effectively manage growth could have an adverse effect on our business, financial condition and results of operations.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New lines of business, products, product enhancements or services may subject us to additional risk.</w:t>
      </w:r>
    </w:p>
    <w:p>
      <w:pPr>
        <w:spacing w:after="0" w:line="186" w:lineRule="exact"/>
        <w:rPr>
          <w:sz w:val="20"/>
          <w:szCs w:val="20"/>
          <w:color w:val="auto"/>
        </w:rPr>
      </w:pPr>
    </w:p>
    <w:p>
      <w:pPr>
        <w:jc w:val="both"/>
        <w:ind w:left="660" w:right="679" w:firstLine="512"/>
        <w:spacing w:after="0" w:line="245" w:lineRule="auto"/>
        <w:rPr>
          <w:sz w:val="20"/>
          <w:szCs w:val="20"/>
          <w:color w:val="auto"/>
        </w:rPr>
      </w:pPr>
      <w:r>
        <w:rPr>
          <w:rFonts w:ascii="Arial" w:cs="Arial" w:eastAsia="Arial" w:hAnsi="Arial"/>
          <w:sz w:val="14"/>
          <w:szCs w:val="14"/>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compliance with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develop and implement new lines of business or offerings of new products, product enhancements or services could have an adverse effect on our business, financial condition and results of operations and could subject us to new and unanticipated operational, credit, regulatory and reputational risks, among other risks.</w:t>
      </w:r>
    </w:p>
    <w:p>
      <w:pPr>
        <w:spacing w:after="0" w:line="13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Our business needs and future growth may require us to raise additional capital and that capital may not be available on terms acceptable to us or may be diluti ve to existing shareholders.</w:t>
      </w:r>
    </w:p>
    <w:p>
      <w:pPr>
        <w:spacing w:after="0" w:line="13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We believe that we have sufficient capital to meet our capital needs for our current growth plans. However, we expect that we will need to raise additional capital, in the form of debt or equity securities, in the future to have sufficient capital resources to meet our longer-term growth plans, and/or if the quality of our assets or earnings were to deteriorate significantly. In addition, we are required by federal regulatory authorities to maintain adequate levels of capital to support our operations.</w:t>
      </w:r>
    </w:p>
    <w:p>
      <w:pPr>
        <w:spacing w:after="0" w:line="160"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Further, if we need to raise capital in the future, we may have to do so when many other financial institutions are also seeking to raise capital and would then have to compete with those institutions for investors. Any inability to raise capital on acceptable terms when needed may cause us to either issue additional shares of common stock or other securities on less than desirable terms or reduce our rate of growth until market conditions become more favorable. If any of such events occur, they could have a material adverse effect on our business, financial condition and results of operations and could be dilutive to both tangible book value and our share price.</w:t>
      </w:r>
    </w:p>
    <w:p>
      <w:pPr>
        <w:spacing w:after="0" w:line="158" w:lineRule="exact"/>
        <w:rPr>
          <w:sz w:val="20"/>
          <w:szCs w:val="20"/>
          <w:color w:val="auto"/>
        </w:rPr>
      </w:pPr>
    </w:p>
    <w:p>
      <w:pPr>
        <w:jc w:val="both"/>
        <w:ind w:left="660" w:right="639" w:firstLine="512"/>
        <w:spacing w:after="0" w:line="245" w:lineRule="auto"/>
        <w:rPr>
          <w:sz w:val="20"/>
          <w:szCs w:val="20"/>
          <w:color w:val="auto"/>
        </w:rPr>
      </w:pPr>
      <w:r>
        <w:rPr>
          <w:rFonts w:ascii="Arial" w:cs="Arial" w:eastAsia="Arial" w:hAnsi="Arial"/>
          <w:sz w:val="14"/>
          <w:szCs w:val="14"/>
          <w:color w:val="auto"/>
        </w:rPr>
        <w:t>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8" w:name="page29"/>
    <w:bookmarkEnd w:id="2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b w:val="1"/>
          <w:bCs w:val="1"/>
          <w:i w:val="1"/>
          <w:iCs w:val="1"/>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5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As part of our growth strategy, we may pursue mergers and acquisitions of banks and non-bank financial services companies within or outside our principal market areas that fit within the mission-driven values of our franchise and that we believe support our business and make financial and strategic sense. We may have difficulty identifying suitable acquisition candidates or executing on acquisitions that we pursue, and we may not realize the anticipated benefits of any transactions we complete. Additionally, for any opportunistic acquisition we were to consider, we expect to face significant competition from numerous other financial services institutions, many of which will have greater financial resources than we do. Accordingly, attractive opportunistic acquisitions may not be available to us. There can be no assurance that we will be successful in identifying or completing any future acquisitions.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Mergers and acquisitions involve numerous risks, any of which could harm our business, including:</w:t>
      </w:r>
    </w:p>
    <w:p>
      <w:pPr>
        <w:spacing w:after="0" w:line="170" w:lineRule="exact"/>
        <w:rPr>
          <w:sz w:val="20"/>
          <w:szCs w:val="20"/>
          <w:color w:val="auto"/>
        </w:rPr>
      </w:pPr>
    </w:p>
    <w:p>
      <w:pPr>
        <w:ind w:left="1180" w:right="699" w:hanging="261"/>
        <w:spacing w:after="0" w:line="238" w:lineRule="auto"/>
        <w:tabs>
          <w:tab w:leader="none" w:pos="11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possibility that expected benefits may not materialize in the time frame expected or at all, or may be more costly to achieve, or that the acquired business will not perform to our expectations;</w:t>
      </w:r>
    </w:p>
    <w:p>
      <w:pPr>
        <w:jc w:val="both"/>
        <w:ind w:left="1180" w:right="679" w:hanging="261"/>
        <w:spacing w:after="0" w:line="249" w:lineRule="auto"/>
        <w:tabs>
          <w:tab w:leader="none" w:pos="11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time, expense and difficulties in integrating the operations, management, products and services, technologies, existing contracts, accounting processes and personnel of the target and realizing the anticipated synergies of the combined businesses;</w:t>
      </w:r>
    </w:p>
    <w:p>
      <w:pPr>
        <w:jc w:val="both"/>
        <w:ind w:left="1180" w:right="679" w:hanging="261"/>
        <w:spacing w:after="0" w:line="238" w:lineRule="auto"/>
        <w:tabs>
          <w:tab w:leader="none" w:pos="11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incurring the time and expense associated with identifying and evaluating potential acquisitions and merger partners and negotiating potential transactions, resulting in management’s attention being diverted from the operation of our existing business;</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difficulties in supporting and transitioning customers of the target and disruption of our ongoing banking business;</w:t>
      </w:r>
    </w:p>
    <w:p>
      <w:pPr>
        <w:spacing w:after="0" w:line="9" w:lineRule="exact"/>
        <w:rPr>
          <w:rFonts w:ascii="Arial" w:cs="Arial" w:eastAsia="Arial" w:hAnsi="Arial"/>
          <w:sz w:val="14"/>
          <w:szCs w:val="14"/>
          <w:color w:val="auto"/>
        </w:rPr>
      </w:pPr>
    </w:p>
    <w:p>
      <w:pPr>
        <w:ind w:left="1180" w:right="699" w:hanging="261"/>
        <w:spacing w:after="0" w:line="246" w:lineRule="auto"/>
        <w:tabs>
          <w:tab w:leader="none" w:pos="11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price we pay or other resources that we devote may exceed the value we realize, or the value we could have realized if we had allocated the purchase consideration or other resources to another opportunity;</w:t>
      </w: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entering new markets or areas in which we have limited or no experience;</w:t>
      </w: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possibility that our culture is disrupted as a result of an acquisition;</w:t>
      </w: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potential loss of key personnel and customers from either our business or the target’s business;</w:t>
      </w: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assumption of unanticipated problems, claims or other liabilities of the acquired business;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 inability to realize expected synergies or returns on investment;</w:t>
      </w:r>
    </w:p>
    <w:p>
      <w:pPr>
        <w:jc w:val="both"/>
        <w:ind w:left="1180" w:right="699" w:hanging="261"/>
        <w:spacing w:after="0" w:line="242" w:lineRule="auto"/>
        <w:tabs>
          <w:tab w:leader="none" w:pos="11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possibility of regulatory approval for the acquisition being delayed, impeded, restrictively conditioned or denied due to existing or new regulatory issues surrounding us, the target institution or the proposed combined entity and the possibility that any such issues associated with the target institution, of which we may or may not be aware at the time of the acquisition, could adversely impact the combined entity after completion of the acquisition;</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possibility that the acquisition may not be timely completed, if at all;</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need to raise capital; and</w:t>
      </w: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inability to generate sufficient revenue to offs et acquisition costs.</w:t>
      </w:r>
    </w:p>
    <w:p>
      <w:pPr>
        <w:spacing w:after="0" w:line="17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acquisition activities could require us to use a substantial amount of cash, other liquid assets, and/or incur debt. Also, if we finance acquisitions by issuing equity securities, our existing shareholders’ ownership may be diluted, which could negatively affect the market price of our Class A common stock. Additionally, if the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 Acquisitions may also involve the payment of a premium over book and market values and, therefore, some dilution of our tangible book value and net income per common share may occur in connection with any future transaction.</w:t>
      </w:r>
    </w:p>
    <w:p>
      <w:pPr>
        <w:spacing w:after="0" w:line="15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a result, we may not achieve the anticipated benefits of any such merger or acquisition, and we may incur costs in excess of what we anticipate. Our failure to successfully evaluate and execute mergers, acquisitions or investments or otherwise adequately address and manage the risks associated with such transactions could have a material adverse effect on our business, results of operations and financial condition, including short-term and long-term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29" w:name="page30"/>
    <w:bookmarkEnd w:id="2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The loss of one or more of our key personnel, or our failure to attract and retain other highly qualified personnel in the future, could harm our business.</w:t>
      </w:r>
    </w:p>
    <w:p>
      <w:pPr>
        <w:spacing w:after="0" w:line="136" w:lineRule="exact"/>
        <w:rPr>
          <w:sz w:val="20"/>
          <w:szCs w:val="20"/>
          <w:color w:val="auto"/>
        </w:rPr>
      </w:pPr>
    </w:p>
    <w:p>
      <w:pPr>
        <w:ind w:left="660" w:right="659" w:firstLine="256"/>
        <w:spacing w:after="0" w:line="245" w:lineRule="auto"/>
        <w:rPr>
          <w:sz w:val="20"/>
          <w:szCs w:val="20"/>
          <w:color w:val="auto"/>
        </w:rPr>
      </w:pPr>
      <w:r>
        <w:rPr>
          <w:rFonts w:ascii="Arial" w:cs="Arial" w:eastAsia="Arial" w:hAnsi="Arial"/>
          <w:sz w:val="14"/>
          <w:szCs w:val="14"/>
          <w:color w:val="auto"/>
        </w:rPr>
        <w:t>Our future success will, to some extent, depend on the continued service of our directors, executive officers and senior management team. The loss of the services of any of these individuals could have a significant adverse effect on our business. In particular, we believe that retaining Luis de la Aguilera, our President and Chief Executive Officer, Robert Anderson, our Chief Financial Officer, and Benigno Pazos, our Chief Credit Officer, is important to our continuing success. Although we have entered into employment and other agreements with certain members of our executive and senior management team, including Mr. de la Aguilera and Mr. Anderson, no assurance can be given that these individuals will continue to be employed by us. The loss of any of these individuals could negatively affect our ability to achieve our growth strategy and could have a material adverse effect on our business and results of operations.</w:t>
      </w:r>
    </w:p>
    <w:p>
      <w:pPr>
        <w:spacing w:after="0" w:line="15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We also need to continue to attract and retain other senior management and to recruit qualified individuals to succeed existing key personnel to ensure the continued growth and successful operation of our business. We may be unable to attract or retain qualified management and other key personnel in the future due to the intense competition for qualified personnel among companies in the financial services business and related businesses. The loss of the services of any senior management personnel, or the inability to recruit and retain qualified personnel in the future, could have an adverse effect on our business, results of operations, financial condition and prospects. Additionally, to attract and retain personnel with appropriate skills and knowledge to support our business, we may offer a variety of benefits, which may reduce our earnings or adversely affect our business, results of operations, financial condition or prospects.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Damage to our reputation could significantly harm our businesses.</w:t>
      </w:r>
    </w:p>
    <w:p>
      <w:pPr>
        <w:spacing w:after="0" w:line="175"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Our ability to attract and retain customers and highly-skilled management and employees is impacted by our reputation. A negative public opinion of us and our business can result from any number of activities, including our lending practices, corporate governance and regulatory compliance, acquisitions, customer complaints and actions taken by community organizations in response to these activities. Furthermore, negative publicity regarding us as an employer could have an adverse impact on our reputation, especially with respect to matters of diversity, pay equity and workplace harassment.</w:t>
      </w:r>
    </w:p>
    <w:p>
      <w:pPr>
        <w:spacing w:after="0" w:line="3" w:lineRule="exact"/>
        <w:rPr>
          <w:sz w:val="20"/>
          <w:szCs w:val="20"/>
          <w:color w:val="auto"/>
        </w:rPr>
      </w:pPr>
    </w:p>
    <w:p>
      <w:pPr>
        <w:ind w:left="660" w:right="619"/>
        <w:spacing w:after="0" w:line="246" w:lineRule="auto"/>
        <w:rPr>
          <w:sz w:val="20"/>
          <w:szCs w:val="20"/>
          <w:color w:val="auto"/>
        </w:rPr>
      </w:pPr>
      <w:r>
        <w:rPr>
          <w:rFonts w:ascii="Arial" w:cs="Arial" w:eastAsia="Arial" w:hAnsi="Arial"/>
          <w:sz w:val="14"/>
          <w:szCs w:val="14"/>
          <w:color w:val="auto"/>
        </w:rPr>
        <w:t>Significant harm to our reputation could also arise as a result of regulatory or governmental actions, litigation and the activities of our customers, other participants in the financial services industry or our contractual counterparties, such as our service providers and vendors. The potential harm is heightened given increased attention to how corporations address environmental, social and governance issues. In addition, a cybersecurity event affecting us or our customers' data could have a negative impact on our reputation and customer confidence in us and our cybersecurity practices. Damage to our reputation could also adversely affect our credit ratings and access to the capital markets. Additionally, whereas negative public opinion once was primarily driven by adverse news coverage in traditional media, the widespread use of social media platforms by virtually every segment of society facilitates the rapid dissemination of information or misinformation, which magnifies the potential harm to our reputation.</w:t>
      </w:r>
    </w:p>
    <w:p>
      <w:pPr>
        <w:spacing w:after="0" w:line="142"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face strong competition from financial services companies and other companies that offer banking services, which could materially and adversely affect our business.</w:t>
      </w:r>
    </w:p>
    <w:p>
      <w:pPr>
        <w:spacing w:after="0" w:line="126"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The financial services industry has become even more competitive as a result of legislative, regulatory and technological changes and continued banking consolidation, which may increase as a result of current economic, market and political conditions. We face substantial competition in all phases of our operations from a variety of competitors, including local banks, regional banks, community banks and, more recently, financial technology, or "fintech" companies. Many of our competitors offer the same banking services that we offer and our success depends on our ability to adapt our products and services to evolving industry standards and customer requirements. Increased competition in our market may result in reduced new loan and lease production and/or decreased deposit balances or less favorable terms on loans and leases and/or deposit accounts. We also face competition from many other types of financial institutions, including without limitation, non-bank specialty lenders, insurance companies, private investment funds, investment banks, and other financial intermediaries. Should competition in the financial services industry intensify, our ability to market our products and services may be adversely affected. If we are unable to attract and retain banking customers, we may be unable to grow or maintain the levels of our loans and deposits and our results of operations and financial condition may be adversely affected as a result. Ultimately, we may not be able to compete successfully against current and future competitors.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must respond to rapid technological changes to remain competitive.</w:t>
      </w:r>
    </w:p>
    <w:p>
      <w:pPr>
        <w:spacing w:after="0" w:line="186"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We will have to respond to future technological changes, which are occurring at a rapid pace in the financial services industry. 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our future success will depend, in part, upon our</w:t>
      </w:r>
    </w:p>
    <w:p>
      <w:pPr>
        <w:spacing w:after="0" w:line="2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0" w:name="page31"/>
    <w:bookmarkEnd w:id="3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39"/>
        <w:spacing w:after="0" w:line="245" w:lineRule="auto"/>
        <w:rPr>
          <w:sz w:val="20"/>
          <w:szCs w:val="20"/>
          <w:color w:val="auto"/>
        </w:rPr>
      </w:pPr>
      <w:r>
        <w:rPr>
          <w:rFonts w:ascii="Arial" w:cs="Arial" w:eastAsia="Arial" w:hAnsi="Arial"/>
          <w:sz w:val="14"/>
          <w:szCs w:val="14"/>
          <w:color w:val="auto"/>
        </w:rPr>
        <w:t>ability to address the needs of our customers by using technology to provide products and services that will satisfy customer demands for convenience, as well as to create additional efficiencies in our operations.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42"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b w:val="1"/>
          <w:bCs w:val="1"/>
          <w:i w:val="1"/>
          <w:iCs w:val="1"/>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50"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Although we devote significant resources to maintain and regularly update our systems and processes that are designed to protect the security of our computer systems, software, networks and other technology assets, as well as the confidentiality, integrity and availability of information belonging to us and our customers, there is no assurance that all of our security measures will provide absolute security. Many financial institutions, including us, have been subjected to attempts to infiltrate the security of their websites or other systems, some involving sophisticated and targeted attacks intended to obtain unauthorized access to confidential information, destroy data, disrupt or degrade service, sabotage systems or cause other damage, including through the introduction of computer viruses or malware, cyber-attacks and other means. We have been targeted by individuals and groups using phishing campaigns, pretext calling, malicious code and viruses and expect to be subject to such attacks in the future. While we have not experienced a material cyber -incident or security breach that has been successful in compromising our data or systems to date, we can never be certain that all of our systems are entirely free from vulnerability to breaches of security or other technological difficulties or failures.</w:t>
      </w:r>
    </w:p>
    <w:p>
      <w:pPr>
        <w:spacing w:after="0" w:line="16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Despite efforts to ensure the integrity and security of our systems, it is possible that we may not be able to anticipate, detect or recognize threats to our systems or to implement effective preventive measures against all efforts to breach our security inside or outside our business, especially because the techniques used to attack our systems change frequently or are not recognized until launched, and because cyber-attacks can originate from a wide variety of sources, including individuals or groups who are associated with external service providers or who are or may be involved in organized crime or linked to terrorist organizations or hostile foreign governments. Those parties may also attempt to fraudulently induce employees, customers, third-party service providers or other users of our systems to disclose sensitive information in order to gain access to our data or that of our customers or clients. Similar to other companies, our risks and exposures related to cybersecurity attacks have increased as a result of the COVID -19 pandemic, the related increased reliance on remote working and increase in digital operations. Such risks and exposures are expected to remain high for the foreseeable future due to the rapidly evolving nature and sophistication of these threats and the expanding use of technology, as our web-based product offerings grow and we expand internal usage of web-based applications.</w:t>
      </w:r>
    </w:p>
    <w:p>
      <w:pPr>
        <w:spacing w:after="0" w:line="162"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A successful penetration or circumvention of the security of our systems, including those of our third-party vendors, could cause serious negative consequences, including significant disruption of our operations, misappropriation of confidential information, or damage to computers or systems, and may result in violations of applicable privacy and other laws, financial loss, loss of confidence in our security measures, customer dissatisfaction, increased insurance premiums, significant litigation exposure and harm to our reputation, all of which could have a material adverse effect on our business, financial condition, results of operations, and future prospects.</w:t>
      </w:r>
    </w:p>
    <w:p>
      <w:pPr>
        <w:spacing w:after="0" w:line="144" w:lineRule="exact"/>
        <w:rPr>
          <w:sz w:val="20"/>
          <w:szCs w:val="20"/>
          <w:color w:val="auto"/>
        </w:rPr>
      </w:pPr>
    </w:p>
    <w:p>
      <w:pPr>
        <w:jc w:val="both"/>
        <w:ind w:left="660" w:right="719" w:firstLine="256"/>
        <w:spacing w:after="0" w:line="257" w:lineRule="auto"/>
        <w:rPr>
          <w:sz w:val="20"/>
          <w:szCs w:val="20"/>
          <w:color w:val="auto"/>
        </w:rPr>
      </w:pPr>
      <w:r>
        <w:rPr>
          <w:rFonts w:ascii="Arial" w:cs="Arial" w:eastAsia="Arial" w:hAnsi="Arial"/>
          <w:sz w:val="14"/>
          <w:szCs w:val="14"/>
          <w:b w:val="1"/>
          <w:bCs w:val="1"/>
          <w:i w:val="1"/>
          <w:iCs w:val="1"/>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5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Third parties provide key components of our business operations such as data processing, recording and monitoring transactions, online banking interfaces and services, Internet connections and network access. While we have selected these third-party vendors carefully, performing upfront due diligence and ongoing monitoring activities, we do not control their actions. Any problems caused by these third parties, including those resulting from disruptions in services provided by a vendor (including as a result of a cyber-attack, other information security event or a natural disaster), financial or operational difficulties for the vendor, issues at third-party vendors to our vendors, failure of a vendor to handle current or higher volumes, failure of a vendor to provide services for any reason, poor performance of services, failure to comply with applicable laws and regulations, or fraud or misconduct on the part of employees of any of our vendors, could adversely affect our ability to deliver products and services to our customers, our reputation and our ability to conduct our business, which could adversely affect our business, prospects, cash flow, liquidity, financial condition and results of operations. In certain situations, replacing these third-party vendors could also create significant delay, expense, and operational difficulties, which could also adversely affect our business. Accordingly, use of such third parties creates an unavoidable</w:t>
      </w:r>
    </w:p>
    <w:p>
      <w:pPr>
        <w:spacing w:after="0" w:line="25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1" w:name="page32"/>
    <w:bookmarkEnd w:id="3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and inherent risk to our business operations. Such risk is generally expected to remain elevated until the COVID-19 pandemic subsides and may remain elevated thereafter, as many of our vendors have also been, and may further be, affected by increased reliance on remote work environments, market volatility and other factors that increase their risks of business disruption or that may otherwise affect their ability to perform under the terms of any agreements with us or provide essential services.</w:t>
      </w:r>
    </w:p>
    <w:p>
      <w:pPr>
        <w:spacing w:after="0" w:line="16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Our operations could be interrupted or materially impacted if any of our third-party service providers fail to comply with banking regulations and other applicable laws. The Federal Reserve, FDIC, the Florida Office of Financial Regulation, or the FOFR, and other regulators expect financial institutions to be responsible for all aspects of their performance, including aspects that they delegate to third parties. Accordingly, we will be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remedial and/or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133"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44"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penalties or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away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143"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b w:val="1"/>
          <w:bCs w:val="1"/>
          <w:i w:val="1"/>
          <w:iCs w:val="1"/>
          <w:color w:val="auto"/>
        </w:rPr>
        <w:t>Certain of our directors may have conflicts of interest in determining whether to present business opportunities to us or another entity with which they are, or may become, affiliated.</w:t>
      </w:r>
    </w:p>
    <w:p>
      <w:pPr>
        <w:spacing w:after="0" w:line="115"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Certain of our directors are or may become subject to fiduciary obligations in connection with their service on the boards of directors of other corporations, including financial institutions. A director's association with other financial institutions, which give rise to fiduciary or contractual obligations to such institutions, may create conflicts of interest. To the extent that any of our directors become aware of acquisition opportunities that may be suitable for entities other than us to which they have fiduciary or contractual obligations, or they are presented with such opportunities in their capacities as fiduciaries to such entities, they may honor such obligations to such other entities. You should assume that to the extent any of our directors become aware of an opportunity that may be suitable both for us and another entity to which such person has a fiduciary obligation or contractual obligation to present such opportunity as set forth above, he or she may first give the opportunity to such other entity or entities and may give such opportunity to us only to the extent such other entity or entities reject or are unable to pursue such opportunity. In addition, you should assume that to the extent any of our directors become aware of an acquisition opportunity that does not fall within the above parameters, but that may otherwise be suitable for us, he or she may not present such opportunity to us.</w:t>
      </w:r>
    </w:p>
    <w:p>
      <w:pPr>
        <w:spacing w:after="0" w:line="162" w:lineRule="exact"/>
        <w:rPr>
          <w:sz w:val="20"/>
          <w:szCs w:val="20"/>
          <w:color w:val="auto"/>
        </w:rPr>
      </w:pPr>
    </w:p>
    <w:p>
      <w:pPr>
        <w:jc w:val="both"/>
        <w:ind w:left="660" w:right="659" w:firstLine="299"/>
        <w:spacing w:after="0" w:line="246" w:lineRule="auto"/>
        <w:rPr>
          <w:sz w:val="20"/>
          <w:szCs w:val="20"/>
          <w:color w:val="auto"/>
        </w:rPr>
      </w:pPr>
      <w:r>
        <w:rPr>
          <w:rFonts w:ascii="Arial" w:cs="Arial" w:eastAsia="Arial" w:hAnsi="Arial"/>
          <w:sz w:val="14"/>
          <w:szCs w:val="14"/>
          <w:color w:val="auto"/>
        </w:rPr>
        <w:t>Pursuant to an agreement between us and our Significant Investors (as defined herein), each of the Significant Investors have the right to nominate one director to serve on our Board, including Board committees, and to designate one non-voting Board observer. The directors and Board observers designated by the Significant Investors have the right to, and have no duty not to, engage in the same or similar business activities or lines of business as us. In the event that a director or Board observer designated by a Significant Investor acquires knowledge of a potential transaction or matter that may be a corporate opportunity for us, such person shall have no duty to communicate or present such corporate opportunity to us and shall not be liable to us or our shareholders for breach of any duty by reason of the fact that such person or a</w:t>
      </w:r>
    </w:p>
    <w:p>
      <w:pPr>
        <w:spacing w:after="0" w:line="200" w:lineRule="exact"/>
        <w:rPr>
          <w:sz w:val="20"/>
          <w:szCs w:val="20"/>
          <w:color w:val="auto"/>
        </w:rPr>
      </w:pPr>
    </w:p>
    <w:p>
      <w:pPr>
        <w:spacing w:after="0" w:line="21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2" w:name="page33"/>
    <w:bookmarkEnd w:id="3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ind w:left="660" w:right="699"/>
        <w:spacing w:after="0" w:line="252" w:lineRule="auto"/>
        <w:rPr>
          <w:sz w:val="20"/>
          <w:szCs w:val="20"/>
          <w:color w:val="auto"/>
        </w:rPr>
      </w:pPr>
      <w:r>
        <w:rPr>
          <w:rFonts w:ascii="Arial" w:cs="Arial" w:eastAsia="Arial" w:hAnsi="Arial"/>
          <w:sz w:val="14"/>
          <w:szCs w:val="14"/>
          <w:color w:val="auto"/>
        </w:rPr>
        <w:t>related investment fund thereof, directly or indirectly, pursues or acquires such opportunity for itself, directs such opportunity to another person, or does not present such opportunity to us.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Tax, Accounting and Regulatory Compliance</w:t>
      </w:r>
    </w:p>
    <w:p>
      <w:pPr>
        <w:spacing w:after="0" w:line="161" w:lineRule="exact"/>
        <w:rPr>
          <w:sz w:val="20"/>
          <w:szCs w:val="20"/>
          <w:color w:val="auto"/>
        </w:rPr>
      </w:pPr>
    </w:p>
    <w:p>
      <w:pPr>
        <w:ind w:left="660" w:right="619" w:firstLine="256"/>
        <w:spacing w:after="0" w:line="292" w:lineRule="auto"/>
        <w:rPr>
          <w:sz w:val="20"/>
          <w:szCs w:val="20"/>
          <w:color w:val="auto"/>
        </w:rPr>
      </w:pPr>
      <w:r>
        <w:rPr>
          <w:rFonts w:ascii="Arial" w:cs="Arial" w:eastAsia="Arial" w:hAnsi="Arial"/>
          <w:sz w:val="14"/>
          <w:szCs w:val="14"/>
          <w:b w:val="1"/>
          <w:bCs w:val="1"/>
          <w:i w:val="1"/>
          <w:iCs w:val="1"/>
          <w:color w:val="auto"/>
        </w:rPr>
        <w:t>Our ability to recognize the benefits of deferred tax assets is dependent on future cash flows and taxable income and may be materially impaired upon significant changes in ownership of our common stock.</w:t>
      </w:r>
    </w:p>
    <w:p>
      <w:pPr>
        <w:spacing w:after="0" w:line="12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We recognize the expected future tax benefit from deferred tax assets when it is more likely than not that the tax benefit will be realized. Otherwise, a valuation allowance is applied against deferred tax assets, reducing the value of such assets. Assessing the recoverability of deferred tax assets requires management to make significant estimates related to expectations of future taxable income from all sources, including reversal of taxable temporary differences, forecasted operating earnings and available tax planning strategies. Estimates of future taxable income are based on forecasted income from operations and the application of existing tax laws in each jurisdiction. The improved risk profile of the Bank is a key component used in the determination of our ability to realize the expected future benefit of our deferred tax assets. To the extent that future taxable income differs significantly from estimates as a result of the interest rate environment and loan growth capabilities or other factors, our ability to realize the net deferred tax assets could be negatively affected.</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Subject to certain exceptions, our Class A common stock is subject to transfer restrictions as set forth in our Articles of Incorporation that are designed to preserve our deferred tax assets. Notwithstanding these protective provisions, the Articles of Incorporation include an exception that allows our Significant Investors the right to effect any transfer that would otherwise be prohibited, which transfer could result in the loss of the deferred tax assets.</w:t>
      </w:r>
    </w:p>
    <w:p>
      <w:pPr>
        <w:spacing w:after="0" w:line="145"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Additionally, significant future issuances of common stock or common stock equivalents, or changes in the direct or indirect ownership of our common stock or common stock equivalents, could cause an ownership change and could limit our ability to utilize our net operating loss carryforwards and other tax attributes pursuant to Section 382 and Section 383 of the Internal Revenue Code. Future changes in tax law or changes in ownership structure could limit our ability to utilize our recorded net deferred tax assets.</w:t>
      </w:r>
    </w:p>
    <w:p>
      <w:pPr>
        <w:spacing w:after="0" w:line="130"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12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preparation of our financial statements and related disclosures in conformity with GAAP requires us to make judgments, assumptions and estimates that affect the amounts reported in our consolidated financial statements and accompanying notes.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Certain accounting policies are critical or significant to presenting our financial condition and results of operations. Our critical accounting policies, which are included in the section captioned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analyses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Class A common stock and adversely affect our business, prospects, cash flow, liquidity, financial condition and results of operations.</w:t>
      </w:r>
    </w:p>
    <w:p>
      <w:pPr>
        <w:spacing w:after="0" w:line="143"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b w:val="1"/>
          <w:bCs w:val="1"/>
          <w:i w:val="1"/>
          <w:iCs w:val="1"/>
          <w:color w:val="auto"/>
        </w:rPr>
        <w:t>As a new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5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GAAP. As a public company, we are required to comply with SEC regulations, including the Sarbanes-Oxley Act and other rules that govern public companies that we previously were not required to comply with as a private company. In particular, we will be required to certify our compliance with Section 404 of the Sarbanes-Oxley Act beginning with our second annual report on Form 10-K, which will require us to annually</w:t>
      </w:r>
    </w:p>
    <w:p>
      <w:pPr>
        <w:spacing w:after="0" w:line="2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3" w:name="page34"/>
    <w:bookmarkEnd w:id="3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4" w:lineRule="auto"/>
        <w:rPr>
          <w:sz w:val="20"/>
          <w:szCs w:val="20"/>
          <w:color w:val="auto"/>
        </w:rPr>
      </w:pPr>
      <w:r>
        <w:rPr>
          <w:rFonts w:ascii="Arial" w:cs="Arial" w:eastAsia="Arial" w:hAnsi="Arial"/>
          <w:sz w:val="14"/>
          <w:szCs w:val="14"/>
          <w:color w:val="auto"/>
        </w:rPr>
        <w:t>furnish a report by management on the effectiveness of our internal control over financial reporting. When evaluating our internal controls over financial reporting, we may identify material weaknesses that we may not be able to remediate in time to meet the applicable deadline imposed upon us for compliance with the requirements of Section 404 of the Sarbanes-Oxley Act. We are in the process of reviewing our formal policies, processes and practices related to financial reporting and to the identification of key financial reporting risks, assessment of their potential impact and linkage of those risks to specific areas and controls within our organization.</w:t>
      </w:r>
    </w:p>
    <w:p>
      <w:pPr>
        <w:spacing w:after="0" w:line="16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If we fail to achieve and maintain the adequacy of our internal controls, as such standards are modified, supplemented, or amended from time to time, we may not be able to ensure that we will be able to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fail to adequately comply with the requirements of Section 404 of the Sarbanes-Oxley Act, we may be subject to adverse regulatory consequences and there could be a negative reaction in the financial markets due to a loss of investor confidence in us and the reliability of our financial statements. In addition, we may be required to incur costs in improving our internal control system and hiring additional personnel. Any such action could negatively affect our business, financial condition, results of operations, and the price of our Class A common stock may decline.</w:t>
      </w:r>
    </w:p>
    <w:p>
      <w:pPr>
        <w:spacing w:after="0" w:line="147" w:lineRule="exact"/>
        <w:rPr>
          <w:sz w:val="20"/>
          <w:szCs w:val="20"/>
          <w:color w:val="auto"/>
        </w:rPr>
      </w:pPr>
    </w:p>
    <w:p>
      <w:pPr>
        <w:jc w:val="both"/>
        <w:ind w:left="660" w:right="599" w:firstLine="256"/>
        <w:spacing w:after="0" w:line="245" w:lineRule="auto"/>
        <w:rPr>
          <w:sz w:val="20"/>
          <w:szCs w:val="20"/>
          <w:color w:val="auto"/>
        </w:rPr>
      </w:pPr>
      <w:r>
        <w:rPr>
          <w:rFonts w:ascii="Arial" w:cs="Arial" w:eastAsia="Arial" w:hAnsi="Arial"/>
          <w:sz w:val="14"/>
          <w:szCs w:val="14"/>
          <w:color w:val="auto"/>
        </w:rPr>
        <w:t>While we remain an emerging growth company, we will not be required to include an attestation report on internal control over financial reporting issued by our independent registered public accounting firm. To prepare for eventual compliance with the auditor attestation requirement of Section 404 of Sarbanes-Oxley once we no longer qualify as an emerging growth company, we are currently engaged in a process to document and evaluate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continue to refine our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of Sarbanes-Oxley. If we identify one or more material weaknesses, it could result in an adverse reaction in the financial markets due to a loss of confidence in the reliability of our financial statements.</w:t>
      </w:r>
    </w:p>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34"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We operate in a highly regulated industry and we are subject to examination, supervision and comprehensive regulation by various federal and state agencies, including the Federal Reserve, the FDIC and the FOFR. As such, we are subject to extensive regulation, supervision and legal requirements that govern almost all aspects of our operations. These laws and regulations are not intended to protect our shareholders. Rather, these laws and regulations are intended to protect customers, depositors, the Deposit Insurance Fund, or DIF, and the overall financial health and stability of the United States banking system. These laws and regulations, among other matters, prescribe minimum capital requirements, impose limitations on the business activities and investments in which we can engage, regulate and restrict our lending activities, require us to provide certain banking services broadly within the communities in which we operate, determine the locations of our branch offices and impose certain specific accounting requirements on us that may be more restrictive and may result in greater or earlier charges to earnings or reductions in our capital than GAAP would require. We are also subject to capitalization guidelines established by our regulators, which require us to maintain adequate capital to support our business. Compliance with laws and regulations can be difficult and costly, and changes to laws and regulations often impose additional operating costs. Further, we must obtain approval from our regulators before engaging in many activities, and our regulators have the ability to compel us to, or restrict us from, taking certain actions entirely. There can be no assurance that any regulatory approvals we may require or otherwise seek will be obtained.</w:t>
      </w:r>
    </w:p>
    <w:p>
      <w:pPr>
        <w:spacing w:after="0" w:line="159"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Regulations affecting banks and other financial institutions are undergoing continuous review and frequently change, and the ultimate effect of such changes cannot be predicted. Changes to the legal and regulatory framework governing our operations, including the Dodd-Frank Wall Street Reform and Consumer Protection Act, or the Dodd-Frank Act, and the Economic Growth, Regulatory Relief and Consumer Protection Act, or the Regulatory Relief Act, have significantly revised the laws and regulations under which we operate. Such regulations and laws may be modified or repealed at any time, and new legislation may be enacted that will affect us and our subsidiaries.</w:t>
      </w:r>
    </w:p>
    <w:p>
      <w:pPr>
        <w:spacing w:after="0" w:line="16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were imposed under the Dodd-Frank Act or the Regulatory</w:t>
      </w:r>
    </w:p>
    <w:p>
      <w:pPr>
        <w:spacing w:after="0" w:line="2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4" w:name="page35"/>
    <w:bookmarkEnd w:id="3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ind w:left="660" w:right="699"/>
        <w:spacing w:after="0" w:line="252" w:lineRule="auto"/>
        <w:rPr>
          <w:sz w:val="20"/>
          <w:szCs w:val="20"/>
          <w:color w:val="auto"/>
        </w:rPr>
      </w:pPr>
      <w:r>
        <w:rPr>
          <w:rFonts w:ascii="Arial" w:cs="Arial" w:eastAsia="Arial" w:hAnsi="Arial"/>
          <w:sz w:val="14"/>
          <w:szCs w:val="14"/>
          <w:color w:val="auto"/>
        </w:rPr>
        <w:t>Relief Act, could make compliance more difficult or expensive or otherwise adversely affect our business, prospects, cash flow, liquidity, financial condition and results of operations.</w:t>
      </w:r>
    </w:p>
    <w:p>
      <w:pPr>
        <w:spacing w:after="0" w:line="137"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b w:val="1"/>
          <w:bCs w:val="1"/>
          <w:i w:val="1"/>
          <w:iCs w:val="1"/>
          <w:color w:val="auto"/>
        </w:rPr>
        <w:t>Our participation in the SBA PPP loan program exposes us to risks related to noncompliance with the PPP, as well as litigation risk related to our administration of the PPP loan program, which could have a material adverse impact on our business, financial condition, and results of operations.</w:t>
      </w:r>
    </w:p>
    <w:p>
      <w:pPr>
        <w:spacing w:after="0" w:line="15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are a participating lender in the PPP, a loan program administered through the SBA, that was created to help eligible businesses, organizations and self-employed persons fund their operational costs during the COVID-19 pandemic. Under this program, the SBA guarantees 100% of the amounts loaned under the PPP.</w:t>
      </w:r>
    </w:p>
    <w:p>
      <w:pPr>
        <w:spacing w:after="0" w:line="142"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PPP opened on April 3, 2020; however, because of the short window between the passing of the CARES Act and the opening of the PPP, there was some ambiguity in the laws, rules and guidance regarding the operation of the PPP. Subsequent rounds of legislation and associated agency guidance have not provided needed clarity and in certain instances have potentially created additional inconsistencies and ambiguities. Accordingly, we are exposed to risks relating to noncompliance with the PPP.</w:t>
      </w:r>
    </w:p>
    <w:p>
      <w:pPr>
        <w:spacing w:after="0" w:line="146"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Additionally, since the launch of the PPP, several larger banks have been subject to litigation regarding the process and procedures that such banks used in processing applications for the PPP, as well as litigation regarding the alleged nonpayment of fees that may be due to certain agents who facilitated PPP loan applications. We may be exposed to the risk of PPP-related litigation, from both customers and non-customers that approached us regarding PPP loans, regarding our process and procedures used in processing applications for the PPP. If any such litigation is filed against us and is not resolved in a manner favorable to us, it may result in significant financial liability or adversely affect our reputation. Regardless of outcome, litigation can be costly and distracting. Any financial liability, litigation costs or reputational damage caused by PPP-related litigation could have a material adverse impact on our business, financial condition and results of operations.</w:t>
      </w:r>
    </w:p>
    <w:p>
      <w:pPr>
        <w:spacing w:after="0" w:line="158" w:lineRule="exact"/>
        <w:rPr>
          <w:sz w:val="20"/>
          <w:szCs w:val="20"/>
          <w:color w:val="auto"/>
        </w:rPr>
      </w:pPr>
    </w:p>
    <w:p>
      <w:pPr>
        <w:jc w:val="both"/>
        <w:ind w:left="660" w:right="679" w:firstLine="259"/>
        <w:spacing w:after="0" w:line="245" w:lineRule="auto"/>
        <w:tabs>
          <w:tab w:leader="none" w:pos="1238"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loans are fixed, low interest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 While the PPP loans are guaranteed by the SBA, various regulatory requirements will apply to our ability to seek recourse under the guarantees, and related procedures are currently subject to uncertainty.</w:t>
      </w:r>
    </w:p>
    <w:p>
      <w:pPr>
        <w:spacing w:after="0" w:line="160"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In addition, we may be exposed to credit risk on PPP loans if a determination is made by the SBA that there is a deficiency in the manner in which the loan was originated, funded, or serviced, such as an issue with the eligibility of borrower to receive a PPP loan, which may or may not be related to the ambiguity in the laws, rules and guidance regarding the operations of the PPP. If a deficiency is identified, the SBA may deny its liability under the guaranty, reduce the amount of the guaranty, or, if it has already paid under the guaranty, seek recovery of any loss related to the deficiency from us.</w:t>
      </w:r>
    </w:p>
    <w:p>
      <w:pPr>
        <w:spacing w:after="0" w:line="144"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b w:val="1"/>
          <w:bCs w:val="1"/>
          <w:i w:val="1"/>
          <w:iCs w:val="1"/>
          <w:color w:val="auto"/>
        </w:rPr>
        <w:t>We face a risk of noncompliance with the Bank Secrecy Act and other anti-money laundering statutes and regulations and corresponding enforcement proceedings.</w:t>
      </w:r>
    </w:p>
    <w:p>
      <w:pPr>
        <w:spacing w:after="0" w:line="13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federal Bank Secrecy Act, the Uniting and Strengthening America by Providing Appropriate Tools Required to Intercept and Obstruct Terrorism Act of 2001, or the USA PATRIOT Act, and other laws and regulations require financial institutions, among other duties, to institute and maintain effective anti-money laundering programs and to file suspicious activity and currency transaction reports, as appropriate. The federal Financial Crimes Enforcement Network, or FinCEN,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Additionally, South Florida has been designated as a “High Intensity Financial Crime Area,” or HIFCA, by FinCEN and a “High Intensity Drug Trafficking Area,” or HIDTA, by the Office of National Drug Control Policy. The HIFCA program is intended to concentrate law enforcement efforts to combat money laundering efforts in higher-risk areas. There is also increased scrutiny of compliance with the rules enforced by the Office of Foreign Assets Control, or OFAC. Federal and state bank regulators have for many years focused on compliance with Bank Secrecy Act and anti-money laundering regulations. In order to comply with regulations, guidelines and examination procedures in this area, we have dedicated significant resources to our anti-money laundering program, especially due to the regulatory focus on financial and other institutions located in South Florida. Our business includes supporting our customers, including foreign financial institutions, with respect to their international banking needs and our policies, procedures and systems have been designed to address federal and state anti-money laundering compliance. If our policies, procedures and systems are deemed deficient or the policies, procedures and systems of the financial institutions that we may acquire are deficient, we would be subject to liability, including fines, and regulatory actions that are deemed necessary in order to remediate such deficiencies and</w:t>
      </w:r>
    </w:p>
    <w:p>
      <w:pPr>
        <w:spacing w:after="0" w:line="26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5" w:name="page36"/>
    <w:bookmarkEnd w:id="3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prevent the recurrence thereof. In recent years, sanctions that the regulators have imposed on banks that have not complied with all anti-money laundering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129"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b w:val="1"/>
          <w:bCs w:val="1"/>
          <w:i w:val="1"/>
          <w:iCs w:val="1"/>
          <w:color w:val="auto"/>
        </w:rPr>
        <w:t>We are subject to capital adequacy requirements and may become subject to more stringent capital requirements, which could adversely affect our financial condition and operations.</w:t>
      </w:r>
    </w:p>
    <w:p>
      <w:pPr>
        <w:spacing w:after="0" w:line="126" w:lineRule="exact"/>
        <w:rPr>
          <w:sz w:val="20"/>
          <w:szCs w:val="20"/>
          <w:color w:val="auto"/>
        </w:rPr>
      </w:pPr>
    </w:p>
    <w:p>
      <w:pPr>
        <w:jc w:val="both"/>
        <w:ind w:left="660" w:right="699" w:firstLine="256"/>
        <w:spacing w:after="0" w:line="243" w:lineRule="auto"/>
        <w:rPr>
          <w:sz w:val="20"/>
          <w:szCs w:val="20"/>
          <w:color w:val="auto"/>
        </w:rPr>
      </w:pPr>
      <w:r>
        <w:rPr>
          <w:rFonts w:ascii="Arial" w:cs="Arial" w:eastAsia="Arial" w:hAnsi="Arial"/>
          <w:sz w:val="14"/>
          <w:szCs w:val="14"/>
          <w:color w:val="auto"/>
        </w:rPr>
        <w:t>In July 2013, the federal banking agencies published new regulatory capital rules based on the international standards, known as Basel III, that were developed by the Basel Committee on Banking Supervision. The new rules raised the risk-based capital requirements and revised the methods for calculating risk-weighted assets, usually resulting in higher risk weights. The new rules now apply to us.</w:t>
      </w:r>
    </w:p>
    <w:p>
      <w:pPr>
        <w:spacing w:after="0" w:line="159"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Basel III rules increased capital requirements and included two new capital measurements, a risk-based common equity Tier 1 ratio and a capital conservation buffer. Common Equity Tier 1 (CET1) capital is a subset of Tier 1 capital and is limited to common equity (plus related surplus), retained earnings, accumulated other comprehensive income and certain other items. Other instruments that have historically qualified for Tier 1 treatment, including noncumulative perpetual preferred stock, are consigned to a category known as Additional Tier 1 capital and must be phased out of CETI over a period of nine years beginning in 2014. In order to be a “well-capitalized” depository institution under the new regime, an institution must maintain a CET1 capital ratio of 7.0% or more; a Tier 1 capital ratio of 8.5% or more; a total capital ratio of 10.5% or more; and a leverage ratio of 4% or more. Institutions must also maintain a capital conservation buffer consisting of common equity Tier 1 capital. In addition to the higher required capital ratios and the new deductions and adjustments, the final rules increased the risk weights for certain assets, meaning that we will have to hold more capital against these assets. We will also be required to hold capital against short-term commitments that are not unconditionally cancellable.</w:t>
      </w:r>
    </w:p>
    <w:p>
      <w:pPr>
        <w:spacing w:after="0" w:line="163"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While we currently meet these new requirements of the Basel III-based capital requirements, we may fail to do so in the future.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5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In addition, in the current economic and regulatory environment, including the COVID-19 pandemic, bank regulators may impose capital requirements that are more stringent than those required by applicable existing regulations. The application of more stringent capital requirements for us could, among other things, result in lower returns on equity, require the raising of additional capital, and result in regulatory actions if we were to be unable to comply with such requirements. Implementation of changes to asset risk weightings for risk-based capital calculations, items included or deducted in calculating regulatory capital or additional capital conservation buffers, could result in management modifying our business strategy and could limit our ability to make distributions, including paying dividends.</w:t>
      </w:r>
    </w:p>
    <w:p>
      <w:pPr>
        <w:spacing w:after="0" w:line="13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b w:val="1"/>
          <w:bCs w:val="1"/>
          <w:i w:val="1"/>
          <w:iCs w:val="1"/>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44"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As part of the bank regulatory process, the Federal Reserve, the FDIC and the FOFR periodically conduct examinations of our business, including compliance with applicable laws and regulations. If, as a result of an examination, one of these banking agencies were to determine that the financial condition, capital resources, asset quality, asset concentration, earnings prospects, management, liquidity sensitivity to market risk, risk management and internal controls or other aspects of any of our operations has become unsatisfactory, or that we or our management are in violation of any law or regulation, the banking agency could take a number of different remedial or punitive actions as it deems appropriate. These actions include the power to prohibit the continuation of "unsafe or unsound" practices, to require affirmative actions to correct any conditions resulting from any violation or practice, to issue an administrative order or enforcement that can be judicially enforced, to direct an increase in our capital, to restrict our growth, to change the asset composition of our loan or securities portfolios or balance sheet, to assess civil monetary penalties against our officers or directors, to remove officers and directors and, if it is concluded that such conditions cannot be corrected or there is an imminent risk of loss to depositors, to terminate our deposit insurance and force us to terminate our business operations. If we become subject to such regulatory actions, our business, financial condition, results of operations and reputation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6" w:name="page37"/>
    <w:bookmarkEnd w:id="3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b w:val="1"/>
          <w:bCs w:val="1"/>
          <w:i w:val="1"/>
          <w:iCs w:val="1"/>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50"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The CRA directs all insured depository institutions to help meet the credit needs of the local communities in which they operate branches, including low- and moderate-income neighborhoods. Each institution is examined periodically by its primary federal regulator, which assesses the institution’s CRA performance. The Equal Credit Opportunity Act, the Fair Housing Act and other fair lending laws and regulations impose nondiscriminatory lending requirements on financial institutions. The U.S. Department of Justice, the Federal Reserve, and other federal agencies are responsible for enforcing these laws and regulations. A successful regulatory challenge to our performance under the CRA, fair lending or consumer lending laws and regulations could result in a wide variety of sanctions, including damages and civil money penalties, injunctive relief, customer restitution,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an adverse effect on our business, financial condition and results of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Risks Related to Our Class A Common Stock</w:t>
      </w:r>
    </w:p>
    <w:p>
      <w:pPr>
        <w:spacing w:after="0" w:line="172"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We do not anticipate paying dividends on our common stock, and our future ability to pay dividends is subject to restrictions.</w:t>
      </w:r>
    </w:p>
    <w:p>
      <w:pPr>
        <w:spacing w:after="0" w:line="13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We currently do not intend to pay any cash dividends on our common stock in the foreseeable future. Holders of our Class A common stock are only entitled to receive cash dividends when, as and if declared by our Board out of funds legally available for dividends. The Company is a bank holding company that conducts substantially all of its operations through the Bank, which is a legal entity separate and distinct from the Company. As a result, our ability to pay dividends on our common stock will substantially depend upon the receipt of dividends and other distributions from the Bank, the profitability of which is subject to the fluctuating cost and availability of money, changes in interest rates and economic conditions in general. There are numerous laws and banking regulations and guidance that limit the Bank's ability to pay dividends to us and our ability to pay dividends on our common stock.</w:t>
      </w:r>
    </w:p>
    <w:p>
      <w:pPr>
        <w:spacing w:after="0" w:line="142"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The market price and trading volume of our Class A common stock may be volatile, which could result in rapid and substantial losses for our shareholders.</w:t>
      </w:r>
    </w:p>
    <w:p>
      <w:pPr>
        <w:spacing w:after="0" w:line="13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 market price of our Class A common stock may be highly volatile and could be subject to wide fluctuations. In addition, the trading volume on our Class A common stock may fluctuate and cause significant price variations to occur. We cannot assure you that the market price of our Class A common stock will not fluctuate or decline significantly in the future. Some, but certainly not all, of the factors that could negatively affect the price of our Class A common stock, or result in fluctuations in the price or trading volume of our Class A common stock, include:</w:t>
      </w:r>
    </w:p>
    <w:p>
      <w:pPr>
        <w:spacing w:after="0" w:line="159" w:lineRule="exact"/>
        <w:rPr>
          <w:sz w:val="20"/>
          <w:szCs w:val="20"/>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general market conditions;</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domestic and international economic factors unrelated to our performance;</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variations in our quarterly operating results or failure to meet the market’s earnings expectations;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publication of research reports about us or the financial services industry in general;</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failure of securities analysts to cover our Class A common stock after this offering;</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additions or departures of our key personnel;</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future sales of our Class A common stock;</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adverse market reactions to any indebtedness we may incur or securities we may issue in the future;</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actions by our shareholders;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expiration of contractual lock-up agreements;</w:t>
      </w:r>
    </w:p>
    <w:p>
      <w:pPr>
        <w:ind w:left="1180" w:right="1279" w:hanging="261"/>
        <w:spacing w:after="0" w:line="246" w:lineRule="auto"/>
        <w:tabs>
          <w:tab w:leader="none" w:pos="11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operating and securities price performance of companies that investors consider to be comparable to us;</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changes or proposed changes in laws or regulations affecting our business; and</w:t>
      </w:r>
    </w:p>
    <w:p>
      <w:pPr>
        <w:ind w:left="1180" w:hanging="261"/>
        <w:spacing w:after="0"/>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actual or potential litigation and governmental investigations.</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In addition, if the market for stocks in our industry, or the stock market in general, experiences a loss of investor confidence, the trading price of the Class A common stock could decline for reasons unrelated to our business, financial condition or results of operations. If any of the foregoing occurs, it could cause our Class A common stock price to fall and may expose us to lawsuits that, even if unsuccessful, could be costly to defend and a distraction to management.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7" w:name="page38"/>
    <w:bookmarkEnd w:id="3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There are significant restrictions in our Articles of Incorporation that restrict the ability to sell our capital stock to shareholders that would own 4.95% or more of our stock, excluding our Significant Investors.</w:t>
      </w:r>
    </w:p>
    <w:p>
      <w:pPr>
        <w:spacing w:after="0" w:line="13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Because the continued availability of our "deferred tax assets" depends, in part, on the value of our stock owned by shareholders owning 5% or more of our stock, our Articles of Incorporation, except as otherwise may be approved by the Board or except for transfers by our Significant Investors, prohibits any direct or indirect transfer of stock or options to acquire stock to any person who, as a result of the transfer, would own 4.95% or more of our stock, as long as the Company continues to have "deferred tax assets." Such restrictions may limit the ability to transfer our stock.</w:t>
      </w:r>
    </w:p>
    <w:p>
      <w:pPr>
        <w:spacing w:after="0" w:line="144" w:lineRule="exact"/>
        <w:rPr>
          <w:sz w:val="20"/>
          <w:szCs w:val="20"/>
          <w:color w:val="auto"/>
        </w:rPr>
      </w:pPr>
    </w:p>
    <w:p>
      <w:pPr>
        <w:ind w:left="660" w:right="639" w:firstLine="256"/>
        <w:spacing w:after="0" w:line="257" w:lineRule="auto"/>
        <w:rPr>
          <w:sz w:val="20"/>
          <w:szCs w:val="20"/>
          <w:color w:val="auto"/>
        </w:rPr>
      </w:pPr>
      <w:r>
        <w:rPr>
          <w:rFonts w:ascii="Arial" w:cs="Arial" w:eastAsia="Arial" w:hAnsi="Arial"/>
          <w:sz w:val="14"/>
          <w:szCs w:val="14"/>
          <w:b w:val="1"/>
          <w:bCs w:val="1"/>
          <w:i w:val="1"/>
          <w:iCs w:val="1"/>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5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We are an “emerging growth company,” as defined in the JOBS Act. For as long as we remain an emerging growth company, we will have the option to take advantage of certain exemptions from various reporting and other requirements that are applicable to other public companies that are not emerging growth companies, including:</w:t>
      </w:r>
    </w:p>
    <w:p>
      <w:pPr>
        <w:spacing w:after="0" w:line="142" w:lineRule="exact"/>
        <w:rPr>
          <w:sz w:val="20"/>
          <w:szCs w:val="20"/>
          <w:color w:val="auto"/>
        </w:rPr>
      </w:pPr>
    </w:p>
    <w:p>
      <w:pPr>
        <w:ind w:left="1180" w:right="739" w:hanging="261"/>
        <w:spacing w:after="0" w:line="246" w:lineRule="auto"/>
        <w:tabs>
          <w:tab w:leader="none" w:pos="117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present only two years of audited financial statements and only two years of related management’s discussion and analysis of financial condition and results of operations</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provide less than five years of selected historical financial information;</w:t>
      </w:r>
    </w:p>
    <w:p>
      <w:pPr>
        <w:spacing w:after="0" w:line="9" w:lineRule="exact"/>
        <w:rPr>
          <w:rFonts w:ascii="Arial" w:cs="Arial" w:eastAsia="Arial" w:hAnsi="Arial"/>
          <w:sz w:val="14"/>
          <w:szCs w:val="14"/>
          <w:color w:val="auto"/>
        </w:rPr>
      </w:pPr>
    </w:p>
    <w:p>
      <w:pPr>
        <w:ind w:left="1180" w:right="679" w:hanging="261"/>
        <w:spacing w:after="0" w:line="238" w:lineRule="auto"/>
        <w:tabs>
          <w:tab w:leader="none" w:pos="117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exempt from the requirements to obtain an attestation and report from our auditors on management’s assessment of our internal control over financial reporting under the Sarbanes-Oxley Act;</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permitted to have less extensive disclosure about our executive compensation arrangements; and</w:t>
      </w:r>
    </w:p>
    <w:p>
      <w:pPr>
        <w:ind w:left="1180" w:right="719" w:hanging="261"/>
        <w:spacing w:after="0" w:line="268" w:lineRule="auto"/>
        <w:tabs>
          <w:tab w:leader="none" w:pos="117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not required to give our shareholders non-binding advisory votes on executive compensation or golden parachute arrangements.</w:t>
      </w:r>
    </w:p>
    <w:p>
      <w:pPr>
        <w:spacing w:after="0" w:line="142" w:lineRule="exact"/>
        <w:rPr>
          <w:sz w:val="20"/>
          <w:szCs w:val="20"/>
          <w:color w:val="auto"/>
        </w:rPr>
      </w:pPr>
    </w:p>
    <w:p>
      <w:pPr>
        <w:jc w:val="both"/>
        <w:ind w:left="660" w:right="679" w:firstLine="256"/>
        <w:spacing w:after="0" w:line="238" w:lineRule="auto"/>
        <w:rPr>
          <w:sz w:val="20"/>
          <w:szCs w:val="20"/>
          <w:color w:val="auto"/>
        </w:rPr>
      </w:pPr>
      <w:r>
        <w:rPr>
          <w:rFonts w:ascii="Arial" w:cs="Arial" w:eastAsia="Arial" w:hAnsi="Arial"/>
          <w:sz w:val="14"/>
          <w:szCs w:val="14"/>
          <w:color w:val="auto"/>
        </w:rPr>
        <w:t>We may continue to take advantage of some or all of the reduced regulatory and reporting requirements that will be available to us as long as we continue to qualify as an emerging growth company. We will remain an emerging growth company until the earliest of (i) the last day of the first fiscal year in which our annual gross revenues exceed $1.07 billion,</w:t>
      </w:r>
    </w:p>
    <w:p>
      <w:pPr>
        <w:spacing w:after="0" w:line="1" w:lineRule="exact"/>
        <w:rPr>
          <w:sz w:val="20"/>
          <w:szCs w:val="20"/>
          <w:color w:val="auto"/>
        </w:rPr>
      </w:pPr>
    </w:p>
    <w:p>
      <w:pPr>
        <w:jc w:val="both"/>
        <w:ind w:left="660" w:right="679" w:firstLine="3"/>
        <w:spacing w:after="0" w:line="253" w:lineRule="auto"/>
        <w:tabs>
          <w:tab w:leader="none" w:pos="8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date that the market value of our Class A common stock that is held by non-affiliates exceeds $700 million as of the last business day of June 30 of that year, (iii) the date on which we have, during the previous three-year period, issued more than $1 billion in non-convertible debt, or (iv) the end of fiscal year following the fifth anniversary of the completion of our IPO.</w:t>
      </w:r>
    </w:p>
    <w:p>
      <w:pPr>
        <w:spacing w:after="0" w:line="143"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It is possible that some investors could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136"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5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We have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Class A common stock. We cannot predict if investors will find our Class A common stock less attractive because we plan to rely on this exemption. If some investors find our Class A common stock less attractive as a result, there may be a less active trading market for our Class A common stock and our stock price may be more volatile.</w:t>
      </w:r>
    </w:p>
    <w:p>
      <w:pPr>
        <w:spacing w:after="0" w:line="14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b w:val="1"/>
          <w:bCs w:val="1"/>
          <w:i w:val="1"/>
          <w:iCs w:val="1"/>
          <w:color w:val="auto"/>
        </w:rPr>
        <w:t>We have existing investors that own a significant amount of our common stock whose individual interests may differ from yours.</w:t>
      </w:r>
    </w:p>
    <w:p>
      <w:pPr>
        <w:spacing w:after="0" w:line="136"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3"/>
          <w:szCs w:val="13"/>
          <w:color w:val="auto"/>
        </w:rPr>
        <w:t>A significant percentage of our Class A common stock is currently held by a few institutional investors, including Patriot Financial Partners II, L.P. and Patriot Financial Partners Parallel II, L.P. (collectively, "Patriot"), and Priam Capital Fund II, LP ("Priam," and together with Patriot, the "Significant Investors"). Patriot and Priam own approximately 22.44% and 22.44%, respectively, of our outstanding Class A common stock. In addition, Patriot and Priam are each entitled to nominate a director to our Board and have certain subscription rights to purchase new equity securities that we issued in the future,</w:t>
      </w:r>
    </w:p>
    <w:p>
      <w:pPr>
        <w:spacing w:after="0" w:line="24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8" w:name="page39"/>
    <w:bookmarkEnd w:id="3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ind w:left="660" w:right="659"/>
        <w:spacing w:after="0" w:line="245" w:lineRule="auto"/>
        <w:rPr>
          <w:sz w:val="20"/>
          <w:szCs w:val="20"/>
          <w:color w:val="auto"/>
        </w:rPr>
      </w:pPr>
      <w:r>
        <w:rPr>
          <w:rFonts w:ascii="Arial" w:cs="Arial" w:eastAsia="Arial" w:hAnsi="Arial"/>
          <w:sz w:val="14"/>
          <w:szCs w:val="14"/>
          <w:color w:val="auto"/>
        </w:rPr>
        <w:t>in each case as long as certain equity ownership criteria are met. Patriot and Priam also have certain registration rights, including demand registration rights, and information rights. Although Patriot and Priam are independent of each other, these institutional investors will continue to have a significant level of influence over us because of their level of Class A common stock ownership and their right to representation on our Board. For example, Patriot and Priam will have a greater ability than our other shareholders to influence the election of directors and the potential outcome of other matters submitted to a vote of our shareholders, including mergers and other acquisition transactions, amendments to our Articles of Incorporation and Amended and Restated Bylaws, and other extraordinary corporate matters. The interests of these investors could conflict with the interests of our other shareholders, and any future transfer by these investors of their shares of Class A common stock to other investors who have different business objectives could adversely affect our business, results of operations, financial condition, prospects or the market value of our Class A common stock.</w:t>
      </w:r>
    </w:p>
    <w:p>
      <w:pPr>
        <w:spacing w:after="0" w:line="133"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b w:val="1"/>
          <w:bCs w:val="1"/>
          <w:i w:val="1"/>
          <w:iCs w:val="1"/>
          <w:color w:val="auto"/>
        </w:rPr>
        <w:t>Provisions in our governing documents and Florida law may have an anti-takeover effect and there are substantial regulatory limitations on changes of control of the Company.</w:t>
      </w:r>
    </w:p>
    <w:p>
      <w:pPr>
        <w:spacing w:after="0" w:line="12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or management.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governing documents include provisions that:</w:t>
      </w:r>
    </w:p>
    <w:p>
      <w:pPr>
        <w:spacing w:after="0" w:line="170" w:lineRule="exact"/>
        <w:rPr>
          <w:sz w:val="20"/>
          <w:szCs w:val="20"/>
          <w:color w:val="auto"/>
        </w:rPr>
      </w:pPr>
    </w:p>
    <w:p>
      <w:pPr>
        <w:ind w:left="1180" w:right="679" w:hanging="261"/>
        <w:spacing w:after="0" w:line="238"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empower our Board, without shareholder approval, to issue our preferred stock, the terms of which, including voting power, are to be set by our Board;</w:t>
      </w:r>
    </w:p>
    <w:p>
      <w:pPr>
        <w:ind w:left="1180" w:right="67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provide that directors may be removed from office only for cause and only upon a majority vote of the shares of our Bank with voting power;</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prohibit holders of our Class A common stock to take action by written consent in lieu of a shareholder meeting;</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require holders of at least 10% of our Class A common stock to call a special meeting;</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do not provide for cumulative voting in elections of our directors;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provide that our Board has the authority to amend our Amended and Restated Bylaws;</w:t>
      </w:r>
    </w:p>
    <w:p>
      <w:pPr>
        <w:jc w:val="both"/>
        <w:ind w:left="1180" w:right="679" w:hanging="261"/>
        <w:spacing w:after="0" w:line="243"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require shareholders that wish to bring business before annual or special meetings of shareholders, or to nominate candidates for election as directors at our annual meeting of shareholders, to provide timely notice of their intent in writing and satisfy disclosure requirements; and</w:t>
      </w:r>
    </w:p>
    <w:p>
      <w:pPr>
        <w:spacing w:after="0" w:line="1" w:lineRule="exact"/>
        <w:rPr>
          <w:rFonts w:ascii="Arial" w:cs="Arial" w:eastAsia="Arial" w:hAnsi="Arial"/>
          <w:sz w:val="14"/>
          <w:szCs w:val="14"/>
          <w:color w:val="auto"/>
        </w:rPr>
      </w:pPr>
    </w:p>
    <w:p>
      <w:pPr>
        <w:jc w:val="both"/>
        <w:ind w:left="1180" w:right="679" w:hanging="261"/>
        <w:spacing w:after="0" w:line="253"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enable our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142"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addition,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These laws could delay or prevent an acquisition. Also, for preservation and continued availability of our "deferred tax assets," our Articles of Incorporation prohibits any direct or indirect transfer of stock or options to acquire stock to any person who, as a result of the transfer, would own 4.95% or more of our stock, as long as we continue to have "deferred tax assets," subject to limited exceptions as provided in our Articles of Incorporation. Because of the requirements to overcome this restriction, this provision of the Articles of Incorporation could have an anti-takeover effect and may delay, make more difficult or prevent an attempted acquisition that you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39" w:name="page40"/>
    <w:bookmarkEnd w:id="3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1B. Unresolved Staff Comments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Properties</w:t>
      </w:r>
    </w:p>
    <w:p>
      <w:pPr>
        <w:spacing w:after="0" w:line="188"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The Company’s corporate offices are headquartered at 2301 N.W. 87th Avenue, Miami, Florida 33172. The Company, through the Bank, operates 10 banking centers in South Florida within Miami-Dade and Broward counties. From the 10 banking centers, nine of these locations are leased and one is owned. The banking center that is owned is located at 3999 Sheridan St, Hollywood, FL 33021. Management believes that each of these locations are in good condition and adequate to meet our present and foreseeable needs, subject to possible future expansion.</w:t>
      </w:r>
    </w:p>
    <w:p>
      <w:pPr>
        <w:spacing w:after="0" w:line="160"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See Note 4 “Leases” and Note 5 “Premises and Equipment” to the Consolidated Financial Statements included in this Form 10-K for additional information.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Legal Proceedings</w:t>
      </w:r>
    </w:p>
    <w:p>
      <w:pPr>
        <w:spacing w:after="0" w:line="177" w:lineRule="exact"/>
        <w:rPr>
          <w:sz w:val="20"/>
          <w:szCs w:val="20"/>
          <w:color w:val="auto"/>
        </w:rPr>
      </w:pPr>
    </w:p>
    <w:p>
      <w:pPr>
        <w:ind w:left="660" w:right="619" w:firstLine="256"/>
        <w:spacing w:after="0" w:line="249"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0" w:name="page41"/>
    <w:bookmarkEnd w:id="4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1180" w:right="699" w:hanging="511"/>
        <w:spacing w:after="0" w:line="295"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Information</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July 2021, the Bank’s Class A common stock began trading on the Nasdaq Stock Market under ticker symbol “USCB”. The listing of our Class A common stock on the Nasdaq Stock Market has resulted in a more active trading market for our Class A common stock. However, we cannot assure that a liquid trading market for our Class A common stock will be sustained.</w:t>
      </w:r>
    </w:p>
    <w:p>
      <w:pPr>
        <w:spacing w:after="0" w:line="15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Effective December 30, 2021, the bank holding company, or the Company, acquired all issued and outstanding shares of Class A common stock of the Bank. Each of the outstanding shares of the Bank’s common stock formerly held by its shareholders was converted into and exchanged for one newly issued share of the Company’s common stock. The ticker symbol “USCB” remained the same.</w:t>
      </w:r>
    </w:p>
    <w:p>
      <w:pPr>
        <w:spacing w:after="0" w:line="145"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Prior to our listing on the Nasdaq Stock Market there was not an established public trading market for the Class A common shares. The following table shows the quarterly high and low closing prices of our Class A common stock traded on the Nasdaq Stock Market since going public on July 23, 2021:</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ind w:left="800"/>
              <w:spacing w:after="0"/>
              <w:rPr>
                <w:sz w:val="20"/>
                <w:szCs w:val="20"/>
                <w:color w:val="auto"/>
              </w:rPr>
            </w:pPr>
            <w:r>
              <w:rPr>
                <w:rFonts w:ascii="Arial" w:cs="Arial" w:eastAsia="Arial" w:hAnsi="Arial"/>
                <w:sz w:val="13"/>
                <w:szCs w:val="13"/>
                <w:b w:val="1"/>
                <w:bCs w:val="1"/>
                <w:color w:val="auto"/>
              </w:rPr>
              <w:t>Stock Price</w:t>
            </w: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High</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Low</w:t>
            </w:r>
          </w:p>
        </w:tc>
      </w:tr>
      <w:tr>
        <w:trPr>
          <w:trHeight w:val="16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Quarter Ended:</w:t>
            </w: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2021</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w w:val="98"/>
              </w:rPr>
              <w:t>13.91</w:t>
            </w:r>
          </w:p>
        </w:tc>
        <w:tc>
          <w:tcPr>
            <w:tcW w:w="5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10.57</w:t>
            </w: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w w:val="98"/>
              </w:rPr>
              <w:t>15.89</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12.30</w:t>
            </w:r>
          </w:p>
        </w:tc>
      </w:tr>
    </w:tbl>
    <w:p>
      <w:pPr>
        <w:spacing w:after="0" w:line="16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December 31, 2021, our Class B common stock is not listed or traded on any stock exchange.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Holders</w:t>
      </w:r>
    </w:p>
    <w:p>
      <w:pPr>
        <w:spacing w:after="0" w:line="188" w:lineRule="exact"/>
        <w:rPr>
          <w:sz w:val="20"/>
          <w:szCs w:val="20"/>
          <w:color w:val="auto"/>
        </w:rPr>
      </w:pPr>
    </w:p>
    <w:p>
      <w:pPr>
        <w:ind w:left="660" w:right="1079" w:firstLine="256"/>
        <w:spacing w:after="0" w:line="485" w:lineRule="auto"/>
        <w:rPr>
          <w:sz w:val="20"/>
          <w:szCs w:val="20"/>
          <w:color w:val="auto"/>
        </w:rPr>
      </w:pPr>
      <w:r>
        <w:rPr>
          <w:rFonts w:ascii="Arial" w:cs="Arial" w:eastAsia="Arial" w:hAnsi="Arial"/>
          <w:sz w:val="14"/>
          <w:szCs w:val="14"/>
          <w:color w:val="auto"/>
        </w:rPr>
        <w:t xml:space="preserve">As of January 31, 2022, the Company’s Class A common shares were held by approximately 529 shareholders . </w:t>
      </w:r>
      <w:r>
        <w:rPr>
          <w:rFonts w:ascii="Arial" w:cs="Arial" w:eastAsia="Arial" w:hAnsi="Arial"/>
          <w:sz w:val="14"/>
          <w:szCs w:val="14"/>
          <w:b w:val="1"/>
          <w:bCs w:val="1"/>
          <w:color w:val="auto"/>
        </w:rPr>
        <w:t>Dividends</w:t>
      </w:r>
    </w:p>
    <w:p>
      <w:pPr>
        <w:jc w:val="both"/>
        <w:ind w:left="660" w:right="699" w:firstLine="256"/>
        <w:spacing w:after="0" w:line="252" w:lineRule="auto"/>
        <w:rPr>
          <w:sz w:val="20"/>
          <w:szCs w:val="20"/>
          <w:color w:val="auto"/>
        </w:rPr>
      </w:pPr>
      <w:r>
        <w:rPr>
          <w:rFonts w:ascii="Arial" w:cs="Arial" w:eastAsia="Arial" w:hAnsi="Arial"/>
          <w:sz w:val="14"/>
          <w:szCs w:val="14"/>
          <w:color w:val="auto"/>
        </w:rPr>
        <w:t>As a bank holding company, the Company’s ability to declare and pay dividends depends on various federal regulatory considerations, including the guidelines of the Federal Reserve regarding capital adequacy and dividends.</w:t>
      </w:r>
    </w:p>
    <w:p>
      <w:pPr>
        <w:spacing w:after="0" w:line="15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banking laws, regulations and policies.</w:t>
      </w:r>
    </w:p>
    <w:p>
      <w:pPr>
        <w:spacing w:after="0" w:line="15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 amount that would be needed for the Company to satisfy the preferential rights upon dissolution of shareholders whose preferential rights are superior to those receiving the dividend, if any.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77"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See Note 9 ”Equity Based and Other Compensation Plans” to the Consolidated Financial Statements herein for additional information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1" w:name="page42"/>
    <w:bookmarkEnd w:id="4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 Price Performance</w:t>
      </w:r>
    </w:p>
    <w:p>
      <w:pPr>
        <w:spacing w:after="0" w:line="17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graph below compares the cumulative total return to stockholders of our Class A common stock between July 23, 2021 (the date the Bank’s Class A common stock commenced trading on the Nasdaq Stock Market) and December 31, 2021, with the cumulative total return of (a) the Nasdaq Bank Index (b) the NASDAQ ABA Community Bank Index, and (c) the Nasdaq Composite Index over the same period. This graph assumes the investment of $100 in our Class A common stock at the closing sale price of $10.82 per share on July 23, 2021, and assumes the reinvestment of dividends, if any.</w:t>
      </w:r>
    </w:p>
    <w:p>
      <w:pPr>
        <w:spacing w:after="0" w:line="15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comparisons shown in the graph below are based upon historical data. We caution that the stock price performance shown in the graph below is not indicative of, nor is it intended to forecast, the potential future performance of our common stock.</w:t>
      </w:r>
    </w:p>
    <w:p>
      <w:pPr>
        <w:spacing w:after="0" w:line="378"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COMPARISON OF CUMULATIVE RETURN SINCE COMPANY IPO</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Among USCB Financial Holdings, Inc., the NASDAQ Bank Index, the NASDAQ ABA</w:t>
      </w:r>
    </w:p>
    <w:p>
      <w:pPr>
        <w:spacing w:after="0" w:line="1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Community Bank Index, and the NASDAQ Composite</w:t>
      </w:r>
    </w:p>
    <w:p>
      <w:pPr>
        <w:spacing w:after="0" w:line="199"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$160</w:t>
      </w:r>
    </w:p>
    <w:p>
      <w:pPr>
        <w:spacing w:after="0" w:line="193"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$150</w:t>
      </w:r>
    </w:p>
    <w:p>
      <w:pPr>
        <w:spacing w:after="0" w:line="193"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$140</w:t>
      </w:r>
    </w:p>
    <w:p>
      <w:pPr>
        <w:spacing w:after="0" w:line="192"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$130</w:t>
      </w:r>
    </w:p>
    <w:p>
      <w:pPr>
        <w:spacing w:after="0" w:line="204"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$120</w:t>
      </w:r>
    </w:p>
    <w:p>
      <w:pPr>
        <w:spacing w:after="0" w:line="193"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$110</w:t>
      </w:r>
    </w:p>
    <w:p>
      <w:pPr>
        <w:spacing w:after="0" w:line="193"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$100</w:t>
      </w:r>
    </w:p>
    <w:p>
      <w:pPr>
        <w:spacing w:after="0" w:line="193" w:lineRule="exact"/>
        <w:rPr>
          <w:sz w:val="20"/>
          <w:szCs w:val="20"/>
          <w:color w:val="auto"/>
        </w:rPr>
      </w:pPr>
    </w:p>
    <w:p>
      <w:pPr>
        <w:jc w:val="right"/>
        <w:ind w:right="7959"/>
        <w:spacing w:after="0"/>
        <w:rPr>
          <w:sz w:val="20"/>
          <w:szCs w:val="20"/>
          <w:color w:val="auto"/>
        </w:rPr>
      </w:pPr>
      <w:r>
        <w:rPr>
          <w:rFonts w:ascii="Arial" w:cs="Arial" w:eastAsia="Arial" w:hAnsi="Arial"/>
          <w:sz w:val="12"/>
          <w:szCs w:val="12"/>
          <w:color w:val="auto"/>
        </w:rPr>
        <w:t>$90</w:t>
      </w:r>
    </w:p>
    <w:p>
      <w:pPr>
        <w:spacing w:after="0" w:line="200" w:lineRule="exact"/>
        <w:rPr>
          <w:sz w:val="20"/>
          <w:szCs w:val="20"/>
          <w:color w:val="auto"/>
        </w:rPr>
      </w:pPr>
    </w:p>
    <w:p>
      <w:pPr>
        <w:spacing w:after="0" w:line="371" w:lineRule="exact"/>
        <w:rPr>
          <w:sz w:val="20"/>
          <w:szCs w:val="20"/>
          <w:color w:val="auto"/>
        </w:rPr>
      </w:pPr>
    </w:p>
    <w:tbl>
      <w:tblPr>
        <w:tblLayout w:type="fixed"/>
        <w:tblInd w:w="660" w:type="dxa"/>
        <w:tblCellMar>
          <w:top w:w="0" w:type="dxa"/>
          <w:left w:w="0" w:type="dxa"/>
          <w:bottom w:w="0" w:type="dxa"/>
          <w:right w:w="0" w:type="dxa"/>
        </w:tblCellMar>
      </w:tblPr>
      <w:tr>
        <w:trPr>
          <w:trHeight w:val="64"/>
        </w:trPr>
        <w:tc>
          <w:tcPr>
            <w:tcW w:w="640" w:type="dxa"/>
            <w:vAlign w:val="bottom"/>
          </w:tcPr>
          <w:p>
            <w:pPr>
              <w:spacing w:after="0"/>
              <w:rPr>
                <w:sz w:val="5"/>
                <w:szCs w:val="5"/>
                <w:color w:val="auto"/>
              </w:rPr>
            </w:pPr>
          </w:p>
        </w:tc>
        <w:tc>
          <w:tcPr>
            <w:tcW w:w="260" w:type="dxa"/>
            <w:vAlign w:val="bottom"/>
            <w:tcBorders>
              <w:bottom w:val="single" w:sz="8" w:color="BE190C"/>
            </w:tcBorders>
          </w:tcPr>
          <w:p>
            <w:pPr>
              <w:spacing w:after="0"/>
              <w:rPr>
                <w:sz w:val="5"/>
                <w:szCs w:val="5"/>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auto"/>
              </w:rPr>
              <w:t>USCB</w:t>
            </w:r>
          </w:p>
        </w:tc>
        <w:tc>
          <w:tcPr>
            <w:tcW w:w="280" w:type="dxa"/>
            <w:vAlign w:val="bottom"/>
            <w:tcBorders>
              <w:bottom w:val="single" w:sz="8" w:color="ADB9CA"/>
            </w:tcBorders>
          </w:tcPr>
          <w:p>
            <w:pPr>
              <w:spacing w:after="0"/>
              <w:rPr>
                <w:sz w:val="5"/>
                <w:szCs w:val="5"/>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NASDAQ Bank</w:t>
            </w:r>
          </w:p>
        </w:tc>
        <w:tc>
          <w:tcPr>
            <w:tcW w:w="280" w:type="dxa"/>
            <w:vAlign w:val="bottom"/>
            <w:tcBorders>
              <w:bottom w:val="single" w:sz="8" w:color="203864"/>
            </w:tcBorders>
          </w:tcPr>
          <w:p>
            <w:pPr>
              <w:spacing w:after="0"/>
              <w:rPr>
                <w:sz w:val="5"/>
                <w:szCs w:val="5"/>
                <w:color w:val="auto"/>
              </w:rPr>
            </w:pPr>
          </w:p>
        </w:tc>
        <w:tc>
          <w:tcPr>
            <w:tcW w:w="1980" w:type="dxa"/>
            <w:vAlign w:val="bottom"/>
            <w:gridSpan w:val="7"/>
            <w:vMerge w:val="restart"/>
          </w:tcPr>
          <w:p>
            <w:pPr>
              <w:jc w:val="right"/>
              <w:ind w:right="36"/>
              <w:spacing w:after="0"/>
              <w:rPr>
                <w:sz w:val="20"/>
                <w:szCs w:val="20"/>
                <w:color w:val="auto"/>
              </w:rPr>
            </w:pPr>
            <w:r>
              <w:rPr>
                <w:rFonts w:ascii="Arial" w:cs="Arial" w:eastAsia="Arial" w:hAnsi="Arial"/>
                <w:sz w:val="13"/>
                <w:szCs w:val="13"/>
                <w:color w:val="auto"/>
                <w:w w:val="99"/>
              </w:rPr>
              <w:t>NASDAQ ABA Community Bank</w:t>
            </w:r>
          </w:p>
        </w:tc>
        <w:tc>
          <w:tcPr>
            <w:tcW w:w="140" w:type="dxa"/>
            <w:vAlign w:val="bottom"/>
            <w:vMerge w:val="restart"/>
          </w:tcPr>
          <w:p>
            <w:pPr>
              <w:spacing w:after="0"/>
              <w:rPr>
                <w:sz w:val="5"/>
                <w:szCs w:val="5"/>
                <w:color w:val="auto"/>
              </w:rPr>
            </w:pPr>
          </w:p>
        </w:tc>
        <w:tc>
          <w:tcPr>
            <w:tcW w:w="280" w:type="dxa"/>
            <w:vAlign w:val="bottom"/>
            <w:tcBorders>
              <w:bottom w:val="single" w:sz="8" w:color="5F5F5F"/>
            </w:tcBorders>
          </w:tcPr>
          <w:p>
            <w:pPr>
              <w:spacing w:after="0"/>
              <w:rPr>
                <w:sz w:val="5"/>
                <w:szCs w:val="5"/>
                <w:color w:val="auto"/>
              </w:rPr>
            </w:pPr>
          </w:p>
        </w:tc>
        <w:tc>
          <w:tcPr>
            <w:tcW w:w="2040" w:type="dxa"/>
            <w:vAlign w:val="bottom"/>
            <w:gridSpan w:val="8"/>
            <w:vMerge w:val="restart"/>
          </w:tcPr>
          <w:p>
            <w:pPr>
              <w:ind w:left="40"/>
              <w:spacing w:after="0"/>
              <w:rPr>
                <w:sz w:val="20"/>
                <w:szCs w:val="20"/>
                <w:color w:val="auto"/>
              </w:rPr>
            </w:pPr>
            <w:r>
              <w:rPr>
                <w:rFonts w:ascii="Arial" w:cs="Arial" w:eastAsia="Arial" w:hAnsi="Arial"/>
                <w:sz w:val="13"/>
                <w:szCs w:val="13"/>
                <w:color w:val="auto"/>
              </w:rPr>
              <w:t>NASDAQ Composite</w:t>
            </w:r>
          </w:p>
        </w:tc>
        <w:tc>
          <w:tcPr>
            <w:tcW w:w="0" w:type="dxa"/>
            <w:vAlign w:val="bottom"/>
          </w:tcPr>
          <w:p>
            <w:pPr>
              <w:spacing w:after="0"/>
              <w:rPr>
                <w:sz w:val="1"/>
                <w:szCs w:val="1"/>
                <w:color w:val="auto"/>
              </w:rPr>
            </w:pPr>
          </w:p>
        </w:tc>
      </w:tr>
      <w:tr>
        <w:trPr>
          <w:trHeight w:val="70"/>
        </w:trPr>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980" w:type="dxa"/>
            <w:vAlign w:val="bottom"/>
            <w:gridSpan w:val="7"/>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0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640" w:type="dxa"/>
            <w:vAlign w:val="bottom"/>
            <w:tcBorders>
              <w:bottom w:val="single" w:sz="8" w:color="D9D9D9"/>
            </w:tcBorders>
          </w:tcPr>
          <w:p>
            <w:pPr>
              <w:spacing w:after="0"/>
              <w:rPr>
                <w:sz w:val="9"/>
                <w:szCs w:val="9"/>
                <w:color w:val="auto"/>
              </w:rPr>
            </w:pPr>
          </w:p>
        </w:tc>
        <w:tc>
          <w:tcPr>
            <w:tcW w:w="260" w:type="dxa"/>
            <w:vAlign w:val="bottom"/>
            <w:tcBorders>
              <w:bottom w:val="single" w:sz="8" w:color="D9D9D9"/>
            </w:tcBorders>
          </w:tcPr>
          <w:p>
            <w:pPr>
              <w:spacing w:after="0"/>
              <w:rPr>
                <w:sz w:val="9"/>
                <w:szCs w:val="9"/>
                <w:color w:val="auto"/>
              </w:rPr>
            </w:pPr>
          </w:p>
        </w:tc>
        <w:tc>
          <w:tcPr>
            <w:tcW w:w="640" w:type="dxa"/>
            <w:vAlign w:val="bottom"/>
            <w:tcBorders>
              <w:bottom w:val="single" w:sz="8" w:color="D9D9D9"/>
            </w:tcBorders>
          </w:tcPr>
          <w:p>
            <w:pPr>
              <w:spacing w:after="0"/>
              <w:rPr>
                <w:sz w:val="9"/>
                <w:szCs w:val="9"/>
                <w:color w:val="auto"/>
              </w:rPr>
            </w:pPr>
          </w:p>
        </w:tc>
        <w:tc>
          <w:tcPr>
            <w:tcW w:w="280" w:type="dxa"/>
            <w:vAlign w:val="bottom"/>
            <w:tcBorders>
              <w:bottom w:val="single" w:sz="8" w:color="D9D9D9"/>
            </w:tcBorders>
          </w:tcPr>
          <w:p>
            <w:pPr>
              <w:spacing w:after="0"/>
              <w:rPr>
                <w:sz w:val="9"/>
                <w:szCs w:val="9"/>
                <w:color w:val="auto"/>
              </w:rPr>
            </w:pPr>
          </w:p>
        </w:tc>
        <w:tc>
          <w:tcPr>
            <w:tcW w:w="1160" w:type="dxa"/>
            <w:vAlign w:val="bottom"/>
            <w:tcBorders>
              <w:bottom w:val="single" w:sz="8" w:color="D9D9D9"/>
            </w:tcBorders>
          </w:tcPr>
          <w:p>
            <w:pPr>
              <w:spacing w:after="0"/>
              <w:rPr>
                <w:sz w:val="9"/>
                <w:szCs w:val="9"/>
                <w:color w:val="auto"/>
              </w:rPr>
            </w:pPr>
          </w:p>
        </w:tc>
        <w:tc>
          <w:tcPr>
            <w:tcW w:w="280" w:type="dxa"/>
            <w:vAlign w:val="bottom"/>
            <w:tcBorders>
              <w:bottom w:val="single" w:sz="8" w:color="D9D9D9"/>
            </w:tcBorders>
          </w:tcPr>
          <w:p>
            <w:pPr>
              <w:spacing w:after="0"/>
              <w:rPr>
                <w:sz w:val="9"/>
                <w:szCs w:val="9"/>
                <w:color w:val="auto"/>
              </w:rPr>
            </w:pPr>
          </w:p>
        </w:tc>
        <w:tc>
          <w:tcPr>
            <w:tcW w:w="400" w:type="dxa"/>
            <w:vAlign w:val="bottom"/>
            <w:tcBorders>
              <w:bottom w:val="single" w:sz="8" w:color="D9D9D9"/>
            </w:tcBorders>
          </w:tcPr>
          <w:p>
            <w:pPr>
              <w:spacing w:after="0"/>
              <w:rPr>
                <w:sz w:val="9"/>
                <w:szCs w:val="9"/>
                <w:color w:val="auto"/>
              </w:rPr>
            </w:pPr>
          </w:p>
        </w:tc>
        <w:tc>
          <w:tcPr>
            <w:tcW w:w="220" w:type="dxa"/>
            <w:vAlign w:val="bottom"/>
            <w:tcBorders>
              <w:bottom w:val="single" w:sz="8" w:color="D9D9D9"/>
            </w:tcBorders>
          </w:tcPr>
          <w:p>
            <w:pPr>
              <w:spacing w:after="0"/>
              <w:rPr>
                <w:sz w:val="9"/>
                <w:szCs w:val="9"/>
                <w:color w:val="auto"/>
              </w:rPr>
            </w:pPr>
          </w:p>
        </w:tc>
        <w:tc>
          <w:tcPr>
            <w:tcW w:w="1060" w:type="dxa"/>
            <w:vAlign w:val="bottom"/>
            <w:tcBorders>
              <w:bottom w:val="single" w:sz="8" w:color="D9D9D9"/>
            </w:tcBorders>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40" w:type="dxa"/>
            <w:vAlign w:val="bottom"/>
            <w:tcBorders>
              <w:bottom w:val="single" w:sz="8" w:color="D9D9D9"/>
            </w:tcBorders>
          </w:tcPr>
          <w:p>
            <w:pPr>
              <w:spacing w:after="0"/>
              <w:rPr>
                <w:sz w:val="9"/>
                <w:szCs w:val="9"/>
                <w:color w:val="auto"/>
              </w:rPr>
            </w:pPr>
          </w:p>
        </w:tc>
        <w:tc>
          <w:tcPr>
            <w:tcW w:w="220" w:type="dxa"/>
            <w:vAlign w:val="bottom"/>
            <w:tcBorders>
              <w:bottom w:val="single" w:sz="8" w:color="D9D9D9"/>
            </w:tcBorders>
          </w:tcPr>
          <w:p>
            <w:pPr>
              <w:spacing w:after="0"/>
              <w:rPr>
                <w:sz w:val="9"/>
                <w:szCs w:val="9"/>
                <w:color w:val="auto"/>
              </w:rPr>
            </w:pPr>
          </w:p>
        </w:tc>
        <w:tc>
          <w:tcPr>
            <w:tcW w:w="1060" w:type="dxa"/>
            <w:vAlign w:val="bottom"/>
            <w:tcBorders>
              <w:bottom w:val="single" w:sz="8" w:color="D9D9D9"/>
            </w:tcBorders>
            <w:gridSpan w:val="3"/>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20" w:type="dxa"/>
            <w:vAlign w:val="bottom"/>
            <w:tcBorders>
              <w:bottom w:val="single" w:sz="8" w:color="D9D9D9"/>
            </w:tcBorders>
          </w:tcPr>
          <w:p>
            <w:pPr>
              <w:spacing w:after="0"/>
              <w:rPr>
                <w:sz w:val="9"/>
                <w:szCs w:val="9"/>
                <w:color w:val="auto"/>
              </w:rPr>
            </w:pPr>
          </w:p>
        </w:tc>
        <w:tc>
          <w:tcPr>
            <w:tcW w:w="40" w:type="dxa"/>
            <w:vAlign w:val="bottom"/>
            <w:tcBorders>
              <w:bottom w:val="single" w:sz="8" w:color="D9D9D9"/>
            </w:tcBorders>
          </w:tcPr>
          <w:p>
            <w:pPr>
              <w:spacing w:after="0"/>
              <w:rPr>
                <w:sz w:val="9"/>
                <w:szCs w:val="9"/>
                <w:color w:val="auto"/>
              </w:rPr>
            </w:pPr>
          </w:p>
        </w:tc>
        <w:tc>
          <w:tcPr>
            <w:tcW w:w="200" w:type="dxa"/>
            <w:vAlign w:val="bottom"/>
            <w:tcBorders>
              <w:bottom w:val="single" w:sz="8" w:color="D9D9D9"/>
            </w:tcBorders>
          </w:tcPr>
          <w:p>
            <w:pPr>
              <w:spacing w:after="0"/>
              <w:rPr>
                <w:sz w:val="9"/>
                <w:szCs w:val="9"/>
                <w:color w:val="auto"/>
              </w:rPr>
            </w:pPr>
          </w:p>
        </w:tc>
        <w:tc>
          <w:tcPr>
            <w:tcW w:w="900" w:type="dxa"/>
            <w:vAlign w:val="bottom"/>
            <w:tcBorders>
              <w:bottom w:val="single" w:sz="8" w:color="D9D9D9"/>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6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07/23/2021</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auto"/>
              </w:rPr>
              <w:t>09/30/2021</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12/31/2021</w:t>
            </w: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9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USCB Financial Holdings, Inc. (USCB)</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20" w:type="dxa"/>
            <w:vAlign w:val="bottom"/>
            <w:gridSpan w:val="4"/>
          </w:tcPr>
          <w:p>
            <w:pPr>
              <w:spacing w:after="0"/>
              <w:rPr>
                <w:sz w:val="20"/>
                <w:szCs w:val="20"/>
                <w:color w:val="auto"/>
              </w:rPr>
            </w:pPr>
            <w:r>
              <w:rPr>
                <w:rFonts w:ascii="Arial" w:cs="Arial" w:eastAsia="Arial" w:hAnsi="Arial"/>
                <w:sz w:val="13"/>
                <w:szCs w:val="13"/>
                <w:color w:val="auto"/>
              </w:rPr>
              <w:t>NASDAQ Bank (BANK)</w:t>
            </w:r>
          </w:p>
        </w:tc>
        <w:tc>
          <w:tcPr>
            <w:tcW w:w="1160" w:type="dxa"/>
            <w:vAlign w:val="bottom"/>
          </w:tcPr>
          <w:p>
            <w:pPr>
              <w:spacing w:after="0"/>
              <w:rPr>
                <w:sz w:val="14"/>
                <w:szCs w:val="14"/>
                <w:color w:val="auto"/>
              </w:rPr>
            </w:pPr>
          </w:p>
        </w:tc>
        <w:tc>
          <w:tcPr>
            <w:tcW w:w="90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100</w:t>
            </w:r>
          </w:p>
        </w:tc>
        <w:tc>
          <w:tcPr>
            <w:tcW w:w="300" w:type="dxa"/>
            <w:vAlign w:val="bottom"/>
            <w:gridSpan w:val="4"/>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spacing w:after="0"/>
              <w:rPr>
                <w:sz w:val="20"/>
                <w:szCs w:val="20"/>
                <w:color w:val="auto"/>
              </w:rPr>
            </w:pPr>
            <w:r>
              <w:rPr>
                <w:rFonts w:ascii="Arial" w:cs="Arial" w:eastAsia="Arial" w:hAnsi="Arial"/>
                <w:sz w:val="13"/>
                <w:szCs w:val="13"/>
                <w:color w:val="auto"/>
              </w:rPr>
              <w:t>110</w:t>
            </w:r>
          </w:p>
        </w:tc>
        <w:tc>
          <w:tcPr>
            <w:tcW w:w="280" w:type="dxa"/>
            <w:vAlign w:val="bottom"/>
            <w:gridSpan w:val="4"/>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NASDAQ ABA Community Bank (QABA)</w:t>
            </w:r>
          </w:p>
        </w:tc>
        <w:tc>
          <w:tcPr>
            <w:tcW w:w="900" w:type="dxa"/>
            <w:vAlign w:val="bottom"/>
            <w:gridSpan w:val="3"/>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gridSpan w:val="2"/>
            <w:shd w:val="clear" w:color="auto" w:fill="CCEEFF"/>
          </w:tcPr>
          <w:p>
            <w:pPr>
              <w:spacing w:after="0"/>
              <w:rPr>
                <w:sz w:val="14"/>
                <w:szCs w:val="14"/>
                <w:color w:val="auto"/>
              </w:rPr>
            </w:pPr>
          </w:p>
        </w:tc>
        <w:tc>
          <w:tcPr>
            <w:tcW w:w="2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 w:type="dxa"/>
            <w:vAlign w:val="bottom"/>
            <w:gridSpan w:val="2"/>
            <w:shd w:val="clear" w:color="auto" w:fill="CCEEFF"/>
          </w:tcPr>
          <w:p>
            <w:pPr>
              <w:spacing w:after="0"/>
              <w:rPr>
                <w:sz w:val="14"/>
                <w:szCs w:val="14"/>
                <w:color w:val="auto"/>
              </w:rPr>
            </w:pPr>
          </w:p>
        </w:tc>
        <w:tc>
          <w:tcPr>
            <w:tcW w:w="24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20" w:type="dxa"/>
            <w:vAlign w:val="bottom"/>
            <w:gridSpan w:val="4"/>
          </w:tcPr>
          <w:p>
            <w:pPr>
              <w:spacing w:after="0"/>
              <w:rPr>
                <w:sz w:val="20"/>
                <w:szCs w:val="20"/>
                <w:color w:val="auto"/>
              </w:rPr>
            </w:pPr>
            <w:r>
              <w:rPr>
                <w:rFonts w:ascii="Arial" w:cs="Arial" w:eastAsia="Arial" w:hAnsi="Arial"/>
                <w:sz w:val="13"/>
                <w:szCs w:val="13"/>
                <w:color w:val="auto"/>
              </w:rPr>
              <w:t>NASDAQ Composite (IXIC)</w:t>
            </w:r>
          </w:p>
        </w:tc>
        <w:tc>
          <w:tcPr>
            <w:tcW w:w="1160" w:type="dxa"/>
            <w:vAlign w:val="bottom"/>
          </w:tcPr>
          <w:p>
            <w:pPr>
              <w:spacing w:after="0"/>
              <w:rPr>
                <w:sz w:val="15"/>
                <w:szCs w:val="15"/>
                <w:color w:val="auto"/>
              </w:rPr>
            </w:pPr>
          </w:p>
        </w:tc>
        <w:tc>
          <w:tcPr>
            <w:tcW w:w="90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100</w:t>
            </w:r>
          </w:p>
        </w:tc>
        <w:tc>
          <w:tcPr>
            <w:tcW w:w="300" w:type="dxa"/>
            <w:vAlign w:val="bottom"/>
            <w:gridSpan w:val="4"/>
          </w:tcPr>
          <w:p>
            <w:pPr>
              <w:jc w:val="right"/>
              <w:ind w:right="76"/>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spacing w:after="0"/>
              <w:rPr>
                <w:sz w:val="20"/>
                <w:szCs w:val="20"/>
                <w:color w:val="auto"/>
              </w:rPr>
            </w:pPr>
            <w:r>
              <w:rPr>
                <w:rFonts w:ascii="Arial" w:cs="Arial" w:eastAsia="Arial" w:hAnsi="Arial"/>
                <w:sz w:val="13"/>
                <w:szCs w:val="13"/>
                <w:color w:val="auto"/>
              </w:rPr>
              <w:t>98</w:t>
            </w:r>
          </w:p>
        </w:tc>
        <w:tc>
          <w:tcPr>
            <w:tcW w:w="280" w:type="dxa"/>
            <w:vAlign w:val="bottom"/>
            <w:gridSpan w:val="4"/>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Purchases of Equity Securities by Issuer and Other Affiliates</w:t>
      </w:r>
    </w:p>
    <w:p>
      <w:pPr>
        <w:spacing w:after="0" w:line="188" w:lineRule="exact"/>
        <w:rPr>
          <w:sz w:val="20"/>
          <w:szCs w:val="20"/>
          <w:color w:val="auto"/>
        </w:rPr>
      </w:pPr>
    </w:p>
    <w:p>
      <w:pPr>
        <w:ind w:left="660" w:right="679" w:firstLine="256"/>
        <w:spacing w:after="0" w:line="490" w:lineRule="auto"/>
        <w:rPr>
          <w:sz w:val="20"/>
          <w:szCs w:val="20"/>
          <w:color w:val="auto"/>
        </w:rPr>
      </w:pPr>
      <w:r>
        <w:rPr>
          <w:rFonts w:ascii="Arial" w:cs="Arial" w:eastAsia="Arial" w:hAnsi="Arial"/>
          <w:sz w:val="14"/>
          <w:szCs w:val="14"/>
          <w:color w:val="auto"/>
        </w:rPr>
        <w:t xml:space="preserve">As of December 31, 2021, the Company nor any of its affiliates purchased any Class A common shares of the Company. </w:t>
      </w: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2" w:name="page43"/>
    <w:bookmarkEnd w:id="4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63"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i w:val="1"/>
          <w:iCs w:val="1"/>
          <w:color w:val="auto"/>
        </w:rPr>
        <w:t>Management’s discussion and analysis of financial condition and results of operations analyzes the consolidated financial condition and results of operations of the Company and the Bank, its wholly owned subsidiary, for the years ended December 31, 2021 and 2020. This discussion and analysis are best read in conjunction with the Consolidated Financial Statements and related footnotes of our Company presented in Item 8 “Financial Statements and Supplementary Data” of this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of this Annual Report.</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Throughout this document, references to “we,” “us,” “our,” and “the Company” refer to USCB Financial Holdings, Inc.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5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53" w:lineRule="exact"/>
        <w:rPr>
          <w:sz w:val="20"/>
          <w:szCs w:val="20"/>
          <w:color w:val="auto"/>
        </w:rPr>
      </w:pPr>
    </w:p>
    <w:p>
      <w:pPr>
        <w:ind w:left="1180" w:right="699" w:hanging="261"/>
        <w:spacing w:after="0" w:line="238"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COVID-19 pandemic and its impact on us, our employees, customers and third-party service providers, and the</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ultimate extent of the impacts of the pandemic and related government stimulus programs;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spacing w:after="0" w:line="10" w:lineRule="exact"/>
        <w:rPr>
          <w:sz w:val="20"/>
          <w:szCs w:val="20"/>
          <w:color w:val="auto"/>
        </w:rPr>
      </w:pPr>
    </w:p>
    <w:p>
      <w:pPr>
        <w:ind w:left="1180" w:right="679" w:hanging="261"/>
        <w:spacing w:after="0" w:line="238"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1180" w:right="719" w:hanging="261"/>
        <w:spacing w:after="0" w:line="246"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79" w:hanging="261"/>
        <w:spacing w:after="0" w:line="246"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forthcoming implementation of the Current Expected Credit Losses (“CECL”) standard;</w:t>
      </w:r>
    </w:p>
    <w:p>
      <w:pPr>
        <w:jc w:val="both"/>
        <w:ind w:left="1180" w:right="699" w:hanging="261"/>
        <w:spacing w:after="0" w:line="243"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concentration of ownership of our Class A common stock;</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increased competition and its effect on pricing of our products and services as well as our margins;</w:t>
      </w:r>
    </w:p>
    <w:p>
      <w:pPr>
        <w:spacing w:after="0" w:line="9" w:lineRule="exact"/>
        <w:rPr>
          <w:rFonts w:ascii="Arial" w:cs="Arial" w:eastAsia="Arial" w:hAnsi="Arial"/>
          <w:sz w:val="14"/>
          <w:szCs w:val="14"/>
          <w:color w:val="auto"/>
        </w:rPr>
      </w:pPr>
    </w:p>
    <w:p>
      <w:pPr>
        <w:ind w:left="1180" w:right="699" w:hanging="261"/>
        <w:spacing w:after="0" w:line="246"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right="719" w:hanging="261"/>
        <w:spacing w:after="0" w:line="252"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risks described this Form 10-K and other filings we make with the Securities and Exchange Commission (“SEC”).</w:t>
      </w:r>
    </w:p>
    <w:p>
      <w:pPr>
        <w:spacing w:after="0" w:line="15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presentation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the Bank filed with the FDIC.</w:t>
      </w:r>
    </w:p>
    <w:p>
      <w:pPr>
        <w:spacing w:after="0" w:line="25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3" w:name="page44"/>
    <w:bookmarkEnd w:id="4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3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88"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This Annual Report on Form 10-K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this annual report.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For the year ended December 31, 2021, the Company reported net income of $21.1 million compared with net income of $10.8 million for the year ended December 31, 2020, representing a 94.8% increase. The results from 2021 included closing our initial public offering of the Class A common stock and the simplification of the Bank’s capital structure.</w:t>
      </w:r>
    </w:p>
    <w:p>
      <w:pPr>
        <w:spacing w:after="0" w:line="152"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In evaluating our financial performance, we consider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significant highlights are of note for the year ended December 31, 2021:</w:t>
      </w:r>
    </w:p>
    <w:p>
      <w:pPr>
        <w:spacing w:after="0" w:line="170" w:lineRule="exact"/>
        <w:rPr>
          <w:sz w:val="20"/>
          <w:szCs w:val="20"/>
          <w:color w:val="auto"/>
        </w:rPr>
      </w:pPr>
    </w:p>
    <w:p>
      <w:pPr>
        <w:ind w:left="1180" w:right="699" w:hanging="261"/>
        <w:spacing w:after="0" w:line="252" w:lineRule="auto"/>
        <w:tabs>
          <w:tab w:leader="none" w:pos="1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income after provision for credit losses totaled $52.7 million, an increase of $12.3 million or 30.5%, compared to $40.3 million at December 31, 2020.</w:t>
      </w:r>
    </w:p>
    <w:p>
      <w:pPr>
        <w:spacing w:after="0" w:line="142" w:lineRule="exact"/>
        <w:rPr>
          <w:rFonts w:ascii="Arial" w:cs="Arial" w:eastAsia="Arial" w:hAnsi="Arial"/>
          <w:sz w:val="14"/>
          <w:szCs w:val="14"/>
          <w:color w:val="auto"/>
        </w:rPr>
      </w:pPr>
    </w:p>
    <w:p>
      <w:pPr>
        <w:jc w:val="both"/>
        <w:ind w:left="1180" w:right="679" w:hanging="261"/>
        <w:spacing w:after="0" w:line="253" w:lineRule="auto"/>
        <w:tabs>
          <w:tab w:leader="none" w:pos="1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margin (“NIM”) remained the same at 3.26% for the years ended December 31, 2021 and 2020. The yield on earning assets decreased to 3.52% in 2021, compared to 3.93% in 2020. The yield on earning assets was negatively impacted by certain floating rate investment securities, loans with variable rate pricing features, and new loans originated in the lower interest rate environment, including PPP loans which carry a rate of 1.0%.</w:t>
      </w:r>
    </w:p>
    <w:p>
      <w:pPr>
        <w:spacing w:after="0" w:line="142"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NIM, excluding PPP loans, was 3.16% and 3.30% for the years ended December 31, 2021 and 2020, respectively.</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assets grew to $1.9 billion, an increase of $352.2 million or 23.5%, compared to December 31, 2020.</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Loans grew to $1.2 billion, an increase of $151.6 million or 14.6%, compared to December 31, 2020.</w:t>
      </w:r>
    </w:p>
    <w:p>
      <w:pPr>
        <w:spacing w:after="0" w:line="159" w:lineRule="exact"/>
        <w:rPr>
          <w:rFonts w:ascii="Arial" w:cs="Arial" w:eastAsia="Arial" w:hAnsi="Arial"/>
          <w:sz w:val="14"/>
          <w:szCs w:val="14"/>
          <w:color w:val="auto"/>
        </w:rPr>
      </w:pPr>
    </w:p>
    <w:p>
      <w:pPr>
        <w:ind w:left="1180" w:right="699" w:hanging="261"/>
        <w:spacing w:after="0" w:line="252" w:lineRule="auto"/>
        <w:tabs>
          <w:tab w:leader="none" w:pos="1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interest-bearing liabilities decreased to 0.45% in 2021 from 1.07% in 2020 as a result of the continued downward repricing of deposits and continued improvement in deposit mix.</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Return on average assets for the year ended December 31, 2021 was 1.24% compared to 0.76% in 2020.</w:t>
      </w:r>
    </w:p>
    <w:p>
      <w:pPr>
        <w:spacing w:after="0" w:line="169" w:lineRule="exact"/>
        <w:rPr>
          <w:rFonts w:ascii="Arial" w:cs="Arial" w:eastAsia="Arial" w:hAnsi="Arial"/>
          <w:sz w:val="14"/>
          <w:szCs w:val="14"/>
          <w:color w:val="auto"/>
        </w:rPr>
      </w:pPr>
    </w:p>
    <w:p>
      <w:pPr>
        <w:ind w:left="1180" w:right="679" w:hanging="261"/>
        <w:spacing w:after="0" w:line="252" w:lineRule="auto"/>
        <w:tabs>
          <w:tab w:leader="none" w:pos="1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Return on average stockholders’ equity for the year ended December 31, 2021 was 11.45% compared to 6.54% in 2020.</w:t>
      </w:r>
    </w:p>
    <w:p>
      <w:pPr>
        <w:spacing w:after="0" w:line="152" w:lineRule="exact"/>
        <w:rPr>
          <w:rFonts w:ascii="Arial" w:cs="Arial" w:eastAsia="Arial" w:hAnsi="Arial"/>
          <w:sz w:val="14"/>
          <w:szCs w:val="14"/>
          <w:color w:val="auto"/>
        </w:rPr>
      </w:pPr>
    </w:p>
    <w:p>
      <w:pPr>
        <w:ind w:left="1180" w:right="659" w:hanging="261"/>
        <w:spacing w:after="0" w:line="252" w:lineRule="auto"/>
        <w:tabs>
          <w:tab w:leader="none" w:pos="1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Nonperforming assets totaled $1.2 million, a decrease of $0.4 million or 24.6%, compared to $1.6 million at December 31, 2020.</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maintained its strong capital position. As of December 31, 2021, the Bank was well-capitalized, with a total risk-based capital ratio of 14.92%, a tier 1 risk-based capital ratio of 13.70%, a common equity tier 1 capital ratio of 13.70%, and a leverage ratio of 9.55%. As of December 31, 2021 and 2020, all of our regulatory capital ratios exceeded the thresholds to be well-capitalized under the applicable bank regulatory requirements.</w:t>
      </w:r>
    </w:p>
    <w:p>
      <w:pPr>
        <w:spacing w:after="0" w:line="156" w:lineRule="exact"/>
        <w:rPr>
          <w:rFonts w:ascii="Arial" w:cs="Arial" w:eastAsia="Arial" w:hAnsi="Arial"/>
          <w:sz w:val="14"/>
          <w:szCs w:val="14"/>
          <w:color w:val="auto"/>
        </w:rPr>
      </w:pPr>
    </w:p>
    <w:p>
      <w:pPr>
        <w:jc w:val="both"/>
        <w:ind w:left="1180" w:right="699" w:hanging="261"/>
        <w:spacing w:after="0" w:line="245" w:lineRule="auto"/>
        <w:tabs>
          <w:tab w:leader="none" w:pos="11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April 2021, the Bank repurchased all of its issued and outstanding Class E preferred shares at the liquidation value of $7.5 million along with declared dividends approved by the Board of Directors (the “Board”) with the goal to simplify its capital structure.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4" w:name="page45"/>
    <w:bookmarkEnd w:id="4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1180" w:right="679" w:hanging="261"/>
        <w:spacing w:after="0" w:line="248" w:lineRule="auto"/>
        <w:tabs>
          <w:tab w:leader="none" w:pos="11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July 2021, the Bank completed the initial public offering of 4,600,000 shares of Class A common stock, which included an additional 600,000 shares in connection with the exercise in full of the underwriters’ option to purchase additional shares. In a continuation effort to simplify the Company’s capital structure, an exchange and redemption of then outstanding Class C and Class D preferred shares was also completed.</w:t>
      </w:r>
    </w:p>
    <w:p>
      <w:pPr>
        <w:spacing w:after="0" w:line="145"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December 2021, the Bank entered into agreements with the Class B shareholders to exchange all outstanding Class B non-voting common stock for Class A voting common stock.</w:t>
      </w:r>
    </w:p>
    <w:p>
      <w:pPr>
        <w:spacing w:after="0" w:line="141" w:lineRule="exact"/>
        <w:rPr>
          <w:rFonts w:ascii="Arial" w:cs="Arial" w:eastAsia="Arial" w:hAnsi="Arial"/>
          <w:sz w:val="14"/>
          <w:szCs w:val="14"/>
          <w:color w:val="auto"/>
        </w:rPr>
      </w:pPr>
    </w:p>
    <w:p>
      <w:pPr>
        <w:jc w:val="both"/>
        <w:ind w:left="1180" w:right="699" w:hanging="261"/>
        <w:spacing w:after="0" w:line="245" w:lineRule="auto"/>
        <w:tabs>
          <w:tab w:leader="none" w:pos="11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 became the parent bank holding company of the Bank effective December 28, 2021. Each share of the Bank was exchanged for one share of the Company, making the Bank a wholly owned subsidiary of the Company. Shares of the Company continue to trade under ticker symbol “USCB” on the Nasdaq Stock Market.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8"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to our Consolidated Financial Statements.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the allowance. Management considers the policies related to the ACL as the most critical to the financial statement presentation. The total ACL includes activity related to allowances calculated in accordance with Accounting Standards Codification (“ASC”) 310, Receivables, and ASC 450, Contingencies.</w:t>
      </w:r>
    </w:p>
    <w:p>
      <w:pPr>
        <w:spacing w:after="0" w:line="14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Throughout the year, management estimates the probable incurred losses in the loan portfolio to determine if the ACL is adequate to absorb such losses. The ACL consists of specific and general components. The specific component relates to loans that are individually classified as impaired. We follow a loan review program to evaluate the credit risk in the loan portfolio. Loans that have been identified as impaired are reviewed on a quarterly basis in order to determine whether a specific reserve is required. The general component covers non-impaired loans and is based on industry and our specific historical loan loss experience, volume, growth and composition of the loan portfolio, the evaluation of our loan portfolio through our internal loan review process, general current economic conditions both internal and external to us that may affect the borrower’s ability to pay, value of collateral and other qualitative relevant risk factors. Based on a review of these estimates, we adjust the ACL to a level determined by management to be adequate. Estimates of credit losses are inherently subjective as they involve an exercise of judgment.</w:t>
      </w:r>
    </w:p>
    <w:p>
      <w:pPr>
        <w:spacing w:after="0" w:line="160"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CARES Act, as amended by the Consolidated Appropriations Act, 2021, specified that COVID-19 related loan modifications executed between March 1, 2020 and the earlier of (i) 60 days after the date of termination of the national emergency declared by President Trump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Restructurings by Creditors.” These modifications include short-term (i.e., up to six months) modifications such as payment deferrals, fee waivers, extensions of repayment terms, or delays in payment that are insignificant. The Company’s charge-off policy is to continuously review all impaired loans to monitor the Company’s ability to collect them in full at the applicable maturity date and/or in accordance with terms of any restructurings. For loans which are collateral dependent, or deemed to be uncollectible, any shortfall in the fair value of the collateral relative to the recorded investment in the loan is charged off. The amount charged -off conforms to the amount necessary to comply with GAAP.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86"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w:t>
      </w:r>
    </w:p>
    <w:p>
      <w:pPr>
        <w:spacing w:after="0" w:line="2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5" w:name="page46"/>
    <w:bookmarkEnd w:id="4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59"/>
        <w:spacing w:after="0" w:line="248" w:lineRule="auto"/>
        <w:rPr>
          <w:sz w:val="20"/>
          <w:szCs w:val="20"/>
          <w:color w:val="auto"/>
        </w:rPr>
      </w:pPr>
      <w:r>
        <w:rPr>
          <w:rFonts w:ascii="Arial" w:cs="Arial" w:eastAsia="Arial" w:hAnsi="Arial"/>
          <w:sz w:val="14"/>
          <w:szCs w:val="14"/>
          <w:color w:val="auto"/>
        </w:rPr>
        <w:t>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4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77"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86"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14"/>
                <w:szCs w:val="14"/>
                <w:color w:val="auto"/>
              </w:rPr>
            </w:pPr>
          </w:p>
        </w:tc>
      </w:tr>
      <w:tr>
        <w:trPr>
          <w:trHeight w:val="151"/>
        </w:trPr>
        <w:tc>
          <w:tcPr>
            <w:tcW w:w="50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1,853,939</w:t>
            </w:r>
          </w:p>
        </w:tc>
        <w:tc>
          <w:tcPr>
            <w:tcW w:w="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1,501,742</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1,190,081</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1,038,504</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1,590,379</w:t>
            </w:r>
          </w:p>
        </w:tc>
        <w:tc>
          <w:tcPr>
            <w:tcW w:w="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1,273,402</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203,897</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171,001</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1"/>
        </w:trPr>
        <w:tc>
          <w:tcPr>
            <w:tcW w:w="5040" w:type="dxa"/>
            <w:vAlign w:val="bottom"/>
          </w:tcPr>
          <w:p>
            <w:pPr>
              <w:spacing w:after="0"/>
              <w:rPr>
                <w:sz w:val="20"/>
                <w:szCs w:val="20"/>
                <w:color w:val="auto"/>
              </w:rPr>
            </w:pPr>
            <w:r>
              <w:rPr>
                <w:rFonts w:ascii="Arial" w:cs="Arial" w:eastAsia="Arial" w:hAnsi="Arial"/>
                <w:sz w:val="11"/>
                <w:szCs w:val="11"/>
                <w:color w:val="auto"/>
              </w:rPr>
              <w:t>(1) Loan amounts include deferred fees/costs.</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5040" w:type="dxa"/>
            <w:vAlign w:val="bottom"/>
          </w:tcPr>
          <w:p>
            <w:pPr>
              <w:spacing w:after="0"/>
              <w:rPr>
                <w:sz w:val="13"/>
                <w:szCs w:val="13"/>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0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800" w:type="dxa"/>
            <w:vAlign w:val="bottom"/>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52,496</w:t>
            </w:r>
          </w:p>
        </w:tc>
        <w:tc>
          <w:tcPr>
            <w:tcW w:w="40" w:type="dxa"/>
            <w:vAlign w:val="bottom"/>
          </w:tcPr>
          <w:p>
            <w:pPr>
              <w:spacing w:after="0"/>
              <w:rPr>
                <w:sz w:val="14"/>
                <w:szCs w:val="14"/>
                <w:color w:val="auto"/>
              </w:rPr>
            </w:pP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43,597</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10,698</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6,097</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800" w:type="dxa"/>
            <w:vAlign w:val="bottom"/>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35,677</w:t>
            </w:r>
          </w:p>
        </w:tc>
        <w:tc>
          <w:tcPr>
            <w:tcW w:w="40" w:type="dxa"/>
            <w:vAlign w:val="bottom"/>
          </w:tcPr>
          <w:p>
            <w:pPr>
              <w:spacing w:after="0"/>
              <w:rPr>
                <w:sz w:val="14"/>
                <w:szCs w:val="14"/>
                <w:color w:val="auto"/>
              </w:rPr>
            </w:pP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33,036</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21,077</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10,820</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income (loss) available to common stockholders</w:t>
            </w:r>
          </w:p>
        </w:tc>
        <w:tc>
          <w:tcPr>
            <w:tcW w:w="800" w:type="dxa"/>
            <w:vAlign w:val="bottom"/>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9"/>
              </w:rPr>
              <w:t>(70,585)</w:t>
            </w:r>
          </w:p>
        </w:tc>
        <w:tc>
          <w:tcPr>
            <w:tcW w:w="40" w:type="dxa"/>
            <w:vAlign w:val="bottom"/>
          </w:tcPr>
          <w:p>
            <w:pPr>
              <w:spacing w:after="0"/>
              <w:rPr>
                <w:sz w:val="14"/>
                <w:szCs w:val="14"/>
                <w:color w:val="auto"/>
              </w:rPr>
            </w:pP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7,693</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Profitability:</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Efficiency ratio</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9"/>
              </w:rPr>
              <w:t>56.31%</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5"/>
              </w:rPr>
              <w:t>71.13%</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interest margin</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20" w:type="dxa"/>
            <w:vAlign w:val="bottom"/>
            <w:shd w:val="clear" w:color="auto" w:fill="CCEEFF"/>
          </w:tcPr>
          <w:p>
            <w:pPr>
              <w:spacing w:after="0"/>
              <w:rPr>
                <w:sz w:val="14"/>
                <w:szCs w:val="14"/>
                <w:color w:val="auto"/>
              </w:rPr>
            </w:pPr>
          </w:p>
        </w:tc>
      </w:tr>
    </w:tbl>
    <w:p>
      <w:pPr>
        <w:spacing w:after="0" w:line="171"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expenses, and provision for income taxes.</w:t>
      </w:r>
    </w:p>
    <w:p>
      <w:pPr>
        <w:spacing w:after="0" w:line="142"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Net income for the year ended December 31, 2021 was $21.1 million , compared with net income of $10.8 million for the same period in 2020. The Company reported net loss per diluted share for the year ended December 31, 2021 of $6.72 compared to net income per diluted share for the same period in 2020 of $1.50 and $0.30 for Class A and Class B common stock, respectively, after adjusted to reflect the 1 for 5 reverse stock split on Class A common stock. The net loss per diluted share for the year ended December 31, 2021 was attributable to the one-time reduction in net income available to common stockholders for the exchange and redemption of the Class C and Class D preferred shares. During third quarter of 2021,</w:t>
      </w:r>
    </w:p>
    <w:p>
      <w:pPr>
        <w:spacing w:after="0" w:line="27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6" w:name="page47"/>
    <w:bookmarkEnd w:id="4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the Company completed an exchange of then outstanding preferred shares for Class A common shares and thereafter redeemed the remaining outstanding preferred shares, at a liquidation value that exceeded book value, causing a one-time reduction in net income available to common stockholders of $89.6 million. At December 31, 2021, there were no issued and outstanding preferred shares.</w:t>
      </w:r>
    </w:p>
    <w:p>
      <w:pPr>
        <w:spacing w:after="0" w:line="145"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Operating net income per diluted share (non-GAAP) for the year ended December 31, 2021 was $1.81 compared to operating net income per diluted share (non-GAAP) for the same period in 2020 of $1.50 and $0.30 for Class A and Class B, respectively. Operating net income per diluted share (non-GAAP) for the year ended December 31, 2021 excludes the $89.6 million one-time accounting impact of the exchange and redemption of the preferred shares. The operating net income per diluted share for the year ended December 31, 2020 was adjusted to reflect the 1 for 5 reverse stock split on Class A common stock. To see a reconciliation of non-GAAP measures to GAAP measures refer to section below “Reconciliation and Management Explanation of Non-GAAP Financial Measures”.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8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Net interest income is the difference between interest earned on interest 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6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rates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benefit of these non-interest-bearing sources.</w:t>
      </w:r>
    </w:p>
    <w:p>
      <w:pPr>
        <w:spacing w:after="0" w:line="14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47" w:name="page48"/>
    <w:bookmarkEnd w:id="4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The following table contains information related to average balance sheet, average yields on assets, and average costs of liabilities for the periods indicated (in thousands):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97"/>
              </w:rPr>
              <w:t>Years Ended December 31,</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36"/>
              <w:spacing w:after="0" w:line="126"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16"/>
              <w:spacing w:after="0" w:line="126"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3"/>
                <w:szCs w:val="13"/>
                <w:color w:val="auto"/>
              </w:rPr>
            </w:pPr>
          </w:p>
        </w:tc>
        <w:tc>
          <w:tcPr>
            <w:tcW w:w="940" w:type="dxa"/>
            <w:vAlign w:val="bottom"/>
            <w:gridSpan w:val="5"/>
          </w:tcPr>
          <w:p>
            <w:pPr>
              <w:ind w:left="80"/>
              <w:spacing w:after="0"/>
              <w:rPr>
                <w:sz w:val="20"/>
                <w:szCs w:val="20"/>
                <w:color w:val="auto"/>
              </w:rPr>
            </w:pPr>
            <w:r>
              <w:rPr>
                <w:rFonts w:ascii="Arial" w:cs="Arial" w:eastAsia="Arial" w:hAnsi="Arial"/>
                <w:sz w:val="13"/>
                <w:szCs w:val="13"/>
                <w:b w:val="1"/>
                <w:bCs w:val="1"/>
                <w:color w:val="auto"/>
              </w:rPr>
              <w:t>Yield/Rate</w:t>
            </w: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rPr>
              <w:t>Interest</w:t>
            </w:r>
          </w:p>
        </w:tc>
        <w:tc>
          <w:tcPr>
            <w:tcW w:w="40" w:type="dxa"/>
            <w:vAlign w:val="bottom"/>
          </w:tcPr>
          <w:p>
            <w:pPr>
              <w:spacing w:after="0"/>
              <w:rPr>
                <w:sz w:val="13"/>
                <w:szCs w:val="13"/>
                <w:color w:val="auto"/>
              </w:rPr>
            </w:pPr>
          </w:p>
        </w:tc>
        <w:tc>
          <w:tcPr>
            <w:tcW w:w="7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Yield/Rate</w:t>
            </w:r>
          </w:p>
        </w:tc>
        <w:tc>
          <w:tcPr>
            <w:tcW w:w="20" w:type="dxa"/>
            <w:vAlign w:val="bottom"/>
          </w:tcPr>
          <w:p>
            <w:pPr>
              <w:spacing w:after="0"/>
              <w:rPr>
                <w:sz w:val="13"/>
                <w:szCs w:val="13"/>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270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0"/>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line="161"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1,116,142</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48,730</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4.37</w:t>
            </w:r>
          </w:p>
        </w:tc>
        <w:tc>
          <w:tcPr>
            <w:tcW w:w="3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1,026,905</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47,078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700" w:type="dxa"/>
            <w:vAlign w:val="bottom"/>
            <w:gridSpan w:val="2"/>
          </w:tcPr>
          <w:p>
            <w:pPr>
              <w:ind w:left="100"/>
              <w:spacing w:after="0" w:line="171"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403,677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7,886</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1.95 %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201,073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5,248</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2.61 %</w:t>
            </w:r>
          </w:p>
        </w:tc>
        <w:tc>
          <w:tcPr>
            <w:tcW w:w="20" w:type="dxa"/>
            <w:vAlign w:val="bottom"/>
          </w:tcPr>
          <w:p>
            <w:pPr>
              <w:spacing w:after="0"/>
              <w:rPr>
                <w:sz w:val="14"/>
                <w:szCs w:val="14"/>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 interest 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92,430</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0.11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6"/>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110,898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100" w:type="dxa"/>
            <w:vAlign w:val="bottom"/>
          </w:tcPr>
          <w:p>
            <w:pPr>
              <w:spacing w:after="0"/>
              <w:rPr>
                <w:sz w:val="14"/>
                <w:szCs w:val="14"/>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 interest-earning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1,612,249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56,722</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3.52 %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1,338,876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52,633</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3.93 %</w:t>
            </w:r>
          </w:p>
        </w:tc>
        <w:tc>
          <w:tcPr>
            <w:tcW w:w="20" w:type="dxa"/>
            <w:vAlign w:val="bottom"/>
          </w:tcPr>
          <w:p>
            <w:pPr>
              <w:spacing w:after="0"/>
              <w:rPr>
                <w:sz w:val="14"/>
                <w:szCs w:val="14"/>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 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89,409</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90,059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10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1,701,658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6"/>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1,428,935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2700" w:type="dxa"/>
            <w:vAlign w:val="bottom"/>
            <w:tcBorders>
              <w:top w:val="single" w:sz="8" w:color="CCEEFF"/>
            </w:tcBorders>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0"/>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demand deposits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52,379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0.11</w:t>
            </w:r>
          </w:p>
        </w:tc>
        <w:tc>
          <w:tcPr>
            <w:tcW w:w="3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46,819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700" w:type="dxa"/>
            <w:vAlign w:val="bottom"/>
            <w:gridSpan w:val="2"/>
          </w:tcPr>
          <w:p>
            <w:pPr>
              <w:ind w:left="100"/>
              <w:spacing w:after="0"/>
              <w:rPr>
                <w:sz w:val="20"/>
                <w:szCs w:val="20"/>
                <w:color w:val="auto"/>
              </w:rPr>
            </w:pPr>
            <w:r>
              <w:rPr>
                <w:rFonts w:ascii="Arial" w:cs="Arial" w:eastAsia="Arial" w:hAnsi="Arial"/>
                <w:sz w:val="13"/>
                <w:szCs w:val="13"/>
                <w:color w:val="auto"/>
              </w:rPr>
              <w:t>Saving and money market deposits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619,810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2,082</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0.34 %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473,028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3,095</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0.65 %</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235,127</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0.65</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276,462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4,709</w:t>
            </w:r>
          </w:p>
        </w:tc>
        <w:tc>
          <w:tcPr>
            <w:tcW w:w="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100" w:type="dxa"/>
            <w:vAlign w:val="bottom"/>
          </w:tcPr>
          <w:p>
            <w:pPr>
              <w:spacing w:after="0"/>
              <w:rPr>
                <w:sz w:val="13"/>
                <w:szCs w:val="13"/>
                <w:color w:val="auto"/>
              </w:rPr>
            </w:pPr>
          </w:p>
        </w:tc>
        <w:tc>
          <w:tcPr>
            <w:tcW w:w="2600" w:type="dxa"/>
            <w:vAlign w:val="bottom"/>
          </w:tcPr>
          <w:p>
            <w:pPr>
              <w:ind w:left="100"/>
              <w:spacing w:after="0" w:line="146" w:lineRule="exact"/>
              <w:rPr>
                <w:sz w:val="20"/>
                <w:szCs w:val="20"/>
                <w:color w:val="auto"/>
              </w:rPr>
            </w:pPr>
            <w:r>
              <w:rPr>
                <w:rFonts w:ascii="Arial" w:cs="Arial" w:eastAsia="Arial" w:hAnsi="Arial"/>
                <w:sz w:val="13"/>
                <w:szCs w:val="13"/>
                <w:color w:val="auto"/>
              </w:rPr>
              <w:t>Total interest-bearing deposits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907,316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3,672</w:t>
            </w:r>
          </w:p>
        </w:tc>
        <w:tc>
          <w:tcPr>
            <w:tcW w:w="800" w:type="dxa"/>
            <w:vAlign w:val="bottom"/>
            <w:gridSpan w:val="3"/>
          </w:tcPr>
          <w:p>
            <w:pPr>
              <w:ind w:left="380"/>
              <w:spacing w:after="0"/>
              <w:rPr>
                <w:sz w:val="20"/>
                <w:szCs w:val="20"/>
                <w:color w:val="auto"/>
              </w:rPr>
            </w:pPr>
            <w:r>
              <w:rPr>
                <w:rFonts w:ascii="Arial" w:cs="Arial" w:eastAsia="Arial" w:hAnsi="Arial"/>
                <w:sz w:val="13"/>
                <w:szCs w:val="13"/>
                <w:color w:val="auto"/>
                <w:w w:val="98"/>
              </w:rPr>
              <w:t>0.40 %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796,309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7,962</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1.00 %</w:t>
            </w:r>
          </w:p>
        </w:tc>
        <w:tc>
          <w:tcPr>
            <w:tcW w:w="20" w:type="dxa"/>
            <w:vAlign w:val="bottom"/>
          </w:tcPr>
          <w:p>
            <w:pPr>
              <w:spacing w:after="0"/>
              <w:rPr>
                <w:sz w:val="13"/>
                <w:szCs w:val="13"/>
                <w:color w:val="auto"/>
              </w:rPr>
            </w:pPr>
          </w:p>
        </w:tc>
      </w:tr>
      <w:tr>
        <w:trPr>
          <w:trHeight w:val="165"/>
        </w:trPr>
        <w:tc>
          <w:tcPr>
            <w:tcW w:w="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1.54</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w:t>
            </w:r>
          </w:p>
        </w:tc>
        <w:tc>
          <w:tcPr>
            <w:tcW w:w="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9019"/>
          </w:cols>
          <w:pgMar w:left="1440" w:top="491" w:right="1440" w:bottom="1440" w:gutter="0" w:footer="0" w:header="0"/>
        </w:sectPr>
      </w:pPr>
    </w:p>
    <w:p>
      <w:pPr>
        <w:ind w:left="860"/>
        <w:spacing w:after="0"/>
        <w:rPr>
          <w:sz w:val="20"/>
          <w:szCs w:val="20"/>
          <w:color w:val="auto"/>
        </w:rPr>
      </w:pPr>
      <w:r>
        <w:rPr>
          <w:rFonts w:ascii="Arial" w:cs="Arial" w:eastAsia="Arial" w:hAnsi="Arial"/>
          <w:sz w:val="13"/>
          <w:szCs w:val="13"/>
          <w:color w:val="auto"/>
        </w:rPr>
        <w:t>Total interest-bearing liabilities</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Non-interest bearing demand deposits</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Other non-interest-bearing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spacing w:after="0"/>
              <w:rPr>
                <w:sz w:val="20"/>
                <w:szCs w:val="20"/>
                <w:color w:val="auto"/>
              </w:rPr>
            </w:pPr>
            <w:r>
              <w:rPr>
                <w:rFonts w:ascii="Arial" w:cs="Arial" w:eastAsia="Arial" w:hAnsi="Arial"/>
                <w:sz w:val="13"/>
                <w:szCs w:val="13"/>
                <w:color w:val="auto"/>
              </w:rPr>
              <w:t>943,316</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4,226</w:t>
            </w:r>
          </w:p>
        </w:tc>
        <w:tc>
          <w:tcPr>
            <w:tcW w:w="840" w:type="dxa"/>
            <w:vAlign w:val="bottom"/>
          </w:tcPr>
          <w:p>
            <w:pPr>
              <w:jc w:val="right"/>
              <w:ind w:right="156"/>
              <w:spacing w:after="0"/>
              <w:rPr>
                <w:sz w:val="20"/>
                <w:szCs w:val="20"/>
                <w:color w:val="auto"/>
              </w:rPr>
            </w:pPr>
            <w:r>
              <w:rPr>
                <w:rFonts w:ascii="Arial" w:cs="Arial" w:eastAsia="Arial" w:hAnsi="Arial"/>
                <w:sz w:val="13"/>
                <w:szCs w:val="13"/>
                <w:color w:val="auto"/>
              </w:rPr>
              <w:t>0.45 %</w:t>
            </w:r>
          </w:p>
        </w:tc>
        <w:tc>
          <w:tcPr>
            <w:tcW w:w="660" w:type="dxa"/>
            <w:vAlign w:val="bottom"/>
          </w:tcPr>
          <w:p>
            <w:pPr>
              <w:jc w:val="right"/>
              <w:spacing w:after="0"/>
              <w:rPr>
                <w:sz w:val="20"/>
                <w:szCs w:val="20"/>
                <w:color w:val="auto"/>
              </w:rPr>
            </w:pPr>
            <w:r>
              <w:rPr>
                <w:rFonts w:ascii="Arial" w:cs="Arial" w:eastAsia="Arial" w:hAnsi="Arial"/>
                <w:sz w:val="13"/>
                <w:szCs w:val="13"/>
                <w:color w:val="auto"/>
              </w:rPr>
              <w:t>847,671</w:t>
            </w:r>
          </w:p>
        </w:tc>
        <w:tc>
          <w:tcPr>
            <w:tcW w:w="40" w:type="dxa"/>
            <w:vAlign w:val="bottom"/>
          </w:tcPr>
          <w:p>
            <w:pPr>
              <w:spacing w:after="0"/>
              <w:rPr>
                <w:sz w:val="14"/>
                <w:szCs w:val="14"/>
                <w:color w:val="auto"/>
              </w:rPr>
            </w:pPr>
          </w:p>
        </w:tc>
        <w:tc>
          <w:tcPr>
            <w:tcW w:w="980" w:type="dxa"/>
            <w:vAlign w:val="bottom"/>
          </w:tcPr>
          <w:p>
            <w:pPr>
              <w:jc w:val="right"/>
              <w:ind w:right="156"/>
              <w:spacing w:after="0"/>
              <w:rPr>
                <w:sz w:val="20"/>
                <w:szCs w:val="20"/>
                <w:color w:val="auto"/>
              </w:rPr>
            </w:pPr>
            <w:r>
              <w:rPr>
                <w:rFonts w:ascii="Arial" w:cs="Arial" w:eastAsia="Arial" w:hAnsi="Arial"/>
                <w:sz w:val="13"/>
                <w:szCs w:val="13"/>
                <w:color w:val="auto"/>
              </w:rPr>
              <w:t>9,036</w:t>
            </w:r>
          </w:p>
        </w:tc>
        <w:tc>
          <w:tcPr>
            <w:tcW w:w="640" w:type="dxa"/>
            <w:vAlign w:val="bottom"/>
          </w:tcPr>
          <w:p>
            <w:pPr>
              <w:jc w:val="right"/>
              <w:spacing w:after="0"/>
              <w:rPr>
                <w:sz w:val="20"/>
                <w:szCs w:val="20"/>
                <w:color w:val="auto"/>
              </w:rPr>
            </w:pPr>
            <w:r>
              <w:rPr>
                <w:rFonts w:ascii="Arial" w:cs="Arial" w:eastAsia="Arial" w:hAnsi="Arial"/>
                <w:sz w:val="13"/>
                <w:szCs w:val="13"/>
                <w:color w:val="auto"/>
              </w:rPr>
              <w:t>1.07 %</w:t>
            </w:r>
          </w:p>
        </w:tc>
      </w:tr>
      <w:tr>
        <w:trPr>
          <w:trHeight w:val="157"/>
        </w:trPr>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547,116</w:t>
            </w:r>
          </w:p>
        </w:tc>
        <w:tc>
          <w:tcPr>
            <w:tcW w:w="4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390,467</w:t>
            </w:r>
          </w:p>
        </w:tc>
        <w:tc>
          <w:tcPr>
            <w:tcW w:w="4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3"/>
                <w:szCs w:val="13"/>
                <w:color w:val="auto"/>
              </w:rPr>
              <w:t>27,142</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25,281</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2">
            <w:col w:w="2920" w:space="440"/>
            <w:col w:w="565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53"/>
        </w:trPr>
        <w:tc>
          <w:tcPr>
            <w:tcW w:w="20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 liabilities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1,517,574</w:t>
            </w:r>
          </w:p>
        </w:tc>
        <w:tc>
          <w:tcPr>
            <w:tcW w:w="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1,263,419</w:t>
            </w:r>
          </w:p>
        </w:tc>
        <w:tc>
          <w:tcPr>
            <w:tcW w:w="1620" w:type="dxa"/>
            <w:vAlign w:val="bottom"/>
            <w:tcBorders>
              <w:top w:val="single" w:sz="8" w:color="CCEEFF"/>
            </w:tcBorders>
            <w:shd w:val="clear" w:color="auto" w:fill="CCEEFF"/>
          </w:tcPr>
          <w:p>
            <w:pPr>
              <w:spacing w:after="0"/>
              <w:rPr>
                <w:sz w:val="13"/>
                <w:szCs w:val="13"/>
                <w:color w:val="auto"/>
              </w:rPr>
            </w:pPr>
          </w:p>
        </w:tc>
      </w:tr>
      <w:tr>
        <w:trPr>
          <w:trHeight w:val="171"/>
        </w:trPr>
        <w:tc>
          <w:tcPr>
            <w:tcW w:w="2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Stockholders' equity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184,084</w:t>
            </w: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165,516</w:t>
            </w:r>
          </w:p>
        </w:tc>
        <w:tc>
          <w:tcPr>
            <w:tcW w:w="1620" w:type="dxa"/>
            <w:vAlign w:val="bottom"/>
            <w:tcBorders>
              <w:bottom w:val="single" w:sz="8" w:color="CCEEFF"/>
            </w:tcBorders>
          </w:tcPr>
          <w:p>
            <w:pPr>
              <w:spacing w:after="0"/>
              <w:rPr>
                <w:sz w:val="14"/>
                <w:szCs w:val="14"/>
                <w:color w:val="auto"/>
              </w:rPr>
            </w:pPr>
          </w:p>
        </w:tc>
      </w:tr>
      <w:tr>
        <w:trPr>
          <w:trHeight w:val="161"/>
        </w:trPr>
        <w:tc>
          <w:tcPr>
            <w:tcW w:w="20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1,701,658</w:t>
            </w:r>
          </w:p>
        </w:tc>
        <w:tc>
          <w:tcPr>
            <w:tcW w:w="40" w:type="dxa"/>
            <w:vAlign w:val="bottom"/>
            <w:tcBorders>
              <w:bottom w:val="single" w:sz="8" w:color="auto"/>
            </w:tcBorders>
            <w:shd w:val="clear" w:color="auto" w:fill="CCEEFF"/>
          </w:tcPr>
          <w:p>
            <w:pPr>
              <w:spacing w:after="0"/>
              <w:rPr>
                <w:sz w:val="14"/>
                <w:szCs w:val="14"/>
                <w:color w:val="auto"/>
              </w:rPr>
            </w:pPr>
          </w:p>
        </w:tc>
        <w:tc>
          <w:tcPr>
            <w:tcW w:w="1640" w:type="dxa"/>
            <w:vAlign w:val="bottom"/>
            <w:gridSpan w:val="2"/>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1,428,935</w:t>
            </w:r>
          </w:p>
        </w:tc>
        <w:tc>
          <w:tcPr>
            <w:tcW w:w="1620" w:type="dxa"/>
            <w:vAlign w:val="bottom"/>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700" w:type="dxa"/>
            <w:vAlign w:val="bottom"/>
          </w:tcPr>
          <w:p>
            <w:pPr>
              <w:spacing w:after="0"/>
              <w:rPr>
                <w:sz w:val="20"/>
                <w:szCs w:val="20"/>
                <w:color w:val="auto"/>
              </w:rPr>
            </w:pPr>
            <w:r>
              <w:rPr>
                <w:rFonts w:ascii="Arial" w:cs="Arial" w:eastAsia="Arial" w:hAnsi="Arial"/>
                <w:sz w:val="13"/>
                <w:szCs w:val="13"/>
                <w:color w:val="auto"/>
              </w:rPr>
              <w:t>Net interest income</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52,496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43,597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70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5"/>
                <w:szCs w:val="15"/>
                <w:color w:val="auto"/>
                <w:vertAlign w:val="superscript"/>
              </w:rPr>
              <w:t>(3)</w:t>
            </w: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3.07</w:t>
            </w:r>
          </w:p>
        </w:tc>
        <w:tc>
          <w:tcPr>
            <w:tcW w:w="4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74"/>
              </w:rPr>
              <w:t>%</w:t>
            </w:r>
          </w:p>
        </w:tc>
        <w:tc>
          <w:tcPr>
            <w:tcW w:w="9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2.86</w:t>
            </w:r>
          </w:p>
        </w:tc>
        <w:tc>
          <w:tcPr>
            <w:tcW w:w="18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line="172"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(4)</w:t>
            </w: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6"/>
          </w:tcPr>
          <w:p>
            <w:pPr>
              <w:jc w:val="right"/>
              <w:spacing w:after="0" w:line="132" w:lineRule="exact"/>
              <w:rPr>
                <w:sz w:val="20"/>
                <w:szCs w:val="20"/>
                <w:color w:val="auto"/>
              </w:rPr>
            </w:pPr>
            <w:r>
              <w:rPr>
                <w:rFonts w:ascii="Arial" w:cs="Arial" w:eastAsia="Arial" w:hAnsi="Arial"/>
                <w:sz w:val="13"/>
                <w:szCs w:val="13"/>
                <w:color w:val="auto"/>
              </w:rPr>
              <w:t>3.26 %</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right"/>
              <w:spacing w:after="0" w:line="132" w:lineRule="exact"/>
              <w:rPr>
                <w:sz w:val="20"/>
                <w:szCs w:val="20"/>
                <w:color w:val="auto"/>
              </w:rPr>
            </w:pPr>
            <w:r>
              <w:rPr>
                <w:rFonts w:ascii="Arial" w:cs="Arial" w:eastAsia="Arial" w:hAnsi="Arial"/>
                <w:sz w:val="13"/>
                <w:szCs w:val="13"/>
                <w:color w:val="auto"/>
              </w:rPr>
              <w:t>3.26 %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total interest-earning assets.</w:t>
      </w:r>
    </w:p>
    <w:p>
      <w:pPr>
        <w:spacing w:after="0" w:line="201"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Net interest income before the provision for credit losses was $52.5 million for the year ended December 31, 2021, an increase of $8.9 million or 20.4%, from $43.6 million for the year ended December 31, 2020. This increase was primarily attributable to higher income from investment securities and loan fees as well as lower costs for interest-bearing liabilities because of lower interest rate benchmarks.</w:t>
      </w:r>
    </w:p>
    <w:p>
      <w:pPr>
        <w:spacing w:after="0" w:line="15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Included with loan interest income are PPP fees totaling $3.6 million and $2.3 million for the year ended December 31, 2021 and 2020, respectively. PPP loan fees are recognized upon forgiveness.</w:t>
      </w:r>
    </w:p>
    <w:p>
      <w:pPr>
        <w:spacing w:after="0" w:line="153" w:lineRule="exact"/>
        <w:rPr>
          <w:sz w:val="20"/>
          <w:szCs w:val="20"/>
          <w:color w:val="auto"/>
        </w:rPr>
      </w:pPr>
    </w:p>
    <w:p>
      <w:pPr>
        <w:ind w:left="660" w:right="719" w:firstLine="256"/>
        <w:spacing w:after="0" w:line="252" w:lineRule="auto"/>
        <w:rPr>
          <w:sz w:val="20"/>
          <w:szCs w:val="20"/>
          <w:color w:val="auto"/>
        </w:rPr>
      </w:pPr>
      <w:r>
        <w:rPr>
          <w:rFonts w:ascii="Arial" w:cs="Arial" w:eastAsia="Arial" w:hAnsi="Arial"/>
          <w:sz w:val="14"/>
          <w:szCs w:val="14"/>
          <w:color w:val="auto"/>
        </w:rPr>
        <w:t>The net interest margin remained the same at 3.26% for the years ended December 31, 2021 and 2020. The overall and individual yields for interest-bearing assets and interest-bearing liabilities both decreased in 2021 compared to 2020.</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86"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allowance for credit losses (“ACL”) represents probable incurred losses in our portfolio. We maintain an adequate ACL that can mitigate probable losses incurred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considers statistical trends and economic conditions and other applicable factors.</w:t>
      </w:r>
    </w:p>
    <w:p>
      <w:pPr>
        <w:spacing w:after="0" w:line="160"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Provision for credit loss for the year ended December 31, 2021, was a net reduction of $160 thousand compared to $3.3 million in provision expense for the same period in 2020. The primary driver of the decrease was the improvement of</w:t>
      </w:r>
    </w:p>
    <w:p>
      <w:pPr>
        <w:spacing w:after="0" w:line="31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type w:val="continuous"/>
        </w:sectPr>
      </w:pPr>
    </w:p>
    <w:bookmarkStart w:id="48" w:name="page49"/>
    <w:bookmarkEnd w:id="4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99"/>
        <w:spacing w:after="0" w:line="252" w:lineRule="auto"/>
        <w:rPr>
          <w:sz w:val="20"/>
          <w:szCs w:val="20"/>
          <w:color w:val="auto"/>
        </w:rPr>
      </w:pPr>
      <w:r>
        <w:rPr>
          <w:rFonts w:ascii="Arial" w:cs="Arial" w:eastAsia="Arial" w:hAnsi="Arial"/>
          <w:sz w:val="14"/>
          <w:szCs w:val="14"/>
          <w:color w:val="auto"/>
        </w:rPr>
        <w:t>the credit risk associated with the COVID-19 pandemic. The ACL as a percentage of total loans was 1.27% at December 31, 2021 compared to 1.45% at December 31, 2020.</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“Allowance for Credit Losses” below for further discussion on how the ACL is calculated.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8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Net interest income and other types of recurring non-interest income are generated from our operations. Our services and products generate service charges and fees, mainly from our depository accounts. We also generate income from gain on sale of loans though our swap and SBA programs. In addition, we own insurance on several employees and generate income on the increase in the cash surrender value of these policies.</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ectPr>
          <w:pgSz w:w="11900" w:h="16838" w:orient="portrait"/>
          <w:cols w:equalWidth="0" w:num="1">
            <w:col w:w="9019"/>
          </w:cols>
          <w:pgMar w:left="1440" w:top="4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Service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Gain on sale of securities available for sale, net</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Gain on sale of loans held for sale, net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Gain on sale of premises and equipment, net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Loan settlement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non-interest income</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income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3,609</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3,266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1,626</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839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2,500</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9"/>
        </w:trPr>
        <w:tc>
          <w:tcPr>
            <w:tcW w:w="20" w:type="dxa"/>
            <w:vAlign w:val="bottom"/>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10,698</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6,097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700" w:space="720"/>
            <w:col w:w="2599"/>
          </w:cols>
          <w:pgMar w:left="1440" w:top="491" w:right="1440" w:bottom="1440" w:gutter="0" w:footer="0" w:header="0"/>
          <w:type w:val="continuous"/>
        </w:sectPr>
      </w:pPr>
    </w:p>
    <w:p>
      <w:pPr>
        <w:jc w:val="both"/>
        <w:ind w:left="660" w:right="679" w:firstLine="256"/>
        <w:spacing w:after="0" w:line="247" w:lineRule="auto"/>
        <w:rPr>
          <w:sz w:val="20"/>
          <w:szCs w:val="20"/>
          <w:color w:val="auto"/>
        </w:rPr>
      </w:pPr>
      <w:r>
        <w:rPr>
          <w:rFonts w:ascii="Arial" w:cs="Arial" w:eastAsia="Arial" w:hAnsi="Arial"/>
          <w:sz w:val="14"/>
          <w:szCs w:val="14"/>
          <w:color w:val="auto"/>
        </w:rPr>
        <w:t>Non-interest income for the year ended December 31, 2021 increased $4.6 million or 75.5%, compared to the same period in 2020. This increase was primarily driven by the default interest recovery of a prior lending customer for $2.5 million and a gain on the sale of a previously owned building for $983 thousand as well as higher deposit service fees and gain on sales of loans due to increased activity in our SBA program. Further, the default interest recovery of $2.5 million was for a loan that was originated in 2008 and subsequently went through many iterations of credit collection. This payment reflects the final payment and settlement of lien judgments against the customer.</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ectPr>
          <w:pgSz w:w="11900" w:h="16838" w:orient="portrait"/>
          <w:cols w:equalWidth="0" w:num="1">
            <w:col w:w="9019"/>
          </w:cols>
          <w:pgMar w:left="1440" w:top="491"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Salaries and employee benefits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Occupancy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Regulatory assessment and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Consulting and legal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Network and information technology services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operating</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expense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21,438</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19,204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5,656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783</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691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1,045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1,466</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4,904</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9"/>
        </w:trPr>
        <w:tc>
          <w:tcPr>
            <w:tcW w:w="20" w:type="dxa"/>
            <w:vAlign w:val="bottom"/>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35,677</w:t>
            </w:r>
          </w:p>
        </w:tc>
        <w:tc>
          <w:tcPr>
            <w:tcW w:w="120" w:type="dxa"/>
            <w:vAlign w:val="bottom"/>
            <w:tcBorders>
              <w:right w:val="single" w:sz="8" w:color="CCEEFF"/>
            </w:tcBorders>
          </w:tcPr>
          <w:p>
            <w:pPr>
              <w:spacing w:after="0"/>
              <w:rPr>
                <w:sz w:val="12"/>
                <w:szCs w:val="12"/>
                <w:color w:val="auto"/>
              </w:rPr>
            </w:pPr>
          </w:p>
        </w:tc>
        <w:tc>
          <w:tcPr>
            <w:tcW w:w="180" w:type="dxa"/>
            <w:vAlign w:val="bottom"/>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33,036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700" w:space="720"/>
            <w:col w:w="2599"/>
          </w:cols>
          <w:pgMar w:left="1440" w:top="491" w:right="1440" w:bottom="1440" w:gutter="0" w:footer="0" w:header="0"/>
          <w:type w:val="continuous"/>
        </w:sectPr>
      </w:pPr>
    </w:p>
    <w:p>
      <w:pPr>
        <w:jc w:val="both"/>
        <w:ind w:left="660" w:right="639" w:firstLine="256"/>
        <w:spacing w:after="0" w:line="246" w:lineRule="auto"/>
        <w:rPr>
          <w:sz w:val="20"/>
          <w:szCs w:val="20"/>
          <w:color w:val="auto"/>
        </w:rPr>
      </w:pPr>
      <w:r>
        <w:rPr>
          <w:rFonts w:ascii="Arial" w:cs="Arial" w:eastAsia="Arial" w:hAnsi="Arial"/>
          <w:sz w:val="14"/>
          <w:szCs w:val="14"/>
          <w:color w:val="auto"/>
        </w:rPr>
        <w:t>Non-interest expense for the year ended December 31, 2021 increased $2.6 million or 8.0%, compared to the same period in 2020. The increase is primarily due to an increase in salaries and employee benefit costs of $2.2 million for the year ended December 31, 2021, compared to the same period in 2020. The headcount of full-time equivalent employees increased from 179 at December 31, 2020 to 187 at December 31, 2021. Further, consulting and legal fees and other operating expenses increased $0.4 million or 39.1% and $0.4 million or 7.6%, respectively, during the year ended December 31, 2021 compared to the same period in 2020 due to our operations as a publicly traded company and the formation of a bank holding company. The increase in salaries and employee benefits, consulting and legal fees, and other operating costs has enabled us to support recent growth and has provided us with the necessary technology and required professionals to execute our growth strategy.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86"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type w:val="continuous"/>
        </w:sectPr>
      </w:pPr>
    </w:p>
    <w:bookmarkStart w:id="49" w:name="page50"/>
    <w:bookmarkEnd w:id="4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99"/>
        <w:spacing w:after="0" w:line="252" w:lineRule="auto"/>
        <w:rPr>
          <w:sz w:val="20"/>
          <w:szCs w:val="20"/>
          <w:color w:val="auto"/>
        </w:rPr>
      </w:pPr>
      <w:r>
        <w:rPr>
          <w:rFonts w:ascii="Arial" w:cs="Arial" w:eastAsia="Arial" w:hAnsi="Arial"/>
          <w:sz w:val="14"/>
          <w:szCs w:val="14"/>
          <w:color w:val="auto"/>
        </w:rPr>
        <w:t>tax rate. Surrender value of bank-owned life insurance policies for key employees, purchasing municipal bonds, and overall taxable income will be important elements in determining our effective tax rate.</w:t>
      </w:r>
    </w:p>
    <w:p>
      <w:pPr>
        <w:spacing w:after="0" w:line="153" w:lineRule="exact"/>
        <w:rPr>
          <w:sz w:val="20"/>
          <w:szCs w:val="20"/>
          <w:color w:val="auto"/>
        </w:rPr>
      </w:pPr>
    </w:p>
    <w:p>
      <w:pPr>
        <w:jc w:val="both"/>
        <w:ind w:left="660" w:right="679" w:firstLine="299"/>
        <w:spacing w:after="0" w:line="245" w:lineRule="auto"/>
        <w:rPr>
          <w:sz w:val="20"/>
          <w:szCs w:val="20"/>
          <w:color w:val="auto"/>
        </w:rPr>
      </w:pPr>
      <w:r>
        <w:rPr>
          <w:rFonts w:ascii="Arial" w:cs="Arial" w:eastAsia="Arial" w:hAnsi="Arial"/>
          <w:sz w:val="14"/>
          <w:szCs w:val="14"/>
          <w:color w:val="auto"/>
        </w:rPr>
        <w:t>Income tax expense for the year ended December 31, 2021 was $6.6 million, compared to $2. 6 million for the year ended December 31, 2020. The effective tax rate for the year ended December 31, 2021 was 23.8% and for the year ended December 31, 2020 was 19.3%.</w:t>
      </w:r>
    </w:p>
    <w:p>
      <w:pPr>
        <w:spacing w:after="0" w:line="158"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For a further discussion on income taxes, see Note 6 “Income Taxes” to the Consolidated Financial Statements in this Form 10-K.</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Rate/Volume Analysis</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table below sets forth information regarding changes in interest income and interest expense for the periods indicated (in thousands). For each category of interest-earning assets and interest-bearing liabilities, information is provided on changes attributable to (i) changes in rate (changes in rate multiplied by old volume); (ii) changes in volume (changes in volume multiplied by old rate); and (iii) changes in rate-volume (change in rate multiplied by change in volume). Changes in rate-volume are proportionately allocated between rate and volume variance.</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8"/>
          </w:tcPr>
          <w:p>
            <w:pPr>
              <w:jc w:val="center"/>
              <w:ind w:right="120"/>
              <w:spacing w:after="0"/>
              <w:rPr>
                <w:sz w:val="20"/>
                <w:szCs w:val="20"/>
                <w:color w:val="auto"/>
              </w:rPr>
            </w:pPr>
            <w:r>
              <w:rPr>
                <w:rFonts w:ascii="Arial" w:cs="Arial" w:eastAsia="Arial" w:hAnsi="Arial"/>
                <w:sz w:val="13"/>
                <w:szCs w:val="13"/>
                <w:b w:val="1"/>
                <w:bCs w:val="1"/>
                <w:color w:val="auto"/>
                <w:w w:val="97"/>
              </w:rPr>
              <w:t>Years Ended 2021 vs. 2020</w:t>
            </w:r>
          </w:p>
        </w:tc>
        <w:tc>
          <w:tcPr>
            <w:tcW w:w="80" w:type="dxa"/>
            <w:vAlign w:val="bottom"/>
          </w:tcPr>
          <w:p>
            <w:pPr>
              <w:spacing w:after="0"/>
              <w:rPr>
                <w:sz w:val="13"/>
                <w:szCs w:val="13"/>
                <w:color w:val="auto"/>
              </w:rPr>
            </w:pPr>
          </w:p>
        </w:tc>
        <w:tc>
          <w:tcPr>
            <w:tcW w:w="2360" w:type="dxa"/>
            <w:vAlign w:val="bottom"/>
            <w:gridSpan w:val="10"/>
          </w:tcPr>
          <w:p>
            <w:pPr>
              <w:jc w:val="right"/>
              <w:ind w:right="420"/>
              <w:spacing w:after="0"/>
              <w:rPr>
                <w:sz w:val="20"/>
                <w:szCs w:val="20"/>
                <w:color w:val="auto"/>
              </w:rPr>
            </w:pPr>
            <w:r>
              <w:rPr>
                <w:rFonts w:ascii="Arial" w:cs="Arial" w:eastAsia="Arial" w:hAnsi="Arial"/>
                <w:sz w:val="13"/>
                <w:szCs w:val="13"/>
                <w:b w:val="1"/>
                <w:bCs w:val="1"/>
                <w:color w:val="auto"/>
              </w:rPr>
              <w:t>Years Ended 2020 vs. 2019</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8"/>
          </w:tcPr>
          <w:p>
            <w:pPr>
              <w:jc w:val="center"/>
              <w:ind w:right="120"/>
              <w:spacing w:after="0" w:line="140" w:lineRule="exact"/>
              <w:rPr>
                <w:sz w:val="20"/>
                <w:szCs w:val="20"/>
                <w:color w:val="auto"/>
              </w:rPr>
            </w:pPr>
            <w:r>
              <w:rPr>
                <w:rFonts w:ascii="Arial" w:cs="Arial" w:eastAsia="Arial" w:hAnsi="Arial"/>
                <w:sz w:val="13"/>
                <w:szCs w:val="13"/>
                <w:b w:val="1"/>
                <w:bCs w:val="1"/>
                <w:color w:val="auto"/>
                <w:w w:val="98"/>
              </w:rPr>
              <w:t>Increase (decrease) due to change in</w:t>
            </w:r>
          </w:p>
        </w:tc>
        <w:tc>
          <w:tcPr>
            <w:tcW w:w="8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9"/>
          </w:tcPr>
          <w:p>
            <w:pPr>
              <w:jc w:val="right"/>
              <w:ind w:right="16"/>
              <w:spacing w:after="0" w:line="140" w:lineRule="exact"/>
              <w:rPr>
                <w:sz w:val="20"/>
                <w:szCs w:val="20"/>
                <w:color w:val="auto"/>
              </w:rPr>
            </w:pPr>
            <w:r>
              <w:rPr>
                <w:rFonts w:ascii="Arial" w:cs="Arial" w:eastAsia="Arial" w:hAnsi="Arial"/>
                <w:sz w:val="13"/>
                <w:szCs w:val="13"/>
                <w:b w:val="1"/>
                <w:bCs w:val="1"/>
                <w:color w:val="auto"/>
                <w:w w:val="98"/>
              </w:rPr>
              <w:t>Increase (decrease) due to change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6"/>
              <w:spacing w:after="0" w:line="126"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3"/>
                <w:szCs w:val="13"/>
                <w:b w:val="1"/>
                <w:bCs w:val="1"/>
                <w:color w:val="auto"/>
              </w:rPr>
              <w:t>Volume</w:t>
            </w: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Rate</w:t>
            </w:r>
          </w:p>
        </w:tc>
        <w:tc>
          <w:tcPr>
            <w:tcW w:w="14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3"/>
                <w:szCs w:val="13"/>
                <w:color w:val="auto"/>
              </w:rPr>
            </w:pPr>
          </w:p>
        </w:tc>
        <w:tc>
          <w:tcPr>
            <w:tcW w:w="820" w:type="dxa"/>
            <w:vAlign w:val="bottom"/>
            <w:gridSpan w:val="3"/>
          </w:tcPr>
          <w:p>
            <w:pPr>
              <w:ind w:left="120"/>
              <w:spacing w:after="0"/>
              <w:rPr>
                <w:sz w:val="20"/>
                <w:szCs w:val="20"/>
                <w:color w:val="auto"/>
              </w:rPr>
            </w:pPr>
            <w:r>
              <w:rPr>
                <w:rFonts w:ascii="Arial" w:cs="Arial" w:eastAsia="Arial" w:hAnsi="Arial"/>
                <w:sz w:val="13"/>
                <w:szCs w:val="13"/>
                <w:b w:val="1"/>
                <w:bCs w:val="1"/>
                <w:color w:val="auto"/>
              </w:rPr>
              <w:t>Volume</w:t>
            </w:r>
          </w:p>
        </w:tc>
        <w:tc>
          <w:tcPr>
            <w:tcW w:w="160" w:type="dxa"/>
            <w:vAlign w:val="bottom"/>
          </w:tcPr>
          <w:p>
            <w:pPr>
              <w:spacing w:after="0"/>
              <w:rPr>
                <w:sz w:val="13"/>
                <w:szCs w:val="13"/>
                <w:color w:val="auto"/>
              </w:rPr>
            </w:pPr>
          </w:p>
        </w:tc>
        <w:tc>
          <w:tcPr>
            <w:tcW w:w="620" w:type="dxa"/>
            <w:vAlign w:val="bottom"/>
            <w:gridSpan w:val="3"/>
          </w:tcPr>
          <w:p>
            <w:pPr>
              <w:ind w:left="80"/>
              <w:spacing w:after="0"/>
              <w:rPr>
                <w:sz w:val="20"/>
                <w:szCs w:val="20"/>
                <w:color w:val="auto"/>
              </w:rPr>
            </w:pPr>
            <w:r>
              <w:rPr>
                <w:rFonts w:ascii="Arial" w:cs="Arial" w:eastAsia="Arial" w:hAnsi="Arial"/>
                <w:sz w:val="13"/>
                <w:szCs w:val="13"/>
                <w:b w:val="1"/>
                <w:bCs w:val="1"/>
                <w:color w:val="auto"/>
              </w:rPr>
              <w:t>Rate</w:t>
            </w:r>
          </w:p>
        </w:tc>
        <w:tc>
          <w:tcPr>
            <w:tcW w:w="1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1"/>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Interest-earning assets:</w:t>
            </w:r>
          </w:p>
        </w:tc>
        <w:tc>
          <w:tcPr>
            <w:tcW w:w="100" w:type="dxa"/>
            <w:vAlign w:val="bottom"/>
            <w:tcBorders>
              <w:top w:val="single" w:sz="8" w:color="auto"/>
              <w:left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0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4,091</w:t>
            </w:r>
          </w:p>
        </w:tc>
        <w:tc>
          <w:tcPr>
            <w:tcW w:w="4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(2,439)</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1,652</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4,573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(2,229)</w:t>
            </w:r>
          </w:p>
        </w:tc>
        <w:tc>
          <w:tcPr>
            <w:tcW w:w="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(2)</w:t>
            </w:r>
          </w:p>
        </w:tc>
        <w:tc>
          <w:tcPr>
            <w:tcW w:w="100" w:type="dxa"/>
            <w:vAlign w:val="bottom"/>
            <w:tcBorders>
              <w:left w:val="single" w:sz="8" w:color="CCEEFF"/>
            </w:tcBorders>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5,288</w:t>
            </w: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(2,650)</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2,638</w:t>
            </w: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49"/>
        </w:trPr>
        <w:tc>
          <w:tcPr>
            <w:tcW w:w="2780" w:type="dxa"/>
            <w:vAlign w:val="bottom"/>
          </w:tcPr>
          <w:p>
            <w:pPr>
              <w:ind w:left="100"/>
              <w:spacing w:after="0"/>
              <w:rPr>
                <w:sz w:val="20"/>
                <w:szCs w:val="20"/>
                <w:color w:val="auto"/>
              </w:rPr>
            </w:pPr>
            <w:r>
              <w:rPr>
                <w:rFonts w:ascii="Arial" w:cs="Arial" w:eastAsia="Arial" w:hAnsi="Arial"/>
                <w:sz w:val="13"/>
                <w:szCs w:val="13"/>
                <w:color w:val="auto"/>
              </w:rPr>
              <w:t>Other interest earnings assets</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(150)</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(1,866)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increase (decrease) in interest income</w:t>
            </w:r>
          </w:p>
        </w:tc>
        <w:tc>
          <w:tcPr>
            <w:tcW w:w="100" w:type="dxa"/>
            <w:vAlign w:val="bottom"/>
            <w:tcBorders>
              <w:left w:val="single" w:sz="8" w:color="CCEEFF"/>
            </w:tcBorders>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9,328</w:t>
            </w: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(5,239)</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4,089</w:t>
            </w: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(4,691)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Interest-bearing liabilities:</w:t>
            </w:r>
          </w:p>
        </w:tc>
        <w:tc>
          <w:tcPr>
            <w:tcW w:w="100" w:type="dxa"/>
            <w:vAlign w:val="bottom"/>
            <w:tcBorders>
              <w:lef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Interest-bearing demand deposits</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(118)</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Saving and money market deposits</w:t>
            </w:r>
          </w:p>
        </w:tc>
        <w:tc>
          <w:tcPr>
            <w:tcW w:w="100" w:type="dxa"/>
            <w:vAlign w:val="bottom"/>
            <w:tcBorders>
              <w:left w:val="single" w:sz="8" w:color="CCEEFF"/>
            </w:tcBorders>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(1,973)</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(2,738)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(2,046)</w:t>
            </w:r>
          </w:p>
        </w:tc>
        <w:tc>
          <w:tcPr>
            <w:tcW w:w="0" w:type="dxa"/>
            <w:vAlign w:val="bottom"/>
          </w:tcPr>
          <w:p>
            <w:pPr>
              <w:spacing w:after="0"/>
              <w:rPr>
                <w:sz w:val="1"/>
                <w:szCs w:val="1"/>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(2,474)</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(3,178)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(1,242)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 and repurchase agreements</w:t>
            </w:r>
          </w:p>
        </w:tc>
        <w:tc>
          <w:tcPr>
            <w:tcW w:w="100" w:type="dxa"/>
            <w:vAlign w:val="bottom"/>
            <w:tcBorders>
              <w:left w:val="single" w:sz="8" w:color="CCEEFF"/>
            </w:tcBorders>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(1,033)</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w w:val="98"/>
              </w:rPr>
              <w:t>Total increase (decrease) in interest expense</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0" w:lineRule="exact"/>
              <w:rPr>
                <w:sz w:val="20"/>
                <w:szCs w:val="20"/>
                <w:color w:val="auto"/>
              </w:rPr>
            </w:pPr>
            <w:r>
              <w:rPr>
                <w:rFonts w:ascii="Arial" w:cs="Arial" w:eastAsia="Arial" w:hAnsi="Arial"/>
                <w:sz w:val="13"/>
                <w:szCs w:val="13"/>
                <w:color w:val="auto"/>
              </w:rPr>
              <w:t>(46)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(4,764)</w:t>
            </w:r>
          </w:p>
        </w:tc>
        <w:tc>
          <w:tcPr>
            <w:tcW w:w="14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3"/>
                <w:szCs w:val="13"/>
                <w:color w:val="auto"/>
              </w:rPr>
              <w:t>(4,810)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0" w:lineRule="exact"/>
              <w:rPr>
                <w:sz w:val="20"/>
                <w:szCs w:val="20"/>
                <w:color w:val="auto"/>
              </w:rPr>
            </w:pPr>
            <w:r>
              <w:rPr>
                <w:rFonts w:ascii="Arial" w:cs="Arial" w:eastAsia="Arial" w:hAnsi="Arial"/>
                <w:sz w:val="13"/>
                <w:szCs w:val="13"/>
                <w:color w:val="auto"/>
              </w:rPr>
              <w:t>849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0" w:lineRule="exact"/>
              <w:rPr>
                <w:sz w:val="20"/>
                <w:szCs w:val="20"/>
                <w:color w:val="auto"/>
              </w:rPr>
            </w:pPr>
            <w:r>
              <w:rPr>
                <w:rFonts w:ascii="Arial" w:cs="Arial" w:eastAsia="Arial" w:hAnsi="Arial"/>
                <w:sz w:val="13"/>
                <w:szCs w:val="13"/>
                <w:color w:val="auto"/>
              </w:rPr>
              <w:t>(4,067)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0" w:lineRule="exact"/>
              <w:rPr>
                <w:sz w:val="20"/>
                <w:szCs w:val="20"/>
                <w:color w:val="auto"/>
              </w:rPr>
            </w:pPr>
            <w:r>
              <w:rPr>
                <w:rFonts w:ascii="Arial" w:cs="Arial" w:eastAsia="Arial" w:hAnsi="Arial"/>
                <w:sz w:val="13"/>
                <w:szCs w:val="13"/>
                <w:color w:val="auto"/>
              </w:rPr>
              <w:t>(3,218)</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Increase (decrease) in net interest income</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80" w:type="dxa"/>
            <w:vAlign w:val="bottom"/>
            <w:vMerge w:val="continue"/>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9,374</w:t>
            </w:r>
          </w:p>
        </w:tc>
        <w:tc>
          <w:tcPr>
            <w:tcW w:w="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(475)</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8,899</w:t>
            </w:r>
          </w:p>
        </w:tc>
        <w:tc>
          <w:tcPr>
            <w:tcW w:w="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5,533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(624)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4,909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w:t>
      </w:r>
    </w:p>
    <w:p>
      <w:pPr>
        <w:spacing w:after="0" w:line="19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Both average yields on interest earning assets and average rates paid on interest bearing liabilities have been declining over the periods presented, reflecting the macro interest rate environment and ongoing initiatives to reduce the cost and improve the mix of deposits.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7" w:lineRule="exact"/>
        <w:rPr>
          <w:sz w:val="20"/>
          <w:szCs w:val="20"/>
          <w:color w:val="auto"/>
        </w:rPr>
      </w:pPr>
    </w:p>
    <w:p>
      <w:pPr>
        <w:ind w:left="660" w:right="639" w:firstLine="256"/>
        <w:spacing w:after="0" w:line="249" w:lineRule="auto"/>
        <w:rPr>
          <w:sz w:val="20"/>
          <w:szCs w:val="20"/>
          <w:color w:val="auto"/>
        </w:rPr>
      </w:pPr>
      <w:r>
        <w:rPr>
          <w:rFonts w:ascii="Arial" w:cs="Arial" w:eastAsia="Arial" w:hAnsi="Arial"/>
          <w:sz w:val="14"/>
          <w:szCs w:val="14"/>
          <w:color w:val="auto"/>
        </w:rPr>
        <w:t>Total assets at December 31, 2021, were $1.9 billion, an increase of $352.2 million, or 23.5%, over total assets of $1.5 billion at December 31, 2020. Total loans increased $151.6 million, or 14.6%, to $1.2 billion at December 31, 2021 compared to $1.0 billion at December 31, 2020. The increase in loans includes purchased loans totaling $129.5 million including deferred fees. Total deposits increased by $317.0 million, or 24.9%, to $1.6 billion at December 31, 2021 compared to December 31, 2020.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 consideration the Company’s risk appetite and tolerance, manage the assets composition and diversification, and maintain adequate risk-based capital ratios.</w:t>
      </w:r>
    </w:p>
    <w:p>
      <w:pPr>
        <w:spacing w:after="0" w:line="160"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an investment guideline, approved by the Board. Such policy is reviewed at least annually or more frequently if deemed necessary, depending on market conditions and/or unexpected events. The investment portfolio composition is</w:t>
      </w:r>
    </w:p>
    <w:p>
      <w:pPr>
        <w:spacing w:after="0" w:line="17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0" w:name="page51"/>
    <w:bookmarkEnd w:id="5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subject to change depending on the funding and liquidity needs of the Company, and the interest risk management objective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45"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or ALCO of the Company to ensure an appropriate risk and return profile as well as for adherence to the investment policy.</w:t>
      </w:r>
    </w:p>
    <w:p>
      <w:pPr>
        <w:spacing w:after="0" w:line="15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As of December 31, 2021, the investment portfolio consisted of available-for-sale (“AFS”) and held-to-maturity (“HTM”) debt securities. During the third quarter of 2021, there were 28 investment securities that were transferred from AFS to HTM with an amortized cost basis and fair value amount of $67.6 million and $68.7 million, respectively. On the date of transfer, these securities had a total net unrealized gain of $1.1 million. The transfer of debt securities from the AFS to HTM category were made at fair value at the date of transfer. The unrealized gain or loss at the date of transfer is retained in accumulated other comprehensive income and in the carrying value of the HTM securities. Such amounts are amortized over the remaining life of the security. There was no impact to net income on the date of transfer.</w:t>
      </w:r>
    </w:p>
    <w:p>
      <w:pPr>
        <w:spacing w:after="0" w:line="157"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The book value of the AFS securities is adjusted monthly for unrealized gain or loss as a valuation allowance, and any gain or loss is reported on an after-tax basis as a component of other comprehensive income in stockholders’ equity. Periodically, we may need to assess whether there have been any events or unexpected economic circumstances to indicate that a security on which there is an unrealized loss is impaired on an other-than-temporary basis (“OTTI”). If the impairment is deemed to be permanent, an analysis would be made considering many factors, including the severity and duration of the impairment, the severity of the event, our intent and ability to hold the security for a period of time sufficient for a recovery in value, recent events specific to the issuer or industry, any related credit events, and for debt securities, external credit ratings and recent downgrades related to deterioration of credit quality. Securities on which there is an unrealized loss that is deemed to be OTTI are written down to fair value, with the write-down recorded as a realized loss under line item “Gain (loss) on sale of securities available-for-sale, net” of the Consolidated Statements of Operations. As of December 31, 2021, there are no securities which management has classified as OTTI. For further discussion of our analysis on impaired investment securities for OTTI, see Note 2 “Investment Securities” to the Consolidated Financial Statements in this Form 10-K.</w:t>
      </w:r>
    </w:p>
    <w:p>
      <w:pPr>
        <w:spacing w:after="0" w:line="14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AFS and HTM investment securities increased $189.9 million or 56.8% to $524.2 million at December 31, 2021 from $334.3 million at December 31, 2020. Investment securities increased over the past year due to higher than expected cash balances. Management reinvested idle cash balances into high credit quality investments to increase the Company’s profitability and modify the Company’s balance sheet duration according to the ALM policy. As of December 31, 2021, corporate bond securities with a market value of $20.4 million were pledged to secure public deposits. As of December 31, 2021, the Company did not have any tax-exempt securities in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1" w:name="page52"/>
    <w:bookmarkEnd w:id="5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December 31, 2021</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 - SBA</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20,196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160,506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156,829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104,426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104,650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120,643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118,842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80,110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81,301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45,802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48,331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25,164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24,276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24,230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24,211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27,733</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405,853</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401,542</w:t>
            </w: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327,989</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334,322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 - SBA</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12,004</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11,641</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22,501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22,263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43,799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26,920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26,352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13,310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122,658</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120,157</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December 31, 2021 (in thousands, except ratios):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10"/>
          </w:tcPr>
          <w:p>
            <w:pPr>
              <w:jc w:val="right"/>
              <w:spacing w:after="0"/>
              <w:rPr>
                <w:sz w:val="20"/>
                <w:szCs w:val="20"/>
                <w:color w:val="auto"/>
              </w:rPr>
            </w:pPr>
            <w:r>
              <w:rPr>
                <w:rFonts w:ascii="Arial" w:cs="Arial" w:eastAsia="Arial" w:hAnsi="Arial"/>
                <w:sz w:val="11"/>
                <w:szCs w:val="11"/>
                <w:b w:val="1"/>
                <w:bCs w:val="1"/>
                <w:color w:val="auto"/>
              </w:rPr>
              <w:t>After 1 year through After 5 years through</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5"/>
          </w:tcPr>
          <w:p>
            <w:pPr>
              <w:jc w:val="right"/>
              <w:ind w:right="325"/>
              <w:spacing w:after="0"/>
              <w:rPr>
                <w:sz w:val="20"/>
                <w:szCs w:val="20"/>
                <w:color w:val="auto"/>
              </w:rPr>
            </w:pPr>
            <w:r>
              <w:rPr>
                <w:rFonts w:ascii="Arial" w:cs="Arial" w:eastAsia="Arial" w:hAnsi="Arial"/>
                <w:sz w:val="11"/>
                <w:szCs w:val="11"/>
                <w:b w:val="1"/>
                <w:bCs w:val="1"/>
                <w:color w:val="auto"/>
              </w:rPr>
              <w:t>Within 1 year</w:t>
            </w:r>
          </w:p>
        </w:tc>
        <w:tc>
          <w:tcPr>
            <w:tcW w:w="1080" w:type="dxa"/>
            <w:vAlign w:val="bottom"/>
            <w:gridSpan w:val="6"/>
          </w:tcPr>
          <w:p>
            <w:pPr>
              <w:jc w:val="right"/>
              <w:ind w:right="417"/>
              <w:spacing w:after="0"/>
              <w:rPr>
                <w:sz w:val="20"/>
                <w:szCs w:val="20"/>
                <w:color w:val="auto"/>
              </w:rPr>
            </w:pPr>
            <w:r>
              <w:rPr>
                <w:rFonts w:ascii="Arial" w:cs="Arial" w:eastAsia="Arial" w:hAnsi="Arial"/>
                <w:sz w:val="11"/>
                <w:szCs w:val="11"/>
                <w:b w:val="1"/>
                <w:bCs w:val="1"/>
                <w:color w:val="auto"/>
              </w:rPr>
              <w:t>5 years</w:t>
            </w:r>
          </w:p>
        </w:tc>
        <w:tc>
          <w:tcPr>
            <w:tcW w:w="112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10 years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After 10 years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300"/>
              <w:spacing w:after="0"/>
              <w:rPr>
                <w:sz w:val="20"/>
                <w:szCs w:val="20"/>
                <w:color w:val="auto"/>
              </w:rPr>
            </w:pPr>
            <w:r>
              <w:rPr>
                <w:rFonts w:ascii="Arial" w:cs="Arial" w:eastAsia="Arial" w:hAnsi="Arial"/>
                <w:sz w:val="11"/>
                <w:szCs w:val="11"/>
                <w:b w:val="1"/>
                <w:bCs w:val="1"/>
                <w:color w:val="auto"/>
                <w:w w:val="98"/>
              </w:rPr>
              <w:t>Total</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auto"/>
              </w:rPr>
              <w:t>Amortized</w:t>
            </w: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40" w:type="dxa"/>
            <w:vAlign w:val="bottom"/>
            <w:gridSpan w:val="3"/>
          </w:tcPr>
          <w:p>
            <w:pPr>
              <w:jc w:val="right"/>
              <w:ind w:right="205"/>
              <w:spacing w:after="0"/>
              <w:rPr>
                <w:sz w:val="20"/>
                <w:szCs w:val="20"/>
                <w:color w:val="auto"/>
              </w:rPr>
            </w:pPr>
            <w:r>
              <w:rPr>
                <w:rFonts w:ascii="Arial" w:cs="Arial" w:eastAsia="Arial" w:hAnsi="Arial"/>
                <w:sz w:val="11"/>
                <w:szCs w:val="11"/>
                <w:b w:val="1"/>
                <w:bCs w:val="1"/>
                <w:color w:val="auto"/>
              </w:rPr>
              <w:t>Yield</w:t>
            </w:r>
          </w:p>
        </w:tc>
        <w:tc>
          <w:tcPr>
            <w:tcW w:w="50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560" w:type="dxa"/>
            <w:vAlign w:val="bottom"/>
            <w:gridSpan w:val="4"/>
          </w:tcPr>
          <w:p>
            <w:pPr>
              <w:jc w:val="right"/>
              <w:ind w:right="157"/>
              <w:spacing w:after="0"/>
              <w:rPr>
                <w:sz w:val="20"/>
                <w:szCs w:val="20"/>
                <w:color w:val="auto"/>
              </w:rPr>
            </w:pPr>
            <w:r>
              <w:rPr>
                <w:rFonts w:ascii="Arial" w:cs="Arial" w:eastAsia="Arial" w:hAnsi="Arial"/>
                <w:sz w:val="11"/>
                <w:szCs w:val="11"/>
                <w:b w:val="1"/>
                <w:bCs w:val="1"/>
                <w:color w:val="auto"/>
              </w:rPr>
              <w:t>Yield</w:t>
            </w:r>
          </w:p>
        </w:tc>
        <w:tc>
          <w:tcPr>
            <w:tcW w:w="6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Cost</w:t>
            </w:r>
          </w:p>
        </w:tc>
        <w:tc>
          <w:tcPr>
            <w:tcW w:w="42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5"/>
              <w:spacing w:after="0"/>
              <w:rPr>
                <w:sz w:val="20"/>
                <w:szCs w:val="20"/>
                <w:color w:val="auto"/>
              </w:rPr>
            </w:pPr>
            <w:r>
              <w:rPr>
                <w:rFonts w:ascii="Arial" w:cs="Arial" w:eastAsia="Arial" w:hAnsi="Arial"/>
                <w:sz w:val="11"/>
                <w:szCs w:val="11"/>
                <w:color w:val="auto"/>
              </w:rPr>
              <w:t>0.00 % $</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5"/>
          </w:tcPr>
          <w:p>
            <w:pPr>
              <w:jc w:val="right"/>
              <w:spacing w:after="0"/>
              <w:rPr>
                <w:sz w:val="20"/>
                <w:szCs w:val="20"/>
                <w:color w:val="auto"/>
              </w:rPr>
            </w:pPr>
            <w:r>
              <w:rPr>
                <w:rFonts w:ascii="Arial" w:cs="Arial" w:eastAsia="Arial" w:hAnsi="Arial"/>
                <w:sz w:val="11"/>
                <w:szCs w:val="11"/>
                <w:color w:val="auto"/>
              </w:rPr>
              <w:t>0.00 % $</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4"/>
          </w:tcPr>
          <w:p>
            <w:pPr>
              <w:jc w:val="right"/>
              <w:ind w:right="6"/>
              <w:spacing w:after="0"/>
              <w:rPr>
                <w:sz w:val="20"/>
                <w:szCs w:val="20"/>
                <w:color w:val="auto"/>
              </w:rPr>
            </w:pPr>
            <w:r>
              <w:rPr>
                <w:rFonts w:ascii="Arial" w:cs="Arial" w:eastAsia="Arial" w:hAnsi="Arial"/>
                <w:sz w:val="11"/>
                <w:szCs w:val="11"/>
                <w:color w:val="auto"/>
              </w:rPr>
              <w:t>0.00 % $</w:t>
            </w:r>
          </w:p>
        </w:tc>
        <w:tc>
          <w:tcPr>
            <w:tcW w:w="520" w:type="dxa"/>
            <w:vAlign w:val="bottom"/>
          </w:tcPr>
          <w:p>
            <w:pPr>
              <w:jc w:val="right"/>
              <w:spacing w:after="0"/>
              <w:rPr>
                <w:sz w:val="20"/>
                <w:szCs w:val="20"/>
                <w:color w:val="auto"/>
              </w:rPr>
            </w:pPr>
            <w:r>
              <w:rPr>
                <w:rFonts w:ascii="Arial" w:cs="Arial" w:eastAsia="Arial" w:hAnsi="Arial"/>
                <w:sz w:val="11"/>
                <w:szCs w:val="11"/>
                <w:color w:val="auto"/>
              </w:rPr>
              <w:t>10,564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1.74%</w:t>
            </w:r>
          </w:p>
        </w:tc>
        <w:tc>
          <w:tcPr>
            <w:tcW w:w="160" w:type="dxa"/>
            <w:vAlign w:val="bottom"/>
            <w:gridSpan w:val="2"/>
          </w:tcPr>
          <w:p>
            <w:pPr>
              <w:jc w:val="right"/>
              <w:ind w:right="26"/>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120"/>
              <w:spacing w:after="0"/>
              <w:rPr>
                <w:sz w:val="20"/>
                <w:szCs w:val="20"/>
                <w:color w:val="auto"/>
              </w:rPr>
            </w:pPr>
            <w:r>
              <w:rPr>
                <w:rFonts w:ascii="Arial" w:cs="Arial" w:eastAsia="Arial" w:hAnsi="Arial"/>
                <w:sz w:val="11"/>
                <w:szCs w:val="11"/>
                <w:color w:val="auto"/>
              </w:rPr>
              <w:t>10,564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160,506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60"/>
              <w:spacing w:after="0"/>
              <w:rPr>
                <w:sz w:val="20"/>
                <w:szCs w:val="20"/>
                <w:color w:val="auto"/>
              </w:rPr>
            </w:pPr>
            <w:r>
              <w:rPr>
                <w:rFonts w:ascii="Arial" w:cs="Arial" w:eastAsia="Arial" w:hAnsi="Arial"/>
                <w:sz w:val="11"/>
                <w:szCs w:val="11"/>
                <w:color w:val="auto"/>
              </w:rPr>
              <w:t>160,506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1,002</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119,641</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2.26%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1"/>
                <w:szCs w:val="11"/>
                <w:color w:val="auto"/>
              </w:rPr>
              <w:t>120,643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49,905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Municipal securities</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2.05%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24,164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1.38%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rPr>
              <w:t>25,164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6.13%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27,003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1,992</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3.39%</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5,983</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4.24%</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4,093</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2.54%</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12,068</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1,992</w:t>
            </w:r>
          </w:p>
        </w:tc>
        <w:tc>
          <w:tcPr>
            <w:tcW w:w="660" w:type="dxa"/>
            <w:vAlign w:val="bottom"/>
            <w:gridSpan w:val="4"/>
            <w:shd w:val="clear" w:color="auto" w:fill="CCEEFF"/>
          </w:tcPr>
          <w:p>
            <w:pPr>
              <w:jc w:val="right"/>
              <w:ind w:right="25"/>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5,983</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32,098</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365,780</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1"/>
                <w:szCs w:val="11"/>
                <w:color w:val="auto"/>
              </w:rPr>
              <w:t>405,853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Held-to-maturity: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Government Agency - SBA</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12,004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2,982</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19,519</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1.26%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rPr>
              <w:t>22,501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44,820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2,836</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2.98%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9,264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14,820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color w:val="auto"/>
              </w:rPr>
              <w:t>26,920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0.00 %</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2,017</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3.07%</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11,293</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2.71%</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0.00 %</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13,310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2.76%</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w:t>
            </w:r>
          </w:p>
        </w:tc>
        <w:tc>
          <w:tcPr>
            <w:tcW w:w="520" w:type="dxa"/>
            <w:vAlign w:val="bottom"/>
            <w:gridSpan w:val="3"/>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17,111</w:t>
            </w:r>
          </w:p>
        </w:tc>
        <w:tc>
          <w:tcPr>
            <w:tcW w:w="540" w:type="dxa"/>
            <w:vAlign w:val="bottom"/>
            <w:gridSpan w:val="4"/>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35,839</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67,691</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1"/>
                <w:szCs w:val="11"/>
                <w:color w:val="auto"/>
              </w:rPr>
              <w:t>122,658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86"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Loans are the largest category of interest-earning assets on the Consolidated Balance Sheets, and usually provides higher yields than the rest of the interest-earning assets. Higher yields typically carry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2" w:name="page53"/>
    <w:bookmarkEnd w:id="5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376"/>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gridSpan w:val="7"/>
          </w:tcPr>
          <w:p>
            <w:pPr>
              <w:jc w:val="right"/>
              <w:ind w:right="396"/>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5"/>
          </w:tcPr>
          <w:p>
            <w:pPr>
              <w:ind w:left="20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970" w:type="dxa"/>
            <w:vAlign w:val="bottom"/>
            <w:gridSpan w:val="6"/>
          </w:tcPr>
          <w:p>
            <w:pPr>
              <w:ind w:left="21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5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232,754</w:t>
            </w: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22.3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704,988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59.2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606,425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58.2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157,330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59,491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5.0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70" w:type="dxa"/>
            <w:vAlign w:val="bottom"/>
            <w:gridSpan w:val="2"/>
          </w:tcPr>
          <w:p>
            <w:pPr>
              <w:jc w:val="right"/>
              <w:ind w:right="60"/>
              <w:spacing w:after="0"/>
              <w:rPr>
                <w:sz w:val="20"/>
                <w:szCs w:val="20"/>
                <w:color w:val="auto"/>
              </w:rPr>
            </w:pPr>
            <w:r>
              <w:rPr>
                <w:rFonts w:ascii="Arial" w:cs="Arial" w:eastAsia="Arial" w:hAnsi="Arial"/>
                <w:sz w:val="13"/>
                <w:szCs w:val="13"/>
                <w:color w:val="auto"/>
              </w:rPr>
              <w:t>38,999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3.7</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spacing w:after="0"/>
              <w:rPr>
                <w:sz w:val="14"/>
                <w:szCs w:val="14"/>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5,507</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201"/>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gross loans</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1,191,659</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150" w:type="dxa"/>
            <w:vAlign w:val="bottom"/>
            <w:tcBorders>
              <w:bottom w:val="single" w:sz="8" w:color="CCEEFF"/>
            </w:tcBorders>
          </w:tcPr>
          <w:p>
            <w:pPr>
              <w:spacing w:after="0"/>
              <w:rPr>
                <w:sz w:val="17"/>
                <w:szCs w:val="17"/>
                <w:color w:val="auto"/>
              </w:rPr>
            </w:pPr>
          </w:p>
        </w:tc>
        <w:tc>
          <w:tcPr>
            <w:tcW w:w="81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1,041,015</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99.8</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r>
      <w:tr>
        <w:trPr>
          <w:trHeight w:val="121"/>
        </w:trPr>
        <w:tc>
          <w:tcPr>
            <w:tcW w:w="3340" w:type="dxa"/>
            <w:vAlign w:val="bottom"/>
            <w:shd w:val="clear" w:color="auto" w:fill="CCEEFF"/>
          </w:tcPr>
          <w:p>
            <w:pPr>
              <w:ind w:left="40"/>
              <w:spacing w:after="0" w:line="121" w:lineRule="exact"/>
              <w:rPr>
                <w:sz w:val="20"/>
                <w:szCs w:val="20"/>
                <w:color w:val="auto"/>
              </w:rPr>
            </w:pPr>
            <w:r>
              <w:rPr>
                <w:rFonts w:ascii="Arial" w:cs="Arial" w:eastAsia="Arial" w:hAnsi="Arial"/>
                <w:sz w:val="13"/>
                <w:szCs w:val="13"/>
                <w:color w:val="auto"/>
              </w:rPr>
              <w:t>Less: Unearned income</w:t>
            </w:r>
          </w:p>
        </w:tc>
        <w:tc>
          <w:tcPr>
            <w:tcW w:w="1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1,578</w:t>
            </w:r>
          </w:p>
        </w:tc>
        <w:tc>
          <w:tcPr>
            <w:tcW w:w="80" w:type="dxa"/>
            <w:vAlign w:val="bottom"/>
            <w:tcBorders>
              <w:bottom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50" w:type="dxa"/>
            <w:vAlign w:val="bottom"/>
            <w:tcBorders>
              <w:bottom w:val="single" w:sz="8" w:color="auto"/>
            </w:tcBorders>
            <w:shd w:val="clear" w:color="auto" w:fill="CCEEFF"/>
          </w:tcPr>
          <w:p>
            <w:pPr>
              <w:spacing w:after="0"/>
              <w:rPr>
                <w:sz w:val="10"/>
                <w:szCs w:val="10"/>
                <w:color w:val="auto"/>
              </w:rPr>
            </w:pPr>
          </w:p>
        </w:tc>
        <w:tc>
          <w:tcPr>
            <w:tcW w:w="81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2,511</w:t>
            </w: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unearned income</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1,190,081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 w:type="dxa"/>
            <w:vAlign w:val="bottom"/>
          </w:tcPr>
          <w:p>
            <w:pPr>
              <w:spacing w:after="0"/>
              <w:rPr>
                <w:sz w:val="13"/>
                <w:szCs w:val="13"/>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1,038,504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spacing w:after="0"/>
              <w:rPr>
                <w:sz w:val="14"/>
                <w:szCs w:val="14"/>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15,086</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1,175,024</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1,023,418</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Total gross loans increased by $150.6 million or 14.5% at December 31, 2021 compared to the same period in 2020. The most significant growth was in the commercial real estate and consumer and other loan pools, offset by a decline in the residential real estate and commercial and industrial loan pools. Consumer and other loans increased because of two yacht loan portfolios that were purchased for $93.7 million, including deferred fees, for the year ended December 31, 2021. Commercial and industrial loans decreased because of continuing PPP loan forgiveness as expected.</w:t>
      </w:r>
    </w:p>
    <w:p>
      <w:pPr>
        <w:spacing w:after="0" w:line="160"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 loan portfolio has continued to experience growth in the past two years. Since our inception, the primary focus has been on commercial real estate lending, representing approximately 59.2% of the total gross loan portfolio as of December 31, 2021. In the past, we supplemented our core commercial growth with the origination of 1-4 family residential loans and the acquisition of 1-4 family residential loan portfolios to further diversify our loan portfolio. However, we have determined not to further pursue this line of business and are focused on growing our commercial portfolio.</w:t>
      </w:r>
    </w:p>
    <w:p>
      <w:pPr>
        <w:spacing w:after="0" w:line="16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Other than the previous mentioned shifts, we do not expect any significant changes over the foreseeable future in the composition of our loan portfolio or in our emphasis on commercial real estate lending. Our loan growth strategy since inception has been reflective of the market in which we operate and of our strategic plan as approved by the Board.</w:t>
      </w:r>
    </w:p>
    <w:p>
      <w:pPr>
        <w:spacing w:after="0" w:line="158"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over the last couple of years is primarily due to implementation of our relationship-based banking model and the success of our relationship managers in competing for new business in a highly competitive metropolitan area. Many of our larger loan clients have lengthy relationships with members of our senior management team or our relationship managers that date back to former institutions.</w:t>
      </w:r>
    </w:p>
    <w:p>
      <w:pPr>
        <w:spacing w:after="0" w:line="160"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December 31, 2021 (in thousands):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7,745</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18,350</w:t>
            </w: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83,595</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91,669</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24,279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163,931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513,333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31,336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32,160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59,491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3,465</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2,505</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71,254</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Total gross loans</w:t>
            </w:r>
          </w:p>
        </w:tc>
        <w:tc>
          <w:tcPr>
            <w:tcW w:w="260" w:type="dxa"/>
            <w:vAlign w:val="bottom"/>
            <w:gridSpan w:val="2"/>
          </w:tcPr>
          <w:p>
            <w:pPr>
              <w:jc w:val="right"/>
              <w:ind w:right="128"/>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108,783</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253,579</w:t>
            </w:r>
          </w:p>
        </w:tc>
        <w:tc>
          <w:tcPr>
            <w:tcW w:w="320" w:type="dxa"/>
            <w:vAlign w:val="bottom"/>
            <w:gridSpan w:val="5"/>
          </w:tcPr>
          <w:p>
            <w:pPr>
              <w:jc w:val="right"/>
              <w:ind w:right="10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630,769</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198,528</w:t>
            </w:r>
          </w:p>
        </w:tc>
        <w:tc>
          <w:tcPr>
            <w:tcW w:w="28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1,191,659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82,940</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170,406</w:t>
            </w:r>
          </w:p>
        </w:tc>
        <w:tc>
          <w:tcPr>
            <w:tcW w:w="60" w:type="dxa"/>
            <w:vAlign w:val="bottom"/>
            <w:gridSpan w:val="2"/>
            <w:shd w:val="clear" w:color="auto" w:fill="CCEEFF"/>
          </w:tcPr>
          <w:p>
            <w:pPr>
              <w:spacing w:after="0"/>
              <w:rPr>
                <w:sz w:val="14"/>
                <w:szCs w:val="14"/>
                <w:color w:val="auto"/>
              </w:rPr>
            </w:pPr>
          </w:p>
        </w:tc>
        <w:tc>
          <w:tcPr>
            <w:tcW w:w="260" w:type="dxa"/>
            <w:vAlign w:val="bottom"/>
            <w:gridSpan w:val="3"/>
            <w:shd w:val="clear" w:color="auto" w:fill="CCEEFF"/>
          </w:tcPr>
          <w:p>
            <w:pPr>
              <w:jc w:val="right"/>
              <w:ind w:right="10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136,429</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78,859</w:t>
            </w:r>
          </w:p>
        </w:tc>
        <w:tc>
          <w:tcPr>
            <w:tcW w:w="28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468,634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25,843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83,173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494,340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119,669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108,783</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253,579</w:t>
            </w:r>
          </w:p>
        </w:tc>
        <w:tc>
          <w:tcPr>
            <w:tcW w:w="6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630,769</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198,528</w:t>
            </w:r>
          </w:p>
        </w:tc>
        <w:tc>
          <w:tcPr>
            <w:tcW w:w="8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1,191,659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w:t>
      </w:r>
    </w:p>
    <w:p>
      <w:pPr>
        <w:spacing w:after="0" w:line="2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3" w:name="page54"/>
    <w:bookmarkEnd w:id="5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59"/>
        <w:spacing w:after="0" w:line="252" w:lineRule="auto"/>
        <w:rPr>
          <w:sz w:val="20"/>
          <w:szCs w:val="20"/>
          <w:color w:val="auto"/>
        </w:rPr>
      </w:pPr>
      <w:r>
        <w:rPr>
          <w:rFonts w:ascii="Arial" w:cs="Arial" w:eastAsia="Arial" w:hAnsi="Arial"/>
          <w:sz w:val="14"/>
          <w:szCs w:val="14"/>
          <w:color w:val="auto"/>
        </w:rPr>
        <w:t>maturity concentrations, loan duration, prepayment speeds and other interest rate sensitivity measures are discussed, reviewed, and analyzed by the ALCO. Decisions on term rate modifications are discussed as well.</w:t>
      </w:r>
    </w:p>
    <w:p>
      <w:pPr>
        <w:spacing w:after="0" w:line="153"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of December 31, 2021, approximately 60.7% of the loans have adjustable/variable rates and 39.3% of the loans have fixed rates. The adjustable/variable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7"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evaluated at least annually, or more frequently if deemed necessary. Internal credit risk ratings may change based on management’s assessment of the results from the annual review, portfolio monitoring and other developments observed with borrowers.</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80" w:right="81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80" w:right="719"/>
        <w:spacing w:after="0" w:line="266"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8"/>
          </w:tcPr>
          <w:p>
            <w:pPr>
              <w:jc w:val="right"/>
              <w:ind w:right="776"/>
              <w:spacing w:after="0"/>
              <w:rPr>
                <w:sz w:val="20"/>
                <w:szCs w:val="20"/>
                <w:color w:val="auto"/>
              </w:rPr>
            </w:pPr>
            <w:r>
              <w:rPr>
                <w:rFonts w:ascii="Arial" w:cs="Arial" w:eastAsia="Arial" w:hAnsi="Arial"/>
                <w:sz w:val="13"/>
                <w:szCs w:val="13"/>
                <w:b w:val="1"/>
                <w:bCs w:val="1"/>
                <w:color w:val="auto"/>
                <w:w w:val="97"/>
              </w:rPr>
              <w:t>December 31, 2021</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196,778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703,349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1,184,662</w:t>
            </w:r>
          </w:p>
        </w:tc>
        <w:tc>
          <w:tcPr>
            <w:tcW w:w="460" w:type="dxa"/>
            <w:vAlign w:val="bottom"/>
            <w:gridSpan w:val="4"/>
          </w:tcPr>
          <w:p>
            <w:pPr>
              <w:jc w:val="right"/>
              <w:ind w:right="23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5,775</w:t>
            </w:r>
          </w:p>
        </w:tc>
        <w:tc>
          <w:tcPr>
            <w:tcW w:w="940" w:type="dxa"/>
            <w:vAlign w:val="bottom"/>
            <w:gridSpan w:val="4"/>
          </w:tcPr>
          <w:p>
            <w:pPr>
              <w:jc w:val="right"/>
              <w:ind w:right="716"/>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4"/>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1,191,659</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8"/>
          </w:tcPr>
          <w:p>
            <w:pPr>
              <w:jc w:val="right"/>
              <w:ind w:right="776"/>
              <w:spacing w:after="0"/>
              <w:rPr>
                <w:sz w:val="20"/>
                <w:szCs w:val="20"/>
                <w:color w:val="auto"/>
              </w:rPr>
            </w:pPr>
            <w:r>
              <w:rPr>
                <w:rFonts w:ascii="Arial" w:cs="Arial" w:eastAsia="Arial" w:hAnsi="Arial"/>
                <w:sz w:val="13"/>
                <w:szCs w:val="13"/>
                <w:b w:val="1"/>
                <w:bCs w:val="1"/>
                <w:color w:val="auto"/>
                <w:w w:val="97"/>
              </w:rPr>
              <w:t>December 31, 2020</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225,861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232,754</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605,180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606,425</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157,097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157,330</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38,999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38,999</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5,507</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1,032,366</w:t>
            </w:r>
          </w:p>
        </w:tc>
        <w:tc>
          <w:tcPr>
            <w:tcW w:w="600" w:type="dxa"/>
            <w:vAlign w:val="bottom"/>
            <w:gridSpan w:val="4"/>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8,649</w:t>
            </w:r>
          </w:p>
        </w:tc>
        <w:tc>
          <w:tcPr>
            <w:tcW w:w="940" w:type="dxa"/>
            <w:vAlign w:val="bottom"/>
            <w:gridSpan w:val="4"/>
          </w:tcPr>
          <w:p>
            <w:pPr>
              <w:jc w:val="right"/>
              <w:ind w:right="716"/>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4"/>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1,041,015</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4" w:name="page55"/>
    <w:bookmarkEnd w:id="5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December 31, 2021 and 2020 (in thousands, except ratios):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4900" w:type="dxa"/>
            <w:vAlign w:val="bottom"/>
          </w:tcPr>
          <w:p>
            <w:pPr>
              <w:spacing w:after="0"/>
              <w:rPr>
                <w:sz w:val="14"/>
                <w:szCs w:val="14"/>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r>
      <w:tr>
        <w:trPr>
          <w:trHeight w:val="151"/>
        </w:trPr>
        <w:tc>
          <w:tcPr>
            <w:tcW w:w="4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Non-accrual loans, less non-accrual TDR loans</w:t>
            </w:r>
          </w:p>
        </w:tc>
        <w:tc>
          <w:tcPr>
            <w:tcW w:w="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shd w:val="clear" w:color="auto" w:fill="CCEEFF"/>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2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20" w:type="dxa"/>
            <w:vAlign w:val="bottom"/>
            <w:shd w:val="clear" w:color="auto" w:fill="CCEEFF"/>
          </w:tcPr>
          <w:p>
            <w:pPr>
              <w:spacing w:after="0"/>
              <w:rPr>
                <w:sz w:val="13"/>
                <w:szCs w:val="13"/>
                <w:color w:val="auto"/>
              </w:rPr>
            </w:pPr>
          </w:p>
        </w:tc>
      </w:tr>
      <w:tr>
        <w:trPr>
          <w:trHeight w:val="171"/>
        </w:trPr>
        <w:tc>
          <w:tcPr>
            <w:tcW w:w="4900" w:type="dxa"/>
            <w:vAlign w:val="bottom"/>
          </w:tcPr>
          <w:p>
            <w:pPr>
              <w:ind w:left="40"/>
              <w:spacing w:after="0"/>
              <w:rPr>
                <w:sz w:val="20"/>
                <w:szCs w:val="20"/>
                <w:color w:val="auto"/>
              </w:rPr>
            </w:pPr>
            <w:r>
              <w:rPr>
                <w:rFonts w:ascii="Arial" w:cs="Arial" w:eastAsia="Arial" w:hAnsi="Arial"/>
                <w:sz w:val="13"/>
                <w:szCs w:val="13"/>
                <w:color w:val="auto"/>
              </w:rPr>
              <w:t>Non-accrual TDRs</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1,275</w:t>
            </w:r>
          </w:p>
        </w:tc>
        <w:tc>
          <w:tcPr>
            <w:tcW w:w="20" w:type="dxa"/>
            <w:vAlign w:val="bottom"/>
          </w:tcPr>
          <w:p>
            <w:pPr>
              <w:spacing w:after="0"/>
              <w:rPr>
                <w:sz w:val="14"/>
                <w:szCs w:val="14"/>
                <w:color w:val="auto"/>
              </w:rPr>
            </w:pPr>
          </w:p>
        </w:tc>
      </w:tr>
      <w:tr>
        <w:trPr>
          <w:trHeight w:val="165"/>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Loans past due over 90 days and still accruing</w:t>
            </w:r>
          </w:p>
        </w:tc>
        <w:tc>
          <w:tcPr>
            <w:tcW w:w="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4900" w:type="dxa"/>
            <w:vAlign w:val="bottom"/>
          </w:tcPr>
          <w:p>
            <w:pPr>
              <w:ind w:left="220"/>
              <w:spacing w:after="0"/>
              <w:rPr>
                <w:sz w:val="20"/>
                <w:szCs w:val="20"/>
                <w:color w:val="auto"/>
              </w:rPr>
            </w:pPr>
            <w:r>
              <w:rPr>
                <w:rFonts w:ascii="Arial" w:cs="Arial" w:eastAsia="Arial" w:hAnsi="Arial"/>
                <w:sz w:val="13"/>
                <w:szCs w:val="13"/>
                <w:color w:val="auto"/>
              </w:rPr>
              <w:t>Total non-performing loans</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1,190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1,578</w:t>
            </w:r>
          </w:p>
        </w:tc>
        <w:tc>
          <w:tcPr>
            <w:tcW w:w="20" w:type="dxa"/>
            <w:vAlign w:val="bottom"/>
          </w:tcPr>
          <w:p>
            <w:pPr>
              <w:spacing w:after="0"/>
              <w:rPr>
                <w:sz w:val="13"/>
                <w:szCs w:val="13"/>
                <w:color w:val="auto"/>
              </w:rPr>
            </w:pPr>
          </w:p>
        </w:tc>
      </w:tr>
      <w:tr>
        <w:trPr>
          <w:trHeight w:val="171"/>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real estate owned</w:t>
            </w:r>
          </w:p>
        </w:tc>
        <w:tc>
          <w:tcPr>
            <w:tcW w:w="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61"/>
        </w:trPr>
        <w:tc>
          <w:tcPr>
            <w:tcW w:w="4900" w:type="dxa"/>
            <w:vAlign w:val="bottom"/>
          </w:tcPr>
          <w:p>
            <w:pPr>
              <w:ind w:left="220"/>
              <w:spacing w:after="0"/>
              <w:rPr>
                <w:sz w:val="20"/>
                <w:szCs w:val="20"/>
                <w:color w:val="auto"/>
              </w:rPr>
            </w:pPr>
            <w:r>
              <w:rPr>
                <w:rFonts w:ascii="Arial" w:cs="Arial" w:eastAsia="Arial" w:hAnsi="Arial"/>
                <w:sz w:val="13"/>
                <w:szCs w:val="13"/>
                <w:color w:val="auto"/>
              </w:rPr>
              <w:t>Total non-performing assets</w:t>
            </w:r>
          </w:p>
        </w:tc>
        <w:tc>
          <w:tcPr>
            <w:tcW w:w="92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1,190</w:t>
            </w:r>
          </w:p>
        </w:tc>
        <w:tc>
          <w:tcPr>
            <w:tcW w:w="27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1210" w:type="dxa"/>
            <w:vAlign w:val="bottom"/>
          </w:tcPr>
          <w:p>
            <w:pPr>
              <w:jc w:val="right"/>
              <w:spacing w:after="0"/>
              <w:rPr>
                <w:sz w:val="20"/>
                <w:szCs w:val="20"/>
                <w:color w:val="auto"/>
              </w:rPr>
            </w:pPr>
            <w:r>
              <w:rPr>
                <w:rFonts w:ascii="Arial" w:cs="Arial" w:eastAsia="Arial" w:hAnsi="Arial"/>
                <w:sz w:val="13"/>
                <w:szCs w:val="13"/>
                <w:color w:val="auto"/>
              </w:rPr>
              <w:t>1,578</w:t>
            </w:r>
          </w:p>
        </w:tc>
        <w:tc>
          <w:tcPr>
            <w:tcW w:w="20" w:type="dxa"/>
            <w:vAlign w:val="bottom"/>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21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ind w:left="700"/>
        <w:spacing w:after="0"/>
        <w:rPr>
          <w:sz w:val="20"/>
          <w:szCs w:val="20"/>
          <w:color w:val="auto"/>
        </w:rPr>
      </w:pPr>
      <w:r>
        <w:rPr>
          <w:rFonts w:ascii="Arial" w:cs="Arial" w:eastAsia="Arial" w:hAnsi="Arial"/>
          <w:sz w:val="13"/>
          <w:szCs w:val="13"/>
          <w:b w:val="1"/>
          <w:bCs w:val="1"/>
          <w:color w:val="auto"/>
        </w:rPr>
        <w:t>Asset quality ratios:</w:t>
      </w:r>
    </w:p>
    <w:p>
      <w:pPr>
        <w:sectPr>
          <w:pgSz w:w="11900" w:h="16838" w:orient="portrait"/>
          <w:cols w:equalWidth="0" w:num="1">
            <w:col w:w="9019"/>
          </w:cols>
          <w:pgMar w:left="1440" w:top="491" w:right="1440" w:bottom="1440" w:gutter="0" w:footer="0" w:header="0"/>
        </w:sectPr>
      </w:pPr>
    </w:p>
    <w:p>
      <w:pPr>
        <w:spacing w:after="0" w:line="1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Allowance for credit losses to total loans</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Allowance for credit losses to non-performing loans</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Non-performing loans to total loans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right"/>
              <w:spacing w:after="0"/>
              <w:rPr>
                <w:sz w:val="20"/>
                <w:szCs w:val="20"/>
                <w:color w:val="auto"/>
              </w:rPr>
            </w:pPr>
            <w:r>
              <w:rPr>
                <w:rFonts w:ascii="Arial" w:cs="Arial" w:eastAsia="Arial" w:hAnsi="Arial"/>
                <w:sz w:val="13"/>
                <w:szCs w:val="13"/>
                <w:color w:val="auto"/>
              </w:rPr>
              <w:t>1.27%</w:t>
            </w:r>
          </w:p>
        </w:tc>
        <w:tc>
          <w:tcPr>
            <w:tcW w:w="1380" w:type="dxa"/>
            <w:vAlign w:val="bottom"/>
            <w:gridSpan w:val="4"/>
          </w:tcPr>
          <w:p>
            <w:pPr>
              <w:jc w:val="right"/>
              <w:spacing w:after="0"/>
              <w:rPr>
                <w:sz w:val="20"/>
                <w:szCs w:val="20"/>
                <w:color w:val="auto"/>
              </w:rPr>
            </w:pPr>
            <w:r>
              <w:rPr>
                <w:rFonts w:ascii="Arial" w:cs="Arial" w:eastAsia="Arial" w:hAnsi="Arial"/>
                <w:sz w:val="13"/>
                <w:szCs w:val="13"/>
                <w:color w:val="auto"/>
              </w:rPr>
              <w:t>1.45%</w:t>
            </w:r>
          </w:p>
        </w:tc>
      </w:tr>
      <w:tr>
        <w:trPr>
          <w:trHeight w:val="157"/>
        </w:trPr>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4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r>
      <w:tr>
        <w:trPr>
          <w:trHeight w:val="177"/>
        </w:trPr>
        <w:tc>
          <w:tcPr>
            <w:tcW w:w="1160" w:type="dxa"/>
            <w:vAlign w:val="bottom"/>
          </w:tcPr>
          <w:p>
            <w:pPr>
              <w:jc w:val="right"/>
              <w:spacing w:after="0"/>
              <w:rPr>
                <w:sz w:val="20"/>
                <w:szCs w:val="20"/>
                <w:color w:val="auto"/>
              </w:rPr>
            </w:pPr>
            <w:r>
              <w:rPr>
                <w:rFonts w:ascii="Arial" w:cs="Arial" w:eastAsia="Arial" w:hAnsi="Arial"/>
                <w:sz w:val="13"/>
                <w:szCs w:val="13"/>
                <w:color w:val="auto"/>
              </w:rPr>
              <w:t>0.10%</w:t>
            </w:r>
          </w:p>
        </w:tc>
        <w:tc>
          <w:tcPr>
            <w:tcW w:w="1380" w:type="dxa"/>
            <w:vAlign w:val="bottom"/>
            <w:gridSpan w:val="4"/>
          </w:tcPr>
          <w:p>
            <w:pPr>
              <w:jc w:val="right"/>
              <w:spacing w:after="0"/>
              <w:rPr>
                <w:sz w:val="20"/>
                <w:szCs w:val="20"/>
                <w:color w:val="auto"/>
              </w:rPr>
            </w:pPr>
            <w:r>
              <w:rPr>
                <w:rFonts w:ascii="Arial" w:cs="Arial" w:eastAsia="Arial" w:hAnsi="Arial"/>
                <w:sz w:val="13"/>
                <w:szCs w:val="13"/>
                <w:color w:val="auto"/>
              </w:rPr>
              <w:t>0.15%</w:t>
            </w:r>
          </w:p>
        </w:tc>
      </w:tr>
    </w:tbl>
    <w:p>
      <w:pPr>
        <w:spacing w:after="0" w:line="165" w:lineRule="exact"/>
        <w:rPr>
          <w:sz w:val="20"/>
          <w:szCs w:val="20"/>
          <w:color w:val="auto"/>
        </w:rPr>
      </w:pPr>
    </w:p>
    <w:p>
      <w:pPr>
        <w:sectPr>
          <w:pgSz w:w="11900" w:h="16838" w:orient="portrait"/>
          <w:cols w:equalWidth="0" w:num="2">
            <w:col w:w="5020" w:space="720"/>
            <w:col w:w="3279"/>
          </w:cols>
          <w:pgMar w:left="1440" w:top="491" w:right="1440" w:bottom="1440" w:gutter="0" w:footer="0" w:header="0"/>
          <w:type w:val="continuous"/>
        </w:sectPr>
      </w:pPr>
    </w:p>
    <w:p>
      <w:pPr>
        <w:jc w:val="both"/>
        <w:ind w:left="660" w:right="679" w:firstLine="256"/>
        <w:spacing w:after="0" w:line="269" w:lineRule="auto"/>
        <w:rPr>
          <w:sz w:val="20"/>
          <w:szCs w:val="20"/>
          <w:color w:val="auto"/>
        </w:rPr>
      </w:pPr>
      <w:r>
        <w:rPr>
          <w:rFonts w:ascii="Arial" w:cs="Arial" w:eastAsia="Arial" w:hAnsi="Arial"/>
          <w:sz w:val="13"/>
          <w:szCs w:val="13"/>
          <w:color w:val="auto"/>
        </w:rPr>
        <w:t>Non-performing assets include all loans categorized as non-accrual or restructured, impaired securities, non-accrual TDRs,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44"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4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 TDR is a debtor that is experiencing financial difficulties and the Company grants a concession. This determination is performed during the annual review process or whenever problems are surfacing regarding the client’s ability to repay in accordance with the original terms of the loan or line of credit. In general, a borrower that can obtain funds from sources other than the Company at market interest rates at or near those for non-troubled debt is not involved in a troubled debt restructuring. The concessions are given to the debtor in various forms, including interest rate reductions, principal forgiveness, extension of maturity date, waiver, or deferral of payments and other concessions intended to minimize potential losses.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tables present performing and non-performing TDRs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December 31, 2021</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16"/>
              <w:spacing w:after="0"/>
              <w:rPr>
                <w:sz w:val="20"/>
                <w:szCs w:val="20"/>
                <w:color w:val="auto"/>
              </w:rPr>
            </w:pPr>
            <w:r>
              <w:rPr>
                <w:rFonts w:ascii="Arial" w:cs="Arial" w:eastAsia="Arial" w:hAnsi="Arial"/>
                <w:sz w:val="13"/>
                <w:szCs w:val="13"/>
                <w:b w:val="1"/>
                <w:bCs w:val="1"/>
                <w:color w:val="auto"/>
              </w:rPr>
              <w:t>Accruing</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Non-Accruing</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51"/>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71"/>
        </w:trPr>
        <w:tc>
          <w:tcPr>
            <w:tcW w:w="41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Consumer and Other</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r>
      <w:tr>
        <w:trPr>
          <w:trHeight w:val="161"/>
        </w:trPr>
        <w:tc>
          <w:tcPr>
            <w:tcW w:w="4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20" w:type="dxa"/>
            <w:vAlign w:val="bottom"/>
            <w:shd w:val="clear" w:color="auto" w:fill="CCEEFF"/>
          </w:tcPr>
          <w:p>
            <w:pPr>
              <w:spacing w:after="0"/>
              <w:rPr>
                <w:sz w:val="14"/>
                <w:szCs w:val="14"/>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9"/>
              </w:rPr>
              <w:t>December 31, 2020</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16"/>
              <w:spacing w:after="0"/>
              <w:rPr>
                <w:sz w:val="20"/>
                <w:szCs w:val="20"/>
                <w:color w:val="auto"/>
              </w:rPr>
            </w:pPr>
            <w:r>
              <w:rPr>
                <w:rFonts w:ascii="Arial" w:cs="Arial" w:eastAsia="Arial" w:hAnsi="Arial"/>
                <w:sz w:val="13"/>
                <w:szCs w:val="13"/>
                <w:b w:val="1"/>
                <w:bCs w:val="1"/>
                <w:color w:val="auto"/>
              </w:rPr>
              <w:t>Accruing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Non-Accruing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41"/>
        </w:trPr>
        <w:tc>
          <w:tcPr>
            <w:tcW w:w="414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8,884</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777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9,661</w:t>
            </w:r>
          </w:p>
        </w:tc>
        <w:tc>
          <w:tcPr>
            <w:tcW w:w="20" w:type="dxa"/>
            <w:vAlign w:val="bottom"/>
            <w:shd w:val="clear" w:color="auto" w:fill="CCEEFF"/>
          </w:tcPr>
          <w:p>
            <w:pPr>
              <w:spacing w:after="0"/>
              <w:rPr>
                <w:sz w:val="12"/>
                <w:szCs w:val="12"/>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733</w:t>
            </w:r>
          </w:p>
        </w:tc>
        <w:tc>
          <w:tcPr>
            <w:tcW w:w="20" w:type="dxa"/>
            <w:vAlign w:val="bottom"/>
          </w:tcPr>
          <w:p>
            <w:pPr>
              <w:spacing w:after="0"/>
              <w:rPr>
                <w:sz w:val="14"/>
                <w:szCs w:val="14"/>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shd w:val="clear" w:color="auto" w:fill="CCEEFF"/>
          </w:tcPr>
          <w:p>
            <w:pPr>
              <w:spacing w:after="0"/>
              <w:rPr>
                <w:sz w:val="14"/>
                <w:szCs w:val="14"/>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w:t>
            </w:r>
          </w:p>
        </w:tc>
        <w:tc>
          <w:tcPr>
            <w:tcW w:w="20" w:type="dxa"/>
            <w:vAlign w:val="bottom"/>
          </w:tcPr>
          <w:p>
            <w:pPr>
              <w:spacing w:after="0"/>
              <w:rPr>
                <w:sz w:val="15"/>
                <w:szCs w:val="15"/>
                <w:color w:val="auto"/>
              </w:rPr>
            </w:pPr>
          </w:p>
        </w:tc>
      </w:tr>
      <w:tr>
        <w:trPr>
          <w:trHeight w:val="152"/>
        </w:trPr>
        <w:tc>
          <w:tcPr>
            <w:tcW w:w="4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10,074</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10,874</w:t>
            </w:r>
          </w:p>
        </w:tc>
        <w:tc>
          <w:tcPr>
            <w:tcW w:w="20" w:type="dxa"/>
            <w:vAlign w:val="bottom"/>
            <w:shd w:val="clear" w:color="auto" w:fill="CCEEFF"/>
          </w:tcPr>
          <w:p>
            <w:pPr>
              <w:spacing w:after="0"/>
              <w:rPr>
                <w:sz w:val="13"/>
                <w:szCs w:val="13"/>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The Company had allocated $360 thousand and $453 thousand of specific allowance for TDR loans at December 31, 2021 and 2020, respectively. There was no commitment to lend additional funds to these TDR customers.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type w:val="continuous"/>
        </w:sectPr>
      </w:pPr>
    </w:p>
    <w:bookmarkStart w:id="55" w:name="page56"/>
    <w:bookmarkEnd w:id="5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Charge-offs on TDR loans for the years ended December 31, 2021 and 2020 was $18 thousand and $153 thousand, respectively. There were no defaults on TDR loans at December 31, 2021 and 2020 within the prior 12 months. The Company did not have any new TDR loans for the year ended December 31, 2021.</w:t>
      </w:r>
    </w:p>
    <w:p>
      <w:pPr>
        <w:spacing w:after="0" w:line="158"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Company provided financial relief to borrowers impacted by COVID-19 and provided modifications to include interest only deferral or principal and interest deferral. These modifications are excluded from TDR, classification under Section 4013 of the CARES Act or under applicable interagency guidance of the federal banking regulators.</w:t>
      </w:r>
    </w:p>
    <w:p>
      <w:pPr>
        <w:spacing w:after="0" w:line="152"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For further discussion on non-performing loans, see Note 3 “Loans” to the Consolidated Financial Statements of this Form 10-K.</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In determining the balance of the allowance account, loans are pooled by product segments with similar risk characteristics and management evaluates the ACL on each segment and on a regular basis to maintain the allowance at an adequate level based on factors which, in management’s judgment, deserve current recognition in estimating credit losses. Such factors include changes in prevailing economic conditions, historical loss experience, delinquency trends, changes in the composition and size of the loan portfolio and the overall credit worthiness of the borrowers.</w:t>
      </w:r>
    </w:p>
    <w:p>
      <w:pPr>
        <w:spacing w:after="0" w:line="160"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Additionally, qualitative adjustments are made to the ACL when, based on management’s judgment, there are factors impacting the allowance estimate not considered by the quantitative calculations.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6"/>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9"/>
              </w:rPr>
              <w:t>Real Estate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8"/>
              </w:rPr>
              <w:t>and Industrial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41"/>
        </w:trPr>
        <w:tc>
          <w:tcPr>
            <w:tcW w:w="20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December 31, 2021:</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3,408</w:t>
            </w:r>
          </w:p>
        </w:tc>
        <w:tc>
          <w:tcPr>
            <w:tcW w:w="20" w:type="dxa"/>
            <w:vAlign w:val="bottom"/>
          </w:tcPr>
          <w:p>
            <w:pPr>
              <w:spacing w:after="0"/>
              <w:rPr>
                <w:sz w:val="14"/>
                <w:szCs w:val="14"/>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9,453</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1,689</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348</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188</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15,086</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(160)</w:t>
            </w: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392</w:t>
            </w:r>
          </w:p>
        </w:tc>
        <w:tc>
          <w:tcPr>
            <w:tcW w:w="20" w:type="dxa"/>
            <w:vAlign w:val="bottom"/>
          </w:tcPr>
          <w:p>
            <w:pPr>
              <w:spacing w:after="0"/>
              <w:rPr>
                <w:sz w:val="14"/>
                <w:szCs w:val="14"/>
                <w:color w:val="auto"/>
              </w:rPr>
            </w:pPr>
          </w:p>
        </w:tc>
      </w:tr>
      <w:tr>
        <w:trPr>
          <w:trHeight w:val="160"/>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(261)</w:t>
            </w:r>
          </w:p>
        </w:tc>
      </w:tr>
      <w:tr>
        <w:trPr>
          <w:trHeight w:val="212"/>
        </w:trPr>
        <w:tc>
          <w:tcPr>
            <w:tcW w:w="208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2,498</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8,758</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2,775</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457</w:t>
            </w:r>
          </w:p>
        </w:tc>
        <w:tc>
          <w:tcPr>
            <w:tcW w:w="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569</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Borders>
              <w:top w:val="single" w:sz="8" w:color="CCEEFF"/>
            </w:tcBorders>
          </w:tcPr>
          <w:p>
            <w:pPr>
              <w:spacing w:after="0"/>
              <w:rPr>
                <w:sz w:val="18"/>
                <w:szCs w:val="18"/>
                <w:color w:val="auto"/>
              </w:rPr>
            </w:pPr>
          </w:p>
        </w:tc>
      </w:tr>
      <w:tr>
        <w:trPr>
          <w:trHeight w:val="121"/>
        </w:trPr>
        <w:tc>
          <w:tcPr>
            <w:tcW w:w="20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212,867</w:t>
            </w:r>
          </w:p>
        </w:tc>
        <w:tc>
          <w:tcPr>
            <w:tcW w:w="20" w:type="dxa"/>
            <w:vAlign w:val="bottom"/>
          </w:tcPr>
          <w:p>
            <w:pPr>
              <w:spacing w:after="0"/>
              <w:rPr>
                <w:sz w:val="14"/>
                <w:szCs w:val="14"/>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654,723</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153,763</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52,187</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42,602</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1,116,142</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3,749</w:t>
            </w:r>
          </w:p>
        </w:tc>
        <w:tc>
          <w:tcPr>
            <w:tcW w:w="20" w:type="dxa"/>
            <w:vAlign w:val="bottom"/>
          </w:tcPr>
          <w:p>
            <w:pPr>
              <w:spacing w:after="0"/>
              <w:rPr>
                <w:sz w:val="14"/>
                <w:szCs w:val="14"/>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6,591</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1,214</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332</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112</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11,998</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w:t>
            </w:r>
          </w:p>
        </w:tc>
        <w:tc>
          <w:tcPr>
            <w:tcW w:w="20" w:type="dxa"/>
            <w:vAlign w:val="bottom"/>
            <w:shd w:val="clear" w:color="auto" w:fill="CCEEFF"/>
          </w:tcPr>
          <w:p>
            <w:pPr>
              <w:spacing w:after="0"/>
              <w:rPr>
                <w:sz w:val="14"/>
                <w:szCs w:val="14"/>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494</w:t>
            </w:r>
          </w:p>
        </w:tc>
        <w:tc>
          <w:tcPr>
            <w:tcW w:w="20" w:type="dxa"/>
            <w:vAlign w:val="bottom"/>
          </w:tcPr>
          <w:p>
            <w:pPr>
              <w:spacing w:after="0"/>
              <w:rPr>
                <w:sz w:val="14"/>
                <w:szCs w:val="14"/>
                <w:color w:val="auto"/>
              </w:rPr>
            </w:pPr>
          </w:p>
        </w:tc>
      </w:tr>
      <w:tr>
        <w:trPr>
          <w:trHeight w:val="160"/>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(656)</w:t>
            </w:r>
          </w:p>
        </w:tc>
      </w:tr>
      <w:tr>
        <w:trPr>
          <w:trHeight w:val="212"/>
        </w:trPr>
        <w:tc>
          <w:tcPr>
            <w:tcW w:w="208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3,408</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9,453</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1,689</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348</w:t>
            </w:r>
          </w:p>
        </w:tc>
        <w:tc>
          <w:tcPr>
            <w:tcW w:w="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15,086</w:t>
            </w:r>
          </w:p>
        </w:tc>
        <w:tc>
          <w:tcPr>
            <w:tcW w:w="20" w:type="dxa"/>
            <w:vAlign w:val="bottom"/>
            <w:tcBorders>
              <w:top w:val="single" w:sz="8" w:color="CCEEFF"/>
            </w:tcBorders>
          </w:tcPr>
          <w:p>
            <w:pPr>
              <w:spacing w:after="0"/>
              <w:rPr>
                <w:sz w:val="18"/>
                <w:szCs w:val="18"/>
                <w:color w:val="auto"/>
              </w:rPr>
            </w:pPr>
          </w:p>
        </w:tc>
      </w:tr>
      <w:tr>
        <w:trPr>
          <w:trHeight w:val="121"/>
        </w:trPr>
        <w:tc>
          <w:tcPr>
            <w:tcW w:w="20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258,728</w:t>
            </w:r>
          </w:p>
        </w:tc>
        <w:tc>
          <w:tcPr>
            <w:tcW w:w="20" w:type="dxa"/>
            <w:vAlign w:val="bottom"/>
          </w:tcPr>
          <w:p>
            <w:pPr>
              <w:spacing w:after="0"/>
              <w:rPr>
                <w:sz w:val="14"/>
                <w:szCs w:val="14"/>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596,022</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122,177</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43,433</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6,545</w:t>
            </w:r>
          </w:p>
        </w:tc>
        <w:tc>
          <w:tcPr>
            <w:tcW w:w="20" w:type="dxa"/>
            <w:vAlign w:val="bottom"/>
          </w:tcPr>
          <w:p>
            <w:pPr>
              <w:spacing w:after="0"/>
              <w:rPr>
                <w:sz w:val="14"/>
                <w:szCs w:val="1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1,026,905</w:t>
            </w: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0.02%</w:t>
            </w:r>
          </w:p>
        </w:tc>
      </w:tr>
    </w:tbl>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8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At December 31, 2021, the combined cash surrender value of all bank-owned life insurance (“BOLI”) policies was $41.7 million. Changes in cash surrender value are recorded in non-interest income on the Consolidated Statements of Operations. In 2021, the Company maintained BOLI policies with five insurance carriers. The Company is the beneficiary of these policies.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7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SMBs, and the personal business of owners and operators of these SMBs, as well as the retail/consumer relationships of the employees of these businesses. Our focus on quality and customer service</w:t>
      </w:r>
    </w:p>
    <w:p>
      <w:pPr>
        <w:spacing w:after="0" w:line="3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6" w:name="page57"/>
    <w:bookmarkEnd w:id="5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99"/>
        <w:spacing w:after="0" w:line="252" w:lineRule="auto"/>
        <w:rPr>
          <w:sz w:val="20"/>
          <w:szCs w:val="20"/>
          <w:color w:val="auto"/>
        </w:rPr>
      </w:pPr>
      <w:r>
        <w:rPr>
          <w:rFonts w:ascii="Arial" w:cs="Arial" w:eastAsia="Arial" w:hAnsi="Arial"/>
          <w:sz w:val="14"/>
          <w:szCs w:val="14"/>
          <w:color w:val="auto"/>
        </w:rPr>
        <w:t>has created a strong brand recognition within our depositors, which reflects in the composition of our deposits; most of our funding sources are core deposits.</w:t>
      </w:r>
    </w:p>
    <w:p>
      <w:pPr>
        <w:spacing w:after="0" w:line="15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Additionally, our personal and private banking management line of business is focused on the needs of the owners and operators of our business customers, offering a suite of checking, savings, money market and time deposit accounts, and utilizing superior client service to build and expand client relationships. A unique aspect of our business model is our ability to offer correspondent services to banks in Central America and the Caribbean.</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daily average balance and average rate paid on deposits by category as of</w:t>
      </w:r>
    </w:p>
    <w:p>
      <w:pPr>
        <w:ind w:left="660"/>
        <w:spacing w:after="0"/>
        <w:rPr>
          <w:sz w:val="20"/>
          <w:szCs w:val="20"/>
          <w:color w:val="auto"/>
        </w:rPr>
      </w:pPr>
      <w:r>
        <w:rPr>
          <w:rFonts w:ascii="Arial" w:cs="Arial" w:eastAsia="Arial" w:hAnsi="Arial"/>
          <w:sz w:val="14"/>
          <w:szCs w:val="14"/>
          <w:color w:val="auto"/>
        </w:rPr>
        <w:t>December 31, 2021 and 2020 (in thousands, except ratios):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89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5" w:type="dxa"/>
            <w:vAlign w:val="bottom"/>
            <w:tcBorders>
              <w:bottom w:val="single" w:sz="8" w:color="auto"/>
            </w:tcBorders>
          </w:tcPr>
          <w:p>
            <w:pPr>
              <w:spacing w:after="0"/>
              <w:rPr>
                <w:sz w:val="13"/>
                <w:szCs w:val="13"/>
                <w:color w:val="auto"/>
              </w:rPr>
            </w:pPr>
          </w:p>
        </w:tc>
        <w:tc>
          <w:tcPr>
            <w:tcW w:w="905"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1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1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Average</w:t>
            </w:r>
          </w:p>
        </w:tc>
        <w:tc>
          <w:tcPr>
            <w:tcW w:w="72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925"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7"/>
                <w:szCs w:val="17"/>
                <w:color w:val="auto"/>
              </w:rPr>
            </w:pPr>
          </w:p>
        </w:tc>
      </w:tr>
      <w:tr>
        <w:trPr>
          <w:trHeight w:val="173"/>
        </w:trPr>
        <w:tc>
          <w:tcPr>
            <w:tcW w:w="1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Balance</w:t>
            </w:r>
          </w:p>
        </w:tc>
        <w:tc>
          <w:tcPr>
            <w:tcW w:w="7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Rate Paid</w:t>
            </w:r>
          </w:p>
        </w:tc>
        <w:tc>
          <w:tcPr>
            <w:tcW w:w="10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925"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Balance</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Rate Paid</w:t>
            </w:r>
          </w:p>
        </w:tc>
        <w:tc>
          <w:tcPr>
            <w:tcW w:w="20" w:type="dxa"/>
            <w:vAlign w:val="bottom"/>
          </w:tcPr>
          <w:p>
            <w:pPr>
              <w:spacing w:after="0"/>
              <w:rPr>
                <w:sz w:val="15"/>
                <w:szCs w:val="15"/>
                <w:color w:val="auto"/>
              </w:rPr>
            </w:pPr>
          </w:p>
        </w:tc>
      </w:tr>
      <w:tr>
        <w:trPr>
          <w:trHeight w:val="141"/>
        </w:trPr>
        <w:tc>
          <w:tcPr>
            <w:tcW w:w="4000" w:type="dxa"/>
            <w:vAlign w:val="bottom"/>
            <w:tcBorders>
              <w:top w:val="single" w:sz="8" w:color="CCEEFF"/>
            </w:tcBorders>
            <w:gridSpan w:val="2"/>
            <w:shd w:val="clear" w:color="auto" w:fill="CCEEFF"/>
          </w:tcPr>
          <w:p>
            <w:pPr>
              <w:ind w:left="40"/>
              <w:spacing w:after="0" w:line="141" w:lineRule="exact"/>
              <w:rPr>
                <w:sz w:val="20"/>
                <w:szCs w:val="20"/>
                <w:color w:val="auto"/>
              </w:rPr>
            </w:pPr>
            <w:r>
              <w:rPr>
                <w:rFonts w:ascii="Arial" w:cs="Arial" w:eastAsia="Arial" w:hAnsi="Arial"/>
                <w:sz w:val="13"/>
                <w:szCs w:val="13"/>
                <w:color w:val="auto"/>
              </w:rPr>
              <w:t>Non-interest-bearing deposits</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77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547,116</w:t>
            </w:r>
          </w:p>
        </w:tc>
        <w:tc>
          <w:tcPr>
            <w:tcW w:w="20" w:type="dxa"/>
            <w:vAlign w:val="bottom"/>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00" w:type="dxa"/>
            <w:vAlign w:val="bottom"/>
            <w:tcBorders>
              <w:top w:val="single" w:sz="8" w:color="CCEEFF"/>
            </w:tcBorders>
            <w:shd w:val="clear" w:color="auto" w:fill="CCEEFF"/>
          </w:tcPr>
          <w:p>
            <w:pPr>
              <w:spacing w:after="0"/>
              <w:rPr>
                <w:sz w:val="12"/>
                <w:szCs w:val="12"/>
                <w:color w:val="auto"/>
              </w:rPr>
            </w:pPr>
          </w:p>
        </w:tc>
        <w:tc>
          <w:tcPr>
            <w:tcW w:w="135"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785"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390,467</w:t>
            </w:r>
          </w:p>
        </w:tc>
        <w:tc>
          <w:tcPr>
            <w:tcW w:w="20" w:type="dxa"/>
            <w:vAlign w:val="bottom"/>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2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2"/>
                <w:szCs w:val="12"/>
                <w:color w:val="auto"/>
              </w:rPr>
            </w:pPr>
          </w:p>
        </w:tc>
      </w:tr>
      <w:tr>
        <w:trPr>
          <w:trHeight w:val="171"/>
        </w:trPr>
        <w:tc>
          <w:tcPr>
            <w:tcW w:w="4040" w:type="dxa"/>
            <w:vAlign w:val="bottom"/>
            <w:gridSpan w:val="3"/>
          </w:tcPr>
          <w:p>
            <w:pPr>
              <w:ind w:left="40"/>
              <w:spacing w:after="0"/>
              <w:rPr>
                <w:sz w:val="20"/>
                <w:szCs w:val="20"/>
                <w:color w:val="auto"/>
              </w:rPr>
            </w:pPr>
            <w:r>
              <w:rPr>
                <w:rFonts w:ascii="Arial" w:cs="Arial" w:eastAsia="Arial" w:hAnsi="Arial"/>
                <w:sz w:val="13"/>
                <w:szCs w:val="13"/>
                <w:color w:val="auto"/>
              </w:rPr>
              <w:t>Interest-bearing transaction accounts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jc w:val="right"/>
              <w:spacing w:after="0"/>
              <w:rPr>
                <w:sz w:val="20"/>
                <w:szCs w:val="20"/>
                <w:color w:val="auto"/>
              </w:rPr>
            </w:pPr>
            <w:r>
              <w:rPr>
                <w:rFonts w:ascii="Arial" w:cs="Arial" w:eastAsia="Arial" w:hAnsi="Arial"/>
                <w:sz w:val="13"/>
                <w:szCs w:val="13"/>
                <w:color w:val="auto"/>
              </w:rPr>
              <w:t>52,379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0.11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785" w:type="dxa"/>
            <w:vAlign w:val="bottom"/>
          </w:tcPr>
          <w:p>
            <w:pPr>
              <w:jc w:val="right"/>
              <w:spacing w:after="0"/>
              <w:rPr>
                <w:sz w:val="20"/>
                <w:szCs w:val="20"/>
                <w:color w:val="auto"/>
              </w:rPr>
            </w:pPr>
            <w:r>
              <w:rPr>
                <w:rFonts w:ascii="Arial" w:cs="Arial" w:eastAsia="Arial" w:hAnsi="Arial"/>
                <w:sz w:val="13"/>
                <w:szCs w:val="13"/>
                <w:color w:val="auto"/>
              </w:rPr>
              <w:t>46,819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0.34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Saving and money market deposits</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619,810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0" w:type="dxa"/>
            <w:vAlign w:val="bottom"/>
            <w:shd w:val="clear" w:color="auto" w:fill="CCEEFF"/>
          </w:tcPr>
          <w:p>
            <w:pPr>
              <w:spacing w:after="0"/>
              <w:rPr>
                <w:sz w:val="14"/>
                <w:szCs w:val="14"/>
                <w:color w:val="auto"/>
              </w:rPr>
            </w:pPr>
          </w:p>
        </w:tc>
        <w:tc>
          <w:tcPr>
            <w:tcW w:w="135" w:type="dxa"/>
            <w:vAlign w:val="bottom"/>
            <w:shd w:val="clear" w:color="auto" w:fill="CCEEFF"/>
          </w:tcPr>
          <w:p>
            <w:pPr>
              <w:spacing w:after="0"/>
              <w:rPr>
                <w:sz w:val="14"/>
                <w:szCs w:val="14"/>
                <w:color w:val="auto"/>
              </w:rPr>
            </w:pPr>
          </w:p>
        </w:tc>
        <w:tc>
          <w:tcPr>
            <w:tcW w:w="785"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473,028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404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7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235,127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0.65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35" w:type="dxa"/>
            <w:vAlign w:val="bottom"/>
            <w:tcBorders>
              <w:bottom w:val="single" w:sz="8" w:color="auto"/>
            </w:tcBorders>
          </w:tcPr>
          <w:p>
            <w:pPr>
              <w:spacing w:after="0"/>
              <w:rPr>
                <w:sz w:val="14"/>
                <w:szCs w:val="14"/>
                <w:color w:val="auto"/>
              </w:rPr>
            </w:pPr>
          </w:p>
        </w:tc>
        <w:tc>
          <w:tcPr>
            <w:tcW w:w="785"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276,462</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r>
      <w:tr>
        <w:trPr>
          <w:trHeight w:val="172"/>
        </w:trPr>
        <w:tc>
          <w:tcPr>
            <w:tcW w:w="120" w:type="dxa"/>
            <w:vAlign w:val="bottom"/>
            <w:tcBorders>
              <w:bottom w:val="single" w:sz="8" w:color="CCEEFF"/>
            </w:tcBorders>
            <w:shd w:val="clear" w:color="auto" w:fill="CCEEFF"/>
          </w:tcPr>
          <w:p>
            <w:pPr>
              <w:spacing w:after="0"/>
              <w:rPr>
                <w:sz w:val="14"/>
                <w:szCs w:val="14"/>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deposits</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1,454,432</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0" w:type="dxa"/>
            <w:vAlign w:val="bottom"/>
            <w:tcBorders>
              <w:bottom w:val="single" w:sz="8" w:color="CCEEFF"/>
            </w:tcBorders>
            <w:shd w:val="clear" w:color="auto" w:fill="CCEEFF"/>
          </w:tcPr>
          <w:p>
            <w:pPr>
              <w:spacing w:after="0"/>
              <w:rPr>
                <w:sz w:val="14"/>
                <w:szCs w:val="14"/>
                <w:color w:val="auto"/>
              </w:rPr>
            </w:pPr>
          </w:p>
        </w:tc>
        <w:tc>
          <w:tcPr>
            <w:tcW w:w="135"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85"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1,186,777</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78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Total average deposits at December 31, 2021 was $1.5 billion, an increase of $267.7 million, or 22.6% over total average deposits of $1.2 billion for the same period in 2020. Our focus on demand deposits has resulted in an increase in average balances of $156.6 million, or 40.1%, in non-interest bearing demand deposits and an increase of $146.8 million, or 31.0%, in saving and money market deposits when comparing the average balances for the years ended December 31, 2021 and 2020.</w:t>
      </w:r>
    </w:p>
    <w:p>
      <w:pPr>
        <w:spacing w:after="0" w:line="146"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Bank per account holder. Total estimated uninsured deposits were $897.8 million and $606.1 million at December 31, 2021 and 2020, respectively. Time deposits with balances of $250 thousand or more totaled $119.4 million and $104.1 million at December 31, 2021 and 2020, respectively.</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following table shows scheduled maturities of uninsured time deposits as of December 31, 2021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28,707</w:t>
            </w:r>
          </w:p>
        </w:tc>
        <w:tc>
          <w:tcPr>
            <w:tcW w:w="20" w:type="dxa"/>
            <w:vAlign w:val="bottom"/>
            <w:shd w:val="clear" w:color="auto" w:fill="CCEEFF"/>
          </w:tcPr>
          <w:p>
            <w:pPr>
              <w:spacing w:after="0"/>
              <w:rPr>
                <w:sz w:val="14"/>
                <w:szCs w:val="14"/>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9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7,948</w:t>
            </w:r>
          </w:p>
        </w:tc>
        <w:tc>
          <w:tcPr>
            <w:tcW w:w="20" w:type="dxa"/>
            <w:vAlign w:val="bottom"/>
          </w:tcPr>
          <w:p>
            <w:pPr>
              <w:spacing w:after="0"/>
              <w:rPr>
                <w:sz w:val="14"/>
                <w:szCs w:val="14"/>
                <w:color w:val="auto"/>
              </w:rPr>
            </w:pPr>
          </w:p>
        </w:tc>
      </w:tr>
      <w:tr>
        <w:trPr>
          <w:trHeight w:val="171"/>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9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42,106</w:t>
            </w:r>
          </w:p>
        </w:tc>
        <w:tc>
          <w:tcPr>
            <w:tcW w:w="20" w:type="dxa"/>
            <w:vAlign w:val="bottom"/>
            <w:shd w:val="clear" w:color="auto" w:fill="CCEEFF"/>
          </w:tcPr>
          <w:p>
            <w:pPr>
              <w:spacing w:after="0"/>
              <w:rPr>
                <w:sz w:val="14"/>
                <w:szCs w:val="14"/>
                <w:color w:val="auto"/>
              </w:rPr>
            </w:pPr>
          </w:p>
        </w:tc>
      </w:tr>
      <w:tr>
        <w:trPr>
          <w:trHeight w:val="160"/>
        </w:trPr>
        <w:tc>
          <w:tcPr>
            <w:tcW w:w="54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9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24,094</w:t>
            </w:r>
          </w:p>
        </w:tc>
        <w:tc>
          <w:tcPr>
            <w:tcW w:w="20" w:type="dxa"/>
            <w:vAlign w:val="bottom"/>
          </w:tcPr>
          <w:p>
            <w:pPr>
              <w:spacing w:after="0"/>
              <w:rPr>
                <w:sz w:val="13"/>
                <w:szCs w:val="13"/>
                <w:color w:val="auto"/>
              </w:rPr>
            </w:pPr>
          </w:p>
        </w:tc>
      </w:tr>
      <w:tr>
        <w:trPr>
          <w:trHeight w:val="20"/>
        </w:trPr>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54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776"/>
              <w:spacing w:after="0" w:line="131"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102,855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5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a member of the FHLB, we are eligible for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5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As of December 31, 2021 and 2020, there was $36.0 million of fixed rate advances from the FHLB outstanding with a weighted average rate of 1.52%. Most of the advances are due in the first two quarters of 2025.</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December 31, 2021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3"/>
                <w:szCs w:val="13"/>
                <w:color w:val="auto"/>
              </w:rPr>
            </w:pPr>
          </w:p>
        </w:tc>
        <w:tc>
          <w:tcPr>
            <w:tcW w:w="1840" w:type="dxa"/>
            <w:vAlign w:val="bottom"/>
          </w:tcPr>
          <w:p>
            <w:pPr>
              <w:jc w:val="right"/>
              <w:ind w:right="436"/>
              <w:spacing w:after="0"/>
              <w:rPr>
                <w:sz w:val="20"/>
                <w:szCs w:val="20"/>
                <w:color w:val="auto"/>
              </w:rPr>
            </w:pPr>
            <w:r>
              <w:rPr>
                <w:rFonts w:ascii="Arial" w:cs="Arial" w:eastAsia="Arial" w:hAnsi="Arial"/>
                <w:sz w:val="13"/>
                <w:szCs w:val="13"/>
                <w:b w:val="1"/>
                <w:bCs w:val="1"/>
                <w:color w:val="auto"/>
              </w:rPr>
              <w:t>Maturity Date</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1870" w:type="dxa"/>
            <w:vAlign w:val="bottom"/>
            <w:gridSpan w:val="2"/>
          </w:tcPr>
          <w:p>
            <w:pPr>
              <w:ind w:left="610"/>
              <w:spacing w:after="0"/>
              <w:rPr>
                <w:sz w:val="20"/>
                <w:szCs w:val="20"/>
                <w:color w:val="auto"/>
              </w:rPr>
            </w:pPr>
            <w:r>
              <w:rPr>
                <w:rFonts w:ascii="Arial" w:cs="Arial" w:eastAsia="Arial" w:hAnsi="Arial"/>
                <w:sz w:val="13"/>
                <w:szCs w:val="13"/>
                <w:b w:val="1"/>
                <w:bCs w:val="1"/>
                <w:color w:val="auto"/>
              </w:rPr>
              <w:t>Amount</w:t>
            </w:r>
          </w:p>
        </w:tc>
      </w:tr>
      <w:tr>
        <w:trPr>
          <w:trHeight w:val="20"/>
        </w:trPr>
        <w:tc>
          <w:tcPr>
            <w:tcW w:w="18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top w:val="single" w:sz="8" w:color="auto"/>
            </w:tcBorders>
          </w:tcPr>
          <w:p>
            <w:pPr>
              <w:spacing w:after="0" w:line="20" w:lineRule="exact"/>
              <w:rPr>
                <w:sz w:val="1"/>
                <w:szCs w:val="1"/>
                <w:color w:val="auto"/>
              </w:rPr>
            </w:pPr>
          </w:p>
        </w:tc>
        <w:tc>
          <w:tcPr>
            <w:tcW w:w="185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18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0.81%</w:t>
            </w: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August 17, 2023</w:t>
            </w:r>
          </w:p>
        </w:tc>
        <w:tc>
          <w:tcPr>
            <w:tcW w:w="6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85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2"/>
                <w:szCs w:val="12"/>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July 30, 2024</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85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March 27, 2025</w:t>
            </w:r>
          </w:p>
        </w:tc>
        <w:tc>
          <w:tcPr>
            <w:tcW w:w="6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18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w w:val="97"/>
              </w:rPr>
              <w:t>1.91%</w:t>
            </w:r>
          </w:p>
        </w:tc>
        <w:tc>
          <w:tcPr>
            <w:tcW w:w="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March 28, 2025</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85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1.81%</w:t>
            </w:r>
          </w:p>
        </w:tc>
        <w:tc>
          <w:tcPr>
            <w:tcW w:w="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April 17, 2025</w:t>
            </w:r>
          </w:p>
        </w:tc>
        <w:tc>
          <w:tcPr>
            <w:tcW w:w="6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18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July 18, 2025</w:t>
            </w:r>
          </w:p>
        </w:tc>
        <w:tc>
          <w:tcPr>
            <w:tcW w:w="60" w:type="dxa"/>
            <w:vAlign w:val="bottom"/>
            <w:tcBorders>
              <w:bottom w:val="single" w:sz="8" w:color="CCEEFF"/>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18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3"/>
                <w:szCs w:val="13"/>
                <w:color w:val="auto"/>
              </w:rPr>
            </w:pPr>
          </w:p>
        </w:tc>
      </w:tr>
      <w:tr>
        <w:trPr>
          <w:trHeight w:val="20"/>
        </w:trPr>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8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8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85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7" w:name="page58"/>
    <w:bookmarkEnd w:id="5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December 31, 2021, there were no outstanding balances with the Fed Funds line of credit.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as we do for on-balance sheet items. We are not aware of any accounting loss to be incurred by funding these commitments; however, we maintain an allowance for off-balance sheet credit risk which is recorded under other liabilities on the Consolidated Balance Sheets.</w:t>
      </w:r>
    </w:p>
    <w:p>
      <w:pPr>
        <w:spacing w:after="0" w:line="15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the actual future cash funding requirements . The following table presents lending related commitments outstanding as of December 31, 2021 and 2020 (in thousands):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r>
      <w:tr>
        <w:trPr>
          <w:trHeight w:val="141"/>
        </w:trPr>
        <w:tc>
          <w:tcPr>
            <w:tcW w:w="5040" w:type="dxa"/>
            <w:vAlign w:val="bottom"/>
            <w:tcBorders>
              <w:top w:val="single" w:sz="8" w:color="CCEEFF"/>
            </w:tcBorders>
            <w:gridSpan w:val="2"/>
            <w:shd w:val="clear" w:color="auto" w:fill="CCEEFF"/>
          </w:tcPr>
          <w:p>
            <w:pPr>
              <w:ind w:left="40"/>
              <w:spacing w:after="0" w:line="134"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134,877</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107,553</w:t>
            </w:r>
          </w:p>
        </w:tc>
        <w:tc>
          <w:tcPr>
            <w:tcW w:w="20" w:type="dxa"/>
            <w:vAlign w:val="bottom"/>
            <w:shd w:val="clear" w:color="auto" w:fill="CCEEFF"/>
          </w:tcPr>
          <w:p>
            <w:pPr>
              <w:spacing w:after="0"/>
              <w:rPr>
                <w:sz w:val="12"/>
                <w:szCs w:val="12"/>
                <w:color w:val="auto"/>
              </w:rPr>
            </w:pPr>
          </w:p>
        </w:tc>
      </w:tr>
      <w:tr>
        <w:trPr>
          <w:trHeight w:val="180"/>
        </w:trPr>
        <w:tc>
          <w:tcPr>
            <w:tcW w:w="5040" w:type="dxa"/>
            <w:vAlign w:val="bottom"/>
            <w:gridSpan w:val="2"/>
          </w:tcPr>
          <w:p>
            <w:pPr>
              <w:ind w:left="40"/>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6,420</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1,813</w:t>
            </w:r>
          </w:p>
        </w:tc>
        <w:tc>
          <w:tcPr>
            <w:tcW w:w="20" w:type="dxa"/>
            <w:vAlign w:val="bottom"/>
          </w:tcPr>
          <w:p>
            <w:pPr>
              <w:spacing w:after="0"/>
              <w:rPr>
                <w:sz w:val="15"/>
                <w:szCs w:val="15"/>
                <w:color w:val="auto"/>
              </w:rPr>
            </w:pPr>
          </w:p>
        </w:tc>
      </w:tr>
      <w:tr>
        <w:trPr>
          <w:trHeight w:val="152"/>
        </w:trPr>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920" w:type="dxa"/>
            <w:vAlign w:val="bottom"/>
            <w:tcBorders>
              <w:top w:val="single" w:sz="8" w:color="CCEEFF"/>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Total</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141,297</w:t>
            </w: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11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109,366</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6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56"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88" w:lineRule="exact"/>
        <w:rPr>
          <w:sz w:val="20"/>
          <w:szCs w:val="20"/>
          <w:color w:val="auto"/>
        </w:rPr>
      </w:pPr>
    </w:p>
    <w:p>
      <w:pPr>
        <w:jc w:val="both"/>
        <w:ind w:left="660" w:right="699" w:firstLine="256"/>
        <w:spacing w:after="0" w:line="243" w:lineRule="auto"/>
        <w:rPr>
          <w:sz w:val="20"/>
          <w:szCs w:val="20"/>
          <w:color w:val="auto"/>
        </w:rPr>
      </w:pPr>
      <w:r>
        <w:rPr>
          <w:rFonts w:ascii="Arial" w:cs="Arial" w:eastAsia="Arial" w:hAnsi="Arial"/>
          <w:sz w:val="14"/>
          <w:szCs w:val="14"/>
          <w:color w:val="auto"/>
        </w:rPr>
        <w:t>The asset and liability management committee of our Company, or ALCO, consists of members of senior management and our Board. Senior management is responsible for ensuring in a timely manner that Board approved strategies, policies, and procedures for managing and mitigating risks are appropriately executed within the designated lines of authority and responsibility.</w:t>
      </w:r>
    </w:p>
    <w:p>
      <w:pPr>
        <w:spacing w:after="0" w:line="159" w:lineRule="exact"/>
        <w:rPr>
          <w:sz w:val="20"/>
          <w:szCs w:val="20"/>
          <w:color w:val="auto"/>
        </w:rPr>
      </w:pPr>
    </w:p>
    <w:p>
      <w:pPr>
        <w:jc w:val="both"/>
        <w:ind w:left="660" w:right="659" w:firstLine="256"/>
        <w:spacing w:after="0" w:line="268"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31"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While some degree of IRR (“Internal Rate of Return”) is inherent to the banking business, our ALCO has established sound risk management practices in place to identify, measure, monitor and mitigate IRR exposures.</w:t>
      </w:r>
    </w:p>
    <w:p>
      <w:pPr>
        <w:spacing w:after="0" w:line="131"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deposits volatility and reduced earnings or outright losses could adversely affect the Company’s liquidity, performance, and capital adequacy.</w:t>
      </w:r>
    </w:p>
    <w:p>
      <w:pPr>
        <w:spacing w:after="0" w:line="152"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w:t>
      </w:r>
    </w:p>
    <w:p>
      <w:pPr>
        <w:spacing w:after="0" w:line="17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8" w:name="page59"/>
    <w:bookmarkEnd w:id="5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58"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To have a more complete picture of IRR, the Company also evaluates the economic value of equity, or EVE. This assessment will allow us to measure the degree to which the economic values will change under different interest rate scenarios (parallel and non-parallel). The economic-value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88" w:lineRule="exact"/>
        <w:rPr>
          <w:sz w:val="20"/>
          <w:szCs w:val="20"/>
          <w:color w:val="auto"/>
        </w:rPr>
      </w:pPr>
    </w:p>
    <w:p>
      <w:pPr>
        <w:jc w:val="both"/>
        <w:ind w:left="660" w:right="679" w:firstLine="299"/>
        <w:spacing w:after="0" w:line="245" w:lineRule="auto"/>
        <w:rPr>
          <w:sz w:val="20"/>
          <w:szCs w:val="20"/>
          <w:color w:val="auto"/>
        </w:rPr>
      </w:pPr>
      <w:r>
        <w:rPr>
          <w:rFonts w:ascii="Arial" w:cs="Arial" w:eastAsia="Arial" w:hAnsi="Arial"/>
          <w:sz w:val="14"/>
          <w:szCs w:val="14"/>
          <w:color w:val="auto"/>
        </w:rPr>
        <w:t>According to our ALCO model, as of December 31, 2021, we were an asset sensitive company. This indicates that our assets generally reprice faster than our liabilities, which results in a favorable impact to net interest income when market interest rates increase. Many assumptions are used to calculate the impact of interest rate variations on our net interest income, such as asset prepayment speeds, non-maturity deposit price sensitivity, pricing correlations, deposit truncations and decay rates, and key rate drivers.</w:t>
      </w:r>
    </w:p>
    <w:p>
      <w:pPr>
        <w:spacing w:after="0" w:line="16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EVEs do not include actions that management may undertake to manage the risks in response to anticipated changes in interest rates or client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5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According to our model, as of December 31, 2021, the NIM will remain fairly stable for static rate scenarios (-400 basis points: +400 basis points). For the static forecast for year one, the estimated NIM will decrease from 3.09% base case scenario to 3.08% under a +400-basis points scenario. Additionally, utilizing an economic value of equity, or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rates will have a negative impact on the EVE. Results and analysis are presented quarterly to the Board, and strategies are defined.</w:t>
      </w:r>
    </w:p>
    <w:p>
      <w:pPr>
        <w:spacing w:after="0" w:line="147"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Additionally, in the last couple of quarters we have been reducing our asset sensitivity by extending asset duration. This has reduced our NII volatility for the first and second year and has helped us to maintain the NII in accordance with ALCO expectations.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7" w:lineRule="exact"/>
        <w:rPr>
          <w:sz w:val="20"/>
          <w:szCs w:val="20"/>
          <w:color w:val="auto"/>
        </w:rPr>
      </w:pPr>
    </w:p>
    <w:p>
      <w:pPr>
        <w:jc w:val="both"/>
        <w:ind w:left="660" w:right="679" w:firstLine="299"/>
        <w:spacing w:after="0" w:line="282"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35"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5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15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Changes in macroeconomic conditions or exposure to credit, market, operational, legal and reputational risks, including cybersecurity risk could also affect the Company’s liquidity risk profile unexpectedly and are considered in the assessment of liquidity and ALM framework.</w:t>
      </w:r>
    </w:p>
    <w:p>
      <w:pPr>
        <w:spacing w:after="0" w:line="142"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and ALM policy.</w:t>
      </w:r>
    </w:p>
    <w:p>
      <w:pPr>
        <w:spacing w:after="0" w:line="2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59" w:name="page60"/>
    <w:bookmarkEnd w:id="5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330"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324"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Accordingly, our liquidity resources were at sufficient levels to fund loans and meet other cash needs as necessary. We do not expect liquidity resources to be compromised at this time.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88"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As of December 31, 2021, the Bank was well capitalized under the FDIC’s prompt corrective action framework. Additionally, we follow the capital conservation buffer framework, and according to our actual ratios the Bank exceeds the capital conversation buffer in all capital ratios as of December 31, 2021. The following table presents the capital ratios for both the Bank and the Company at December 31, 2021 and 2020 (in thousands, except ratios):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To be Well Capitalized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98"/>
              </w:rPr>
              <w:t>Under Prompt Corrective</w:t>
            </w:r>
          </w:p>
        </w:tc>
      </w:tr>
      <w:tr>
        <w:trPr>
          <w:trHeight w:val="153"/>
        </w:trPr>
        <w:tc>
          <w:tcPr>
            <w:tcW w:w="2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Actual</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Requirements</w:t>
            </w:r>
          </w:p>
        </w:tc>
        <w:tc>
          <w:tcPr>
            <w:tcW w:w="2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Action Provisions</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Ratio</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42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December 31, 2021:</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186,735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14.92</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ind w:left="120"/>
              <w:spacing w:after="0"/>
              <w:rPr>
                <w:sz w:val="20"/>
                <w:szCs w:val="20"/>
                <w:color w:val="auto"/>
              </w:rPr>
            </w:pPr>
            <w:r>
              <w:rPr>
                <w:rFonts w:ascii="Arial" w:cs="Arial" w:eastAsia="Arial" w:hAnsi="Arial"/>
                <w:sz w:val="13"/>
                <w:szCs w:val="13"/>
                <w:color w:val="auto"/>
              </w:rPr>
              <w:t>100,125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125,157</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75,094</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100,125</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171,484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13.70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ind w:left="200"/>
              <w:spacing w:after="0"/>
              <w:rPr>
                <w:sz w:val="20"/>
                <w:szCs w:val="20"/>
                <w:color w:val="auto"/>
              </w:rPr>
            </w:pPr>
            <w:r>
              <w:rPr>
                <w:rFonts w:ascii="Arial" w:cs="Arial" w:eastAsia="Arial" w:hAnsi="Arial"/>
                <w:sz w:val="13"/>
                <w:szCs w:val="13"/>
                <w:color w:val="auto"/>
              </w:rPr>
              <w:t>56,321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81,352</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6.50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71,825</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89,781</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0"/>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December 31, 2020: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risk-based capital</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139,326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78,260</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97,825</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3"/>
                <w:szCs w:val="13"/>
                <w:color w:val="auto"/>
              </w:rPr>
              <w:t>Tier 1 risk-based capital</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127,061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12.99</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ind w:left="200"/>
              <w:spacing w:after="0"/>
              <w:rPr>
                <w:sz w:val="20"/>
                <w:szCs w:val="20"/>
                <w:color w:val="auto"/>
              </w:rPr>
            </w:pPr>
            <w:r>
              <w:rPr>
                <w:rFonts w:ascii="Arial" w:cs="Arial" w:eastAsia="Arial" w:hAnsi="Arial"/>
                <w:sz w:val="13"/>
                <w:szCs w:val="13"/>
                <w:color w:val="auto"/>
              </w:rPr>
              <w:t>58,695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6.00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78,260</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8.00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equity tier 1 capital</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94,984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44,021</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63,587</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7"/>
        </w:trPr>
        <w:tc>
          <w:tcPr>
            <w:tcW w:w="2420" w:type="dxa"/>
            <w:vAlign w:val="bottom"/>
          </w:tcPr>
          <w:p>
            <w:pPr>
              <w:ind w:left="40"/>
              <w:spacing w:after="0"/>
              <w:rPr>
                <w:sz w:val="20"/>
                <w:szCs w:val="20"/>
                <w:color w:val="auto"/>
              </w:rPr>
            </w:pPr>
            <w:r>
              <w:rPr>
                <w:rFonts w:ascii="Arial" w:cs="Arial" w:eastAsia="Arial" w:hAnsi="Arial"/>
                <w:sz w:val="13"/>
                <w:szCs w:val="13"/>
                <w:color w:val="auto"/>
              </w:rPr>
              <w:t>Leverage ratio</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127,061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8.61</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ind w:left="200"/>
              <w:spacing w:after="0"/>
              <w:rPr>
                <w:sz w:val="20"/>
                <w:szCs w:val="20"/>
                <w:color w:val="auto"/>
              </w:rPr>
            </w:pPr>
            <w:r>
              <w:rPr>
                <w:rFonts w:ascii="Arial" w:cs="Arial" w:eastAsia="Arial" w:hAnsi="Arial"/>
                <w:sz w:val="13"/>
                <w:szCs w:val="13"/>
                <w:color w:val="auto"/>
              </w:rPr>
              <w:t>59,053</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4.00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73,817</w:t>
            </w:r>
          </w:p>
        </w:tc>
        <w:tc>
          <w:tcPr>
            <w:tcW w:w="780" w:type="dxa"/>
            <w:vAlign w:val="bottom"/>
            <w:gridSpan w:val="2"/>
          </w:tcPr>
          <w:p>
            <w:pPr>
              <w:jc w:val="right"/>
              <w:ind w:right="36"/>
              <w:spacing w:after="0"/>
              <w:rPr>
                <w:sz w:val="20"/>
                <w:szCs w:val="20"/>
                <w:color w:val="auto"/>
              </w:rPr>
            </w:pPr>
            <w:r>
              <w:rPr>
                <w:rFonts w:ascii="Arial" w:cs="Arial" w:eastAsia="Arial" w:hAnsi="Arial"/>
                <w:sz w:val="13"/>
                <w:szCs w:val="13"/>
                <w:color w:val="auto"/>
              </w:rPr>
              <w:t>5.00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77"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7"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Consolidated Financial Statements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0" w:name="page61"/>
    <w:bookmarkEnd w:id="6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 -GAAP Financial Measures</w:t>
      </w:r>
    </w:p>
    <w:p>
      <w:pPr>
        <w:spacing w:after="0" w:line="177"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3"/>
                <w:szCs w:val="13"/>
                <w:b w:val="1"/>
                <w:bCs w:val="1"/>
                <w:color w:val="auto"/>
                <w:w w:val="98"/>
              </w:rPr>
              <w:t>As of and for the years ended December 31,</w:t>
            </w:r>
          </w:p>
        </w:tc>
      </w:tr>
      <w:tr>
        <w:trPr>
          <w:trHeight w:val="151"/>
        </w:trPr>
        <w:tc>
          <w:tcPr>
            <w:tcW w:w="46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r>
      <w:tr>
        <w:trPr>
          <w:trHeight w:val="151"/>
        </w:trPr>
        <w:tc>
          <w:tcPr>
            <w:tcW w:w="466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Pre-Tax Pre-Provision ("PTPP")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1"/>
        </w:trPr>
        <w:tc>
          <w:tcPr>
            <w:tcW w:w="466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21,077</w:t>
            </w:r>
          </w:p>
        </w:tc>
        <w:tc>
          <w:tcPr>
            <w:tcW w:w="2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10,820</w:t>
            </w:r>
          </w:p>
        </w:tc>
      </w:tr>
      <w:tr>
        <w:trPr>
          <w:trHeight w:val="17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Plus: Provision for income taxes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2,588</w:t>
            </w:r>
          </w:p>
        </w:tc>
      </w:tr>
      <w:tr>
        <w:trPr>
          <w:trHeight w:val="171"/>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Plus: Provision for (recovery of) credit losses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3,250</w:t>
            </w:r>
          </w:p>
        </w:tc>
      </w:tr>
      <w:tr>
        <w:trPr>
          <w:trHeight w:val="15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PTPP income</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27,517</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16,658</w:t>
            </w: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1"/>
        </w:trPr>
        <w:tc>
          <w:tcPr>
            <w:tcW w:w="4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1"/>
        </w:trPr>
        <w:tc>
          <w:tcPr>
            <w:tcW w:w="4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PTPP Return on 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1"/>
        </w:trPr>
        <w:tc>
          <w:tcPr>
            <w:tcW w:w="4660" w:type="dxa"/>
            <w:vAlign w:val="bottom"/>
          </w:tcPr>
          <w:p>
            <w:pPr>
              <w:ind w:left="220"/>
              <w:spacing w:after="0"/>
              <w:rPr>
                <w:sz w:val="20"/>
                <w:szCs w:val="20"/>
                <w:color w:val="auto"/>
              </w:rPr>
            </w:pPr>
            <w:r>
              <w:rPr>
                <w:rFonts w:ascii="Arial" w:cs="Arial" w:eastAsia="Arial" w:hAnsi="Arial"/>
                <w:sz w:val="13"/>
                <w:szCs w:val="13"/>
                <w:color w:val="auto"/>
              </w:rPr>
              <w:t>PTPP income</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27,517</w:t>
            </w:r>
          </w:p>
        </w:tc>
        <w:tc>
          <w:tcPr>
            <w:tcW w:w="2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16,658</w:t>
            </w:r>
          </w:p>
        </w:tc>
      </w:tr>
      <w:tr>
        <w:trPr>
          <w:trHeight w:val="17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1,701,658</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1,428,935</w:t>
            </w:r>
          </w:p>
        </w:tc>
      </w:tr>
      <w:tr>
        <w:trPr>
          <w:trHeight w:val="171"/>
        </w:trPr>
        <w:tc>
          <w:tcPr>
            <w:tcW w:w="4660" w:type="dxa"/>
            <w:vAlign w:val="bottom"/>
          </w:tcPr>
          <w:p>
            <w:pPr>
              <w:ind w:left="220"/>
              <w:spacing w:after="0"/>
              <w:rPr>
                <w:sz w:val="20"/>
                <w:szCs w:val="20"/>
                <w:color w:val="auto"/>
              </w:rPr>
            </w:pPr>
            <w:r>
              <w:rPr>
                <w:rFonts w:ascii="Arial" w:cs="Arial" w:eastAsia="Arial" w:hAnsi="Arial"/>
                <w:sz w:val="13"/>
                <w:szCs w:val="13"/>
                <w:color w:val="auto"/>
              </w:rPr>
              <w:t>PTPP return on average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6"/>
              <w:spacing w:after="0"/>
              <w:rPr>
                <w:sz w:val="20"/>
                <w:szCs w:val="20"/>
                <w:color w:val="auto"/>
              </w:rPr>
            </w:pPr>
            <w:r>
              <w:rPr>
                <w:rFonts w:ascii="Arial" w:cs="Arial" w:eastAsia="Arial" w:hAnsi="Arial"/>
                <w:sz w:val="13"/>
                <w:szCs w:val="13"/>
                <w:color w:val="auto"/>
              </w:rPr>
              <w:t>1.17%</w:t>
            </w:r>
          </w:p>
        </w:tc>
      </w:tr>
      <w:tr>
        <w:trPr>
          <w:trHeight w:val="171"/>
        </w:trPr>
        <w:tc>
          <w:tcPr>
            <w:tcW w:w="4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4660" w:type="dxa"/>
            <w:vAlign w:val="bottom"/>
          </w:tcPr>
          <w:p>
            <w:pPr>
              <w:ind w:left="40"/>
              <w:spacing w:after="0"/>
              <w:rPr>
                <w:sz w:val="20"/>
                <w:szCs w:val="20"/>
                <w:color w:val="auto"/>
              </w:rPr>
            </w:pPr>
            <w:r>
              <w:rPr>
                <w:rFonts w:ascii="Arial" w:cs="Arial" w:eastAsia="Arial" w:hAnsi="Arial"/>
                <w:sz w:val="13"/>
                <w:szCs w:val="13"/>
                <w:b w:val="1"/>
                <w:bCs w:val="1"/>
                <w:color w:val="auto"/>
              </w:rPr>
              <w:t>Operating Net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21,077</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10,820</w:t>
            </w:r>
          </w:p>
        </w:tc>
      </w:tr>
      <w:tr>
        <w:trPr>
          <w:trHeight w:val="171"/>
        </w:trPr>
        <w:tc>
          <w:tcPr>
            <w:tcW w:w="4660" w:type="dxa"/>
            <w:vAlign w:val="bottom"/>
          </w:tcPr>
          <w:p>
            <w:pPr>
              <w:ind w:left="220"/>
              <w:spacing w:after="0"/>
              <w:rPr>
                <w:sz w:val="20"/>
                <w:szCs w:val="20"/>
                <w:color w:val="auto"/>
              </w:rPr>
            </w:pPr>
            <w:r>
              <w:rPr>
                <w:rFonts w:ascii="Arial" w:cs="Arial" w:eastAsia="Arial" w:hAnsi="Arial"/>
                <w:sz w:val="13"/>
                <w:szCs w:val="13"/>
                <w:color w:val="auto"/>
              </w:rPr>
              <w:t>Less: Net gains on sale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6"/>
              <w:spacing w:after="0"/>
              <w:rPr>
                <w:sz w:val="20"/>
                <w:szCs w:val="20"/>
                <w:color w:val="auto"/>
              </w:rPr>
            </w:pPr>
            <w:r>
              <w:rPr>
                <w:rFonts w:ascii="Arial" w:cs="Arial" w:eastAsia="Arial" w:hAnsi="Arial"/>
                <w:sz w:val="13"/>
                <w:szCs w:val="13"/>
                <w:color w:val="auto"/>
              </w:rPr>
              <w:t>434</w:t>
            </w:r>
          </w:p>
        </w:tc>
      </w:tr>
      <w:tr>
        <w:trPr>
          <w:trHeight w:val="165"/>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Less: Tax effect on sale of securities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96"/>
        </w:trPr>
        <w:tc>
          <w:tcPr>
            <w:tcW w:w="4660" w:type="dxa"/>
            <w:vAlign w:val="bottom"/>
          </w:tcPr>
          <w:p>
            <w:pPr>
              <w:ind w:left="220"/>
              <w:spacing w:after="0"/>
              <w:rPr>
                <w:sz w:val="20"/>
                <w:szCs w:val="20"/>
                <w:color w:val="auto"/>
              </w:rPr>
            </w:pPr>
            <w:r>
              <w:rPr>
                <w:rFonts w:ascii="Arial" w:cs="Arial" w:eastAsia="Arial" w:hAnsi="Arial"/>
                <w:sz w:val="13"/>
                <w:szCs w:val="13"/>
                <w:color w:val="auto"/>
              </w:rPr>
              <w:t>Operating net income</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20,915</w:t>
            </w:r>
          </w:p>
        </w:tc>
        <w:tc>
          <w:tcPr>
            <w:tcW w:w="2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10,492</w:t>
            </w:r>
          </w:p>
        </w:tc>
      </w:tr>
      <w:tr>
        <w:trPr>
          <w:trHeight w:val="111"/>
        </w:trPr>
        <w:tc>
          <w:tcPr>
            <w:tcW w:w="46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r>
      <w:tr>
        <w:trPr>
          <w:trHeight w:val="170"/>
        </w:trPr>
        <w:tc>
          <w:tcPr>
            <w:tcW w:w="4660" w:type="dxa"/>
            <w:vAlign w:val="bottom"/>
          </w:tcPr>
          <w:p>
            <w:pPr>
              <w:ind w:left="40"/>
              <w:spacing w:after="0"/>
              <w:rPr>
                <w:sz w:val="20"/>
                <w:szCs w:val="20"/>
                <w:color w:val="auto"/>
              </w:rPr>
            </w:pPr>
            <w:r>
              <w:rPr>
                <w:rFonts w:ascii="Arial" w:cs="Arial" w:eastAsia="Arial" w:hAnsi="Arial"/>
                <w:sz w:val="13"/>
                <w:szCs w:val="13"/>
                <w:b w:val="1"/>
                <w:bCs w:val="1"/>
                <w:color w:val="auto"/>
              </w:rPr>
              <w:t>Operating PTPP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PTPP 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27,517</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16,658</w:t>
            </w:r>
          </w:p>
        </w:tc>
      </w:tr>
      <w:tr>
        <w:trPr>
          <w:trHeight w:val="171"/>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Less: Net gains on sale of securities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434</w:t>
            </w:r>
          </w:p>
        </w:tc>
      </w:tr>
      <w:tr>
        <w:trPr>
          <w:trHeight w:val="15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PTPP Income</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27,303</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16,224</w:t>
            </w: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1"/>
        </w:trPr>
        <w:tc>
          <w:tcPr>
            <w:tcW w:w="4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1"/>
        </w:trPr>
        <w:tc>
          <w:tcPr>
            <w:tcW w:w="4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PTPP Return on 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1"/>
        </w:trPr>
        <w:tc>
          <w:tcPr>
            <w:tcW w:w="4660" w:type="dxa"/>
            <w:vAlign w:val="bottom"/>
          </w:tcPr>
          <w:p>
            <w:pPr>
              <w:ind w:left="220"/>
              <w:spacing w:after="0"/>
              <w:rPr>
                <w:sz w:val="20"/>
                <w:szCs w:val="20"/>
                <w:color w:val="auto"/>
              </w:rPr>
            </w:pPr>
            <w:r>
              <w:rPr>
                <w:rFonts w:ascii="Arial" w:cs="Arial" w:eastAsia="Arial" w:hAnsi="Arial"/>
                <w:sz w:val="13"/>
                <w:szCs w:val="13"/>
                <w:color w:val="auto"/>
              </w:rPr>
              <w:t>Operating PTPP income</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27,303</w:t>
            </w:r>
          </w:p>
        </w:tc>
        <w:tc>
          <w:tcPr>
            <w:tcW w:w="2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16,224</w:t>
            </w:r>
          </w:p>
        </w:tc>
      </w:tr>
      <w:tr>
        <w:trPr>
          <w:trHeight w:val="17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1,701,658</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1,428,935</w:t>
            </w:r>
          </w:p>
        </w:tc>
      </w:tr>
      <w:tr>
        <w:trPr>
          <w:trHeight w:val="171"/>
        </w:trPr>
        <w:tc>
          <w:tcPr>
            <w:tcW w:w="4660" w:type="dxa"/>
            <w:vAlign w:val="bottom"/>
          </w:tcPr>
          <w:p>
            <w:pPr>
              <w:ind w:left="220"/>
              <w:spacing w:after="0"/>
              <w:rPr>
                <w:sz w:val="20"/>
                <w:szCs w:val="20"/>
                <w:color w:val="auto"/>
              </w:rPr>
            </w:pPr>
            <w:r>
              <w:rPr>
                <w:rFonts w:ascii="Arial" w:cs="Arial" w:eastAsia="Arial" w:hAnsi="Arial"/>
                <w:sz w:val="13"/>
                <w:szCs w:val="13"/>
                <w:color w:val="auto"/>
              </w:rPr>
              <w:t>Operating PTPP Return on average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6"/>
              <w:spacing w:after="0"/>
              <w:rPr>
                <w:sz w:val="20"/>
                <w:szCs w:val="20"/>
                <w:color w:val="auto"/>
              </w:rPr>
            </w:pPr>
            <w:r>
              <w:rPr>
                <w:rFonts w:ascii="Arial" w:cs="Arial" w:eastAsia="Arial" w:hAnsi="Arial"/>
                <w:sz w:val="13"/>
                <w:szCs w:val="13"/>
                <w:color w:val="auto"/>
              </w:rPr>
              <w:t>1.14%</w:t>
            </w:r>
          </w:p>
        </w:tc>
      </w:tr>
      <w:tr>
        <w:trPr>
          <w:trHeight w:val="171"/>
        </w:trPr>
        <w:tc>
          <w:tcPr>
            <w:tcW w:w="4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4660" w:type="dxa"/>
            <w:vAlign w:val="bottom"/>
          </w:tcPr>
          <w:p>
            <w:pPr>
              <w:ind w:left="40"/>
              <w:spacing w:after="0"/>
              <w:rPr>
                <w:sz w:val="20"/>
                <w:szCs w:val="20"/>
                <w:color w:val="auto"/>
              </w:rPr>
            </w:pPr>
            <w:r>
              <w:rPr>
                <w:rFonts w:ascii="Arial" w:cs="Arial" w:eastAsia="Arial" w:hAnsi="Arial"/>
                <w:sz w:val="13"/>
                <w:szCs w:val="13"/>
                <w:b w:val="1"/>
                <w:bCs w:val="1"/>
                <w:color w:val="auto"/>
              </w:rPr>
              <w:t>Operating Return on Average Asset: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net 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20,915</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10,492</w:t>
            </w:r>
          </w:p>
        </w:tc>
      </w:tr>
      <w:tr>
        <w:trPr>
          <w:trHeight w:val="171"/>
        </w:trPr>
        <w:tc>
          <w:tcPr>
            <w:tcW w:w="4660" w:type="dxa"/>
            <w:vAlign w:val="bottom"/>
          </w:tcPr>
          <w:p>
            <w:pPr>
              <w:ind w:left="220"/>
              <w:spacing w:after="0"/>
              <w:rPr>
                <w:sz w:val="20"/>
                <w:szCs w:val="20"/>
                <w:color w:val="auto"/>
              </w:rPr>
            </w:pPr>
            <w:r>
              <w:rPr>
                <w:rFonts w:ascii="Arial" w:cs="Arial" w:eastAsia="Arial" w:hAnsi="Arial"/>
                <w:sz w:val="13"/>
                <w:szCs w:val="13"/>
                <w:color w:val="auto"/>
              </w:rPr>
              <w:t>Average assets</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1,701,658</w:t>
            </w:r>
          </w:p>
        </w:tc>
        <w:tc>
          <w:tcPr>
            <w:tcW w:w="2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6"/>
              <w:spacing w:after="0"/>
              <w:rPr>
                <w:sz w:val="20"/>
                <w:szCs w:val="20"/>
                <w:color w:val="auto"/>
              </w:rPr>
            </w:pPr>
            <w:r>
              <w:rPr>
                <w:rFonts w:ascii="Arial" w:cs="Arial" w:eastAsia="Arial" w:hAnsi="Arial"/>
                <w:sz w:val="13"/>
                <w:szCs w:val="13"/>
                <w:color w:val="auto"/>
              </w:rPr>
              <w:t>1,428,935</w:t>
            </w:r>
          </w:p>
        </w:tc>
      </w:tr>
      <w:tr>
        <w:trPr>
          <w:trHeight w:val="171"/>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return on average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1" w:name="page62"/>
    <w:bookmarkEnd w:id="6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2770" w:type="dxa"/>
            <w:vAlign w:val="bottom"/>
            <w:tcBorders>
              <w:bottom w:val="single" w:sz="8" w:color="auto"/>
            </w:tcBorders>
            <w:gridSpan w:val="6"/>
          </w:tcPr>
          <w:p>
            <w:pPr>
              <w:jc w:val="right"/>
              <w:ind w:right="576"/>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 w:type="dxa"/>
            <w:vAlign w:val="bottom"/>
            <w:tcBorders>
              <w:bottom w:val="single" w:sz="8" w:color="CCEEFF"/>
            </w:tcBorders>
          </w:tcPr>
          <w:p>
            <w:pPr>
              <w:spacing w:after="0"/>
              <w:rPr>
                <w:sz w:val="13"/>
                <w:szCs w:val="13"/>
                <w:color w:val="auto"/>
              </w:rPr>
            </w:pPr>
          </w:p>
        </w:tc>
        <w:tc>
          <w:tcPr>
            <w:tcW w:w="46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129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2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76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3"/>
                <w:szCs w:val="13"/>
                <w:b w:val="1"/>
                <w:bCs w:val="1"/>
                <w:color w:val="auto"/>
              </w:rPr>
              <w:t>Operating Net Income Available to Common Stockholders:</w:t>
            </w: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2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40" w:type="dxa"/>
            <w:vAlign w:val="bottom"/>
          </w:tcPr>
          <w:p>
            <w:pPr>
              <w:ind w:left="20"/>
              <w:spacing w:after="0"/>
              <w:rPr>
                <w:sz w:val="20"/>
                <w:szCs w:val="20"/>
                <w:color w:val="auto"/>
              </w:rPr>
            </w:pPr>
            <w:r>
              <w:rPr>
                <w:rFonts w:ascii="Arial" w:cs="Arial" w:eastAsia="Arial" w:hAnsi="Arial"/>
                <w:sz w:val="13"/>
                <w:szCs w:val="13"/>
                <w:color w:val="auto"/>
              </w:rPr>
              <w:t>Net income (GAAP)</w:t>
            </w: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90" w:type="dxa"/>
            <w:vAlign w:val="bottom"/>
          </w:tcPr>
          <w:p>
            <w:pPr>
              <w:jc w:val="right"/>
              <w:spacing w:after="0"/>
              <w:rPr>
                <w:sz w:val="20"/>
                <w:szCs w:val="20"/>
                <w:color w:val="auto"/>
              </w:rPr>
            </w:pPr>
            <w:r>
              <w:rPr>
                <w:rFonts w:ascii="Arial" w:cs="Arial" w:eastAsia="Arial" w:hAnsi="Arial"/>
                <w:sz w:val="13"/>
                <w:szCs w:val="13"/>
                <w:color w:val="auto"/>
              </w:rPr>
              <w:t>21,077</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10,820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Less: Preferred dividends</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2,077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46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Exchange and redemption of preferred shares</w:t>
            </w:r>
          </w:p>
        </w:tc>
        <w:tc>
          <w:tcPr>
            <w:tcW w:w="20" w:type="dxa"/>
            <w:vAlign w:val="bottom"/>
            <w:tcBorders>
              <w:bottom w:val="single" w:sz="8" w:color="auto"/>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12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89,585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2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20" w:type="dxa"/>
            <w:vAlign w:val="bottom"/>
            <w:shd w:val="clear" w:color="auto" w:fill="CCEEFF"/>
          </w:tcPr>
          <w:p>
            <w:pPr>
              <w:spacing w:after="0"/>
              <w:rPr>
                <w:sz w:val="12"/>
                <w:szCs w:val="12"/>
                <w:color w:val="auto"/>
              </w:rPr>
            </w:pPr>
          </w:p>
        </w:tc>
        <w:tc>
          <w:tcPr>
            <w:tcW w:w="46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Net income (loss) available to common stockholders (GAAP)</w:t>
            </w: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29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(70,585)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7,693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46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Add back: Exchange and redemption of preferred shares</w:t>
            </w:r>
          </w:p>
        </w:tc>
        <w:tc>
          <w:tcPr>
            <w:tcW w:w="20" w:type="dxa"/>
            <w:vAlign w:val="bottom"/>
            <w:tcBorders>
              <w:bottom w:val="single" w:sz="8" w:color="auto"/>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12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89,585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2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20" w:type="dxa"/>
            <w:vAlign w:val="bottom"/>
            <w:shd w:val="clear" w:color="auto" w:fill="CCEEFF"/>
          </w:tcPr>
          <w:p>
            <w:pPr>
              <w:spacing w:after="0"/>
              <w:rPr>
                <w:sz w:val="12"/>
                <w:szCs w:val="12"/>
                <w:color w:val="auto"/>
              </w:rPr>
            </w:pPr>
          </w:p>
        </w:tc>
        <w:tc>
          <w:tcPr>
            <w:tcW w:w="4640" w:type="dxa"/>
            <w:vAlign w:val="bottom"/>
            <w:shd w:val="clear" w:color="auto" w:fill="CCEEFF"/>
          </w:tcPr>
          <w:p>
            <w:pPr>
              <w:ind w:left="20"/>
              <w:spacing w:after="0" w:line="142" w:lineRule="exact"/>
              <w:rPr>
                <w:sz w:val="20"/>
                <w:szCs w:val="20"/>
                <w:color w:val="auto"/>
              </w:rPr>
            </w:pPr>
            <w:r>
              <w:rPr>
                <w:rFonts w:ascii="Arial" w:cs="Arial" w:eastAsia="Arial" w:hAnsi="Arial"/>
                <w:sz w:val="12"/>
                <w:szCs w:val="12"/>
                <w:color w:val="auto"/>
              </w:rPr>
              <w:t>Operating net income avail. to common stock (non-GAAP)</w:t>
            </w:r>
            <w:r>
              <w:rPr>
                <w:rFonts w:ascii="Arial" w:cs="Arial" w:eastAsia="Arial" w:hAnsi="Arial"/>
                <w:sz w:val="16"/>
                <w:szCs w:val="16"/>
                <w:color w:val="auto"/>
                <w:vertAlign w:val="superscript"/>
              </w:rPr>
              <w:t>(1)</w:t>
            </w: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29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19,000</w:t>
            </w:r>
          </w:p>
        </w:tc>
        <w:tc>
          <w:tcPr>
            <w:tcW w:w="60" w:type="dxa"/>
            <w:vAlign w:val="bottom"/>
            <w:gridSpan w:val="3"/>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7,693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Allocation of operating net income per common stock class:</w:t>
            </w:r>
          </w:p>
        </w:tc>
        <w:tc>
          <w:tcPr>
            <w:tcW w:w="2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29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29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 common stock</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2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19,000</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40" w:type="dxa"/>
            <w:vAlign w:val="bottom"/>
          </w:tcPr>
          <w:p>
            <w:pPr>
              <w:ind w:left="20"/>
              <w:spacing w:after="0"/>
              <w:rPr>
                <w:sz w:val="20"/>
                <w:szCs w:val="20"/>
                <w:color w:val="auto"/>
              </w:rPr>
            </w:pPr>
            <w:r>
              <w:rPr>
                <w:rFonts w:ascii="Arial" w:cs="Arial" w:eastAsia="Arial" w:hAnsi="Arial"/>
                <w:sz w:val="13"/>
                <w:szCs w:val="13"/>
                <w:color w:val="auto"/>
              </w:rPr>
              <w:t>Class B common stock</w:t>
            </w: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Weighted average shares outstanding:</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9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4640" w:type="dxa"/>
            <w:vAlign w:val="bottom"/>
          </w:tcPr>
          <w:p>
            <w:pPr>
              <w:ind w:left="20"/>
              <w:spacing w:after="0"/>
              <w:rPr>
                <w:sz w:val="20"/>
                <w:szCs w:val="20"/>
                <w:color w:val="auto"/>
              </w:rPr>
            </w:pPr>
            <w:r>
              <w:rPr>
                <w:rFonts w:ascii="Arial" w:cs="Arial" w:eastAsia="Arial" w:hAnsi="Arial"/>
                <w:sz w:val="13"/>
                <w:szCs w:val="13"/>
                <w:color w:val="auto"/>
              </w:rPr>
              <w:t>Class A common stock</w:t>
            </w: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0" w:type="dxa"/>
            <w:vAlign w:val="bottom"/>
            <w:shd w:val="clear" w:color="auto" w:fill="CCEEFF"/>
          </w:tcPr>
          <w:p>
            <w:pPr>
              <w:spacing w:after="0"/>
              <w:rPr>
                <w:sz w:val="15"/>
                <w:szCs w:val="15"/>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2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10,507,530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3,887,480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3"/>
                <w:szCs w:val="13"/>
                <w:color w:val="auto"/>
              </w:rPr>
              <w:t>Diluted</w:t>
            </w: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90" w:type="dxa"/>
            <w:vAlign w:val="bottom"/>
          </w:tcPr>
          <w:p>
            <w:pPr>
              <w:jc w:val="right"/>
              <w:ind w:right="16"/>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3,911,290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B common stock</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9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3"/>
                <w:szCs w:val="13"/>
                <w:color w:val="auto"/>
              </w:rPr>
              <w:t>Basic</w:t>
            </w: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6,121,052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tcPr>
          <w:p>
            <w:pPr>
              <w:ind w:left="40"/>
              <w:spacing w:after="0" w:line="171" w:lineRule="exact"/>
              <w:rPr>
                <w:sz w:val="20"/>
                <w:szCs w:val="20"/>
                <w:color w:val="auto"/>
              </w:rPr>
            </w:pPr>
            <w:r>
              <w:rPr>
                <w:rFonts w:ascii="Arial" w:cs="Arial" w:eastAsia="Arial" w:hAnsi="Arial"/>
                <w:sz w:val="13"/>
                <w:szCs w:val="13"/>
                <w:b w:val="1"/>
                <w:bCs w:val="1"/>
                <w:color w:val="auto"/>
              </w:rPr>
              <w:t>Diluted EPS:</w:t>
            </w:r>
            <w:r>
              <w:rPr>
                <w:rFonts w:ascii="Arial" w:cs="Arial" w:eastAsia="Arial" w:hAnsi="Arial"/>
                <w:sz w:val="17"/>
                <w:szCs w:val="17"/>
                <w:color w:val="auto"/>
                <w:vertAlign w:val="superscript"/>
              </w:rPr>
              <w:t>(1)(2)</w:t>
            </w: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 common stock</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9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40" w:type="dxa"/>
            <w:vAlign w:val="bottom"/>
          </w:tcPr>
          <w:p>
            <w:pPr>
              <w:ind w:left="100"/>
              <w:spacing w:after="0"/>
              <w:rPr>
                <w:sz w:val="20"/>
                <w:szCs w:val="20"/>
                <w:color w:val="auto"/>
              </w:rPr>
            </w:pPr>
            <w:r>
              <w:rPr>
                <w:rFonts w:ascii="Arial" w:cs="Arial" w:eastAsia="Arial" w:hAnsi="Arial"/>
                <w:sz w:val="13"/>
                <w:szCs w:val="13"/>
                <w:color w:val="auto"/>
              </w:rPr>
              <w:t>Net income (loss) per diluted share (GAAP)</w:t>
            </w: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90" w:type="dxa"/>
            <w:vAlign w:val="bottom"/>
          </w:tcPr>
          <w:p>
            <w:pPr>
              <w:jc w:val="right"/>
              <w:spacing w:after="0"/>
              <w:rPr>
                <w:sz w:val="20"/>
                <w:szCs w:val="20"/>
                <w:color w:val="auto"/>
              </w:rPr>
            </w:pPr>
            <w:r>
              <w:rPr>
                <w:rFonts w:ascii="Arial" w:cs="Arial" w:eastAsia="Arial" w:hAnsi="Arial"/>
                <w:sz w:val="13"/>
                <w:szCs w:val="13"/>
                <w:color w:val="auto"/>
              </w:rPr>
              <w:t>(6.72)</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shd w:val="clear" w:color="auto" w:fill="CCEEFF"/>
          </w:tcPr>
          <w:p>
            <w:pPr>
              <w:spacing w:after="0"/>
              <w:rPr>
                <w:sz w:val="13"/>
                <w:szCs w:val="13"/>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back: Exchange and redemption of preferred shares</w:t>
            </w:r>
          </w:p>
        </w:tc>
        <w:tc>
          <w:tcPr>
            <w:tcW w:w="20" w:type="dxa"/>
            <w:vAlign w:val="bottom"/>
            <w:tcBorders>
              <w:bottom w:val="single" w:sz="8" w:color="auto"/>
            </w:tcBorders>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12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4640" w:type="dxa"/>
            <w:vAlign w:val="bottom"/>
          </w:tcPr>
          <w:p>
            <w:pPr>
              <w:ind w:left="40"/>
              <w:spacing w:after="0"/>
              <w:rPr>
                <w:sz w:val="20"/>
                <w:szCs w:val="20"/>
                <w:color w:val="auto"/>
              </w:rPr>
            </w:pPr>
            <w:r>
              <w:rPr>
                <w:rFonts w:ascii="Arial" w:cs="Arial" w:eastAsia="Arial" w:hAnsi="Arial"/>
                <w:sz w:val="13"/>
                <w:szCs w:val="13"/>
                <w:color w:val="auto"/>
              </w:rPr>
              <w:t>Operating net income per diluted share (non-GAAP)</w:t>
            </w: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90" w:type="dxa"/>
            <w:vAlign w:val="bottom"/>
          </w:tcPr>
          <w:p>
            <w:pPr>
              <w:jc w:val="right"/>
              <w:spacing w:after="0"/>
              <w:rPr>
                <w:sz w:val="20"/>
                <w:szCs w:val="20"/>
                <w:color w:val="auto"/>
              </w:rPr>
            </w:pPr>
            <w:r>
              <w:rPr>
                <w:rFonts w:ascii="Arial" w:cs="Arial" w:eastAsia="Arial" w:hAnsi="Arial"/>
                <w:sz w:val="13"/>
                <w:szCs w:val="13"/>
                <w:color w:val="auto"/>
              </w:rPr>
              <w:t>1.81</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20" w:type="dxa"/>
            <w:vAlign w:val="bottom"/>
            <w:tcBorders>
              <w:top w:val="single" w:sz="8" w:color="CCEEFF"/>
            </w:tcBorders>
            <w:shd w:val="clear" w:color="auto" w:fill="CCEEFF"/>
          </w:tcPr>
          <w:p>
            <w:pPr>
              <w:spacing w:after="0"/>
              <w:rPr>
                <w:sz w:val="9"/>
                <w:szCs w:val="9"/>
                <w:color w:val="auto"/>
              </w:rPr>
            </w:pPr>
          </w:p>
        </w:tc>
        <w:tc>
          <w:tcPr>
            <w:tcW w:w="4640" w:type="dxa"/>
            <w:vAlign w:val="bottom"/>
            <w:tcBorders>
              <w:top w:val="single" w:sz="8" w:color="CCEEFF"/>
            </w:tcBorders>
            <w:shd w:val="clear" w:color="auto" w:fill="CCEEFF"/>
          </w:tcPr>
          <w:p>
            <w:pPr>
              <w:ind w:left="20"/>
              <w:spacing w:after="0" w:line="111" w:lineRule="exact"/>
              <w:rPr>
                <w:sz w:val="20"/>
                <w:szCs w:val="20"/>
                <w:color w:val="auto"/>
              </w:rPr>
            </w:pPr>
            <w:r>
              <w:rPr>
                <w:rFonts w:ascii="Arial" w:cs="Arial" w:eastAsia="Arial" w:hAnsi="Arial"/>
                <w:sz w:val="12"/>
                <w:szCs w:val="12"/>
                <w:color w:val="auto"/>
              </w:rPr>
              <w:t>Class B common stock</w:t>
            </w:r>
          </w:p>
        </w:tc>
        <w:tc>
          <w:tcPr>
            <w:tcW w:w="20" w:type="dxa"/>
            <w:vAlign w:val="bottom"/>
            <w:tcBorders>
              <w:top w:val="single" w:sz="8" w:color="CCEEFF"/>
            </w:tcBorders>
            <w:shd w:val="clear" w:color="auto" w:fill="CCEEFF"/>
          </w:tcPr>
          <w:p>
            <w:pPr>
              <w:spacing w:after="0"/>
              <w:rPr>
                <w:sz w:val="9"/>
                <w:szCs w:val="9"/>
                <w:color w:val="auto"/>
              </w:rPr>
            </w:pPr>
          </w:p>
        </w:tc>
        <w:tc>
          <w:tcPr>
            <w:tcW w:w="130" w:type="dxa"/>
            <w:vAlign w:val="bottom"/>
            <w:tcBorders>
              <w:top w:val="single" w:sz="8" w:color="auto"/>
            </w:tcBorders>
            <w:shd w:val="clear" w:color="auto" w:fill="CCEEFF"/>
          </w:tcPr>
          <w:p>
            <w:pPr>
              <w:spacing w:after="0"/>
              <w:rPr>
                <w:sz w:val="9"/>
                <w:szCs w:val="9"/>
                <w:color w:val="auto"/>
              </w:rPr>
            </w:pPr>
          </w:p>
        </w:tc>
        <w:tc>
          <w:tcPr>
            <w:tcW w:w="129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40" w:type="dxa"/>
            <w:vAlign w:val="bottom"/>
          </w:tcPr>
          <w:p>
            <w:pPr>
              <w:ind w:left="100"/>
              <w:spacing w:after="0"/>
              <w:rPr>
                <w:sz w:val="20"/>
                <w:szCs w:val="20"/>
                <w:color w:val="auto"/>
              </w:rPr>
            </w:pPr>
            <w:r>
              <w:rPr>
                <w:rFonts w:ascii="Arial" w:cs="Arial" w:eastAsia="Arial" w:hAnsi="Arial"/>
                <w:sz w:val="13"/>
                <w:szCs w:val="13"/>
                <w:color w:val="auto"/>
              </w:rPr>
              <w:t>Net income per diluted share (GAAP)</w:t>
            </w: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shd w:val="clear" w:color="auto" w:fill="CCEEFF"/>
          </w:tcPr>
          <w:p>
            <w:pPr>
              <w:spacing w:after="0"/>
              <w:rPr>
                <w:sz w:val="13"/>
                <w:szCs w:val="13"/>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back: Exchange and redemption of preferred shares</w:t>
            </w:r>
          </w:p>
        </w:tc>
        <w:tc>
          <w:tcPr>
            <w:tcW w:w="20" w:type="dxa"/>
            <w:vAlign w:val="bottom"/>
            <w:tcBorders>
              <w:bottom w:val="single" w:sz="8" w:color="auto"/>
            </w:tcBorders>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12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4640" w:type="dxa"/>
            <w:vAlign w:val="bottom"/>
          </w:tcPr>
          <w:p>
            <w:pPr>
              <w:ind w:left="40"/>
              <w:spacing w:after="0"/>
              <w:rPr>
                <w:sz w:val="20"/>
                <w:szCs w:val="20"/>
                <w:color w:val="auto"/>
              </w:rPr>
            </w:pPr>
            <w:r>
              <w:rPr>
                <w:rFonts w:ascii="Arial" w:cs="Arial" w:eastAsia="Arial" w:hAnsi="Arial"/>
                <w:sz w:val="13"/>
                <w:szCs w:val="13"/>
                <w:color w:val="auto"/>
              </w:rPr>
              <w:t>Operating net income per diluted share (non-GAAP)</w:t>
            </w: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29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900" w:hanging="205"/>
        <w:spacing w:after="0"/>
        <w:tabs>
          <w:tab w:leader="none" w:pos="9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a key indicator of the ongoing earnings power of the Company.</w:t>
      </w:r>
    </w:p>
    <w:p>
      <w:pPr>
        <w:spacing w:after="0" w:line="12" w:lineRule="exact"/>
        <w:rPr>
          <w:rFonts w:ascii="Arial" w:cs="Arial" w:eastAsia="Arial" w:hAnsi="Arial"/>
          <w:sz w:val="11"/>
          <w:szCs w:val="11"/>
          <w:color w:val="auto"/>
        </w:rPr>
      </w:pPr>
    </w:p>
    <w:p>
      <w:pPr>
        <w:ind w:left="700" w:right="699" w:hanging="5"/>
        <w:spacing w:after="0" w:line="253" w:lineRule="auto"/>
        <w:tabs>
          <w:tab w:leader="none" w:pos="904" w:val="left"/>
        </w:tabs>
        <w:numPr>
          <w:ilvl w:val="0"/>
          <w:numId w:val="24"/>
        </w:numPr>
        <w:rPr>
          <w:rFonts w:ascii="Arial" w:cs="Arial" w:eastAsia="Arial" w:hAnsi="Arial"/>
          <w:sz w:val="11"/>
          <w:szCs w:val="11"/>
          <w:color w:val="auto"/>
        </w:rPr>
      </w:pPr>
      <w:r>
        <w:rPr>
          <w:rFonts w:ascii="Arial" w:cs="Arial" w:eastAsia="Arial" w:hAnsi="Arial"/>
          <w:sz w:val="11"/>
          <w:szCs w:val="11"/>
          <w:color w:val="auto"/>
        </w:rPr>
        <w:t>During the year ended December 31, 2021, the Company entered into agreements with the Class B shareholders to exchange all outstanding Class B non-voting stock for Class A voting common stock on a 1 for 5 reverse stock split As such, there are no issued and outstanding shares of Class B common stock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2" w:name="page63"/>
    <w:bookmarkEnd w:id="6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3" w:name="page64"/>
    <w:bookmarkEnd w:id="6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1860" w:type="dxa"/>
            <w:vAlign w:val="bottom"/>
          </w:tcPr>
          <w:p>
            <w:pPr>
              <w:spacing w:after="0"/>
              <w:rPr>
                <w:sz w:val="16"/>
                <w:szCs w:val="16"/>
                <w:color w:val="auto"/>
              </w:rPr>
            </w:pPr>
          </w:p>
        </w:tc>
        <w:tc>
          <w:tcPr>
            <w:tcW w:w="4720" w:type="dxa"/>
            <w:vAlign w:val="bottom"/>
            <w:gridSpan w:val="9"/>
          </w:tcPr>
          <w:p>
            <w:pPr>
              <w:ind w:left="160"/>
              <w:spacing w:after="0"/>
              <w:rPr>
                <w:sz w:val="20"/>
                <w:szCs w:val="20"/>
                <w:color w:val="auto"/>
              </w:rPr>
            </w:pPr>
            <w:r>
              <w:rPr>
                <w:rFonts w:ascii="Arial" w:cs="Arial" w:eastAsia="Arial" w:hAnsi="Arial"/>
                <w:sz w:val="14"/>
                <w:szCs w:val="14"/>
                <w:b w:val="1"/>
                <w:bCs w:val="1"/>
                <w:color w:val="auto"/>
              </w:rPr>
              <w:t>INDEX TO CONSOLIDATED FINANCIAL STATEMENTS</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9"/>
        </w:trPr>
        <w:tc>
          <w:tcPr>
            <w:tcW w:w="6580" w:type="dxa"/>
            <w:vAlign w:val="bottom"/>
            <w:gridSpan w:val="10"/>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(Crowe LLP, PCAOB ID: 173)</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0000FF"/>
              </w:rPr>
              <w:t>65</w:t>
            </w:r>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300"/>
        </w:trPr>
        <w:tc>
          <w:tcPr>
            <w:tcW w:w="3640" w:type="dxa"/>
            <w:vAlign w:val="bottom"/>
            <w:gridSpan w:val="8"/>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Consolidated Balance Sheets</w:t>
              </w:r>
            </w:hyperlink>
          </w:p>
        </w:tc>
        <w:tc>
          <w:tcPr>
            <w:tcW w:w="2940" w:type="dxa"/>
            <w:vAlign w:val="bottom"/>
            <w:gridSpan w:val="2"/>
          </w:tcPr>
          <w:p>
            <w:pPr>
              <w:spacing w:after="0"/>
              <w:rPr>
                <w:sz w:val="24"/>
                <w:szCs w:val="24"/>
                <w:color w:val="auto"/>
              </w:rPr>
            </w:pPr>
          </w:p>
        </w:tc>
        <w:tc>
          <w:tcPr>
            <w:tcW w:w="1120" w:type="dxa"/>
            <w:vAlign w:val="bottom"/>
            <w:gridSpan w:val="3"/>
          </w:tcPr>
          <w:p>
            <w:pPr>
              <w:jc w:val="right"/>
              <w:ind w:right="20"/>
              <w:spacing w:after="0"/>
              <w:rPr>
                <w:rFonts w:ascii="Arial" w:cs="Arial" w:eastAsia="Arial" w:hAnsi="Arial"/>
                <w:sz w:val="14"/>
                <w:szCs w:val="14"/>
                <w:color w:val="0000FF"/>
              </w:rPr>
            </w:pPr>
            <w:hyperlink w:anchor="page66">
              <w:r>
                <w:rPr>
                  <w:rFonts w:ascii="Arial" w:cs="Arial" w:eastAsia="Arial" w:hAnsi="Arial"/>
                  <w:sz w:val="14"/>
                  <w:szCs w:val="14"/>
                  <w:color w:val="0000FF"/>
                </w:rPr>
                <w:t>66</w:t>
              </w:r>
            </w:hyperlink>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480" w:type="dxa"/>
            <w:vAlign w:val="bottom"/>
            <w:gridSpan w:val="2"/>
          </w:tcPr>
          <w:p>
            <w:pPr>
              <w:spacing w:after="0" w:line="151" w:lineRule="exact"/>
              <w:rPr>
                <w:rFonts w:ascii="Arial" w:cs="Arial" w:eastAsia="Arial" w:hAnsi="Arial"/>
                <w:sz w:val="14"/>
                <w:szCs w:val="14"/>
                <w:color w:val="0000FF"/>
              </w:rPr>
            </w:pPr>
            <w:hyperlink w:anchor="page67">
              <w:r>
                <w:rPr>
                  <w:rFonts w:ascii="Arial" w:cs="Arial" w:eastAsia="Arial" w:hAnsi="Arial"/>
                  <w:sz w:val="14"/>
                  <w:szCs w:val="14"/>
                  <w:color w:val="0000FF"/>
                </w:rPr>
                <w:t>Consolidated Statements of Operations</w:t>
              </w:r>
            </w:hyperlink>
          </w:p>
        </w:tc>
        <w:tc>
          <w:tcPr>
            <w:tcW w:w="4100" w:type="dxa"/>
            <w:vAlign w:val="bottom"/>
            <w:gridSpan w:val="8"/>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gridSpan w:val="2"/>
          </w:tcPr>
          <w:p>
            <w:pPr>
              <w:jc w:val="right"/>
              <w:ind w:right="20"/>
              <w:spacing w:after="0" w:line="151" w:lineRule="exact"/>
              <w:rPr>
                <w:rFonts w:ascii="Arial" w:cs="Arial" w:eastAsia="Arial" w:hAnsi="Arial"/>
                <w:sz w:val="14"/>
                <w:szCs w:val="14"/>
                <w:color w:val="0000FF"/>
                <w:w w:val="76"/>
              </w:rPr>
            </w:pPr>
            <w:hyperlink w:anchor="page67">
              <w:r>
                <w:rPr>
                  <w:rFonts w:ascii="Arial" w:cs="Arial" w:eastAsia="Arial" w:hAnsi="Arial"/>
                  <w:sz w:val="14"/>
                  <w:szCs w:val="14"/>
                  <w:color w:val="0000FF"/>
                  <w:w w:val="76"/>
                </w:rPr>
                <w:t>67</w:t>
              </w:r>
            </w:hyperlink>
          </w:p>
        </w:tc>
      </w:tr>
      <w:tr>
        <w:trPr>
          <w:trHeight w:val="20"/>
        </w:trPr>
        <w:tc>
          <w:tcPr>
            <w:tcW w:w="2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3280" w:type="dxa"/>
            <w:vAlign w:val="bottom"/>
            <w:gridSpan w:val="5"/>
          </w:tcPr>
          <w:p>
            <w:pPr>
              <w:spacing w:after="0" w:line="140" w:lineRule="exact"/>
              <w:rPr>
                <w:rFonts w:ascii="Arial" w:cs="Arial" w:eastAsia="Arial" w:hAnsi="Arial"/>
                <w:sz w:val="14"/>
                <w:szCs w:val="14"/>
                <w:color w:val="0000FF"/>
              </w:rPr>
            </w:pPr>
            <w:hyperlink w:anchor="page68">
              <w:r>
                <w:rPr>
                  <w:rFonts w:ascii="Arial" w:cs="Arial" w:eastAsia="Arial" w:hAnsi="Arial"/>
                  <w:sz w:val="14"/>
                  <w:szCs w:val="14"/>
                  <w:color w:val="0000FF"/>
                </w:rPr>
                <w:t>Consolidated Statements of Comprehensive Income</w:t>
              </w:r>
            </w:hyperlink>
          </w:p>
        </w:tc>
        <w:tc>
          <w:tcPr>
            <w:tcW w:w="3300" w:type="dxa"/>
            <w:vAlign w:val="bottom"/>
            <w:gridSpan w:val="5"/>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gridSpan w:val="2"/>
          </w:tcPr>
          <w:p>
            <w:pPr>
              <w:jc w:val="right"/>
              <w:ind w:right="20"/>
              <w:spacing w:after="0" w:line="140" w:lineRule="exact"/>
              <w:rPr>
                <w:rFonts w:ascii="Arial" w:cs="Arial" w:eastAsia="Arial" w:hAnsi="Arial"/>
                <w:sz w:val="14"/>
                <w:szCs w:val="14"/>
                <w:color w:val="0000FF"/>
                <w:w w:val="76"/>
              </w:rPr>
            </w:pPr>
            <w:hyperlink w:anchor="page68">
              <w:r>
                <w:rPr>
                  <w:rFonts w:ascii="Arial" w:cs="Arial" w:eastAsia="Arial" w:hAnsi="Arial"/>
                  <w:sz w:val="14"/>
                  <w:szCs w:val="14"/>
                  <w:color w:val="0000FF"/>
                  <w:w w:val="76"/>
                </w:rPr>
                <w:t>68</w:t>
              </w:r>
            </w:hyperlink>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6580" w:type="dxa"/>
            <w:vAlign w:val="bottom"/>
            <w:gridSpan w:val="10"/>
          </w:tcPr>
          <w:p>
            <w:pPr>
              <w:spacing w:after="0" w:line="140" w:lineRule="exact"/>
              <w:rPr>
                <w:rFonts w:ascii="Arial" w:cs="Arial" w:eastAsia="Arial" w:hAnsi="Arial"/>
                <w:sz w:val="14"/>
                <w:szCs w:val="14"/>
                <w:color w:val="0000FF"/>
              </w:rPr>
            </w:pPr>
            <w:hyperlink w:anchor="page69">
              <w:r>
                <w:rPr>
                  <w:rFonts w:ascii="Arial" w:cs="Arial" w:eastAsia="Arial" w:hAnsi="Arial"/>
                  <w:sz w:val="14"/>
                  <w:szCs w:val="14"/>
                  <w:color w:val="0000FF"/>
                </w:rPr>
                <w:t>Consolidated Statements of Changes in Stockholders’ Equity</w:t>
              </w:r>
            </w:hyperlink>
          </w:p>
        </w:tc>
        <w:tc>
          <w:tcPr>
            <w:tcW w:w="1120" w:type="dxa"/>
            <w:vAlign w:val="bottom"/>
            <w:gridSpan w:val="3"/>
          </w:tcPr>
          <w:p>
            <w:pPr>
              <w:jc w:val="right"/>
              <w:ind w:right="20"/>
              <w:spacing w:after="0" w:line="140" w:lineRule="exact"/>
              <w:rPr>
                <w:rFonts w:ascii="Arial" w:cs="Arial" w:eastAsia="Arial" w:hAnsi="Arial"/>
                <w:sz w:val="14"/>
                <w:szCs w:val="14"/>
                <w:color w:val="0000FF"/>
              </w:rPr>
            </w:pPr>
            <w:hyperlink w:anchor="page69">
              <w:r>
                <w:rPr>
                  <w:rFonts w:ascii="Arial" w:cs="Arial" w:eastAsia="Arial" w:hAnsi="Arial"/>
                  <w:sz w:val="14"/>
                  <w:szCs w:val="14"/>
                  <w:color w:val="0000FF"/>
                </w:rPr>
                <w:t>69</w:t>
              </w:r>
            </w:hyperlink>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3420" w:type="dxa"/>
            <w:vAlign w:val="bottom"/>
            <w:gridSpan w:val="6"/>
          </w:tcPr>
          <w:p>
            <w:pPr>
              <w:spacing w:after="0" w:line="140" w:lineRule="exact"/>
              <w:rPr>
                <w:rFonts w:ascii="Arial" w:cs="Arial" w:eastAsia="Arial" w:hAnsi="Arial"/>
                <w:sz w:val="14"/>
                <w:szCs w:val="14"/>
                <w:color w:val="0000FF"/>
              </w:rPr>
            </w:pPr>
            <w:hyperlink w:anchor="page70">
              <w:r>
                <w:rPr>
                  <w:rFonts w:ascii="Arial" w:cs="Arial" w:eastAsia="Arial" w:hAnsi="Arial"/>
                  <w:sz w:val="14"/>
                  <w:szCs w:val="14"/>
                  <w:color w:val="0000FF"/>
                </w:rPr>
                <w:t>Consolidated Statements of Cash Flows</w:t>
              </w:r>
            </w:hyperlink>
          </w:p>
        </w:tc>
        <w:tc>
          <w:tcPr>
            <w:tcW w:w="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2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gridSpan w:val="2"/>
          </w:tcPr>
          <w:p>
            <w:pPr>
              <w:jc w:val="right"/>
              <w:ind w:right="20"/>
              <w:spacing w:after="0" w:line="140" w:lineRule="exact"/>
              <w:rPr>
                <w:rFonts w:ascii="Arial" w:cs="Arial" w:eastAsia="Arial" w:hAnsi="Arial"/>
                <w:sz w:val="14"/>
                <w:szCs w:val="14"/>
                <w:color w:val="0000FF"/>
                <w:w w:val="76"/>
              </w:rPr>
            </w:pPr>
            <w:hyperlink w:anchor="page70">
              <w:r>
                <w:rPr>
                  <w:rFonts w:ascii="Arial" w:cs="Arial" w:eastAsia="Arial" w:hAnsi="Arial"/>
                  <w:sz w:val="14"/>
                  <w:szCs w:val="14"/>
                  <w:color w:val="0000FF"/>
                  <w:w w:val="76"/>
                </w:rPr>
                <w:t>70</w:t>
              </w:r>
            </w:hyperlink>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3000" w:type="dxa"/>
            <w:vAlign w:val="bottom"/>
            <w:gridSpan w:val="4"/>
          </w:tcPr>
          <w:p>
            <w:pPr>
              <w:spacing w:after="0" w:line="151" w:lineRule="exact"/>
              <w:rPr>
                <w:rFonts w:ascii="Arial" w:cs="Arial" w:eastAsia="Arial" w:hAnsi="Arial"/>
                <w:sz w:val="14"/>
                <w:szCs w:val="14"/>
                <w:color w:val="0000FF"/>
              </w:rPr>
            </w:pPr>
            <w:hyperlink w:anchor="page72">
              <w:r>
                <w:rPr>
                  <w:rFonts w:ascii="Arial" w:cs="Arial" w:eastAsia="Arial" w:hAnsi="Arial"/>
                  <w:sz w:val="14"/>
                  <w:szCs w:val="14"/>
                  <w:color w:val="0000FF"/>
                </w:rPr>
                <w:t>Notes to the Consolidated Financial Statements</w:t>
              </w:r>
            </w:hyperlink>
          </w:p>
        </w:tc>
        <w:tc>
          <w:tcPr>
            <w:tcW w:w="3580" w:type="dxa"/>
            <w:vAlign w:val="bottom"/>
            <w:gridSpan w:val="6"/>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gridSpan w:val="2"/>
          </w:tcPr>
          <w:p>
            <w:pPr>
              <w:jc w:val="right"/>
              <w:ind w:right="20"/>
              <w:spacing w:after="0" w:line="151" w:lineRule="exact"/>
              <w:rPr>
                <w:rFonts w:ascii="Arial" w:cs="Arial" w:eastAsia="Arial" w:hAnsi="Arial"/>
                <w:sz w:val="14"/>
                <w:szCs w:val="14"/>
                <w:color w:val="0000FF"/>
                <w:w w:val="76"/>
              </w:rPr>
            </w:pPr>
            <w:hyperlink w:anchor="page72">
              <w:r>
                <w:rPr>
                  <w:rFonts w:ascii="Arial" w:cs="Arial" w:eastAsia="Arial" w:hAnsi="Arial"/>
                  <w:sz w:val="14"/>
                  <w:szCs w:val="14"/>
                  <w:color w:val="0000FF"/>
                  <w:w w:val="76"/>
                </w:rPr>
                <w:t>72</w:t>
              </w:r>
            </w:hyperlink>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4" w:name="page65"/>
    <w:bookmarkEnd w:id="64"/>
    <w:p>
      <w:pPr>
        <w:ind w:left="574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ind w:left="5740"/>
        <w:spacing w:after="0"/>
        <w:rPr>
          <w:sz w:val="20"/>
          <w:szCs w:val="20"/>
          <w:color w:val="auto"/>
        </w:rPr>
      </w:pPr>
      <w:r>
        <w:rPr>
          <w:rFonts w:ascii="Arial" w:cs="Arial" w:eastAsia="Arial" w:hAnsi="Arial"/>
          <w:sz w:val="9"/>
          <w:szCs w:val="9"/>
          <w:color w:val="002D62"/>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Shareholders and the Board of Directors of USCB Financial Holdings, Inc.</w:t>
      </w:r>
    </w:p>
    <w:p>
      <w:pPr>
        <w:ind w:left="1180"/>
        <w:spacing w:after="0"/>
        <w:rPr>
          <w:sz w:val="20"/>
          <w:szCs w:val="20"/>
          <w:color w:val="auto"/>
        </w:rPr>
      </w:pPr>
      <w:r>
        <w:rPr>
          <w:rFonts w:ascii="Arial" w:cs="Arial" w:eastAsia="Arial" w:hAnsi="Arial"/>
          <w:sz w:val="14"/>
          <w:szCs w:val="14"/>
          <w:color w:val="auto"/>
        </w:rPr>
        <w:t>Doral, Florida</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Opinion on the Financial Statements</w:t>
      </w:r>
    </w:p>
    <w:p>
      <w:pPr>
        <w:spacing w:after="0" w:line="177" w:lineRule="exact"/>
        <w:rPr>
          <w:sz w:val="20"/>
          <w:szCs w:val="20"/>
          <w:color w:val="auto"/>
        </w:rPr>
      </w:pPr>
    </w:p>
    <w:p>
      <w:pPr>
        <w:jc w:val="both"/>
        <w:ind w:left="1180" w:right="1139"/>
        <w:spacing w:after="0" w:line="246" w:lineRule="auto"/>
        <w:rPr>
          <w:sz w:val="20"/>
          <w:szCs w:val="20"/>
          <w:color w:val="auto"/>
        </w:rPr>
      </w:pPr>
      <w:r>
        <w:rPr>
          <w:rFonts w:ascii="Arial" w:cs="Arial" w:eastAsia="Arial" w:hAnsi="Arial"/>
          <w:sz w:val="14"/>
          <w:szCs w:val="14"/>
          <w:color w:val="auto"/>
        </w:rPr>
        <w:t>We have audited the accompanying consolidated balance sheets of USCB Financial Holdings, Inc. (the "Company") as of December 31, 2021 and 2020, the related consolidated statements of operations, comprehensive income,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3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Explanatory Paragraph – Financial Statement Consistency</w:t>
      </w:r>
    </w:p>
    <w:p>
      <w:pPr>
        <w:spacing w:after="0" w:line="188" w:lineRule="exact"/>
        <w:rPr>
          <w:sz w:val="20"/>
          <w:szCs w:val="20"/>
          <w:color w:val="auto"/>
        </w:rPr>
      </w:pPr>
    </w:p>
    <w:p>
      <w:pPr>
        <w:jc w:val="both"/>
        <w:ind w:left="1180" w:right="1179"/>
        <w:spacing w:after="0" w:line="244" w:lineRule="auto"/>
        <w:rPr>
          <w:sz w:val="20"/>
          <w:szCs w:val="20"/>
          <w:color w:val="auto"/>
        </w:rPr>
      </w:pPr>
      <w:r>
        <w:rPr>
          <w:rFonts w:ascii="Arial" w:cs="Arial" w:eastAsia="Arial" w:hAnsi="Arial"/>
          <w:sz w:val="14"/>
          <w:szCs w:val="14"/>
          <w:color w:val="auto"/>
        </w:rPr>
        <w:t>As discussed in Note 1 to the consolidated financial statements, the stockholders of U.S. Century Bank exchanged their Class A common shares of U.S. Century Bank for shares of USCB Financial Holdings, Inc. on a 1 share for 1 share basis during the year ended December 31, 2021. Stockholders of U.S. Century Bank became stockholders of USCB Financial Holdings, Inc., and USCB Financial Holdings, Inc. became the sole stockholder of U.S. Century Bank. The consolidated financial statements as of and for the year ended December 31, 2020, do not include USCB Financial Holdings, Inc. The 2020 financial statements of U.S. Century Bank are presented with the 2021 consolidated financial statements of USCB Financial Holdings, Inc. since U.S. Century Bank’s assets, liabilities, and operations comprise substantially all of the consolidated assets, liabilities, and operations. Our opinion is not modified with respect to this matter.</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Basis for Opinion</w:t>
      </w:r>
    </w:p>
    <w:p>
      <w:pPr>
        <w:spacing w:after="0" w:line="188" w:lineRule="exact"/>
        <w:rPr>
          <w:sz w:val="20"/>
          <w:szCs w:val="20"/>
          <w:color w:val="auto"/>
        </w:rPr>
      </w:pPr>
    </w:p>
    <w:p>
      <w:pPr>
        <w:jc w:val="both"/>
        <w:ind w:left="1180" w:right="1199"/>
        <w:spacing w:after="0" w:line="269"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1180" w:right="1179"/>
        <w:spacing w:after="0" w:line="24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ind w:left="4840"/>
        <w:spacing w:after="0"/>
        <w:rPr>
          <w:sz w:val="20"/>
          <w:szCs w:val="20"/>
          <w:color w:val="auto"/>
        </w:rPr>
      </w:pPr>
      <w:r>
        <w:rPr>
          <w:rFonts w:ascii="Arial" w:cs="Arial" w:eastAsia="Arial" w:hAnsi="Arial"/>
          <w:sz w:val="14"/>
          <w:szCs w:val="14"/>
          <w:i w:val="1"/>
          <w:iCs w:val="1"/>
          <w:color w:val="auto"/>
        </w:rPr>
        <w:t>/s/ Crowe LLP</w:t>
      </w:r>
    </w:p>
    <w:p>
      <w:pPr>
        <w:spacing w:after="0" w:line="24"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Crowe LLP</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We have served as the Company's auditor since 2017.</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Fort Lauderdale, Florida</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March 24, 2022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766" w:right="1440" w:bottom="1440" w:gutter="0" w:footer="0" w:header="0"/>
        </w:sectPr>
      </w:pPr>
    </w:p>
    <w:bookmarkStart w:id="65" w:name="page66"/>
    <w:bookmarkEnd w:id="6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jc w:val="center"/>
        <w:ind w:right="39"/>
        <w:spacing w:after="0"/>
        <w:rPr>
          <w:sz w:val="20"/>
          <w:szCs w:val="20"/>
          <w:color w:val="auto"/>
        </w:rPr>
      </w:pPr>
      <w:r>
        <w:rPr>
          <w:rFonts w:ascii="Arial" w:cs="Arial" w:eastAsia="Arial" w:hAnsi="Arial"/>
          <w:sz w:val="14"/>
          <w:szCs w:val="14"/>
          <w:color w:val="auto"/>
        </w:rPr>
        <w:t>(Dollars in thousands, except share and per share data)</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2"/>
                <w:szCs w:val="12"/>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6,477</w:t>
            </w:r>
          </w:p>
        </w:tc>
        <w:tc>
          <w:tcPr>
            <w:tcW w:w="40" w:type="dxa"/>
            <w:vAlign w:val="bottom"/>
          </w:tcPr>
          <w:p>
            <w:pPr>
              <w:spacing w:after="0"/>
              <w:rPr>
                <w:sz w:val="13"/>
                <w:szCs w:val="13"/>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9,828</w:t>
            </w:r>
          </w:p>
        </w:tc>
        <w:tc>
          <w:tcPr>
            <w:tcW w:w="20" w:type="dxa"/>
            <w:vAlign w:val="bottom"/>
          </w:tcPr>
          <w:p>
            <w:pPr>
              <w:spacing w:after="0"/>
              <w:rPr>
                <w:sz w:val="13"/>
                <w:szCs w:val="13"/>
                <w:color w:val="auto"/>
              </w:rPr>
            </w:pPr>
          </w:p>
        </w:tc>
      </w:tr>
      <w:tr>
        <w:trPr>
          <w:trHeight w:val="14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39,751</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37,906</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46,228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47,734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(fair value $120,157)</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122,658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401,542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334,322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$15,057 and $15,086, respectively</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1,175,024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1,023,418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5,547</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5,278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6,347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41,720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25,961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 net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34,929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39,159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14,513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2,030</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1,501,742</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605,425</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$442,467</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703,856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527,373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 accounts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45,132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Time deposits over $250,000</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119,401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104,140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 $250,000 or less</w:t>
            </w: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105,819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154,290</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Total deposits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1,590,379</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1,273,402</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advances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Lease liability</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14,185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14,513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and 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9,478</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6,826</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liabilities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1,650,042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1,330,741</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Commitments and contingencies (See Note 10 and 18)</w:t>
            </w: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1"/>
                <w:szCs w:val="11"/>
                <w:color w:val="FFFFFF"/>
              </w:rPr>
              <w:t>nil</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FFFFFF"/>
              </w:rPr>
              <w:t>nil</w:t>
            </w:r>
          </w:p>
        </w:tc>
      </w:tr>
      <w:tr>
        <w:trPr>
          <w:trHeight w:val="160"/>
        </w:trPr>
        <w:tc>
          <w:tcPr>
            <w:tcW w:w="5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STOCKHOLDERS' EQUITY:</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52,748 issued and outstanding as of December 31, 2021 and 2020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12,325</w:t>
            </w:r>
          </w:p>
        </w:tc>
        <w:tc>
          <w:tcPr>
            <w:tcW w:w="20" w:type="dxa"/>
            <w:vAlign w:val="bottom"/>
            <w:shd w:val="clear" w:color="auto" w:fill="CCEEFF"/>
          </w:tcPr>
          <w:p>
            <w:pPr>
              <w:spacing w:after="0"/>
              <w:rPr>
                <w:sz w:val="11"/>
                <w:szCs w:val="11"/>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and 12,290,631 issued and outstanding as of December 31, 2021 and 2020</w:t>
            </w:r>
          </w:p>
        </w:tc>
        <w:tc>
          <w:tcPr>
            <w:tcW w:w="260" w:type="dxa"/>
            <w:vAlign w:val="bottom"/>
          </w:tcPr>
          <w:p>
            <w:pPr>
              <w:spacing w:after="0"/>
              <w:rPr>
                <w:sz w:val="10"/>
                <w:szCs w:val="10"/>
                <w:color w:val="auto"/>
              </w:rPr>
            </w:pP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12,291</w:t>
            </w:r>
          </w:p>
        </w:tc>
        <w:tc>
          <w:tcPr>
            <w:tcW w:w="20" w:type="dxa"/>
            <w:vAlign w:val="bottom"/>
          </w:tcPr>
          <w:p>
            <w:pPr>
              <w:spacing w:after="0"/>
              <w:rPr>
                <w:sz w:val="10"/>
                <w:szCs w:val="10"/>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7,500 issued and outstanding as of December 31, 2021 and 2020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7,461</w:t>
            </w:r>
          </w:p>
        </w:tc>
        <w:tc>
          <w:tcPr>
            <w:tcW w:w="20" w:type="dxa"/>
            <w:vAlign w:val="bottom"/>
            <w:shd w:val="clear" w:color="auto" w:fill="CCEEFF"/>
          </w:tcPr>
          <w:p>
            <w:pPr>
              <w:spacing w:after="0"/>
              <w:rPr>
                <w:sz w:val="11"/>
                <w:szCs w:val="11"/>
                <w:color w:val="auto"/>
              </w:rPr>
            </w:pPr>
          </w:p>
        </w:tc>
      </w:tr>
      <w:tr>
        <w:trPr>
          <w:trHeight w:val="191"/>
        </w:trPr>
        <w:tc>
          <w:tcPr>
            <w:tcW w:w="5240" w:type="dxa"/>
            <w:vAlign w:val="bottom"/>
          </w:tcPr>
          <w:p>
            <w:pPr>
              <w:spacing w:after="0"/>
              <w:rPr>
                <w:sz w:val="20"/>
                <w:szCs w:val="20"/>
                <w:color w:val="auto"/>
              </w:rPr>
            </w:pPr>
            <w:r>
              <w:rPr>
                <w:rFonts w:ascii="Arial" w:cs="Arial" w:eastAsia="Arial" w:hAnsi="Arial"/>
                <w:sz w:val="11"/>
                <w:szCs w:val="11"/>
                <w:color w:val="auto"/>
              </w:rPr>
              <w:t>Common stock - Class A Voting; $1.00 par value; 45,000,000 shares authorized; 19,991,753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9"/>
        </w:trPr>
        <w:tc>
          <w:tcPr>
            <w:tcW w:w="5240" w:type="dxa"/>
            <w:vAlign w:val="bottom"/>
          </w:tcPr>
          <w:p>
            <w:pPr>
              <w:spacing w:after="0" w:line="129" w:lineRule="exact"/>
              <w:rPr>
                <w:sz w:val="20"/>
                <w:szCs w:val="20"/>
                <w:color w:val="auto"/>
              </w:rPr>
            </w:pPr>
            <w:r>
              <w:rPr>
                <w:rFonts w:ascii="Arial" w:cs="Arial" w:eastAsia="Arial" w:hAnsi="Arial"/>
                <w:sz w:val="11"/>
                <w:szCs w:val="11"/>
                <w:color w:val="auto"/>
              </w:rPr>
              <w:t>3,889,469 issued and outstanding as of December 31, 2021 and 2020</w:t>
            </w:r>
            <w:r>
              <w:rPr>
                <w:rFonts w:ascii="Arial" w:cs="Arial" w:eastAsia="Arial" w:hAnsi="Arial"/>
                <w:sz w:val="14"/>
                <w:szCs w:val="14"/>
                <w:color w:val="auto"/>
                <w:vertAlign w:val="superscript"/>
              </w:rPr>
              <w:t>(1)</w:t>
            </w: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19,992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3,889</w:t>
            </w:r>
          </w:p>
        </w:tc>
        <w:tc>
          <w:tcPr>
            <w:tcW w:w="20" w:type="dxa"/>
            <w:vAlign w:val="bottom"/>
          </w:tcPr>
          <w:p>
            <w:pPr>
              <w:spacing w:after="0"/>
              <w:rPr>
                <w:sz w:val="11"/>
                <w:szCs w:val="11"/>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B Non-voting; $1.00 par value; 8,000,000 shares authorized; 0 and 6,121,052</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issued and outstanding as of December 31, 2021 and 2020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Additional paid-in capital on common stock</w:t>
            </w:r>
            <w:r>
              <w:rPr>
                <w:rFonts w:ascii="Arial" w:cs="Arial" w:eastAsia="Arial" w:hAnsi="Arial"/>
                <w:sz w:val="14"/>
                <w:szCs w:val="14"/>
                <w:color w:val="auto"/>
                <w:vertAlign w:val="superscript"/>
              </w:rPr>
              <w:t>(1)</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310,666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177,755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(124,245)</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(53,622)</w:t>
            </w: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Accumulated other comprehensive income (loss)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(2,516)</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4,781</w:t>
            </w:r>
          </w:p>
        </w:tc>
        <w:tc>
          <w:tcPr>
            <w:tcW w:w="20" w:type="dxa"/>
            <w:vAlign w:val="bottom"/>
          </w:tcPr>
          <w:p>
            <w:pPr>
              <w:spacing w:after="0"/>
              <w:rPr>
                <w:sz w:val="13"/>
                <w:szCs w:val="13"/>
                <w:color w:val="auto"/>
              </w:rPr>
            </w:pPr>
          </w:p>
        </w:tc>
      </w:tr>
      <w:tr>
        <w:trPr>
          <w:trHeight w:val="14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stockholders' equity</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171,001</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72"/>
        </w:trPr>
        <w:tc>
          <w:tcPr>
            <w:tcW w:w="5240" w:type="dxa"/>
            <w:vAlign w:val="bottom"/>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1,853,939</w:t>
            </w:r>
          </w:p>
        </w:tc>
        <w:tc>
          <w:tcPr>
            <w:tcW w:w="40" w:type="dxa"/>
            <w:vAlign w:val="bottom"/>
          </w:tcPr>
          <w:p>
            <w:pPr>
              <w:spacing w:after="0"/>
              <w:rPr>
                <w:sz w:val="14"/>
                <w:szCs w:val="14"/>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1,501,742</w:t>
            </w:r>
          </w:p>
        </w:tc>
        <w:tc>
          <w:tcPr>
            <w:tcW w:w="20" w:type="dxa"/>
            <w:vAlign w:val="bottom"/>
          </w:tcPr>
          <w:p>
            <w:pPr>
              <w:spacing w:after="0"/>
              <w:rPr>
                <w:sz w:val="14"/>
                <w:szCs w:val="14"/>
                <w:color w:val="auto"/>
              </w:rPr>
            </w:pPr>
          </w:p>
        </w:tc>
      </w:tr>
      <w:tr>
        <w:trPr>
          <w:trHeight w:val="21"/>
        </w:trPr>
        <w:tc>
          <w:tcPr>
            <w:tcW w:w="5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640" w:right="759" w:firstLine="2"/>
        <w:spacing w:after="0" w:line="263" w:lineRule="auto"/>
        <w:tabs>
          <w:tab w:leader="none" w:pos="844" w:val="left"/>
        </w:tabs>
        <w:numPr>
          <w:ilvl w:val="0"/>
          <w:numId w:val="25"/>
        </w:numPr>
        <w:rPr>
          <w:rFonts w:ascii="Arial" w:cs="Arial" w:eastAsia="Arial" w:hAnsi="Arial"/>
          <w:sz w:val="11"/>
          <w:szCs w:val="11"/>
          <w:color w:val="auto"/>
        </w:rPr>
      </w:pPr>
      <w:r>
        <w:rPr>
          <w:rFonts w:ascii="Arial" w:cs="Arial" w:eastAsia="Arial" w:hAnsi="Arial"/>
          <w:sz w:val="11"/>
          <w:szCs w:val="11"/>
          <w:color w:val="auto"/>
        </w:rPr>
        <w:t>Class A common stock outstanding and additional paid-in-capital for December 31, 2020 were adjusted to reflect the 1 for 5 reverse stock split. See Note 13 "Stockholders' Equity" for further discussion on the stock split.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6" w:name="page67"/>
    <w:bookmarkEnd w:id="6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Operations</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rPr>
              <w:t>Years Ended December 31,</w:t>
            </w:r>
          </w:p>
        </w:tc>
        <w:tc>
          <w:tcPr>
            <w:tcW w:w="4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52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Pr>
          <w:p>
            <w:pPr>
              <w:spacing w:after="0"/>
              <w:rPr>
                <w:sz w:val="13"/>
                <w:szCs w:val="13"/>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48,730</w:t>
            </w:r>
          </w:p>
        </w:tc>
        <w:tc>
          <w:tcPr>
            <w:tcW w:w="820" w:type="dxa"/>
            <w:vAlign w:val="bottom"/>
            <w:gridSpan w:val="3"/>
          </w:tcPr>
          <w:p>
            <w:pPr>
              <w:jc w:val="right"/>
              <w:ind w:right="7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47,078</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5,248</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52,633</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markets 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3,095</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4,709</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9,036</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52,496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43,597</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3,250</w:t>
            </w:r>
          </w:p>
        </w:tc>
        <w:tc>
          <w:tcPr>
            <w:tcW w:w="20" w:type="dxa"/>
            <w:vAlign w:val="bottom"/>
            <w:shd w:val="clear" w:color="auto" w:fill="CCEEFF"/>
          </w:tcPr>
          <w:p>
            <w:pPr>
              <w:spacing w:after="0"/>
              <w:rPr>
                <w:sz w:val="14"/>
                <w:szCs w:val="14"/>
                <w:color w:val="auto"/>
              </w:rPr>
            </w:pPr>
          </w:p>
        </w:tc>
      </w:tr>
      <w:tr>
        <w:trPr>
          <w:trHeight w:val="151"/>
        </w:trPr>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52,656</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40,347</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3,609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3,266</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securities available for sale,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434</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839</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premises and equipment,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2,500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1,766</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1,558</w:t>
            </w:r>
          </w:p>
        </w:tc>
        <w:tc>
          <w:tcPr>
            <w:tcW w:w="20" w:type="dxa"/>
            <w:vAlign w:val="bottom"/>
            <w:shd w:val="clear" w:color="auto" w:fill="CCEEFF"/>
          </w:tcPr>
          <w:p>
            <w:pPr>
              <w:spacing w:after="0"/>
              <w:rPr>
                <w:sz w:val="14"/>
                <w:szCs w:val="14"/>
                <w:color w:val="auto"/>
              </w:rPr>
            </w:pPr>
          </w:p>
        </w:tc>
      </w:tr>
      <w:tr>
        <w:trPr>
          <w:trHeight w:val="151"/>
        </w:trPr>
        <w:tc>
          <w:tcPr>
            <w:tcW w:w="5240" w:type="dxa"/>
            <w:vAlign w:val="bottom"/>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10,698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6,097</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21,438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19,204</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5,656</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691</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1,536</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5,279</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4,904</w:t>
            </w:r>
          </w:p>
        </w:tc>
        <w:tc>
          <w:tcPr>
            <w:tcW w:w="20" w:type="dxa"/>
            <w:vAlign w:val="bottom"/>
            <w:shd w:val="clear" w:color="auto" w:fill="CCEEFF"/>
          </w:tcPr>
          <w:p>
            <w:pPr>
              <w:spacing w:after="0"/>
              <w:rPr>
                <w:sz w:val="14"/>
                <w:szCs w:val="14"/>
                <w:color w:val="auto"/>
              </w:rPr>
            </w:pPr>
          </w:p>
        </w:tc>
      </w:tr>
      <w:tr>
        <w:trPr>
          <w:trHeight w:val="151"/>
        </w:trPr>
        <w:tc>
          <w:tcPr>
            <w:tcW w:w="5240" w:type="dxa"/>
            <w:vAlign w:val="bottom"/>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35,677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33,036</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 before income tax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13,408</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2,588</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10,820</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Less: Preferred stock dividend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3,127</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Exchange and redemption of preferred shares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r>
      <w:tr>
        <w:trPr>
          <w:trHeight w:val="201"/>
        </w:trPr>
        <w:tc>
          <w:tcPr>
            <w:tcW w:w="5240" w:type="dxa"/>
            <w:vAlign w:val="bottom"/>
          </w:tcPr>
          <w:p>
            <w:pPr>
              <w:ind w:left="300"/>
              <w:spacing w:after="0"/>
              <w:rPr>
                <w:sz w:val="20"/>
                <w:szCs w:val="20"/>
                <w:color w:val="auto"/>
              </w:rPr>
            </w:pPr>
            <w:r>
              <w:rPr>
                <w:rFonts w:ascii="Arial" w:cs="Arial" w:eastAsia="Arial" w:hAnsi="Arial"/>
                <w:sz w:val="11"/>
                <w:szCs w:val="11"/>
                <w:color w:val="auto"/>
              </w:rPr>
              <w:t>Net income (loss) available to common stockholders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(70,585)</w:t>
            </w:r>
          </w:p>
        </w:tc>
        <w:tc>
          <w:tcPr>
            <w:tcW w:w="820" w:type="dxa"/>
            <w:vAlign w:val="bottom"/>
            <w:gridSpan w:val="3"/>
          </w:tcPr>
          <w:p>
            <w:pPr>
              <w:jc w:val="right"/>
              <w:ind w:right="7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7,693</w:t>
            </w:r>
          </w:p>
        </w:tc>
        <w:tc>
          <w:tcPr>
            <w:tcW w:w="20" w:type="dxa"/>
            <w:vAlign w:val="bottom"/>
          </w:tcPr>
          <w:p>
            <w:pPr>
              <w:spacing w:after="0"/>
              <w:rPr>
                <w:sz w:val="17"/>
                <w:szCs w:val="17"/>
                <w:color w:val="auto"/>
              </w:rPr>
            </w:pPr>
          </w:p>
        </w:tc>
      </w:tr>
      <w:tr>
        <w:trPr>
          <w:trHeight w:val="111"/>
        </w:trPr>
        <w:tc>
          <w:tcPr>
            <w:tcW w:w="52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0"/>
                <w:szCs w:val="10"/>
                <w:b w:val="1"/>
                <w:bCs w:val="1"/>
                <w:color w:val="auto"/>
              </w:rPr>
              <w:t>Per share information:</w:t>
            </w:r>
            <w:r>
              <w:rPr>
                <w:rFonts w:ascii="Arial" w:cs="Arial" w:eastAsia="Arial" w:hAnsi="Arial"/>
                <w:sz w:val="12"/>
                <w:szCs w:val="12"/>
                <w:color w:val="auto"/>
                <w:vertAlign w:val="superscript"/>
              </w:rPr>
              <w:t>(1)</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Class A common stock</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basic</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w:t>
            </w:r>
          </w:p>
        </w:tc>
        <w:tc>
          <w:tcPr>
            <w:tcW w:w="820" w:type="dxa"/>
            <w:vAlign w:val="bottom"/>
            <w:gridSpan w:val="3"/>
            <w:shd w:val="clear" w:color="auto" w:fill="CCEEFF"/>
          </w:tcPr>
          <w:p>
            <w:pPr>
              <w:jc w:val="right"/>
              <w:ind w:right="7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200"/>
              <w:spacing w:after="0"/>
              <w:rPr>
                <w:sz w:val="20"/>
                <w:szCs w:val="20"/>
                <w:color w:val="auto"/>
              </w:rPr>
            </w:pPr>
            <w:r>
              <w:rPr>
                <w:rFonts w:ascii="Arial" w:cs="Arial" w:eastAsia="Arial" w:hAnsi="Arial"/>
                <w:sz w:val="11"/>
                <w:szCs w:val="11"/>
                <w:color w:val="auto"/>
              </w:rPr>
              <w:t>Net income (loss) per share, diluted</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(6.72)</w:t>
            </w:r>
          </w:p>
        </w:tc>
        <w:tc>
          <w:tcPr>
            <w:tcW w:w="820" w:type="dxa"/>
            <w:vAlign w:val="bottom"/>
            <w:gridSpan w:val="3"/>
          </w:tcPr>
          <w:p>
            <w:pPr>
              <w:jc w:val="right"/>
              <w:ind w:right="7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1.50</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7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0.30</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7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4"/>
                <w:szCs w:val="14"/>
                <w:color w:val="auto"/>
              </w:rPr>
            </w:pPr>
          </w:p>
        </w:tc>
      </w:tr>
    </w:tbl>
    <w:p>
      <w:pPr>
        <w:spacing w:after="0" w:line="185" w:lineRule="exact"/>
        <w:rPr>
          <w:sz w:val="20"/>
          <w:szCs w:val="20"/>
          <w:color w:val="auto"/>
        </w:rPr>
      </w:pPr>
    </w:p>
    <w:p>
      <w:pPr>
        <w:ind w:left="860" w:hanging="197"/>
        <w:spacing w:after="0"/>
        <w:tabs>
          <w:tab w:leader="none" w:pos="860" w:val="left"/>
        </w:tabs>
        <w:numPr>
          <w:ilvl w:val="1"/>
          <w:numId w:val="26"/>
        </w:numPr>
        <w:rPr>
          <w:rFonts w:ascii="Arial" w:cs="Arial" w:eastAsia="Arial" w:hAnsi="Arial"/>
          <w:sz w:val="11"/>
          <w:szCs w:val="11"/>
          <w:color w:val="auto"/>
        </w:rPr>
      </w:pPr>
      <w:r>
        <w:rPr>
          <w:rFonts w:ascii="Arial" w:cs="Arial" w:eastAsia="Arial" w:hAnsi="Arial"/>
          <w:sz w:val="11"/>
          <w:szCs w:val="11"/>
          <w:color w:val="auto"/>
        </w:rPr>
        <w:t>See Note 14 "Earnings per Share" for information on the allocation of income available to common stockholders.</w:t>
      </w:r>
    </w:p>
    <w:p>
      <w:pPr>
        <w:spacing w:after="0" w:line="33" w:lineRule="exact"/>
        <w:rPr>
          <w:rFonts w:ascii="Arial" w:cs="Arial" w:eastAsia="Arial" w:hAnsi="Arial"/>
          <w:sz w:val="11"/>
          <w:szCs w:val="11"/>
          <w:color w:val="auto"/>
        </w:rPr>
      </w:pPr>
    </w:p>
    <w:p>
      <w:pPr>
        <w:ind w:left="640" w:right="1139" w:firstLine="2"/>
        <w:spacing w:after="0" w:line="263" w:lineRule="auto"/>
        <w:tabs>
          <w:tab w:leader="none" w:pos="844" w:val="left"/>
        </w:tabs>
        <w:numPr>
          <w:ilvl w:val="0"/>
          <w:numId w:val="27"/>
        </w:numPr>
        <w:rPr>
          <w:rFonts w:ascii="Arial" w:cs="Arial" w:eastAsia="Arial" w:hAnsi="Arial"/>
          <w:sz w:val="11"/>
          <w:szCs w:val="11"/>
          <w:color w:val="auto"/>
        </w:rPr>
      </w:pPr>
      <w:r>
        <w:rPr>
          <w:rFonts w:ascii="Arial" w:cs="Arial" w:eastAsia="Arial" w:hAnsi="Arial"/>
          <w:sz w:val="11"/>
          <w:szCs w:val="11"/>
          <w:color w:val="auto"/>
        </w:rPr>
        <w:t>For the year ended December 31, 2020, the common stock outstanding, weighted average shares and net income per share for the Class A common stock were adjusted to reflect the 1 for 5 reverse stock split that occurred in June of 2021.</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7" w:name="page68"/>
    <w:bookmarkEnd w:id="6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Years Ended December 31,</w:t>
            </w:r>
          </w:p>
        </w:tc>
      </w:tr>
      <w:tr>
        <w:trPr>
          <w:trHeight w:val="151"/>
        </w:trPr>
        <w:tc>
          <w:tcPr>
            <w:tcW w:w="56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3"/>
                <w:szCs w:val="13"/>
                <w:color w:val="auto"/>
              </w:rPr>
            </w:pPr>
          </w:p>
        </w:tc>
      </w:tr>
      <w:tr>
        <w:trPr>
          <w:trHeight w:val="151"/>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10,820</w:t>
            </w:r>
          </w:p>
        </w:tc>
        <w:tc>
          <w:tcPr>
            <w:tcW w:w="20" w:type="dxa"/>
            <w:vAlign w:val="bottom"/>
            <w:shd w:val="clear" w:color="auto" w:fill="CCEEFF"/>
          </w:tcPr>
          <w:p>
            <w:pPr>
              <w:spacing w:after="0"/>
              <w:rPr>
                <w:sz w:val="13"/>
                <w:szCs w:val="13"/>
                <w:color w:val="auto"/>
              </w:rPr>
            </w:pPr>
          </w:p>
        </w:tc>
      </w:tr>
      <w:tr>
        <w:trPr>
          <w:trHeight w:val="160"/>
        </w:trPr>
        <w:tc>
          <w:tcPr>
            <w:tcW w:w="56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gain (loss) on investment securities</w:t>
            </w:r>
          </w:p>
        </w:tc>
        <w:tc>
          <w:tcPr>
            <w:tcW w:w="1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(9,561)</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4,175</w:t>
            </w:r>
          </w:p>
        </w:tc>
        <w:tc>
          <w:tcPr>
            <w:tcW w:w="20" w:type="dxa"/>
            <w:vAlign w:val="bottom"/>
            <w:shd w:val="clear" w:color="auto" w:fill="CCEEFF"/>
          </w:tcPr>
          <w:p>
            <w:pPr>
              <w:spacing w:after="0"/>
              <w:rPr>
                <w:sz w:val="13"/>
                <w:szCs w:val="13"/>
                <w:color w:val="auto"/>
              </w:rPr>
            </w:pPr>
          </w:p>
        </w:tc>
      </w:tr>
      <w:tr>
        <w:trPr>
          <w:trHeight w:val="160"/>
        </w:trPr>
        <w:tc>
          <w:tcPr>
            <w:tcW w:w="5680" w:type="dxa"/>
            <w:vAlign w:val="bottom"/>
          </w:tcPr>
          <w:p>
            <w:pPr>
              <w:ind w:left="100"/>
              <w:spacing w:after="0"/>
              <w:rPr>
                <w:sz w:val="20"/>
                <w:szCs w:val="20"/>
                <w:color w:val="auto"/>
              </w:rPr>
            </w:pPr>
            <w:r>
              <w:rPr>
                <w:rFonts w:ascii="Arial" w:cs="Arial" w:eastAsia="Arial" w:hAnsi="Arial"/>
                <w:sz w:val="11"/>
                <w:szCs w:val="11"/>
                <w:color w:val="auto"/>
              </w:rPr>
              <w:t>Amortization of net unrealized gains on securities transferred from available-for-sale to held-to-maturity</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gain included in net income</w:t>
            </w:r>
          </w:p>
        </w:tc>
        <w:tc>
          <w:tcPr>
            <w:tcW w:w="1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(434)</w:t>
            </w:r>
          </w:p>
        </w:tc>
      </w:tr>
      <w:tr>
        <w:trPr>
          <w:trHeight w:val="149"/>
        </w:trPr>
        <w:tc>
          <w:tcPr>
            <w:tcW w:w="5680" w:type="dxa"/>
            <w:vAlign w:val="bottom"/>
          </w:tcPr>
          <w:p>
            <w:pPr>
              <w:ind w:left="100"/>
              <w:spacing w:after="0"/>
              <w:rPr>
                <w:sz w:val="20"/>
                <w:szCs w:val="20"/>
                <w:color w:val="auto"/>
              </w:rPr>
            </w:pPr>
            <w:r>
              <w:rPr>
                <w:rFonts w:ascii="Arial" w:cs="Arial" w:eastAsia="Arial" w:hAnsi="Arial"/>
                <w:sz w:val="11"/>
                <w:szCs w:val="11"/>
                <w:color w:val="auto"/>
              </w:rPr>
              <w:t>Tax effect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2,370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(917)</w:t>
            </w: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other comprehensive income (loss), net of tax</w:t>
            </w:r>
          </w:p>
        </w:tc>
        <w:tc>
          <w:tcPr>
            <w:tcW w:w="160" w:type="dxa"/>
            <w:vAlign w:val="bottom"/>
            <w:shd w:val="clear" w:color="auto" w:fill="CCEEFF"/>
          </w:tcPr>
          <w:p>
            <w:pPr>
              <w:spacing w:after="0"/>
              <w:rPr>
                <w:sz w:val="11"/>
                <w:szCs w:val="11"/>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(7,297)</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2,824</w:t>
            </w:r>
          </w:p>
        </w:tc>
        <w:tc>
          <w:tcPr>
            <w:tcW w:w="20" w:type="dxa"/>
            <w:vAlign w:val="bottom"/>
            <w:shd w:val="clear" w:color="auto" w:fill="CCEEFF"/>
          </w:tcPr>
          <w:p>
            <w:pPr>
              <w:spacing w:after="0"/>
              <w:rPr>
                <w:sz w:val="11"/>
                <w:szCs w:val="11"/>
                <w:color w:val="auto"/>
              </w:rPr>
            </w:pPr>
          </w:p>
        </w:tc>
      </w:tr>
      <w:tr>
        <w:trPr>
          <w:trHeight w:val="161"/>
        </w:trPr>
        <w:tc>
          <w:tcPr>
            <w:tcW w:w="5680" w:type="dxa"/>
            <w:vAlign w:val="bottom"/>
          </w:tcPr>
          <w:p>
            <w:pPr>
              <w:spacing w:after="0"/>
              <w:rPr>
                <w:sz w:val="20"/>
                <w:szCs w:val="20"/>
                <w:color w:val="auto"/>
              </w:rPr>
            </w:pPr>
            <w:r>
              <w:rPr>
                <w:rFonts w:ascii="Arial" w:cs="Arial" w:eastAsia="Arial" w:hAnsi="Arial"/>
                <w:sz w:val="11"/>
                <w:szCs w:val="11"/>
                <w:color w:val="auto"/>
              </w:rPr>
              <w:t>Total comprehensive income</w:t>
            </w: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13,780</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137"/>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13,644</w:t>
            </w:r>
          </w:p>
        </w:tc>
        <w:tc>
          <w:tcPr>
            <w:tcW w:w="20" w:type="dxa"/>
            <w:vAlign w:val="bottom"/>
          </w:tcPr>
          <w:p>
            <w:pPr>
              <w:spacing w:after="0"/>
              <w:rPr>
                <w:sz w:val="14"/>
                <w:szCs w:val="14"/>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68" w:name="page69"/>
    <w:bookmarkEnd w:id="68"/>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00" w:type="dxa"/>
            <w:vAlign w:val="bottom"/>
          </w:tcPr>
          <w:p>
            <w:pPr>
              <w:spacing w:after="0"/>
              <w:rPr>
                <w:sz w:val="12"/>
                <w:szCs w:val="12"/>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2"/>
                <w:szCs w:val="12"/>
                <w:color w:val="auto"/>
              </w:rPr>
            </w:pPr>
          </w:p>
        </w:tc>
        <w:tc>
          <w:tcPr>
            <w:tcW w:w="17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auto"/>
              </w:rPr>
              <w:t>Additional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in Capital 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1"/>
                <w:szCs w:val="11"/>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Comprehensive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2"/>
                <w:szCs w:val="12"/>
                <w:color w:val="auto"/>
              </w:rPr>
            </w:pPr>
          </w:p>
        </w:tc>
        <w:tc>
          <w:tcPr>
            <w:tcW w:w="820" w:type="dxa"/>
            <w:vAlign w:val="bottom"/>
            <w:gridSpan w:val="3"/>
          </w:tcPr>
          <w:p>
            <w:pPr>
              <w:ind w:lef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2"/>
                <w:szCs w:val="12"/>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Income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at January 1, 2021</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12,350,879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32,077</w:t>
            </w: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25,568,147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25,568</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162,197</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(53,622)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4,781</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171,001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00" w:type="dxa"/>
            <w:vAlign w:val="bottom"/>
          </w:tcPr>
          <w:p>
            <w:pPr>
              <w:ind w:left="100"/>
              <w:spacing w:after="0"/>
              <w:rPr>
                <w:sz w:val="20"/>
                <w:szCs w:val="20"/>
                <w:color w:val="auto"/>
              </w:rPr>
            </w:pPr>
            <w:r>
              <w:rPr>
                <w:rFonts w:ascii="Arial" w:cs="Arial" w:eastAsia="Arial" w:hAnsi="Arial"/>
                <w:sz w:val="11"/>
                <w:szCs w:val="11"/>
                <w:color w:val="auto"/>
              </w:rPr>
              <w:t>Reverse stock split 1 for 5 Common A</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1"/>
                <w:szCs w:val="11"/>
                <w:color w:val="auto"/>
              </w:rPr>
              <w:t>(15,557,626)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(15,558)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15,558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Adjusted balance at January 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12,350,879</w:t>
            </w: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32,077</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10,010,521</w:t>
            </w: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10,010</w:t>
            </w: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177,755</w:t>
            </w: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(53,622)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4,781</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171,001</w:t>
            </w:r>
          </w:p>
        </w:tc>
        <w:tc>
          <w:tcPr>
            <w:tcW w:w="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21,077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21,077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(7,297)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(7,297)</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Dividends - preferred stock</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(2,077)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(2,077)</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Issuance of Class A common stock, net of</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00" w:type="dxa"/>
            <w:vAlign w:val="bottom"/>
            <w:tcBorders>
              <w:bottom w:val="single" w:sz="8" w:color="CCEEFF"/>
            </w:tcBorders>
            <w:shd w:val="clear" w:color="auto" w:fill="CCEEFF"/>
          </w:tcPr>
          <w:p>
            <w:pPr>
              <w:ind w:left="100"/>
              <w:spacing w:after="0" w:line="125" w:lineRule="exact"/>
              <w:rPr>
                <w:sz w:val="20"/>
                <w:szCs w:val="20"/>
                <w:color w:val="auto"/>
              </w:rPr>
            </w:pPr>
            <w:r>
              <w:rPr>
                <w:rFonts w:ascii="Arial" w:cs="Arial" w:eastAsia="Arial" w:hAnsi="Arial"/>
                <w:sz w:val="11"/>
                <w:szCs w:val="11"/>
                <w:color w:val="auto"/>
              </w:rPr>
              <w:t>offering costs of $6,174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4,600,000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4,600</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35,226</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39,826</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Exchange of preferred stock</w:t>
            </w:r>
          </w:p>
        </w:tc>
        <w:tc>
          <w:tcPr>
            <w:tcW w:w="840" w:type="dxa"/>
            <w:vAlign w:val="bottom"/>
            <w:gridSpan w:val="3"/>
          </w:tcPr>
          <w:p>
            <w:pPr>
              <w:jc w:val="right"/>
              <w:ind w:right="40"/>
              <w:spacing w:after="0"/>
              <w:rPr>
                <w:sz w:val="20"/>
                <w:szCs w:val="20"/>
                <w:color w:val="auto"/>
              </w:rPr>
            </w:pPr>
            <w:r>
              <w:rPr>
                <w:rFonts w:ascii="Arial" w:cs="Arial" w:eastAsia="Arial" w:hAnsi="Arial"/>
                <w:sz w:val="11"/>
                <w:szCs w:val="11"/>
                <w:color w:val="auto"/>
              </w:rPr>
              <w:t>(11,109,025)</w:t>
            </w: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(22,154)</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10,278,072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10,279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92,501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(80,626)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Redemption of preferred stock</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(1,241,854)</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(9,923)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(8,997)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(18,920)</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Exchange of Class B to Class A common stock</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1"/>
                <w:szCs w:val="11"/>
                <w:color w:val="auto"/>
              </w:rPr>
              <w:t>(4,896,840)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(4,897)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4,897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 based compensation</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20"/>
                <w:szCs w:val="20"/>
                <w:color w:val="auto"/>
              </w:rPr>
            </w:pPr>
            <w:r>
              <w:rPr>
                <w:rFonts w:ascii="Arial" w:cs="Arial" w:eastAsia="Arial" w:hAnsi="Arial"/>
                <w:sz w:val="11"/>
                <w:szCs w:val="11"/>
                <w:color w:val="auto"/>
              </w:rPr>
              <w:t>Balance at December 31, 2021</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14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19,991,753</w:t>
            </w:r>
          </w:p>
        </w:tc>
        <w:tc>
          <w:tcPr>
            <w:tcW w:w="20" w:type="dxa"/>
            <w:vAlign w:val="bottom"/>
          </w:tcPr>
          <w:p>
            <w:pPr>
              <w:spacing w:after="0"/>
              <w:rPr>
                <w:sz w:val="16"/>
                <w:szCs w:val="16"/>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19,992</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310,666</w:t>
            </w: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1"/>
                <w:szCs w:val="11"/>
                <w:color w:val="auto"/>
              </w:rPr>
              <w:t>(124,245)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(2,516)</w:t>
            </w: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11"/>
        </w:trPr>
        <w:tc>
          <w:tcPr>
            <w:tcW w:w="26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20"/>
                <w:szCs w:val="20"/>
                <w:color w:val="auto"/>
              </w:rPr>
            </w:pPr>
            <w:r>
              <w:rPr>
                <w:rFonts w:ascii="Arial" w:cs="Arial" w:eastAsia="Arial" w:hAnsi="Arial"/>
                <w:sz w:val="11"/>
                <w:szCs w:val="11"/>
                <w:color w:val="auto"/>
              </w:rPr>
              <w:t>Balance at January 1, 2020</w:t>
            </w:r>
            <w:r>
              <w:rPr>
                <w:rFonts w:ascii="Arial" w:cs="Arial" w:eastAsia="Arial" w:hAnsi="Arial"/>
                <w:sz w:val="14"/>
                <w:szCs w:val="14"/>
                <w:color w:val="auto"/>
                <w:vertAlign w:val="superscript"/>
              </w:rPr>
              <w:t>(1)</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12,350,879</w:t>
            </w:r>
          </w:p>
        </w:tc>
        <w:tc>
          <w:tcPr>
            <w:tcW w:w="40" w:type="dxa"/>
            <w:vAlign w:val="bottom"/>
          </w:tcPr>
          <w:p>
            <w:pPr>
              <w:spacing w:after="0"/>
              <w:rPr>
                <w:sz w:val="13"/>
                <w:szCs w:val="13"/>
                <w:color w:val="auto"/>
              </w:rPr>
            </w:pPr>
          </w:p>
        </w:tc>
        <w:tc>
          <w:tcPr>
            <w:tcW w:w="14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32,077</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10,008,521</w:t>
            </w:r>
          </w:p>
        </w:tc>
        <w:tc>
          <w:tcPr>
            <w:tcW w:w="20" w:type="dxa"/>
            <w:vAlign w:val="bottom"/>
          </w:tcPr>
          <w:p>
            <w:pPr>
              <w:spacing w:after="0"/>
              <w:rPr>
                <w:sz w:val="13"/>
                <w:szCs w:val="13"/>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10,008</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177,555</w:t>
            </w: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(61,315)</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1,957</w:t>
            </w:r>
          </w:p>
        </w:tc>
        <w:tc>
          <w:tcPr>
            <w:tcW w:w="4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160,282</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Other comprehensive income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2,824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2,824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Dividends -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(3,127)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(3,127)</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Stock based compensation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00" w:type="dxa"/>
            <w:vAlign w:val="bottom"/>
          </w:tcPr>
          <w:p>
            <w:pPr>
              <w:spacing w:after="0"/>
              <w:rPr>
                <w:sz w:val="20"/>
                <w:szCs w:val="20"/>
                <w:color w:val="auto"/>
              </w:rPr>
            </w:pPr>
            <w:r>
              <w:rPr>
                <w:rFonts w:ascii="Arial" w:cs="Arial" w:eastAsia="Arial" w:hAnsi="Arial"/>
                <w:sz w:val="11"/>
                <w:szCs w:val="11"/>
                <w:color w:val="auto"/>
              </w:rPr>
              <w:t>Balance at December 31, 2020</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12,350,879</w:t>
            </w:r>
          </w:p>
        </w:tc>
        <w:tc>
          <w:tcPr>
            <w:tcW w:w="40" w:type="dxa"/>
            <w:vAlign w:val="bottom"/>
          </w:tcPr>
          <w:p>
            <w:pPr>
              <w:spacing w:after="0"/>
              <w:rPr>
                <w:sz w:val="13"/>
                <w:szCs w:val="13"/>
                <w:color w:val="auto"/>
              </w:rPr>
            </w:pPr>
          </w:p>
        </w:tc>
        <w:tc>
          <w:tcPr>
            <w:tcW w:w="14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32,077</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10,010,521</w:t>
            </w:r>
          </w:p>
        </w:tc>
        <w:tc>
          <w:tcPr>
            <w:tcW w:w="20" w:type="dxa"/>
            <w:vAlign w:val="bottom"/>
          </w:tcPr>
          <w:p>
            <w:pPr>
              <w:spacing w:after="0"/>
              <w:rPr>
                <w:sz w:val="13"/>
                <w:szCs w:val="13"/>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10,010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177,755</w:t>
            </w: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(53,622)</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4,781</w:t>
            </w:r>
          </w:p>
        </w:tc>
        <w:tc>
          <w:tcPr>
            <w:tcW w:w="4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171,001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left="2900" w:right="40" w:hanging="2854"/>
        <w:spacing w:after="0" w:line="668" w:lineRule="auto"/>
        <w:tabs>
          <w:tab w:leader="none" w:pos="244"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Common stock shares, par value, and additional paid-in capital for common stock for 2020 was adjusted to reflect the 1 for 5 reverse stock split. See Note 13 "Stockholders' Equity" for further details. 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69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10240"/>
          </w:cols>
          <w:pgMar w:left="900" w:top="491" w:right="759" w:bottom="1440" w:gutter="0" w:footer="0" w:header="0"/>
        </w:sectPr>
      </w:pPr>
    </w:p>
    <w:bookmarkStart w:id="69" w:name="page70"/>
    <w:bookmarkEnd w:id="6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Years Ended December 31,</w:t>
            </w:r>
          </w:p>
        </w:tc>
      </w:tr>
      <w:tr>
        <w:trPr>
          <w:trHeight w:val="140"/>
        </w:trPr>
        <w:tc>
          <w:tcPr>
            <w:tcW w:w="5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2"/>
                <w:szCs w:val="12"/>
                <w:color w:val="auto"/>
              </w:rPr>
            </w:pPr>
          </w:p>
        </w:tc>
      </w:tr>
      <w:tr>
        <w:trPr>
          <w:trHeight w:val="14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21,077</w:t>
            </w:r>
          </w:p>
        </w:tc>
        <w:tc>
          <w:tcPr>
            <w:tcW w:w="4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10,820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Provision for credit losses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3,250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Amortization of premiums on securities, net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596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358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Accretion of deferred loan fees, net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(2,661)</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Stock based compensation</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287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Gain on sale of available for sale securities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(434)</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Gain on sale of loans held for sale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(1,626)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(839)</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Gain on sale of premises and equipment, net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Increase in cash surrender value of bank owned life insurance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(759)</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(712)</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Decrease in deferred tax asset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change in operating assets and liabilities: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Accrued interest receivable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(1,998)</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Other assets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(2,270)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473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Accrued interest and 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2,652</w:t>
            </w:r>
          </w:p>
        </w:tc>
        <w:tc>
          <w:tcPr>
            <w:tcW w:w="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798</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Pr>
          <w:p>
            <w:pPr>
              <w:ind w:left="380"/>
              <w:spacing w:after="0"/>
              <w:rPr>
                <w:sz w:val="20"/>
                <w:szCs w:val="20"/>
                <w:color w:val="auto"/>
              </w:rPr>
            </w:pPr>
            <w:r>
              <w:rPr>
                <w:rFonts w:ascii="Arial" w:cs="Arial" w:eastAsia="Arial" w:hAnsi="Arial"/>
                <w:sz w:val="11"/>
                <w:szCs w:val="11"/>
                <w:color w:val="auto"/>
              </w:rPr>
              <w:t>Net cash provided by operating activities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22,051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13,102</w:t>
            </w: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investment securities held to maturity</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(57,917)</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 securities held to maturity</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3,736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investment securities available for sale</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(258,767)</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(253,993)</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 securities available for sale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61,047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48,441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sales of investment securities available for sale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48,940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55,169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call of investment securities available for sale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3,034</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2,140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increase in loans held for investment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(33,515)</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(42,527)</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loans held for investment</w:t>
            </w: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1"/>
                <w:szCs w:val="11"/>
                <w:color w:val="auto"/>
              </w:rPr>
              <w:t>(129,531)</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Additions to premises and equipment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(347)</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sale of loans held for sale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16,980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9,295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the sale of property</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1,652</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redemption of Federal Home Loan Bank stock</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611</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4,972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Federal Home Loan Bank stock</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(1,926)</w:t>
            </w: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Purchase of bank owned life insurance</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(15,000)</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cash used in investment activities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(359,363)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(178,776)</w:t>
            </w:r>
          </w:p>
        </w:tc>
      </w:tr>
      <w:tr>
        <w:trPr>
          <w:trHeight w:val="173"/>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(Continued)</w:t>
            </w:r>
          </w:p>
        </w:tc>
      </w:tr>
    </w:tbl>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70" w:name="page71"/>
    <w:bookmarkEnd w:id="7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Cash Flows (Continued)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1"/>
                <w:szCs w:val="11"/>
                <w:b w:val="1"/>
                <w:bCs w:val="1"/>
                <w:color w:val="auto"/>
              </w:rPr>
              <w:t>Years Ended December 31,</w:t>
            </w:r>
          </w:p>
        </w:tc>
        <w:tc>
          <w:tcPr>
            <w:tcW w:w="20" w:type="dxa"/>
            <w:vAlign w:val="bottom"/>
          </w:tcPr>
          <w:p>
            <w:pPr>
              <w:spacing w:after="0"/>
              <w:rPr>
                <w:sz w:val="11"/>
                <w:szCs w:val="11"/>
                <w:color w:val="auto"/>
              </w:rPr>
            </w:pPr>
          </w:p>
        </w:tc>
      </w:tr>
      <w:tr>
        <w:trPr>
          <w:trHeight w:val="140"/>
        </w:trPr>
        <w:tc>
          <w:tcPr>
            <w:tcW w:w="12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1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3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issuance of Class A common stock, net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39,826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paid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(2,077)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(3,127)</w:t>
            </w: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Redemption of Preferred stock Class C</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(5,275)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Redemption of Preferred stock Class 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(6,145)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Redemption of Preferred stock Class 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(7,500)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316,977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255,779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Federal Home Loan Bank advances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79,000</w:t>
            </w:r>
          </w:p>
        </w:tc>
        <w:tc>
          <w:tcPr>
            <w:tcW w:w="20" w:type="dxa"/>
            <w:vAlign w:val="bottom"/>
          </w:tcPr>
          <w:p>
            <w:pPr>
              <w:spacing w:after="0"/>
              <w:rPr>
                <w:sz w:val="13"/>
                <w:szCs w:val="13"/>
                <w:color w:val="auto"/>
              </w:rPr>
            </w:pPr>
          </w:p>
        </w:tc>
      </w:tr>
      <w:tr>
        <w:trPr>
          <w:trHeight w:val="149"/>
        </w:trPr>
        <w:tc>
          <w:tcPr>
            <w:tcW w:w="120" w:type="dxa"/>
            <w:vAlign w:val="bottom"/>
            <w:tcBorders>
              <w:bottom w:val="single" w:sz="8" w:color="CCEEFF"/>
            </w:tcBorders>
            <w:shd w:val="clear" w:color="auto" w:fill="CCEEFF"/>
          </w:tcPr>
          <w:p>
            <w:pPr>
              <w:spacing w:after="0"/>
              <w:rPr>
                <w:sz w:val="12"/>
                <w:szCs w:val="1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3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(154,000)</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120" w:type="dxa"/>
            <w:vAlign w:val="bottom"/>
          </w:tcPr>
          <w:p>
            <w:pPr>
              <w:spacing w:after="0"/>
              <w:rPr>
                <w:sz w:val="13"/>
                <w:szCs w:val="13"/>
                <w:color w:val="auto"/>
              </w:rPr>
            </w:pPr>
          </w:p>
        </w:tc>
        <w:tc>
          <w:tcPr>
            <w:tcW w:w="5120" w:type="dxa"/>
            <w:vAlign w:val="bottom"/>
          </w:tcPr>
          <w:p>
            <w:pPr>
              <w:ind w:left="20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335,806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177,667</w:t>
            </w:r>
          </w:p>
        </w:tc>
        <w:tc>
          <w:tcPr>
            <w:tcW w:w="20" w:type="dxa"/>
            <w:vAlign w:val="bottom"/>
          </w:tcPr>
          <w:p>
            <w:pPr>
              <w:spacing w:after="0"/>
              <w:rPr>
                <w:sz w:val="13"/>
                <w:szCs w:val="13"/>
                <w:color w:val="auto"/>
              </w:rPr>
            </w:pPr>
          </w:p>
        </w:tc>
      </w:tr>
      <w:tr>
        <w:trPr>
          <w:trHeight w:val="160"/>
        </w:trPr>
        <w:tc>
          <w:tcPr>
            <w:tcW w:w="52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Net increase (decrease) in cash and cash equivalents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(1,506)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11,993</w:t>
            </w:r>
          </w:p>
        </w:tc>
        <w:tc>
          <w:tcPr>
            <w:tcW w:w="20" w:type="dxa"/>
            <w:vAlign w:val="bottom"/>
          </w:tcPr>
          <w:p>
            <w:pPr>
              <w:spacing w:after="0"/>
              <w:rPr>
                <w:sz w:val="13"/>
                <w:szCs w:val="13"/>
                <w:color w:val="auto"/>
              </w:rPr>
            </w:pPr>
          </w:p>
        </w:tc>
      </w:tr>
      <w:tr>
        <w:trPr>
          <w:trHeight w:val="149"/>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Cash and cash equivalents at beginning of year</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47,734</w:t>
            </w:r>
          </w:p>
        </w:tc>
        <w:tc>
          <w:tcPr>
            <w:tcW w:w="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3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35,741</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201"/>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Cash and cash equivalents at end of year</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46,228</w:t>
            </w:r>
          </w:p>
        </w:tc>
        <w:tc>
          <w:tcPr>
            <w:tcW w:w="17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47,734</w:t>
            </w:r>
          </w:p>
        </w:tc>
        <w:tc>
          <w:tcPr>
            <w:tcW w:w="20" w:type="dxa"/>
            <w:vAlign w:val="bottom"/>
          </w:tcPr>
          <w:p>
            <w:pPr>
              <w:spacing w:after="0"/>
              <w:rPr>
                <w:sz w:val="17"/>
                <w:szCs w:val="17"/>
                <w:color w:val="auto"/>
              </w:rPr>
            </w:pPr>
          </w:p>
        </w:tc>
      </w:tr>
      <w:tr>
        <w:trPr>
          <w:trHeight w:val="111"/>
        </w:trPr>
        <w:tc>
          <w:tcPr>
            <w:tcW w:w="52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10" w:type="dxa"/>
            <w:vAlign w:val="bottom"/>
            <w:tcBorders>
              <w:top w:val="single" w:sz="8" w:color="auto"/>
            </w:tcBorders>
            <w:shd w:val="clear" w:color="auto" w:fill="CCEEFF"/>
          </w:tcPr>
          <w:p>
            <w:pPr>
              <w:spacing w:after="0"/>
              <w:rPr>
                <w:sz w:val="9"/>
                <w:szCs w:val="9"/>
                <w:color w:val="auto"/>
              </w:rPr>
            </w:pPr>
          </w:p>
        </w:tc>
        <w:tc>
          <w:tcPr>
            <w:tcW w:w="3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4,286</w:t>
            </w:r>
          </w:p>
        </w:tc>
        <w:tc>
          <w:tcPr>
            <w:tcW w:w="8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3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5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5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1"/>
        </w:trPr>
        <w:tc>
          <w:tcPr>
            <w:tcW w:w="1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Transfer of loans held for investment to loans held for sale</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15,354</w:t>
            </w:r>
          </w:p>
        </w:tc>
        <w:tc>
          <w:tcPr>
            <w:tcW w:w="17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8,456</w:t>
            </w:r>
          </w:p>
        </w:tc>
        <w:tc>
          <w:tcPr>
            <w:tcW w:w="20" w:type="dxa"/>
            <w:vAlign w:val="bottom"/>
          </w:tcPr>
          <w:p>
            <w:pPr>
              <w:spacing w:after="0"/>
              <w:rPr>
                <w:sz w:val="18"/>
                <w:szCs w:val="18"/>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Transfer of investment securities from available-for-sale to held-to-maturity</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68,667</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3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120" w:type="dxa"/>
            <w:vAlign w:val="bottom"/>
          </w:tcPr>
          <w:p>
            <w:pPr>
              <w:spacing w:after="0"/>
              <w:rPr>
                <w:sz w:val="14"/>
                <w:szCs w:val="14"/>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Transfer of premises and equipment to assets held for sale</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652</w:t>
            </w:r>
          </w:p>
        </w:tc>
        <w:tc>
          <w:tcPr>
            <w:tcW w:w="17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Lease liability arising from obtaining right-of-use assets</w:t>
            </w:r>
          </w:p>
        </w:tc>
        <w:tc>
          <w:tcPr>
            <w:tcW w:w="100" w:type="dxa"/>
            <w:vAlign w:val="bottom"/>
            <w:tcBorders>
              <w:top w:val="single" w:sz="8" w:color="auto"/>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328</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w:t>
            </w:r>
          </w:p>
        </w:tc>
        <w:tc>
          <w:tcPr>
            <w:tcW w:w="1070" w:type="dxa"/>
            <w:vAlign w:val="bottom"/>
            <w:tcBorders>
              <w:top w:val="single" w:sz="8" w:color="auto"/>
              <w:bottom w:val="single" w:sz="8" w:color="auto"/>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120" w:type="dxa"/>
            <w:vAlign w:val="bottom"/>
          </w:tcPr>
          <w:p>
            <w:pPr>
              <w:spacing w:after="0"/>
              <w:rPr>
                <w:sz w:val="14"/>
                <w:szCs w:val="14"/>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Exchange of Preferred C for Class A common stock</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47,473</w:t>
            </w:r>
          </w:p>
        </w:tc>
        <w:tc>
          <w:tcPr>
            <w:tcW w:w="17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Exchange of Preferred D for Class A common stock</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55,308</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3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1"/>
        </w:trPr>
        <w:tc>
          <w:tcPr>
            <w:tcW w:w="120" w:type="dxa"/>
            <w:vAlign w:val="bottom"/>
          </w:tcPr>
          <w:p>
            <w:pPr>
              <w:spacing w:after="0"/>
              <w:rPr>
                <w:sz w:val="10"/>
                <w:szCs w:val="10"/>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Exchange of Class B common stock for Class A common stock</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4,897</w:t>
            </w:r>
          </w:p>
        </w:tc>
        <w:tc>
          <w:tcPr>
            <w:tcW w:w="17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71" w:name="page72"/>
    <w:bookmarkEnd w:id="7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20" w:hanging="378"/>
        <w:spacing w:after="0"/>
        <w:tabs>
          <w:tab w:leader="none" w:pos="102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45"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December 2021, USCB Financial Holdings, Inc. acquired all issued and outstanding shares of the Class A common stock of the Bank. Each of the outstanding shares of the Bank’s common stock, par value $1.00 per share, formerly held by its shareholders were converted into and exchanged for one newly issued share of the Company’s common stock, par value $1.00 per share.</w:t>
      </w:r>
    </w:p>
    <w:p>
      <w:pPr>
        <w:spacing w:after="0" w:line="156"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Company’s 2015 Option Plan has a 10-year life that will terminate in 2025. In July 2020, the shareholders of the Company approved to amend the 2015 Option plan authorizing the issuance of an additional 3,000,000 shares of common stock and extending the life of the plan 5 additional years, terminating in 2030. The approved shares after being adjusted to reflect the 1 for 5 reverse stock split totaled 1,000,000 shares. In December 2021, during the same time of the bank holding company formation, the shareholders of the Company approved to amend the 2015 Option plan authorizing the issuance of an additional 1,400,000 shares of common stock.</w:t>
      </w:r>
    </w:p>
    <w:p>
      <w:pPr>
        <w:spacing w:after="0" w:line="147" w:lineRule="exact"/>
        <w:rPr>
          <w:sz w:val="20"/>
          <w:szCs w:val="20"/>
          <w:color w:val="auto"/>
        </w:rPr>
      </w:pPr>
    </w:p>
    <w:p>
      <w:pPr>
        <w:jc w:val="both"/>
        <w:ind w:left="640" w:right="639" w:firstLine="256"/>
        <w:spacing w:after="0" w:line="253" w:lineRule="auto"/>
        <w:rPr>
          <w:sz w:val="20"/>
          <w:szCs w:val="20"/>
          <w:color w:val="auto"/>
        </w:rPr>
      </w:pPr>
      <w:r>
        <w:rPr>
          <w:rFonts w:ascii="Arial" w:cs="Arial" w:eastAsia="Arial" w:hAnsi="Arial"/>
          <w:sz w:val="14"/>
          <w:szCs w:val="14"/>
          <w:color w:val="auto"/>
        </w:rPr>
        <w:t>The Company’s Consolidated Financial Statements consist of USCB Financial Holdings, Inc. and U.S. Century Bank as of and for the year ended December 31, 2021 compared to only U.S. Century Bank as of and for the year ended December 31, 2020.</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Principles of Consolidation</w:t>
      </w:r>
    </w:p>
    <w:p>
      <w:pPr>
        <w:spacing w:after="0" w:line="188" w:lineRule="exact"/>
        <w:rPr>
          <w:sz w:val="20"/>
          <w:szCs w:val="20"/>
          <w:color w:val="auto"/>
        </w:rPr>
      </w:pPr>
    </w:p>
    <w:p>
      <w:pPr>
        <w:ind w:left="620" w:right="719" w:firstLine="256"/>
        <w:spacing w:after="0" w:line="252" w:lineRule="auto"/>
        <w:rPr>
          <w:sz w:val="20"/>
          <w:szCs w:val="20"/>
          <w:color w:val="auto"/>
        </w:rPr>
      </w:pPr>
      <w:r>
        <w:rPr>
          <w:rFonts w:ascii="Arial" w:cs="Arial" w:eastAsia="Arial" w:hAnsi="Arial"/>
          <w:sz w:val="14"/>
          <w:szCs w:val="14"/>
          <w:color w:val="auto"/>
        </w:rPr>
        <w:t>Intercompany transactions and balances are eliminated in consolidation. The Consolidated financial statements have been prepared in accordance with U.S. Generally Accepted Accounting Principles ("GAAP").</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Initial Public Offering and Exchange and Redemption of Shares</w:t>
      </w:r>
    </w:p>
    <w:p>
      <w:pPr>
        <w:spacing w:after="0" w:line="188" w:lineRule="exact"/>
        <w:rPr>
          <w:sz w:val="20"/>
          <w:szCs w:val="20"/>
          <w:color w:val="auto"/>
        </w:rPr>
      </w:pPr>
    </w:p>
    <w:p>
      <w:pPr>
        <w:jc w:val="both"/>
        <w:ind w:left="620" w:right="699" w:firstLine="256"/>
        <w:spacing w:after="0" w:line="248" w:lineRule="auto"/>
        <w:rPr>
          <w:sz w:val="20"/>
          <w:szCs w:val="20"/>
          <w:color w:val="auto"/>
        </w:rPr>
      </w:pPr>
      <w:r>
        <w:rPr>
          <w:rFonts w:ascii="Arial" w:cs="Arial" w:eastAsia="Arial" w:hAnsi="Arial"/>
          <w:sz w:val="14"/>
          <w:szCs w:val="14"/>
          <w:color w:val="auto"/>
        </w:rPr>
        <w:t>On July 27, 2021, the Company completed an initial public offering (the “IPO”) and its Class A voting common shares began trading on the Nasdaq Stock Market under ticker symbol “USCB”. Following the IPO, the Company completed an exchange of then outstanding preferred shares for Class A common shares and thereafter redeemed the remaining outstanding preferred shares.</w:t>
      </w:r>
    </w:p>
    <w:p>
      <w:pPr>
        <w:spacing w:after="0" w:line="145"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In December 2021, the Company reached agreements with the Class B common shareholders to receive Class A voting common stock in exchange for all outstanding Class B non-voting common stock in a 1 for 5 reverse stock split. As of December 31, 2021, there were no issued and outstanding preferred shares or Class B common shares. See Note 13 “Stockholders’ Equity” for further information about the IPO and the exchange and redemption of shares.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Use of Estimates</w:t>
      </w:r>
    </w:p>
    <w:p>
      <w:pPr>
        <w:spacing w:after="0" w:line="188" w:lineRule="exact"/>
        <w:rPr>
          <w:sz w:val="20"/>
          <w:szCs w:val="20"/>
          <w:color w:val="auto"/>
        </w:rPr>
      </w:pPr>
    </w:p>
    <w:p>
      <w:pPr>
        <w:jc w:val="both"/>
        <w:ind w:left="620" w:right="719" w:firstLine="256"/>
        <w:spacing w:after="0" w:line="252" w:lineRule="auto"/>
        <w:rPr>
          <w:sz w:val="20"/>
          <w:szCs w:val="20"/>
          <w:color w:val="auto"/>
        </w:rPr>
      </w:pPr>
      <w:r>
        <w:rPr>
          <w:rFonts w:ascii="Arial" w:cs="Arial" w:eastAsia="Arial" w:hAnsi="Arial"/>
          <w:sz w:val="14"/>
          <w:szCs w:val="14"/>
          <w:color w:val="auto"/>
        </w:rPr>
        <w:t>In preparing the consolidated financial statements, management is required to make estimates and assumptions based on available information that affect the amounts reported in the financial statements and the disclosures provided.</w:t>
      </w:r>
    </w:p>
    <w:p>
      <w:pPr>
        <w:spacing w:after="0" w:line="153"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coronavirus (“COVID-19”) pandemic has negatively affected many of the Company’s clients and could still impair their ability to fulfill their financial obligations. The Company’s business is dependent upon the willingness and ability of its associates and customers to conduct banking and other financial transactions. While we believe conditions have improved as of December 31, 2021, if there is a resurgence in the virus, the Company could experience further adverse effects on its business, financial condition, results of operations and cash flows. While it is not possible to know the full extent of the impact the COVID-19 pandemic will have on the Company's future operations, the Company continues to communicate with its associates and customers to understand their challenges, which allows us to respond to their needs and issues as they arise.</w:t>
      </w:r>
    </w:p>
    <w:p>
      <w:pPr>
        <w:spacing w:after="0" w:line="158" w:lineRule="exact"/>
        <w:rPr>
          <w:sz w:val="20"/>
          <w:szCs w:val="20"/>
          <w:color w:val="auto"/>
        </w:rPr>
      </w:pPr>
    </w:p>
    <w:p>
      <w:pPr>
        <w:jc w:val="both"/>
        <w:ind w:left="620" w:right="719" w:firstLine="256"/>
        <w:spacing w:after="0" w:line="273" w:lineRule="auto"/>
        <w:rPr>
          <w:sz w:val="20"/>
          <w:szCs w:val="20"/>
          <w:color w:val="auto"/>
        </w:rPr>
      </w:pPr>
      <w:r>
        <w:rPr>
          <w:rFonts w:ascii="Arial" w:cs="Arial" w:eastAsia="Arial" w:hAnsi="Arial"/>
          <w:sz w:val="13"/>
          <w:szCs w:val="13"/>
          <w:color w:val="auto"/>
        </w:rPr>
        <w:t>While there was not a material impact to the Company’s Consolidated Financial Statements as of and for the year ended December 31, 2021, future increases in the allowance for credit losses (“ACL”) may be required because of the potential economic downturn that a resurgence in the virus may cause and those ACL increases can be material. It is difficult to</w:t>
      </w:r>
    </w:p>
    <w:p>
      <w:pPr>
        <w:spacing w:after="0" w:line="18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72" w:name="page73"/>
    <w:bookmarkEnd w:id="7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quantify the impact that COVID-19 will have on the estimates and assumptions used to prepare the financial statements.</w:t>
      </w:r>
    </w:p>
    <w:p>
      <w:pPr>
        <w:ind w:left="620"/>
        <w:spacing w:after="0"/>
        <w:rPr>
          <w:sz w:val="20"/>
          <w:szCs w:val="20"/>
          <w:color w:val="auto"/>
        </w:rPr>
      </w:pPr>
      <w:r>
        <w:rPr>
          <w:rFonts w:ascii="Arial" w:cs="Arial" w:eastAsia="Arial" w:hAnsi="Arial"/>
          <w:sz w:val="14"/>
          <w:szCs w:val="14"/>
          <w:color w:val="auto"/>
        </w:rPr>
        <w:t>Actual results could differ from those estimates.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Cash and Cash Equivalents</w:t>
      </w:r>
    </w:p>
    <w:p>
      <w:pPr>
        <w:spacing w:after="0" w:line="18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Restricted Cash</w:t>
      </w:r>
    </w:p>
    <w:p>
      <w:pPr>
        <w:spacing w:after="0" w:line="188" w:lineRule="exact"/>
        <w:rPr>
          <w:sz w:val="20"/>
          <w:szCs w:val="20"/>
          <w:color w:val="auto"/>
        </w:rPr>
      </w:pPr>
    </w:p>
    <w:p>
      <w:pPr>
        <w:jc w:val="both"/>
        <w:ind w:left="620" w:right="719" w:firstLine="256"/>
        <w:spacing w:after="0" w:line="252" w:lineRule="auto"/>
        <w:rPr>
          <w:sz w:val="20"/>
          <w:szCs w:val="20"/>
          <w:color w:val="auto"/>
        </w:rPr>
      </w:pPr>
      <w:r>
        <w:rPr>
          <w:rFonts w:ascii="Arial" w:cs="Arial" w:eastAsia="Arial" w:hAnsi="Arial"/>
          <w:sz w:val="14"/>
          <w:szCs w:val="14"/>
          <w:color w:val="auto"/>
        </w:rPr>
        <w:t>The Company may be required to maintain funds at other banks to satisfy a loan participation agreement. The Company reports restricted cash within cash and cash equivalents.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Interest-Bearing Deposits in Other Financial Institutions</w:t>
      </w:r>
    </w:p>
    <w:p>
      <w:pPr>
        <w:spacing w:after="0" w:line="188" w:lineRule="exact"/>
        <w:rPr>
          <w:sz w:val="20"/>
          <w:szCs w:val="20"/>
          <w:color w:val="auto"/>
        </w:rPr>
      </w:pPr>
    </w:p>
    <w:p>
      <w:pPr>
        <w:jc w:val="both"/>
        <w:ind w:left="620" w:right="719" w:firstLine="256"/>
        <w:spacing w:after="0" w:line="252" w:lineRule="auto"/>
        <w:rPr>
          <w:sz w:val="20"/>
          <w:szCs w:val="20"/>
          <w:color w:val="auto"/>
        </w:rPr>
      </w:pPr>
      <w:r>
        <w:rPr>
          <w:rFonts w:ascii="Arial" w:cs="Arial" w:eastAsia="Arial" w:hAnsi="Arial"/>
          <w:sz w:val="14"/>
          <w:szCs w:val="14"/>
          <w:color w:val="auto"/>
        </w:rPr>
        <w:t>Interest-bearing deposits in other financial institutions consist of Federal Reserve Bank, Federal Home Loan Bank and other accounts.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Investment Securities</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Debt securities are recorded at fair value except for those securities which the Company has the positive intent and ability to hold to maturity. Management determines the appropriate classification of its securities at the time of purchase and accounts for them on a trade date basis.</w:t>
      </w:r>
    </w:p>
    <w:p>
      <w:pPr>
        <w:spacing w:after="0" w:line="15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 Equity investments must be classified as trading and recorded at fair value with changes in fair value included in earnings.</w:t>
      </w:r>
    </w:p>
    <w:p>
      <w:pPr>
        <w:spacing w:after="0" w:line="160"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60" w:lineRule="exact"/>
        <w:rPr>
          <w:sz w:val="20"/>
          <w:szCs w:val="20"/>
          <w:color w:val="auto"/>
        </w:rPr>
      </w:pPr>
    </w:p>
    <w:p>
      <w:pPr>
        <w:jc w:val="both"/>
        <w:ind w:left="620" w:right="719" w:firstLine="256"/>
        <w:spacing w:after="0" w:line="247" w:lineRule="auto"/>
        <w:rPr>
          <w:sz w:val="20"/>
          <w:szCs w:val="20"/>
          <w:color w:val="auto"/>
        </w:rPr>
      </w:pPr>
      <w:r>
        <w:rPr>
          <w:rFonts w:ascii="Arial" w:cs="Arial" w:eastAsia="Arial" w:hAnsi="Arial"/>
          <w:sz w:val="14"/>
          <w:szCs w:val="14"/>
          <w:color w:val="auto"/>
        </w:rPr>
        <w:t>Declines in the fair value of available-for-sale debt securities below their cost that are deemed to be other-than-temporary are reflected in earnings as realized losses. In determining whether other-than-temporary impairment exists, management considers several factors in their analysis including (i) severity and duration of the impairment, (ii) credit rating of security including any downgrade, (iii) intent to sell the security, or if it is more likely than not that it will be required to sell the security before recovery, (iv) whether there have been any payment defaults and (v) underlying guarantor of the securities.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Federal Home Loan Bank (FHLB) Stock</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2021 and 2020, FHLB stock amounted to $ 2.1 million and $2.7 million, respectively, with no impairment deemed necessary. Both cash and stock dividends are reported as interest income.</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Loans Held for Investment and Allowance for Credit Losses</w:t>
      </w:r>
    </w:p>
    <w:p>
      <w:pPr>
        <w:spacing w:after="0" w:line="188"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Loans held for investment (“loans”) are reported at their outstanding principal balance net of charge-offs, deferred loan fees,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39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73" w:name="page74"/>
    <w:bookmarkEnd w:id="7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60"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Company has determined that the entire balance of a loan is contractually delinquent for all classes if the minimum payment is not received by the specified due date on the borrower's statement. Interest and fees continue to accrue on past due loans until the date the loan goes into nonaccrual status.</w:t>
      </w:r>
    </w:p>
    <w:p>
      <w:pPr>
        <w:spacing w:after="0" w:line="158" w:lineRule="exact"/>
        <w:rPr>
          <w:sz w:val="20"/>
          <w:szCs w:val="20"/>
          <w:color w:val="auto"/>
        </w:rPr>
      </w:pPr>
    </w:p>
    <w:p>
      <w:pPr>
        <w:jc w:val="both"/>
        <w:ind w:left="620" w:right="739" w:firstLine="256"/>
        <w:spacing w:after="0" w:line="253" w:lineRule="auto"/>
        <w:rPr>
          <w:sz w:val="20"/>
          <w:szCs w:val="20"/>
          <w:color w:val="auto"/>
        </w:rPr>
      </w:pPr>
      <w:r>
        <w:rPr>
          <w:rFonts w:ascii="Arial" w:cs="Arial" w:eastAsia="Arial" w:hAnsi="Arial"/>
          <w:sz w:val="14"/>
          <w:szCs w:val="14"/>
          <w:color w:val="auto"/>
        </w:rPr>
        <w:t>The Company provides for loan losses through a provision for credit losses charged to operations. When management believes that a loan or a portion of the loan balance is uncollectible, that amount is charged against the ACL. Subsequent recoveries, if any, are credited to the ACL.</w:t>
      </w:r>
    </w:p>
    <w:p>
      <w:pPr>
        <w:spacing w:after="0" w:line="142"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ACL reflects management's judgment of probable loan losses inherent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55" w:lineRule="exact"/>
        <w:rPr>
          <w:sz w:val="20"/>
          <w:szCs w:val="20"/>
          <w:color w:val="auto"/>
        </w:rPr>
      </w:pPr>
    </w:p>
    <w:p>
      <w:pPr>
        <w:ind w:left="1120" w:hanging="244"/>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Residential real estate</w:t>
      </w:r>
    </w:p>
    <w:p>
      <w:pPr>
        <w:ind w:left="1120" w:hanging="244"/>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Commercial real estate</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Commercial and industrial</w:t>
      </w:r>
    </w:p>
    <w:p>
      <w:pPr>
        <w:ind w:left="1120" w:hanging="244"/>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Foreign banks</w:t>
      </w:r>
    </w:p>
    <w:p>
      <w:pPr>
        <w:ind w:left="1120" w:hanging="244"/>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loans (secured and unsecured consumer loans)</w:t>
      </w:r>
    </w:p>
    <w:p>
      <w:pPr>
        <w:spacing w:after="0" w:line="170"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Residential real estate loans are underwritten following the policies of the Company which includes a review of the borrower’s credit, capacity and the collateral securing the loan. The borrower’s ability to repay involves an analysis of factors including: current income, employment status, monthly payment of loan, current debt obligations, monthly debt to income ratio and credit history. The Company relies on appraisals in determining the value of the property. Risk is mitigated by this analysis and the diversity of the residential portfolio.</w:t>
      </w:r>
    </w:p>
    <w:p>
      <w:pPr>
        <w:spacing w:after="0" w:line="160"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Commercial real estate loans are secured by liens on commercial properties, land, construction and multifamily housing. Underwriting of commercial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157" w:lineRule="exact"/>
        <w:rPr>
          <w:sz w:val="20"/>
          <w:szCs w:val="20"/>
          <w:color w:val="auto"/>
        </w:rPr>
      </w:pPr>
    </w:p>
    <w:p>
      <w:pPr>
        <w:jc w:val="both"/>
        <w:ind w:left="620" w:right="699" w:firstLine="256"/>
        <w:spacing w:after="0" w:line="248" w:lineRule="auto"/>
        <w:rPr>
          <w:sz w:val="20"/>
          <w:szCs w:val="20"/>
          <w:color w:val="auto"/>
        </w:rPr>
      </w:pPr>
      <w:r>
        <w:rPr>
          <w:rFonts w:ascii="Arial" w:cs="Arial" w:eastAsia="Arial" w:hAnsi="Arial"/>
          <w:sz w:val="14"/>
          <w:szCs w:val="14"/>
          <w:color w:val="auto"/>
        </w:rPr>
        <w:t>Commercial and industrial loans are secured by the business assets of the company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 lio through industry diversification.</w:t>
      </w:r>
    </w:p>
    <w:p>
      <w:pPr>
        <w:spacing w:after="0" w:line="145" w:lineRule="exact"/>
        <w:rPr>
          <w:sz w:val="20"/>
          <w:szCs w:val="20"/>
          <w:color w:val="auto"/>
        </w:rPr>
      </w:pPr>
    </w:p>
    <w:p>
      <w:pPr>
        <w:jc w:val="both"/>
        <w:ind w:left="620" w:right="739" w:firstLine="256"/>
        <w:spacing w:after="0" w:line="249" w:lineRule="auto"/>
        <w:rPr>
          <w:sz w:val="20"/>
          <w:szCs w:val="20"/>
          <w:color w:val="auto"/>
        </w:rPr>
      </w:pPr>
      <w:r>
        <w:rPr>
          <w:rFonts w:ascii="Arial" w:cs="Arial" w:eastAsia="Arial" w:hAnsi="Arial"/>
          <w:sz w:val="14"/>
          <w:szCs w:val="14"/>
          <w:color w:val="auto"/>
        </w:rPr>
        <w:t>Foreign Banks loans are short 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and a review of authorized signer within the Company. The risk is mitigated as these loans are short term, have limited exposure, and are geographically dispersed.</w:t>
      </w:r>
    </w:p>
    <w:p>
      <w:pPr>
        <w:spacing w:after="0" w:line="146" w:lineRule="exact"/>
        <w:rPr>
          <w:sz w:val="20"/>
          <w:szCs w:val="20"/>
          <w:color w:val="auto"/>
        </w:rPr>
      </w:pPr>
    </w:p>
    <w:p>
      <w:pPr>
        <w:jc w:val="both"/>
        <w:ind w:left="620" w:right="679" w:firstLine="256"/>
        <w:spacing w:after="0" w:line="253" w:lineRule="auto"/>
        <w:rPr>
          <w:sz w:val="20"/>
          <w:szCs w:val="20"/>
          <w:color w:val="auto"/>
        </w:rPr>
      </w:pPr>
      <w:r>
        <w:rPr>
          <w:rFonts w:ascii="Arial" w:cs="Arial" w:eastAsia="Arial" w:hAnsi="Arial"/>
          <w:sz w:val="14"/>
          <w:szCs w:val="14"/>
          <w:color w:val="auto"/>
        </w:rPr>
        <w:t>Other loans are secured and unsecured consumer loans including personal loans,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3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74" w:name="page75"/>
    <w:bookmarkEnd w:id="7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In determining the balance of the ACL, loans are pooled by product segments with similar risk characteristics and management evaluates the ACL on each segment and as a whole to maintain the allowance at an adequate level based on factors which, in management's judgment, deserve current recognition in estimating credit losses. Such factors include changes in prevailing economic conditions, historical loss experience, delinquency trends, changes in the composition and size of the loan portfolio and the overall credit worthiness of the borrowers.</w:t>
      </w:r>
    </w:p>
    <w:p>
      <w:pPr>
        <w:spacing w:after="0" w:line="160"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The ACL consists of general and specific components. The following is how management determines the balance of the general component for the ACL account for each segment of the loans as described above.</w:t>
      </w:r>
    </w:p>
    <w:p>
      <w:pPr>
        <w:spacing w:after="0" w:line="153"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The loan segments are primarily grouped by collateral type with similar risk characteristics and a historical loss rate is determined based on a ten year look back period. The Company applies time weights to consider various stages of a credit cycle.</w:t>
      </w:r>
    </w:p>
    <w:p>
      <w:pPr>
        <w:spacing w:after="0" w:line="142" w:lineRule="exact"/>
        <w:rPr>
          <w:sz w:val="20"/>
          <w:szCs w:val="20"/>
          <w:color w:val="auto"/>
        </w:rPr>
      </w:pPr>
    </w:p>
    <w:p>
      <w:pPr>
        <w:jc w:val="both"/>
        <w:ind w:left="620" w:right="739" w:firstLine="256"/>
        <w:spacing w:after="0" w:line="249" w:lineRule="auto"/>
        <w:rPr>
          <w:sz w:val="20"/>
          <w:szCs w:val="20"/>
          <w:color w:val="auto"/>
        </w:rPr>
      </w:pPr>
      <w:r>
        <w:rPr>
          <w:rFonts w:ascii="Arial" w:cs="Arial" w:eastAsia="Arial" w:hAnsi="Arial"/>
          <w:sz w:val="14"/>
          <w:szCs w:val="14"/>
          <w:color w:val="auto"/>
        </w:rPr>
        <w:t>The ACL calculation is based on the Company’s own net loss experience adjusted for certain qualitative and environmental factors. To estimate the impact of non-recurrent losses, management has developed a statistical study that tracks historical non-recurring losses at a loan level. This analysis is used to estimate an adjusted loss rate for each loan pool. Management believes the effect of these losses results in a loss rate that is more consistent with the behavior of the loan portfolio in the normal course of business.</w:t>
      </w:r>
    </w:p>
    <w:p>
      <w:pPr>
        <w:spacing w:after="0" w:line="146" w:lineRule="exact"/>
        <w:rPr>
          <w:sz w:val="20"/>
          <w:szCs w:val="20"/>
          <w:color w:val="auto"/>
        </w:rPr>
      </w:pPr>
    </w:p>
    <w:p>
      <w:pPr>
        <w:ind w:left="620" w:right="699" w:firstLine="256"/>
        <w:spacing w:after="0" w:line="268" w:lineRule="auto"/>
        <w:rPr>
          <w:sz w:val="20"/>
          <w:szCs w:val="20"/>
          <w:color w:val="auto"/>
        </w:rPr>
      </w:pPr>
      <w:r>
        <w:rPr>
          <w:rFonts w:ascii="Arial" w:cs="Arial" w:eastAsia="Arial" w:hAnsi="Arial"/>
          <w:sz w:val="14"/>
          <w:szCs w:val="14"/>
          <w:color w:val="auto"/>
        </w:rPr>
        <w:t>Qualitative factors are applied to historical loss rates based on management's experience and assessment. The following are the factors used to adjust the historical loss rates:</w:t>
      </w:r>
    </w:p>
    <w:p>
      <w:pPr>
        <w:spacing w:after="0" w:line="131" w:lineRule="exact"/>
        <w:rPr>
          <w:sz w:val="20"/>
          <w:szCs w:val="20"/>
          <w:color w:val="auto"/>
        </w:rPr>
      </w:pP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Loan quality review</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Lending and credit management /staff expertise and practices</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Economic and business conditions</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Lending and credit underwriting policies and procedures</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Problem loan levels and trends</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Collateral concentrations</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Large obligor concentration</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New loan volumes</w:t>
      </w:r>
    </w:p>
    <w:p>
      <w:pPr>
        <w:ind w:left="1120" w:hanging="244"/>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Combined loan to value (“CLTV”) qualitative adjustment for substandard accrual loan segment</w:t>
      </w:r>
    </w:p>
    <w:p>
      <w:pPr>
        <w:spacing w:after="0" w:line="170"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Changes in these factors could result in material adjustments to the ACL. The losses the Company may ultimately incur could differ materially from the amounts estimated in arriving at the ACL.</w:t>
      </w:r>
    </w:p>
    <w:p>
      <w:pPr>
        <w:spacing w:after="0" w:line="153"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In addition to the ACL, the Company also estimates probable losses related to financial instruments with off-balance sheet risk, such as letters of credit and unfunded loan commitments, and records these estimates in other liabilities on the Consolidated Balance Sheets with the offset recorded in non-interest expense on the Consolidated Statements of Operations. Financial instruments with off-balance sheet risk are subject to review on an aggregate basis. Past loss experience and any other pertinent information is reviewed, resulting in the estimation of the reserve for financial instruments with off-balance sheet risk.</w:t>
      </w:r>
    </w:p>
    <w:p>
      <w:pPr>
        <w:spacing w:after="0" w:line="160"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A loan is considered impaired when, based on current information and events, it is probable that the Company will be unable to collect the scheduled payments of principal or interest when due according to the contractual terms of the loan agreement or when the loan is designated as a Troubled Debt Restructuring (“TDR”).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Impairment is measured on a loan by loan basis by either the present value of expected future cash flows discounted at the loan's effective interest rate, the loan's obtainable fair value, or the fair value of the collateral, if the loan is collateral dependent. If management determines that the value of the impaired loan is less than the recorded investment in the loan (outstanding principal balance plus accrued interest, net of previous charge-offs, and net of deferred loan fees or cost), impairment is recognized through an allowance estimate or a charge-off to the ACL.</w:t>
      </w:r>
    </w:p>
    <w:p>
      <w:pPr>
        <w:spacing w:after="0" w:line="160" w:lineRule="exact"/>
        <w:rPr>
          <w:sz w:val="20"/>
          <w:szCs w:val="20"/>
          <w:color w:val="auto"/>
        </w:rPr>
      </w:pPr>
    </w:p>
    <w:p>
      <w:pPr>
        <w:ind w:left="620" w:right="779" w:firstLine="256"/>
        <w:spacing w:after="0" w:line="252" w:lineRule="auto"/>
        <w:rPr>
          <w:sz w:val="20"/>
          <w:szCs w:val="20"/>
          <w:color w:val="auto"/>
        </w:rPr>
      </w:pPr>
      <w:r>
        <w:rPr>
          <w:rFonts w:ascii="Arial" w:cs="Arial" w:eastAsia="Arial" w:hAnsi="Arial"/>
          <w:sz w:val="14"/>
          <w:szCs w:val="14"/>
          <w:color w:val="auto"/>
        </w:rPr>
        <w:t>In situations where, due to a borrower's financial difficulties, management grants a concession for other than an insignificant period of time to the borrower that would not otherwise be granted, the loan is classified as a TDR.</w:t>
      </w:r>
    </w:p>
    <w:p>
      <w:pPr>
        <w:spacing w:after="0" w:line="153" w:lineRule="exact"/>
        <w:rPr>
          <w:sz w:val="20"/>
          <w:szCs w:val="20"/>
          <w:color w:val="auto"/>
        </w:rPr>
      </w:pPr>
    </w:p>
    <w:p>
      <w:pPr>
        <w:jc w:val="both"/>
        <w:ind w:left="620" w:right="719" w:firstLine="256"/>
        <w:spacing w:after="0" w:line="273" w:lineRule="auto"/>
        <w:rPr>
          <w:sz w:val="20"/>
          <w:szCs w:val="20"/>
          <w:color w:val="auto"/>
        </w:rPr>
      </w:pPr>
      <w:r>
        <w:rPr>
          <w:rFonts w:ascii="Arial" w:cs="Arial" w:eastAsia="Arial" w:hAnsi="Arial"/>
          <w:sz w:val="13"/>
          <w:szCs w:val="13"/>
          <w:color w:val="auto"/>
        </w:rPr>
        <w:t>On March 27, 2020, the Coronavirus Aid, Relief, and Economic Security Act (“CARES Act”) was signed by the President of the United States. The CARES Act has certain provisions which encourage financial institutions to prudently work with borrowers impacted by COVID -19. Under these provisions, modifications deemed to be COVID-19 related would not be</w:t>
      </w:r>
    </w:p>
    <w:p>
      <w:pPr>
        <w:spacing w:after="0" w:line="21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75" w:name="page76"/>
    <w:bookmarkEnd w:id="7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19"/>
        <w:spacing w:after="0" w:line="247" w:lineRule="auto"/>
        <w:rPr>
          <w:sz w:val="20"/>
          <w:szCs w:val="20"/>
          <w:color w:val="auto"/>
        </w:rPr>
      </w:pPr>
      <w:r>
        <w:rPr>
          <w:rFonts w:ascii="Arial" w:cs="Arial" w:eastAsia="Arial" w:hAnsi="Arial"/>
          <w:sz w:val="14"/>
          <w:szCs w:val="14"/>
          <w:color w:val="auto"/>
        </w:rPr>
        <w:t>considered a TDR if the loan was not more than 30 days past due as of December 31, 2019. The deferral would need to be executed March 1, 2020 and the earlier of 60 days after the date of termination of the COVID-19 national emergency or December 31, 2020. Additional legislation was passed in December of 2020 that extended the TDR relief to January 1, 2022. Banking regulators issued similar guidance clarifying that a COVID-19 related modification should not be considered a TDR if the borrower was current on payments at the time the underlying loan modification program was implemented and considered short-term. See Note 3 “Loans” for additional disclosures of loans that were modified and not considered TDR.</w:t>
      </w:r>
    </w:p>
    <w:p>
      <w:pPr>
        <w:spacing w:after="0" w:line="147"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In addition to the allowance for the pooled portfolios, management has developed a separate allowance for loans that are identified as impaired through a TDR. These loans are excluded from the general component of the ACL, and a separate reserve is provided under the accounting guidance for loan impairment. Residential loans whose terms have been modified in a TDR are also individually analyzed for estimated impairment.</w:t>
      </w:r>
    </w:p>
    <w:p>
      <w:pPr>
        <w:spacing w:after="0" w:line="156"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The Company's charge-off policy is to review all impaired loans on a quarterly basis in order to monitor the Company's ability to collect them in full at maturity date and/or in accordance with terms of any restructurings. For loans which are collateral dependent, or deemed to be uncollectible, any shortfall in the fair value of the collateral relative to the recorded investment in the loan is charged off.</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Concentration of Credit Risks</w:t>
      </w:r>
    </w:p>
    <w:p>
      <w:pPr>
        <w:spacing w:after="0" w:line="188" w:lineRule="exact"/>
        <w:rPr>
          <w:sz w:val="20"/>
          <w:szCs w:val="20"/>
          <w:color w:val="auto"/>
        </w:rPr>
      </w:pPr>
    </w:p>
    <w:p>
      <w:pPr>
        <w:jc w:val="both"/>
        <w:ind w:left="600" w:right="739" w:firstLine="256"/>
        <w:spacing w:after="0" w:line="244" w:lineRule="auto"/>
        <w:rPr>
          <w:sz w:val="20"/>
          <w:szCs w:val="20"/>
          <w:color w:val="auto"/>
        </w:rPr>
      </w:pPr>
      <w:r>
        <w:rPr>
          <w:rFonts w:ascii="Arial" w:cs="Arial" w:eastAsia="Arial" w:hAnsi="Arial"/>
          <w:sz w:val="14"/>
          <w:szCs w:val="14"/>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60"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 the South Florida real estate industry or the South Florida economy, in general, could adversely impact the Company's loan portfolio.</w:t>
      </w:r>
    </w:p>
    <w:p>
      <w:pPr>
        <w:spacing w:after="0" w:line="160" w:lineRule="exact"/>
        <w:rPr>
          <w:sz w:val="20"/>
          <w:szCs w:val="20"/>
          <w:color w:val="auto"/>
        </w:rPr>
      </w:pPr>
    </w:p>
    <w:p>
      <w:pPr>
        <w:jc w:val="both"/>
        <w:ind w:left="600" w:right="739" w:firstLine="256"/>
        <w:spacing w:after="0" w:line="253" w:lineRule="auto"/>
        <w:rPr>
          <w:sz w:val="20"/>
          <w:szCs w:val="20"/>
          <w:color w:val="auto"/>
        </w:rPr>
      </w:pPr>
      <w:r>
        <w:rPr>
          <w:rFonts w:ascii="Arial" w:cs="Arial" w:eastAsia="Arial" w:hAnsi="Arial"/>
          <w:sz w:val="14"/>
          <w:szCs w:val="14"/>
          <w:color w:val="auto"/>
        </w:rPr>
        <w:t>At December 31, 2021 and 2020, the Company had a concentration of risk with loans outstanding to the Company’s top ten lending relationships totaling $156.4 million and $141.5 million, respectively. At December 31, 2021 and 2020, this concentration represented 13.1% and 13.6%, respectively, of the net loans outstanding.</w:t>
      </w:r>
    </w:p>
    <w:p>
      <w:pPr>
        <w:spacing w:after="0" w:line="142" w:lineRule="exact"/>
        <w:rPr>
          <w:sz w:val="20"/>
          <w:szCs w:val="20"/>
          <w:color w:val="auto"/>
        </w:rPr>
      </w:pPr>
    </w:p>
    <w:p>
      <w:pPr>
        <w:jc w:val="both"/>
        <w:ind w:left="600" w:right="739" w:firstLine="256"/>
        <w:spacing w:after="0" w:line="249" w:lineRule="auto"/>
        <w:rPr>
          <w:sz w:val="20"/>
          <w:szCs w:val="20"/>
          <w:color w:val="auto"/>
        </w:rPr>
      </w:pPr>
      <w:r>
        <w:rPr>
          <w:rFonts w:ascii="Arial" w:cs="Arial" w:eastAsia="Arial" w:hAnsi="Arial"/>
          <w:sz w:val="14"/>
          <w:szCs w:val="14"/>
          <w:color w:val="auto"/>
        </w:rPr>
        <w:t>At December 31, 2021, the Company also had a concentration of risk with loans outstanding totaling $47.9 million to foreign banks located in Ecuador, Honduras, and El Salvador. At December 31, 2020, the Company also had a concentration of risk with loans outstanding totaling $38.8 million to foreign banks located in Ecuador, Honduras, and El Salvador. These banks maintained deposits with right of offset totaling $ 28.9 million and $18.2 million at December 31, 2021 and 2020, respectively.</w:t>
      </w:r>
    </w:p>
    <w:p>
      <w:pPr>
        <w:spacing w:after="0" w:line="146" w:lineRule="exact"/>
        <w:rPr>
          <w:sz w:val="20"/>
          <w:szCs w:val="20"/>
          <w:color w:val="auto"/>
        </w:rPr>
      </w:pPr>
    </w:p>
    <w:p>
      <w:pPr>
        <w:jc w:val="both"/>
        <w:ind w:left="600" w:right="739" w:firstLine="256"/>
        <w:spacing w:after="0" w:line="253" w:lineRule="auto"/>
        <w:rPr>
          <w:sz w:val="20"/>
          <w:szCs w:val="20"/>
          <w:color w:val="auto"/>
        </w:rPr>
      </w:pPr>
      <w:r>
        <w:rPr>
          <w:rFonts w:ascii="Arial" w:cs="Arial" w:eastAsia="Arial" w:hAnsi="Arial"/>
          <w:sz w:val="14"/>
          <w:szCs w:val="14"/>
          <w:color w:val="auto"/>
        </w:rPr>
        <w:t>At various times during the year, the Company has maintained deposits with other financial institutions. The exposure to the Company from these transactions is solely dependent upon daily balances and the financial strength of the respective institution.</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Premises and Equipment, net</w:t>
      </w:r>
    </w:p>
    <w:p>
      <w:pPr>
        <w:spacing w:after="0" w:line="188" w:lineRule="exact"/>
        <w:rPr>
          <w:sz w:val="20"/>
          <w:szCs w:val="20"/>
          <w:color w:val="auto"/>
        </w:rPr>
      </w:pPr>
    </w:p>
    <w:p>
      <w:pPr>
        <w:jc w:val="both"/>
        <w:ind w:left="600" w:right="759" w:firstLine="256"/>
        <w:spacing w:after="0" w:line="248" w:lineRule="auto"/>
        <w:rPr>
          <w:sz w:val="20"/>
          <w:szCs w:val="20"/>
          <w:color w:val="auto"/>
        </w:rPr>
      </w:pPr>
      <w:r>
        <w:rPr>
          <w:rFonts w:ascii="Arial" w:cs="Arial" w:eastAsia="Arial" w:hAnsi="Arial"/>
          <w:sz w:val="14"/>
          <w:szCs w:val="14"/>
          <w:color w:val="auto"/>
        </w:rPr>
        <w:t>Land is carried at cost. Premises and equipment are stated at cost less accumulated depreciation and amortization. Depreciation is computed on the straight-line method over the estimated useful life of the asset. Leasehold improvements are amortized over the remaining term of the applicable leases or their useful lives, whichever is shorter. Estimated useful lives of these assets were as follows:</w:t>
      </w:r>
    </w:p>
    <w:p>
      <w:pPr>
        <w:sectPr>
          <w:pgSz w:w="11900" w:h="16838" w:orient="portrait"/>
          <w:cols w:equalWidth="0" w:num="1">
            <w:col w:w="9019"/>
          </w:cols>
          <w:pgMar w:left="1440" w:top="490" w:right="1440" w:bottom="1440" w:gutter="0" w:footer="0" w:header="0"/>
        </w:sectPr>
      </w:pP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Building</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40 years</w:t>
      </w:r>
    </w:p>
    <w:p>
      <w:pPr>
        <w:spacing w:after="0" w:line="9" w:lineRule="exact"/>
        <w:rPr>
          <w:sz w:val="20"/>
          <w:szCs w:val="20"/>
          <w:color w:val="auto"/>
        </w:rPr>
      </w:pPr>
    </w:p>
    <w:p>
      <w:pPr>
        <w:sectPr>
          <w:pgSz w:w="11900" w:h="16838" w:orient="portrait"/>
          <w:cols w:equalWidth="0" w:num="2">
            <w:col w:w="3980" w:space="720"/>
            <w:col w:w="4319"/>
          </w:cols>
          <w:pgMar w:left="1440" w:top="490" w:right="1440" w:bottom="1440" w:gutter="0" w:footer="0" w:header="0"/>
          <w:type w:val="continuous"/>
        </w:sectPr>
      </w:pPr>
    </w:p>
    <w:p>
      <w:pPr>
        <w:ind w:left="1620"/>
        <w:spacing w:after="0"/>
        <w:rPr>
          <w:sz w:val="20"/>
          <w:szCs w:val="20"/>
          <w:color w:val="auto"/>
        </w:rPr>
      </w:pPr>
      <w:r>
        <w:rPr>
          <w:rFonts w:ascii="Arial" w:cs="Arial" w:eastAsia="Arial" w:hAnsi="Arial"/>
          <w:sz w:val="14"/>
          <w:szCs w:val="14"/>
          <w:color w:val="auto"/>
        </w:rPr>
        <w:t>Furniture, fixtures and equipment</w:t>
      </w:r>
    </w:p>
    <w:p>
      <w:pPr>
        <w:ind w:left="1620"/>
        <w:spacing w:after="0"/>
        <w:rPr>
          <w:sz w:val="20"/>
          <w:szCs w:val="20"/>
          <w:color w:val="auto"/>
        </w:rPr>
      </w:pPr>
      <w:r>
        <w:rPr>
          <w:rFonts w:ascii="Arial" w:cs="Arial" w:eastAsia="Arial" w:hAnsi="Arial"/>
          <w:sz w:val="14"/>
          <w:szCs w:val="14"/>
          <w:color w:val="auto"/>
        </w:rPr>
        <w:t>Computer hardware and software</w:t>
      </w:r>
    </w:p>
    <w:p>
      <w:pPr>
        <w:ind w:left="162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 to 25 years</w:t>
      </w:r>
    </w:p>
    <w:p>
      <w:pPr>
        <w:spacing w:after="0"/>
        <w:rPr>
          <w:sz w:val="20"/>
          <w:szCs w:val="20"/>
          <w:color w:val="auto"/>
        </w:rPr>
      </w:pPr>
      <w:r>
        <w:rPr>
          <w:rFonts w:ascii="Arial" w:cs="Arial" w:eastAsia="Arial" w:hAnsi="Arial"/>
          <w:sz w:val="14"/>
          <w:szCs w:val="14"/>
          <w:color w:val="auto"/>
        </w:rPr>
        <w:t>3 to 5 years</w:t>
      </w:r>
    </w:p>
    <w:p>
      <w:pPr>
        <w:spacing w:after="0"/>
        <w:rPr>
          <w:sz w:val="20"/>
          <w:szCs w:val="20"/>
          <w:color w:val="auto"/>
        </w:rPr>
      </w:pPr>
      <w:r>
        <w:rPr>
          <w:rFonts w:ascii="Arial" w:cs="Arial" w:eastAsia="Arial" w:hAnsi="Arial"/>
          <w:sz w:val="14"/>
          <w:szCs w:val="14"/>
          <w:color w:val="auto"/>
        </w:rPr>
        <w:t>Shorter of life or term of lease</w:t>
      </w:r>
    </w:p>
    <w:p>
      <w:pPr>
        <w:spacing w:after="0" w:line="200" w:lineRule="exact"/>
        <w:rPr>
          <w:sz w:val="20"/>
          <w:szCs w:val="20"/>
          <w:color w:val="auto"/>
        </w:rPr>
      </w:pPr>
    </w:p>
    <w:p>
      <w:pPr>
        <w:sectPr>
          <w:pgSz w:w="11900" w:h="16838" w:orient="portrait"/>
          <w:cols w:equalWidth="0" w:num="2">
            <w:col w:w="3980" w:space="720"/>
            <w:col w:w="4319"/>
          </w:cols>
          <w:pgMar w:left="1440" w:top="490" w:right="1440" w:bottom="1440" w:gutter="0" w:footer="0" w:header="0"/>
          <w:type w:val="continuous"/>
        </w:sectPr>
      </w:pPr>
    </w:p>
    <w:p>
      <w:pPr>
        <w:spacing w:after="0" w:line="375" w:lineRule="exact"/>
        <w:rPr>
          <w:sz w:val="20"/>
          <w:szCs w:val="20"/>
          <w:color w:val="auto"/>
        </w:rPr>
      </w:pPr>
    </w:p>
    <w:p>
      <w:pPr>
        <w:ind w:left="2920"/>
        <w:spacing w:after="0"/>
        <w:tabs>
          <w:tab w:leader="none" w:pos="334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USCB Financial Holdings, Inc.</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2021 10-K</w:t>
      </w:r>
    </w:p>
    <w:p>
      <w:pPr>
        <w:sectPr>
          <w:pgSz w:w="11900" w:h="16838" w:orient="portrait"/>
          <w:cols w:equalWidth="0" w:num="2">
            <w:col w:w="5260" w:space="160"/>
            <w:col w:w="3599"/>
          </w:cols>
          <w:pgMar w:left="1440" w:top="490" w:right="1440" w:bottom="1440" w:gutter="0" w:footer="0" w:header="0"/>
          <w:type w:val="continuous"/>
        </w:sectPr>
      </w:pPr>
    </w:p>
    <w:bookmarkStart w:id="76" w:name="page77"/>
    <w:bookmarkEnd w:id="7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39" w:firstLine="256"/>
        <w:spacing w:after="0" w:line="253" w:lineRule="auto"/>
        <w:rPr>
          <w:sz w:val="20"/>
          <w:szCs w:val="20"/>
          <w:color w:val="auto"/>
        </w:rPr>
      </w:pPr>
      <w:r>
        <w:rPr>
          <w:rFonts w:ascii="Arial" w:cs="Arial" w:eastAsia="Arial" w:hAnsi="Arial"/>
          <w:sz w:val="14"/>
          <w:szCs w:val="14"/>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Other Real Estate Owned</w:t>
      </w:r>
    </w:p>
    <w:p>
      <w:pPr>
        <w:spacing w:after="0" w:line="188" w:lineRule="exact"/>
        <w:rPr>
          <w:sz w:val="20"/>
          <w:szCs w:val="20"/>
          <w:color w:val="auto"/>
        </w:rPr>
      </w:pPr>
    </w:p>
    <w:p>
      <w:pPr>
        <w:jc w:val="both"/>
        <w:ind w:left="600" w:right="699" w:firstLine="256"/>
        <w:spacing w:after="0" w:line="245" w:lineRule="auto"/>
        <w:rPr>
          <w:sz w:val="20"/>
          <w:szCs w:val="20"/>
          <w:color w:val="auto"/>
        </w:rPr>
      </w:pPr>
      <w:r>
        <w:rPr>
          <w:rFonts w:ascii="Arial" w:cs="Arial" w:eastAsia="Arial" w:hAnsi="Arial"/>
          <w:sz w:val="14"/>
          <w:szCs w:val="14"/>
          <w:color w:val="auto"/>
        </w:rPr>
        <w:t>Other real estate owned (“OREO”) consists of real estate property acquired through, or in lieu of, foreclosure that are held for sale and are initially recorded at the fair value of the property less estimated selling costs at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other real estate owned expenses in the accompanying Consolidated Statements of Operation. Gains or losses on sale of OREO are recognized when consideration has been exchanged, all closing conditions have been met and permanent financing has been arranged.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Bank Owned Life Insurance</w:t>
      </w:r>
    </w:p>
    <w:p>
      <w:pPr>
        <w:spacing w:after="0" w:line="188" w:lineRule="exact"/>
        <w:rPr>
          <w:sz w:val="20"/>
          <w:szCs w:val="20"/>
          <w:color w:val="auto"/>
        </w:rPr>
      </w:pPr>
    </w:p>
    <w:p>
      <w:pPr>
        <w:jc w:val="both"/>
        <w:ind w:left="600" w:right="699" w:firstLine="256"/>
        <w:spacing w:after="0" w:line="245" w:lineRule="auto"/>
        <w:rPr>
          <w:sz w:val="20"/>
          <w:szCs w:val="20"/>
          <w:color w:val="auto"/>
        </w:rPr>
      </w:pPr>
      <w:r>
        <w:rPr>
          <w:rFonts w:ascii="Arial" w:cs="Arial" w:eastAsia="Arial" w:hAnsi="Arial"/>
          <w:sz w:val="14"/>
          <w:szCs w:val="14"/>
          <w:color w:val="auto"/>
        </w:rPr>
        <w:t>Bank owned life insurance (“BOLI”) is carried at the amount that could be realized under the contract at the balance sheet date, which is typically cash surrender value. Changes in cash surrender value are recorded in non-interest income. At December 31, 2021, the Company maintained BOLI policies with five insurance carriers with a combined cash surrender value of $41.7 million. These policies cover certain present and former executives and officers, the Company is the beneficiary of these policies.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Employee 401(k) Plan</w:t>
      </w:r>
    </w:p>
    <w:p>
      <w:pPr>
        <w:spacing w:after="0" w:line="188" w:lineRule="exact"/>
        <w:rPr>
          <w:sz w:val="20"/>
          <w:szCs w:val="20"/>
          <w:color w:val="auto"/>
        </w:rPr>
      </w:pPr>
    </w:p>
    <w:p>
      <w:pPr>
        <w:jc w:val="both"/>
        <w:ind w:left="600" w:right="719" w:firstLine="256"/>
        <w:spacing w:after="0" w:line="252" w:lineRule="auto"/>
        <w:rPr>
          <w:sz w:val="20"/>
          <w:szCs w:val="20"/>
          <w:color w:val="auto"/>
        </w:rPr>
      </w:pPr>
      <w:r>
        <w:rPr>
          <w:rFonts w:ascii="Arial" w:cs="Arial" w:eastAsia="Arial" w:hAnsi="Arial"/>
          <w:sz w:val="14"/>
          <w:szCs w:val="14"/>
          <w:color w:val="auto"/>
        </w:rPr>
        <w:t>The Company has an employee 401(k) plan covering substantially all eligible employees. Employee 401(k) plan expense is the amount of matching contributions.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Income Taxes</w:t>
      </w:r>
    </w:p>
    <w:p>
      <w:pPr>
        <w:spacing w:after="0" w:line="188" w:lineRule="exact"/>
        <w:rPr>
          <w:sz w:val="20"/>
          <w:szCs w:val="20"/>
          <w:color w:val="auto"/>
        </w:rPr>
      </w:pPr>
    </w:p>
    <w:p>
      <w:pPr>
        <w:jc w:val="both"/>
        <w:ind w:left="600" w:right="719" w:firstLine="256"/>
        <w:spacing w:after="0" w:line="244"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jc w:val="both"/>
        <w:ind w:left="600" w:right="739" w:firstLine="256"/>
        <w:spacing w:after="0" w:line="248"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56"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Impairment of Long-Lived Assets</w:t>
      </w:r>
    </w:p>
    <w:p>
      <w:pPr>
        <w:spacing w:after="0" w:line="188" w:lineRule="exact"/>
        <w:rPr>
          <w:sz w:val="20"/>
          <w:szCs w:val="20"/>
          <w:color w:val="auto"/>
        </w:rPr>
      </w:pPr>
    </w:p>
    <w:p>
      <w:pPr>
        <w:jc w:val="both"/>
        <w:ind w:left="600" w:right="739" w:firstLine="256"/>
        <w:spacing w:after="0" w:line="244" w:lineRule="auto"/>
        <w:rPr>
          <w:sz w:val="20"/>
          <w:szCs w:val="20"/>
          <w:color w:val="auto"/>
        </w:rPr>
      </w:pPr>
      <w:r>
        <w:rPr>
          <w:rFonts w:ascii="Arial" w:cs="Arial" w:eastAsia="Arial" w:hAnsi="Arial"/>
          <w:sz w:val="14"/>
          <w:szCs w:val="14"/>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77" w:name="page78"/>
    <w:bookmarkEnd w:id="7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Transfer of Financial Assets</w:t>
      </w:r>
    </w:p>
    <w:p>
      <w:pPr>
        <w:spacing w:after="0" w:line="188" w:lineRule="exact"/>
        <w:rPr>
          <w:sz w:val="20"/>
          <w:szCs w:val="20"/>
          <w:color w:val="auto"/>
        </w:rPr>
      </w:pPr>
    </w:p>
    <w:p>
      <w:pPr>
        <w:jc w:val="both"/>
        <w:ind w:left="620" w:right="679" w:firstLine="256"/>
        <w:spacing w:after="0" w:line="244" w:lineRule="auto"/>
        <w:rPr>
          <w:sz w:val="20"/>
          <w:szCs w:val="20"/>
          <w:color w:val="auto"/>
        </w:rPr>
      </w:pPr>
      <w:r>
        <w:rPr>
          <w:rFonts w:ascii="Arial" w:cs="Arial" w:eastAsia="Arial" w:hAnsi="Arial"/>
          <w:sz w:val="14"/>
          <w:szCs w:val="14"/>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Comprehensive Income (Loss)</w:t>
      </w:r>
    </w:p>
    <w:p>
      <w:pPr>
        <w:spacing w:after="0" w:line="188" w:lineRule="exact"/>
        <w:rPr>
          <w:sz w:val="20"/>
          <w:szCs w:val="20"/>
          <w:color w:val="auto"/>
        </w:rPr>
      </w:pPr>
    </w:p>
    <w:p>
      <w:pPr>
        <w:jc w:val="both"/>
        <w:ind w:left="620" w:right="699" w:firstLine="256"/>
        <w:spacing w:after="0" w:line="246" w:lineRule="auto"/>
        <w:rPr>
          <w:sz w:val="20"/>
          <w:szCs w:val="20"/>
          <w:color w:val="auto"/>
        </w:rPr>
      </w:pPr>
      <w:r>
        <w:rPr>
          <w:rFonts w:ascii="Arial" w:cs="Arial" w:eastAsia="Arial" w:hAnsi="Arial"/>
          <w:sz w:val="14"/>
          <w:szCs w:val="14"/>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(loss), are components of comprehensive income (loss). Additionally, any unrealized gains or losses on transfers of investment securities from available-for-sale to held-to-maturity are recorded to accumulated other comprehensive income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Advertising Costs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Advertising costs are expensed as incurred.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Earnings per Common Share</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Basic earnings per common share is net income available to common stockholders divided by the weighted average number of common shares outstanding during the period. Diluted earnings per common share included the effect of additional potential common shares issuable under vested stock options. Basic and diluted earnings per share are updated to reflect the effect of stock splits as occurred. See Note 14 “Earnings Per Share” for additional information on earnings per common share. See Note 13 “Stockholders’ Equity” for further discussion on stock splits.</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Interest Income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Interest income is recognized as earned, based upon the principal amount outstanding, on an accrual basis.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Operating Segments</w:t>
      </w:r>
    </w:p>
    <w:p>
      <w:pPr>
        <w:spacing w:after="0" w:line="18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Stock-Based Compensation</w:t>
      </w:r>
    </w:p>
    <w:p>
      <w:pPr>
        <w:spacing w:after="0" w:line="18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Stock 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plans, performance-based awards, share appreciation rights, and employee share purchase plans.</w:t>
      </w:r>
    </w:p>
    <w:p>
      <w:pPr>
        <w:spacing w:after="0" w:line="160"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stock-based compensation accounting guidance requires that compensation cost for all stock awards be calculated and recognized over the employees' service period, generally defined as the vesting period. For awards with graded-vesting, compensation cost is recog nized on a straight-line basis over the requisite service period for the entire award. A Black-Scholes model is used to estimate the fair value of stock options.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Loss Contingencies</w:t>
      </w:r>
    </w:p>
    <w:p>
      <w:pPr>
        <w:spacing w:after="0" w:line="188" w:lineRule="exact"/>
        <w:rPr>
          <w:sz w:val="20"/>
          <w:szCs w:val="20"/>
          <w:color w:val="auto"/>
        </w:rPr>
      </w:pPr>
    </w:p>
    <w:p>
      <w:pPr>
        <w:jc w:val="both"/>
        <w:ind w:left="620" w:right="739" w:firstLine="256"/>
        <w:spacing w:after="0" w:line="290" w:lineRule="auto"/>
        <w:rPr>
          <w:sz w:val="20"/>
          <w:szCs w:val="20"/>
          <w:color w:val="auto"/>
        </w:rPr>
      </w:pPr>
      <w:r>
        <w:rPr>
          <w:rFonts w:ascii="Arial" w:cs="Arial" w:eastAsia="Arial" w:hAnsi="Arial"/>
          <w:sz w:val="13"/>
          <w:szCs w:val="13"/>
          <w:color w:val="auto"/>
        </w:rPr>
        <w:t>Loss contingencies, including claims and legal actions arising in the normal course of business, are recorded as liabilities when the likelihood of loss is probable, and an amount or range of loss can be reasonably estimated. In the opinion</w:t>
      </w:r>
    </w:p>
    <w:p>
      <w:pPr>
        <w:spacing w:after="0" w:line="36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78" w:name="page79"/>
    <w:bookmarkEnd w:id="7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20" w:right="719"/>
        <w:spacing w:after="0" w:line="252" w:lineRule="auto"/>
        <w:rPr>
          <w:sz w:val="20"/>
          <w:szCs w:val="20"/>
          <w:color w:val="auto"/>
        </w:rPr>
      </w:pPr>
      <w:r>
        <w:rPr>
          <w:rFonts w:ascii="Arial" w:cs="Arial" w:eastAsia="Arial" w:hAnsi="Arial"/>
          <w:sz w:val="14"/>
          <w:szCs w:val="14"/>
          <w:color w:val="auto"/>
        </w:rPr>
        <w:t>of management, none of these actions, either individually or in the aggregate, is expected to have a material adverse effect on the Company’s Consolidated Financial Statements. See Note 18 “Loss Contingencies” for further details.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Dividend Restrictions</w:t>
      </w:r>
    </w:p>
    <w:p>
      <w:pPr>
        <w:spacing w:after="0" w:line="188" w:lineRule="exact"/>
        <w:rPr>
          <w:sz w:val="20"/>
          <w:szCs w:val="20"/>
          <w:color w:val="auto"/>
        </w:rPr>
      </w:pPr>
    </w:p>
    <w:p>
      <w:pPr>
        <w:ind w:left="600" w:right="719" w:firstLine="256"/>
        <w:spacing w:after="0" w:line="252" w:lineRule="auto"/>
        <w:rPr>
          <w:sz w:val="20"/>
          <w:szCs w:val="20"/>
          <w:color w:val="auto"/>
        </w:rPr>
      </w:pPr>
      <w:r>
        <w:rPr>
          <w:rFonts w:ascii="Arial" w:cs="Arial" w:eastAsia="Arial" w:hAnsi="Arial"/>
          <w:sz w:val="14"/>
          <w:szCs w:val="14"/>
          <w:color w:val="auto"/>
        </w:rPr>
        <w:t>Banking regulations require maintaining certain capital levels and may limit the dividends paid by the Bank to the Company or by the Company to the shareholders.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Fair Value Measurements</w:t>
      </w:r>
    </w:p>
    <w:p>
      <w:pPr>
        <w:spacing w:after="0" w:line="188"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Fair values of financial instruments are estimated using relevant market information and other assumptions, as more fully disclosed in Note 12 “Fair Value Measurements”. Fair value estimates involve uncertainties and matters of significant judgment. Changes in assumptions or in market conditions could significantly affect the estimates.</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Derivative Instruments</w:t>
      </w:r>
    </w:p>
    <w:p>
      <w:pPr>
        <w:spacing w:after="0" w:line="188"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58" w:lineRule="exact"/>
        <w:rPr>
          <w:sz w:val="20"/>
          <w:szCs w:val="20"/>
          <w:color w:val="auto"/>
        </w:rPr>
      </w:pPr>
    </w:p>
    <w:p>
      <w:pPr>
        <w:jc w:val="both"/>
        <w:ind w:left="600" w:right="719" w:firstLine="256"/>
        <w:spacing w:after="0" w:line="247" w:lineRule="auto"/>
        <w:rPr>
          <w:sz w:val="20"/>
          <w:szCs w:val="20"/>
          <w:color w:val="auto"/>
        </w:rPr>
      </w:pPr>
      <w:r>
        <w:rPr>
          <w:rFonts w:ascii="Arial" w:cs="Arial" w:eastAsia="Arial" w:hAnsi="Arial"/>
          <w:sz w:val="14"/>
          <w:szCs w:val="14"/>
          <w:color w:val="auto"/>
        </w:rPr>
        <w:t>The Company enters into interest rate swaps to provide commercial loan clients the ability to swap from a variable interest rate to a fixed rate. The Company enter into a floating-rate loan with a customer with a separately issued swap agreement allowing the customer to convert floating payments of the loan into a fixed interest rate. To mitigate risk, the Company will enter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Revenue from Contracts with Customers</w:t>
      </w:r>
    </w:p>
    <w:p>
      <w:pPr>
        <w:spacing w:after="0" w:line="188" w:lineRule="exact"/>
        <w:rPr>
          <w:sz w:val="20"/>
          <w:szCs w:val="20"/>
          <w:color w:val="auto"/>
        </w:rPr>
      </w:pPr>
    </w:p>
    <w:p>
      <w:pPr>
        <w:jc w:val="both"/>
        <w:ind w:left="600" w:right="739" w:firstLine="256"/>
        <w:spacing w:after="0" w:line="246" w:lineRule="auto"/>
        <w:rPr>
          <w:sz w:val="20"/>
          <w:szCs w:val="20"/>
          <w:color w:val="auto"/>
        </w:rPr>
      </w:pPr>
      <w:r>
        <w:rPr>
          <w:rFonts w:ascii="Arial" w:cs="Arial" w:eastAsia="Arial" w:hAnsi="Arial"/>
          <w:sz w:val="14"/>
          <w:szCs w:val="14"/>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in not material.</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Cash Flow Statement</w:t>
      </w:r>
    </w:p>
    <w:p>
      <w:pPr>
        <w:spacing w:after="0" w:line="188"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The Company reports the net activity rather than gross activity in the Consolidated Statements of Cash Flows. The net cash flows are reported for loans held for investment, accrued interest receivable, deferred tax asset, other assets, customer deposits, accrued interest payable, other liabilities, and proceeds from issuance of Class A common shares.</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Reclassifications</w:t>
      </w:r>
    </w:p>
    <w:p>
      <w:pPr>
        <w:spacing w:after="0" w:line="188" w:lineRule="exact"/>
        <w:rPr>
          <w:sz w:val="20"/>
          <w:szCs w:val="20"/>
          <w:color w:val="auto"/>
        </w:rPr>
      </w:pPr>
    </w:p>
    <w:p>
      <w:pPr>
        <w:jc w:val="both"/>
        <w:ind w:left="600" w:right="719" w:firstLine="256"/>
        <w:spacing w:after="0" w:line="252"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Recently Issued Accounting Standards – Not Yet Adopted</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Measurement of Credit Losses on Financial Instruments</w:t>
      </w:r>
    </w:p>
    <w:p>
      <w:pPr>
        <w:spacing w:after="0" w:line="159" w:lineRule="exact"/>
        <w:rPr>
          <w:sz w:val="20"/>
          <w:szCs w:val="20"/>
          <w:color w:val="auto"/>
        </w:rPr>
      </w:pPr>
    </w:p>
    <w:p>
      <w:pPr>
        <w:jc w:val="both"/>
        <w:ind w:left="600" w:right="719" w:firstLine="256"/>
        <w:spacing w:after="0" w:line="268" w:lineRule="auto"/>
        <w:rPr>
          <w:sz w:val="20"/>
          <w:szCs w:val="20"/>
          <w:color w:val="auto"/>
        </w:rPr>
      </w:pPr>
      <w:r>
        <w:rPr>
          <w:rFonts w:ascii="Arial" w:cs="Arial" w:eastAsia="Arial" w:hAnsi="Arial"/>
          <w:sz w:val="13"/>
          <w:szCs w:val="13"/>
          <w:color w:val="auto"/>
        </w:rPr>
        <w:t>In June 2016, the FASB issued ASU 2016-13, Financial Instruments - Credit Losses (Topic 326); Measurement of Credit Losses on Financial Instruments. This accounting standard update (“ASU” or “Update”) on accounting for current expected credit losses on financial instruments (“CECL”) will replace the current probable incurred loss impairment methodology under U.S. GAAP with a methodology that reflects the expected credit losses. The Update is intended to provide financial statement users with more decision-useful information about expected credit losses. This Update is applicable to the Company on a modified retrospective basis for interim and annual periods in fiscal years beginning after December 15, 2022. Early adoption is permitted for fiscal years beginning after December 15, 2019, including interim periods within those</w:t>
      </w:r>
    </w:p>
    <w:p>
      <w:pPr>
        <w:spacing w:after="0" w:line="21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79" w:name="page80"/>
    <w:bookmarkEnd w:id="7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679"/>
        <w:spacing w:after="0" w:line="246" w:lineRule="auto"/>
        <w:rPr>
          <w:sz w:val="20"/>
          <w:szCs w:val="20"/>
          <w:color w:val="auto"/>
        </w:rPr>
      </w:pPr>
      <w:r>
        <w:rPr>
          <w:rFonts w:ascii="Arial" w:cs="Arial" w:eastAsia="Arial" w:hAnsi="Arial"/>
          <w:sz w:val="14"/>
          <w:szCs w:val="14"/>
          <w:color w:val="auto"/>
        </w:rPr>
        <w:t>fiscal years. The Company expects to adopt this ASU on January 1, 2023. The impact of adoption on the Company’s financial statements will depend on the composition of the loan and investment securities portfolio as of January 1, 2023, general economic conditions, and other factors that are not known at this time. Although management is in the process of evaluating the impact of adoption of this ASU on its consolidated financial statements, management does believe that this ASU will lead to significant changes in accounting policies and disclosures related to, and the methods used in estimating, the ACL. To date, the Company has executed a detailed implementation plan through the adoption date, implemented a software solution to assist with the CECL estimation process, and has completed a data gap analysis.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Reference Rate Reform</w:t>
      </w:r>
    </w:p>
    <w:p>
      <w:pPr>
        <w:spacing w:after="0" w:line="159" w:lineRule="exact"/>
        <w:rPr>
          <w:sz w:val="20"/>
          <w:szCs w:val="20"/>
          <w:color w:val="auto"/>
        </w:rPr>
      </w:pPr>
    </w:p>
    <w:p>
      <w:pPr>
        <w:jc w:val="both"/>
        <w:ind w:left="620" w:right="699" w:firstLine="256"/>
        <w:spacing w:after="0" w:line="247"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March 12, 2020 through December 31, 2022. The Company is evaluating the impact of this ASU and has not yet determined whether LIBOR transition and this ASU will have material effects on our business operations and consolidated financial statements.</w:t>
      </w:r>
    </w:p>
    <w:p>
      <w:pPr>
        <w:spacing w:after="0" w:line="129" w:lineRule="exact"/>
        <w:rPr>
          <w:sz w:val="20"/>
          <w:szCs w:val="20"/>
          <w:color w:val="auto"/>
        </w:rPr>
      </w:pPr>
    </w:p>
    <w:p>
      <w:pPr>
        <w:ind w:left="1020" w:hanging="378"/>
        <w:spacing w:after="0"/>
        <w:tabs>
          <w:tab w:leader="none" w:pos="102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9"/>
              </w:rPr>
              <w:t>December 31, 2021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3"/>
                <w:szCs w:val="13"/>
                <w:color w:val="auto"/>
              </w:rPr>
            </w:pPr>
          </w:p>
        </w:tc>
      </w:tr>
      <w:tr>
        <w:trPr>
          <w:trHeight w:val="129"/>
        </w:trPr>
        <w:tc>
          <w:tcPr>
            <w:tcW w:w="3080" w:type="dxa"/>
            <w:vAlign w:val="bottom"/>
            <w:gridSpan w:val="2"/>
          </w:tcPr>
          <w:p>
            <w:pPr>
              <w:spacing w:after="0" w:line="119" w:lineRule="exact"/>
              <w:rPr>
                <w:sz w:val="20"/>
                <w:szCs w:val="20"/>
                <w:color w:val="auto"/>
              </w:rPr>
            </w:pPr>
            <w:r>
              <w:rPr>
                <w:rFonts w:ascii="Arial" w:cs="Arial" w:eastAsia="Arial" w:hAnsi="Arial"/>
                <w:sz w:val="13"/>
                <w:szCs w:val="13"/>
                <w:color w:val="auto"/>
              </w:rPr>
              <w:t>U.S. Government Agency - SBA</w:t>
            </w:r>
          </w:p>
        </w:tc>
        <w:tc>
          <w:tcPr>
            <w:tcW w:w="840" w:type="dxa"/>
            <w:vAlign w:val="bottom"/>
            <w:gridSpan w:val="3"/>
          </w:tcPr>
          <w:p>
            <w:pPr>
              <w:jc w:val="right"/>
              <w:ind w:right="40"/>
              <w:spacing w:after="0" w:line="11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10,564</w:t>
            </w:r>
          </w:p>
        </w:tc>
        <w:tc>
          <w:tcPr>
            <w:tcW w:w="60" w:type="dxa"/>
            <w:vAlign w:val="bottom"/>
          </w:tcPr>
          <w:p>
            <w:pPr>
              <w:spacing w:after="0"/>
              <w:rPr>
                <w:sz w:val="11"/>
                <w:szCs w:val="11"/>
                <w:color w:val="auto"/>
              </w:rPr>
            </w:pPr>
          </w:p>
        </w:tc>
        <w:tc>
          <w:tcPr>
            <w:tcW w:w="100" w:type="dxa"/>
            <w:vAlign w:val="bottom"/>
            <w:gridSpan w:val="3"/>
          </w:tcPr>
          <w:p>
            <w:pPr>
              <w:jc w:val="right"/>
              <w:ind w:right="4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1"/>
                <w:szCs w:val="11"/>
                <w:color w:val="auto"/>
              </w:rPr>
            </w:pPr>
          </w:p>
        </w:tc>
        <w:tc>
          <w:tcPr>
            <w:tcW w:w="76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100" w:type="dxa"/>
            <w:vAlign w:val="bottom"/>
            <w:gridSpan w:val="3"/>
          </w:tcPr>
          <w:p>
            <w:pPr>
              <w:jc w:val="center"/>
              <w:ind w:right="40"/>
              <w:spacing w:after="0" w:line="119"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1"/>
                <w:szCs w:val="11"/>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color w:val="auto"/>
              </w:rPr>
              <w:t>(50)</w:t>
            </w:r>
          </w:p>
        </w:tc>
        <w:tc>
          <w:tcPr>
            <w:tcW w:w="20" w:type="dxa"/>
            <w:vAlign w:val="bottom"/>
          </w:tcPr>
          <w:p>
            <w:pPr>
              <w:spacing w:after="0"/>
              <w:rPr>
                <w:sz w:val="11"/>
                <w:szCs w:val="11"/>
                <w:color w:val="auto"/>
              </w:rPr>
            </w:pPr>
          </w:p>
        </w:tc>
        <w:tc>
          <w:tcPr>
            <w:tcW w:w="60" w:type="dxa"/>
            <w:vAlign w:val="bottom"/>
          </w:tcPr>
          <w:p>
            <w:pPr>
              <w:jc w:val="right"/>
              <w:spacing w:after="0" w:line="119"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10,520</w:t>
            </w:r>
          </w:p>
        </w:tc>
        <w:tc>
          <w:tcPr>
            <w:tcW w:w="60" w:type="dxa"/>
            <w:vAlign w:val="bottom"/>
          </w:tcPr>
          <w:p>
            <w:pPr>
              <w:spacing w:after="0"/>
              <w:rPr>
                <w:sz w:val="11"/>
                <w:szCs w:val="11"/>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160,506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(3,699)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156,829</w:t>
            </w:r>
          </w:p>
        </w:tc>
        <w:tc>
          <w:tcPr>
            <w:tcW w:w="6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120,643</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49,905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50,117</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25,164</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27,003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28,408</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12,068</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60" w:type="dxa"/>
            <w:vAlign w:val="bottom"/>
            <w:tcBorders>
              <w:left w:val="single" w:sz="8" w:color="CCEEFF"/>
            </w:tcBorders>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405,853</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2,982</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(7,293)</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401,542</w:t>
            </w:r>
          </w:p>
        </w:tc>
        <w:tc>
          <w:tcPr>
            <w:tcW w:w="6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Held-to-maturity:</w:t>
            </w:r>
          </w:p>
        </w:tc>
        <w:tc>
          <w:tcPr>
            <w:tcW w:w="7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lef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 - SBA</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12,004</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(363)</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11,641</w:t>
            </w:r>
          </w:p>
        </w:tc>
        <w:tc>
          <w:tcPr>
            <w:tcW w:w="60" w:type="dxa"/>
            <w:vAlign w:val="bottom"/>
          </w:tcPr>
          <w:p>
            <w:pPr>
              <w:spacing w:after="0"/>
              <w:rPr>
                <w:sz w:val="14"/>
                <w:szCs w:val="14"/>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22,263</w:t>
            </w:r>
          </w:p>
        </w:tc>
        <w:tc>
          <w:tcPr>
            <w:tcW w:w="60" w:type="dxa"/>
            <w:vAlign w:val="bottom"/>
          </w:tcPr>
          <w:p>
            <w:pPr>
              <w:spacing w:after="0"/>
              <w:rPr>
                <w:sz w:val="12"/>
                <w:szCs w:val="12"/>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44,820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43,799</w:t>
            </w:r>
          </w:p>
        </w:tc>
        <w:tc>
          <w:tcPr>
            <w:tcW w:w="60" w:type="dxa"/>
            <w:vAlign w:val="bottom"/>
          </w:tcPr>
          <w:p>
            <w:pPr>
              <w:spacing w:after="0"/>
              <w:rPr>
                <w:sz w:val="16"/>
                <w:szCs w:val="16"/>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26,920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26,352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63"/>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3,103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3,013</w:t>
            </w:r>
          </w:p>
        </w:tc>
        <w:tc>
          <w:tcPr>
            <w:tcW w:w="6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13,310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13,089</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8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122,658</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(2,515)</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120,157</w:t>
            </w:r>
          </w:p>
        </w:tc>
        <w:tc>
          <w:tcPr>
            <w:tcW w:w="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9"/>
              </w:rPr>
              <w:t>December 31, 2020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r>
      <w:tr>
        <w:trPr>
          <w:trHeight w:val="16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 -SBA</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1,488</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40" w:type="dxa"/>
            <w:vAlign w:val="bottom"/>
          </w:tcPr>
          <w:p>
            <w:pPr>
              <w:spacing w:after="0"/>
              <w:rPr>
                <w:sz w:val="14"/>
                <w:szCs w:val="14"/>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20,196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20,032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104,426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104,650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80,110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1,368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81,301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45,802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48,331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24,230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24,211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24,004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08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27,733</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29,615</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327,989</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6,923</w:t>
            </w: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2"/>
                <w:shd w:val="clear" w:color="auto" w:fill="CCEEFF"/>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0" w:name="page81"/>
    <w:bookmarkEnd w:id="8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79" w:firstLine="256"/>
        <w:spacing w:after="0" w:line="248" w:lineRule="auto"/>
        <w:rPr>
          <w:sz w:val="20"/>
          <w:szCs w:val="20"/>
          <w:color w:val="auto"/>
        </w:rPr>
      </w:pPr>
      <w:r>
        <w:rPr>
          <w:rFonts w:ascii="Arial" w:cs="Arial" w:eastAsia="Arial" w:hAnsi="Arial"/>
          <w:sz w:val="14"/>
          <w:szCs w:val="14"/>
          <w:color w:val="auto"/>
        </w:rPr>
        <w:t>For the year ended December 31, 2021, there were 28 investment securities that were transferred from available-for-sale (“AFS”) to held-to-maturity (“HTM”) with an amortized cost basis and fair value amount of $67.6 million and $68.7 million, respectively. On the date of transfer, these securities had a total net unrealized gain of $ 1.1 million with no impact to net income.</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Transfers of debt securities into the HTM category from the AFS category are made at fair value at the date of transfer. The unrealized gain or loss at the date of transfer is retained in accumulated other comprehensive income (“AOCI”) and in the carrying value of the held-to-maturity securities. Such amounts are amortized over the remaining life of the security. As of December 31, 2021, total amortization out of AOCI for the net unrealized gains on securities transferred from AFS to HTM was $108 thousand.</w:t>
      </w:r>
    </w:p>
    <w:p>
      <w:pPr>
        <w:spacing w:after="0" w:line="16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following table presents the proceeds, realized gross gains and realized gross losses on sales and calls of AFS debt securities for the years ended December 31, 2021 and 2020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sales and call of securities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51,974</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57,309</w:t>
            </w: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Gross Gains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545</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realized gains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214</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31"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280"/>
              <w:spacing w:after="0"/>
              <w:rPr>
                <w:sz w:val="20"/>
                <w:szCs w:val="20"/>
                <w:color w:val="auto"/>
              </w:rPr>
            </w:pPr>
            <w:r>
              <w:rPr>
                <w:rFonts w:ascii="Arial" w:cs="Arial" w:eastAsia="Arial" w:hAnsi="Arial"/>
                <w:sz w:val="13"/>
                <w:szCs w:val="13"/>
                <w:b w:val="1"/>
                <w:bCs w:val="1"/>
                <w:color w:val="auto"/>
              </w:rPr>
              <w:t>Available-for-sale</w:t>
            </w: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320"/>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gridSpan w:val="3"/>
          </w:tcPr>
          <w:p>
            <w:pPr>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Pr>
          <w:p>
            <w:pPr>
              <w:spacing w:after="0"/>
              <w:rPr>
                <w:sz w:val="13"/>
                <w:szCs w:val="13"/>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Due within one year</w:t>
            </w:r>
          </w:p>
        </w:tc>
        <w:tc>
          <w:tcPr>
            <w:tcW w:w="100" w:type="dxa"/>
            <w:vAlign w:val="bottom"/>
            <w:tcBorders>
              <w:lef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1,992</w:t>
            </w:r>
          </w:p>
        </w:tc>
        <w:tc>
          <w:tcPr>
            <w:tcW w:w="4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2,036</w:t>
            </w: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2,017</w:t>
            </w:r>
          </w:p>
        </w:tc>
        <w:tc>
          <w:tcPr>
            <w:tcW w:w="4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5,983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6,288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11,293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11,076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31,096</w:t>
            </w: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32,512</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25,164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24,398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20" w:type="dxa"/>
            <w:vAlign w:val="bottom"/>
            <w:gridSpan w:val="3"/>
            <w:vMerge w:val="restart"/>
          </w:tcPr>
          <w:p>
            <w:pPr>
              <w:spacing w:after="0"/>
              <w:rPr>
                <w:sz w:val="20"/>
                <w:szCs w:val="20"/>
                <w:color w:val="auto"/>
              </w:rPr>
            </w:pPr>
            <w:r>
              <w:rPr>
                <w:rFonts w:ascii="Arial" w:cs="Arial" w:eastAsia="Arial" w:hAnsi="Arial"/>
                <w:sz w:val="13"/>
                <w:szCs w:val="13"/>
                <w:color w:val="auto"/>
              </w:rPr>
              <w:t>U.S. Government Agency - SBA</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gridSpan w:val="3"/>
            <w:vMerge w:val="continue"/>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10,564</w:t>
            </w:r>
          </w:p>
        </w:tc>
        <w:tc>
          <w:tcPr>
            <w:tcW w:w="4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10,520</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12,004</w:t>
            </w:r>
          </w:p>
        </w:tc>
        <w:tc>
          <w:tcPr>
            <w:tcW w:w="4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22,501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22,263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160,506</w:t>
            </w: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156,829</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44,820</w:t>
            </w: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43,799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120,643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118,842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26,920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26,352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gridSpan w:val="2"/>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Borders>
              <w:left w:val="single" w:sz="8" w:color="CCEEFF"/>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49,905</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50,117</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3,103</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3,013</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405,853</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401,542</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122,658</w:t>
            </w:r>
          </w:p>
        </w:tc>
        <w:tc>
          <w:tcPr>
            <w:tcW w:w="16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120,157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At December 31, 2021 and 2020, there were no securities to any one issuer, in an amount greater than 10% of total stockholders’ equity other than the United States Government and Government Agencies. All the collateralized mortgage obligations and mortgage-backed securities are issued by United States sponsored entities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1" w:name="page82"/>
    <w:bookmarkEnd w:id="8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3"/>
                <w:szCs w:val="13"/>
                <w:b w:val="1"/>
                <w:bCs w:val="1"/>
                <w:color w:val="auto"/>
              </w:rPr>
              <w:t>Less than 12 months</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12 months or more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r>
      <w:tr>
        <w:trPr>
          <w:trHeight w:val="187"/>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3"/>
                <w:szCs w:val="13"/>
                <w:b w:val="1"/>
                <w:bCs w:val="1"/>
                <w:color w:val="auto"/>
                <w:w w:val="93"/>
              </w:rPr>
              <w:t>Fair Value</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98"/>
              </w:rPr>
              <w:t>Losses</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6"/>
                <w:szCs w:val="16"/>
                <w:color w:val="auto"/>
              </w:rPr>
            </w:pPr>
          </w:p>
        </w:tc>
      </w:tr>
      <w:tr>
        <w:trPr>
          <w:trHeight w:val="139"/>
        </w:trPr>
        <w:tc>
          <w:tcPr>
            <w:tcW w:w="2260" w:type="dxa"/>
            <w:vAlign w:val="bottom"/>
            <w:gridSpan w:val="3"/>
          </w:tcPr>
          <w:p>
            <w:pPr>
              <w:ind w:left="20"/>
              <w:spacing w:after="0" w:line="128" w:lineRule="exact"/>
              <w:rPr>
                <w:sz w:val="20"/>
                <w:szCs w:val="20"/>
                <w:color w:val="auto"/>
              </w:rPr>
            </w:pPr>
            <w:r>
              <w:rPr>
                <w:rFonts w:ascii="Arial" w:cs="Arial" w:eastAsia="Arial" w:hAnsi="Arial"/>
                <w:sz w:val="13"/>
                <w:szCs w:val="13"/>
                <w:color w:val="auto"/>
              </w:rPr>
              <w:t>U.S. Government Agency - SBA</w:t>
            </w:r>
          </w:p>
        </w:tc>
        <w:tc>
          <w:tcPr>
            <w:tcW w:w="120" w:type="dxa"/>
            <w:vAlign w:val="bottom"/>
            <w:gridSpan w:val="4"/>
          </w:tcPr>
          <w:p>
            <w:pPr>
              <w:jc w:val="right"/>
              <w:spacing w:after="0" w:line="131"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2"/>
                <w:szCs w:val="12"/>
                <w:color w:val="auto"/>
              </w:rPr>
            </w:pP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19,165</w:t>
            </w:r>
          </w:p>
        </w:tc>
        <w:tc>
          <w:tcPr>
            <w:tcW w:w="80" w:type="dxa"/>
            <w:vAlign w:val="bottom"/>
            <w:tcBorders>
              <w:right w:val="single" w:sz="8" w:color="CCEEFF"/>
            </w:tcBorders>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(146)</w:t>
            </w:r>
          </w:p>
        </w:tc>
        <w:tc>
          <w:tcPr>
            <w:tcW w:w="40" w:type="dxa"/>
            <w:vAlign w:val="bottom"/>
            <w:tcBorders>
              <w:right w:val="single" w:sz="8" w:color="CCEEFF"/>
            </w:tcBorders>
          </w:tcPr>
          <w:p>
            <w:pPr>
              <w:spacing w:after="0"/>
              <w:rPr>
                <w:sz w:val="12"/>
                <w:szCs w:val="12"/>
                <w:color w:val="auto"/>
              </w:rPr>
            </w:pPr>
          </w:p>
        </w:tc>
        <w:tc>
          <w:tcPr>
            <w:tcW w:w="2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80" w:type="dxa"/>
            <w:vAlign w:val="bottom"/>
            <w:gridSpan w:val="2"/>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2"/>
                <w:szCs w:val="12"/>
                <w:color w:val="auto"/>
              </w:rPr>
            </w:pP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19,165</w:t>
            </w:r>
          </w:p>
        </w:tc>
        <w:tc>
          <w:tcPr>
            <w:tcW w:w="80" w:type="dxa"/>
            <w:vAlign w:val="bottom"/>
            <w:gridSpan w:val="2"/>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Pr>
          <w:p>
            <w:pPr>
              <w:jc w:val="right"/>
              <w:ind w:right="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2"/>
                <w:szCs w:val="12"/>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(146)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U.S. Government Agency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6,786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15,477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22,263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155,668</w:t>
            </w:r>
          </w:p>
        </w:tc>
        <w:tc>
          <w:tcPr>
            <w:tcW w:w="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38,459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194,127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51"/>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Mortgage-backed securities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22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Residential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88,772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(1,178)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37,373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(1,274)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126,145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(2,452)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Commercial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25,289</w:t>
            </w: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(318)</w:t>
            </w: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7,507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32,796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(627)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11,292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(395)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11,978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(499)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23,270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(894)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4,487</w:t>
            </w:r>
          </w:p>
        </w:tc>
        <w:tc>
          <w:tcPr>
            <w:tcW w:w="80" w:type="dxa"/>
            <w:vAlign w:val="bottom"/>
            <w:tcBorders>
              <w:bottom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 w:type="dxa"/>
            <w:vAlign w:val="bottom"/>
            <w:tcBorders>
              <w:bottom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4,487</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7"/>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311,459</w:t>
            </w:r>
          </w:p>
        </w:tc>
        <w:tc>
          <w:tcPr>
            <w:tcW w:w="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(5,381)</w:t>
            </w:r>
          </w:p>
        </w:tc>
        <w:tc>
          <w:tcPr>
            <w:tcW w:w="4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110,794</w:t>
            </w:r>
          </w:p>
        </w:tc>
        <w:tc>
          <w:tcPr>
            <w:tcW w:w="3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(4,095)</w:t>
            </w:r>
          </w:p>
        </w:tc>
        <w:tc>
          <w:tcPr>
            <w:tcW w:w="6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422,253</w:t>
            </w:r>
          </w:p>
        </w:tc>
        <w:tc>
          <w:tcPr>
            <w:tcW w:w="380" w:type="dxa"/>
            <w:vAlign w:val="bottom"/>
            <w:gridSpan w:val="4"/>
          </w:tcPr>
          <w:p>
            <w:pPr>
              <w:jc w:val="right"/>
              <w:ind w:right="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(9,476)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w w:val="98"/>
              </w:rPr>
              <w:t>Less than 12 months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rPr>
              <w:t>12 months or more</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7"/>
              </w:rPr>
              <w:t>Unrealized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6"/>
              </w:rPr>
              <w:t>Fair Value</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Losses</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U.S. Government Agency - SBA</w:t>
            </w:r>
          </w:p>
        </w:tc>
        <w:tc>
          <w:tcPr>
            <w:tcW w:w="120" w:type="dxa"/>
            <w:vAlign w:val="bottom"/>
            <w:gridSpan w:val="4"/>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60" w:type="dxa"/>
            <w:vAlign w:val="bottom"/>
            <w:gridSpan w:val="4"/>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
              <w:spacing w:after="0" w:line="141"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380" w:type="dxa"/>
            <w:vAlign w:val="bottom"/>
            <w:gridSpan w:val="4"/>
            <w:shd w:val="clear" w:color="auto" w:fill="CCEEFF"/>
          </w:tcPr>
          <w:p>
            <w:pPr>
              <w:jc w:val="right"/>
              <w:ind w:right="28"/>
              <w:spacing w:after="0" w:line="141"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3"/>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14,030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(168)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14,030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49,185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49,185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3"/>
          </w:tcPr>
          <w:p>
            <w:pPr>
              <w:spacing w:after="0"/>
              <w:rPr>
                <w:sz w:val="20"/>
                <w:szCs w:val="20"/>
                <w:color w:val="auto"/>
              </w:rPr>
            </w:pPr>
            <w:r>
              <w:rPr>
                <w:rFonts w:ascii="Arial" w:cs="Arial" w:eastAsia="Arial" w:hAnsi="Arial"/>
                <w:sz w:val="13"/>
                <w:szCs w:val="13"/>
                <w:color w:val="auto"/>
              </w:rPr>
              <w:t>Mortgage-backed securities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41,611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(177)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41,611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(177)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8,219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8,219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3"/>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3,878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3"/>
                <w:szCs w:val="13"/>
                <w:color w:val="auto"/>
              </w:rPr>
              <w:t>(58)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3,878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60" w:type="dxa"/>
            <w:vAlign w:val="bottom"/>
            <w:gridSpan w:val="2"/>
          </w:tcPr>
          <w:p>
            <w:pPr>
              <w:spacing w:after="0"/>
              <w:rPr>
                <w:sz w:val="13"/>
                <w:szCs w:val="13"/>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995</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117,918</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(590)</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20" w:type="dxa"/>
            <w:vAlign w:val="bottom"/>
            <w:gridSpan w:val="3"/>
          </w:tcPr>
          <w:p>
            <w:pPr>
              <w:jc w:val="right"/>
              <w:ind w:right="1"/>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117,918</w:t>
            </w:r>
          </w:p>
        </w:tc>
        <w:tc>
          <w:tcPr>
            <w:tcW w:w="380" w:type="dxa"/>
            <w:vAlign w:val="bottom"/>
            <w:gridSpan w:val="4"/>
          </w:tcPr>
          <w:p>
            <w:pPr>
              <w:jc w:val="right"/>
              <w:ind w:right="2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(590)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unrealized losses associated with $66.4 million of investment securities transferred from the AFS portfolio to the HTM portfolio during the third quarter of 2021 represent unrealized losses since the date of purchase, independent of the impact associated with changes in the cost basis upon transfer between portfolios.</w:t>
      </w:r>
    </w:p>
    <w:p>
      <w:pPr>
        <w:spacing w:after="0" w:line="142"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The Company performs a review of the investments that have an unrealized loss to determine whether there have been any changes in the economic circumstance of the security issuer to indicate that the unrealized loss is impaired on an other-than-temporary (“OTTI”) basis. Management considers several factors in their analysis including (i) severity and duration of the impairment, (ii) credit rating of the security including any downgrade, (iii) intent to sell the security, or if it is more likely than not that it will be required to sell the security before recovery, (iv) whether there have been any payment defaults and</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(v) underlying guarantor of the securities.</w:t>
      </w:r>
    </w:p>
    <w:p>
      <w:pPr>
        <w:spacing w:after="0" w:line="17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does not consider these investments to be OTTI as the decline in market value is attributable to changes in market interest rates and not credit quality, and because the Company does not intend to sell the investments before recovery of their amortized cost basis, which may be maturity, and it is more likely than not that the Company will not be required to sell the securities before maturity.</w:t>
      </w:r>
    </w:p>
    <w:p>
      <w:pPr>
        <w:spacing w:after="0" w:line="145" w:lineRule="exact"/>
        <w:rPr>
          <w:sz w:val="20"/>
          <w:szCs w:val="20"/>
          <w:color w:val="auto"/>
        </w:rPr>
      </w:pPr>
    </w:p>
    <w:p>
      <w:pPr>
        <w:jc w:val="both"/>
        <w:ind w:left="640" w:right="659" w:firstLine="256"/>
        <w:spacing w:after="0" w:line="248" w:lineRule="auto"/>
        <w:rPr>
          <w:sz w:val="20"/>
          <w:szCs w:val="20"/>
          <w:color w:val="auto"/>
        </w:rPr>
      </w:pPr>
      <w:r>
        <w:rPr>
          <w:rFonts w:ascii="Arial" w:cs="Arial" w:eastAsia="Arial" w:hAnsi="Arial"/>
          <w:sz w:val="14"/>
          <w:szCs w:val="14"/>
          <w:color w:val="auto"/>
        </w:rPr>
        <w:t>As of December 31, 2021, 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At December 31, 2021, the Company did not have any securities pledged under this agreement.</w:t>
      </w:r>
    </w:p>
    <w:p>
      <w:pPr>
        <w:spacing w:after="0" w:line="156"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2018, the Company became a Qualified Public Depositor (“QPD”) with the State of Florida. As a QPD, the Company has the authority to legally maintain public deposits from cities, municipalities, and the State of Florida. These public deposits are secured by securities pledged to the State of Florida at a ratio of 25% of the outstanding uninsured deposits. The Company must also maintain a minimum amount of pledged securities to be in the program.</w:t>
      </w:r>
    </w:p>
    <w:p>
      <w:pPr>
        <w:spacing w:after="0" w:line="19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2" w:name="page83"/>
    <w:bookmarkEnd w:id="8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40" w:lineRule="exact"/>
        <w:rPr>
          <w:sz w:val="20"/>
          <w:szCs w:val="20"/>
          <w:color w:val="auto"/>
        </w:rPr>
      </w:pPr>
    </w:p>
    <w:p>
      <w:pPr>
        <w:jc w:val="both"/>
        <w:ind w:left="640" w:right="679" w:firstLine="256"/>
        <w:spacing w:after="0" w:line="268" w:lineRule="auto"/>
        <w:rPr>
          <w:sz w:val="20"/>
          <w:szCs w:val="20"/>
          <w:color w:val="auto"/>
        </w:rPr>
      </w:pPr>
      <w:r>
        <w:rPr>
          <w:rFonts w:ascii="Arial" w:cs="Arial" w:eastAsia="Arial" w:hAnsi="Arial"/>
          <w:sz w:val="14"/>
          <w:szCs w:val="14"/>
          <w:color w:val="auto"/>
        </w:rPr>
        <w:t>At December 31, 2021, the Company had eleven Corporate Bonds with a fair value of $20.4 million pledged to the State of Florida under the public funds program. The Company held a total of $37.3 million in public funds at December 31, 2021.</w:t>
      </w:r>
    </w:p>
    <w:p>
      <w:pPr>
        <w:spacing w:after="0" w:line="131"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At December 31, 2020, the Company had four Corporate Bonds with a fair value of $7.8 million pledged to the State of Florida under the public funds program. The Company held a total of $14.1 million in public funds at December 31, 2020.</w:t>
      </w:r>
    </w:p>
    <w:p>
      <w:pPr>
        <w:spacing w:after="0" w:line="113" w:lineRule="exact"/>
        <w:rPr>
          <w:sz w:val="20"/>
          <w:szCs w:val="20"/>
          <w:color w:val="auto"/>
        </w:rPr>
      </w:pPr>
    </w:p>
    <w:p>
      <w:pPr>
        <w:ind w:left="1020" w:hanging="378"/>
        <w:spacing w:after="0"/>
        <w:tabs>
          <w:tab w:leader="none" w:pos="102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3"/>
                <w:szCs w:val="13"/>
                <w:b w:val="1"/>
                <w:bCs w:val="1"/>
                <w:color w:val="auto"/>
              </w:rPr>
              <w:t>December 31, 2021</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Arial" w:cs="Arial" w:eastAsia="Arial" w:hAnsi="Arial"/>
                <w:sz w:val="13"/>
                <w:szCs w:val="13"/>
                <w:b w:val="1"/>
                <w:bCs w:val="1"/>
                <w:color w:val="auto"/>
              </w:rPr>
              <w:t>Percent of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Arial" w:cs="Arial" w:eastAsia="Arial" w:hAnsi="Arial"/>
                <w:sz w:val="13"/>
                <w:szCs w:val="13"/>
                <w:b w:val="1"/>
                <w:bCs w:val="1"/>
                <w:color w:val="auto"/>
              </w:rPr>
              <w:t>Percent of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232,754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3"/>
                <w:szCs w:val="13"/>
                <w:color w:val="auto"/>
              </w:rPr>
            </w:pPr>
          </w:p>
        </w:tc>
      </w:tr>
      <w:tr>
        <w:trPr>
          <w:trHeight w:val="171"/>
        </w:trPr>
        <w:tc>
          <w:tcPr>
            <w:tcW w:w="27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59.2 %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606,425</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58.2 %</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60" w:type="dxa"/>
            <w:vAlign w:val="bottom"/>
            <w:gridSpan w:val="2"/>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157,330</w:t>
            </w:r>
          </w:p>
        </w:tc>
        <w:tc>
          <w:tcPr>
            <w:tcW w:w="40" w:type="dxa"/>
            <w:vAlign w:val="bottom"/>
            <w:gridSpan w:val="2"/>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7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5.0 %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38,999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3.7 %</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6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2680" w:type="dxa"/>
            <w:vAlign w:val="bottom"/>
          </w:tcPr>
          <w:p>
            <w:pPr>
              <w:ind w:left="60"/>
              <w:spacing w:after="0"/>
              <w:rPr>
                <w:sz w:val="20"/>
                <w:szCs w:val="20"/>
                <w:color w:val="auto"/>
              </w:rPr>
            </w:pPr>
            <w:r>
              <w:rPr>
                <w:rFonts w:ascii="Arial" w:cs="Arial" w:eastAsia="Arial" w:hAnsi="Arial"/>
                <w:sz w:val="13"/>
                <w:szCs w:val="13"/>
                <w:color w:val="auto"/>
              </w:rPr>
              <w:t>Total gross loans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1,191,659</w:t>
            </w:r>
          </w:p>
        </w:tc>
        <w:tc>
          <w:tcPr>
            <w:tcW w:w="960" w:type="dxa"/>
            <w:vAlign w:val="bottom"/>
            <w:gridSpan w:val="5"/>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1,041,015</w:t>
            </w:r>
          </w:p>
        </w:tc>
        <w:tc>
          <w:tcPr>
            <w:tcW w:w="960" w:type="dxa"/>
            <w:vAlign w:val="bottom"/>
            <w:gridSpan w:val="5"/>
          </w:tcPr>
          <w:p>
            <w:pPr>
              <w:jc w:val="right"/>
              <w:spacing w:after="0"/>
              <w:rPr>
                <w:sz w:val="20"/>
                <w:szCs w:val="20"/>
                <w:color w:val="auto"/>
              </w:rPr>
            </w:pPr>
            <w:r>
              <w:rPr>
                <w:rFonts w:ascii="Arial" w:cs="Arial" w:eastAsia="Arial" w:hAnsi="Arial"/>
                <w:sz w:val="13"/>
                <w:szCs w:val="13"/>
                <w:color w:val="auto"/>
              </w:rPr>
              <w:t>99.8</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268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Less: Unearned income</w:t>
            </w:r>
          </w:p>
        </w:tc>
        <w:tc>
          <w:tcPr>
            <w:tcW w:w="6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1,578</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2,511</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51"/>
        </w:trPr>
        <w:tc>
          <w:tcPr>
            <w:tcW w:w="4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color w:val="auto"/>
              </w:rPr>
              <w:t>Total loans net of unearned income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1,190,081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1,038,504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6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15,086</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Arial" w:cs="Arial" w:eastAsia="Arial" w:hAnsi="Arial"/>
                <w:sz w:val="13"/>
                <w:szCs w:val="13"/>
                <w:color w:val="auto"/>
              </w:rPr>
              <w:t>Total net loans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1,175,024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1,023,418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At December 31, 2021 and 2020, the Company had $185.1 million and $250.7 million, respectively, of commercial real estate and residential mortgage loans pledged as collateral on lines of credit with the FHLB and the Federal Reserve Bank of Atlanta. At December 31, 2021 and 2020, the Company had one loan for $1.2 million and $0 million, respectively, in the process of foreclosure.</w:t>
      </w:r>
    </w:p>
    <w:p>
      <w:pPr>
        <w:spacing w:after="0" w:line="156"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The Company was a participant of the Small Business Administration’s (“SBA”) Paycheck Protection Program (“PPP”) loans. These loans were designed to provide a direct incentive for small businesses to keep their workers on payroll and had to be used towards payroll cost, mortgage interest, rent, utilities and other costs related to COVID-19. These loans are forgivable under specific criteria as determined by the SBA. The Company had PPP loans of $42.4 million at December 31, 2021 and $104.8 million at December 31, 2020, which are categorized as commercial and industrial loans. These PPP loans had deferred loan fees of $1.5 million at December 31, 2021 and $ 1.8 million at December 31, 2020.</w:t>
      </w:r>
    </w:p>
    <w:p>
      <w:pPr>
        <w:spacing w:after="0" w:line="16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 Company recognized $ 4.5 million and $3.1 million in PPP loan fees and interest income for the years ended December 31, 2021 and 2020, respectively, which is reported under loans, including fees within the Consolidated Statements of Operations.</w:t>
      </w:r>
    </w:p>
    <w:p>
      <w:pPr>
        <w:spacing w:after="0" w:line="142"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segments the portfolio by pools grouping loans that share similar risk characteristics and employing collateral type and lien position to group loans according to risk. The Company determines historical loss rates for each loan pool based on its own loss experience. In estimating credit losses, the Company also considers qualitative and environmental factors that may cause estimated credit losses for the loan portfolio to differ from historical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3" w:name="page84"/>
    <w:bookmarkEnd w:id="8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Changes in the allowance for credit losses for the years ended December 31, 2021 and 2020 are as follows (in thousands):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4"/>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7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December 31, 2021:</w:t>
            </w:r>
          </w:p>
        </w:tc>
        <w:tc>
          <w:tcPr>
            <w:tcW w:w="3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3,408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9,453</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1,689</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348</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188</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Charge-offs</w:t>
            </w:r>
          </w:p>
        </w:tc>
        <w:tc>
          <w:tcPr>
            <w:tcW w:w="3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2,498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2,775</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457</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569</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 w:type="dxa"/>
            <w:vAlign w:val="bottom"/>
            <w:vMerge w:val="restart"/>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76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3,749</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6,591</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1,214</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20" w:type="dxa"/>
            <w:vAlign w:val="bottom"/>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112</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11,998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Provision for credit losses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2,861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88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9,453</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1,689</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188</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15,086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Allowance for credit losses and the outstanding balances in loans as of December 31, 2021 and 2020 are as follows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41"/>
        </w:trPr>
        <w:tc>
          <w:tcPr>
            <w:tcW w:w="4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December 31, 2021: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8"/>
        </w:trPr>
        <w:tc>
          <w:tcPr>
            <w:tcW w:w="224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2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111</w:t>
            </w:r>
          </w:p>
        </w:tc>
        <w:tc>
          <w:tcPr>
            <w:tcW w:w="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8,758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2,704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458</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14,697</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200" w:type="dxa"/>
            <w:vAlign w:val="bottom"/>
            <w:shd w:val="clear" w:color="auto" w:fill="CCEEFF"/>
          </w:tcPr>
          <w:p>
            <w:pPr>
              <w:ind w:left="100"/>
              <w:spacing w:after="0" w:line="141" w:lineRule="exact"/>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2,498</w:t>
            </w:r>
          </w:p>
        </w:tc>
        <w:tc>
          <w:tcPr>
            <w:tcW w:w="40" w:type="dxa"/>
            <w:vAlign w:val="bottom"/>
            <w:shd w:val="clear" w:color="auto" w:fill="CCEEFF"/>
          </w:tcPr>
          <w:p>
            <w:pPr>
              <w:spacing w:after="0"/>
              <w:rPr>
                <w:sz w:val="12"/>
                <w:szCs w:val="12"/>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2"/>
                <w:szCs w:val="12"/>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2,775</w:t>
            </w:r>
          </w:p>
        </w:tc>
        <w:tc>
          <w:tcPr>
            <w:tcW w:w="2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457</w:t>
            </w:r>
          </w:p>
        </w:tc>
        <w:tc>
          <w:tcPr>
            <w:tcW w:w="40" w:type="dxa"/>
            <w:vAlign w:val="bottom"/>
            <w:gridSpan w:val="2"/>
            <w:shd w:val="clear" w:color="auto" w:fill="CCEEFF"/>
          </w:tcPr>
          <w:p>
            <w:pPr>
              <w:spacing w:after="0"/>
              <w:rPr>
                <w:sz w:val="12"/>
                <w:szCs w:val="12"/>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569</w:t>
            </w:r>
          </w:p>
        </w:tc>
        <w:tc>
          <w:tcPr>
            <w:tcW w:w="14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15,057</w:t>
            </w:r>
          </w:p>
        </w:tc>
        <w:tc>
          <w:tcPr>
            <w:tcW w:w="20" w:type="dxa"/>
            <w:vAlign w:val="bottom"/>
            <w:shd w:val="clear" w:color="auto" w:fill="CCEEFF"/>
          </w:tcPr>
          <w:p>
            <w:pPr>
              <w:spacing w:after="0"/>
              <w:rPr>
                <w:sz w:val="12"/>
                <w:szCs w:val="12"/>
                <w:color w:val="auto"/>
              </w:rPr>
            </w:pPr>
          </w:p>
        </w:tc>
      </w:tr>
      <w:tr>
        <w:trPr>
          <w:trHeight w:val="149"/>
        </w:trPr>
        <w:tc>
          <w:tcPr>
            <w:tcW w:w="22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9,006</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696</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141</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224</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10,067</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192,353</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704,292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146,451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79,005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1,181,592</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201,359</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704,988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146,592</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59,491</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79,229</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1,191,659</w:t>
            </w:r>
          </w:p>
        </w:tc>
        <w:tc>
          <w:tcPr>
            <w:tcW w:w="2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70"/>
        </w:trPr>
        <w:tc>
          <w:tcPr>
            <w:tcW w:w="4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108</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125</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453</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3,188</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9,453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1,581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14,633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3,408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9,453</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1,689</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348</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188</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15,086</w:t>
            </w:r>
          </w:p>
        </w:tc>
        <w:tc>
          <w:tcPr>
            <w:tcW w:w="2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68"/>
        </w:trPr>
        <w:tc>
          <w:tcPr>
            <w:tcW w:w="224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2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10,439</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278</w:t>
            </w:r>
          </w:p>
        </w:tc>
        <w:tc>
          <w:tcPr>
            <w:tcW w:w="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11,652</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222,315</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605,692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157,128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38,999</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5,229</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1,029,363</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shd w:val="clear" w:color="auto" w:fill="CCEEFF"/>
          </w:tcPr>
          <w:p>
            <w:pPr>
              <w:ind w:left="100"/>
              <w:spacing w:after="0" w:line="141" w:lineRule="exact"/>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232,754</w:t>
            </w:r>
          </w:p>
        </w:tc>
        <w:tc>
          <w:tcPr>
            <w:tcW w:w="40" w:type="dxa"/>
            <w:vAlign w:val="bottom"/>
            <w:shd w:val="clear" w:color="auto" w:fill="CCEEFF"/>
          </w:tcPr>
          <w:p>
            <w:pPr>
              <w:spacing w:after="0"/>
              <w:rPr>
                <w:sz w:val="12"/>
                <w:szCs w:val="12"/>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606,425</w:t>
            </w:r>
          </w:p>
        </w:tc>
        <w:tc>
          <w:tcPr>
            <w:tcW w:w="20" w:type="dxa"/>
            <w:vAlign w:val="bottom"/>
            <w:shd w:val="clear" w:color="auto" w:fill="CCEEFF"/>
          </w:tcPr>
          <w:p>
            <w:pPr>
              <w:spacing w:after="0"/>
              <w:rPr>
                <w:sz w:val="12"/>
                <w:szCs w:val="12"/>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157,330</w:t>
            </w:r>
          </w:p>
        </w:tc>
        <w:tc>
          <w:tcPr>
            <w:tcW w:w="2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38,999</w:t>
            </w:r>
          </w:p>
        </w:tc>
        <w:tc>
          <w:tcPr>
            <w:tcW w:w="40" w:type="dxa"/>
            <w:vAlign w:val="bottom"/>
            <w:gridSpan w:val="2"/>
            <w:shd w:val="clear" w:color="auto" w:fill="CCEEFF"/>
          </w:tcPr>
          <w:p>
            <w:pPr>
              <w:spacing w:after="0"/>
              <w:rPr>
                <w:sz w:val="12"/>
                <w:szCs w:val="12"/>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5,507</w:t>
            </w:r>
          </w:p>
        </w:tc>
        <w:tc>
          <w:tcPr>
            <w:tcW w:w="14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shd w:val="clear" w:color="auto" w:fill="CCEEFF"/>
              </w:rPr>
              <w:t>1,041,015</w:t>
            </w:r>
          </w:p>
        </w:tc>
        <w:tc>
          <w:tcPr>
            <w:tcW w:w="20" w:type="dxa"/>
            <w:vAlign w:val="bottom"/>
            <w:shd w:val="clear" w:color="auto" w:fill="CCEEFF"/>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4" w:name="page85"/>
    <w:bookmarkEnd w:id="8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60" w:right="83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60" w:right="83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 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60" w:right="739"/>
        <w:spacing w:after="0" w:line="258"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380"/>
              <w:spacing w:after="0"/>
              <w:rPr>
                <w:sz w:val="20"/>
                <w:szCs w:val="20"/>
                <w:color w:val="auto"/>
              </w:rPr>
            </w:pPr>
            <w:r>
              <w:rPr>
                <w:rFonts w:ascii="Arial" w:cs="Arial" w:eastAsia="Arial" w:hAnsi="Arial"/>
                <w:sz w:val="13"/>
                <w:szCs w:val="13"/>
                <w:b w:val="1"/>
                <w:bCs w:val="1"/>
                <w:color w:val="auto"/>
              </w:rPr>
              <w:t>As of December 31, 2021</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36"/>
        </w:trPr>
        <w:tc>
          <w:tcPr>
            <w:tcW w:w="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3"/>
                <w:szCs w:val="13"/>
                <w:b w:val="1"/>
                <w:bCs w:val="1"/>
                <w:color w:val="auto"/>
              </w:rPr>
              <w:t>Special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3"/>
        </w:trPr>
        <w:tc>
          <w:tcPr>
            <w:tcW w:w="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Mention</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r>
      <w:tr>
        <w:trPr>
          <w:trHeight w:val="141"/>
        </w:trPr>
        <w:tc>
          <w:tcPr>
            <w:tcW w:w="4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2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701</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4"/>
          </w:tcPr>
          <w:p>
            <w:pPr>
              <w:ind w:left="580"/>
              <w:spacing w:after="0"/>
              <w:rPr>
                <w:sz w:val="20"/>
                <w:szCs w:val="20"/>
                <w:color w:val="auto"/>
              </w:rPr>
            </w:pPr>
            <w:r>
              <w:rPr>
                <w:rFonts w:ascii="Arial" w:cs="Arial" w:eastAsia="Arial" w:hAnsi="Arial"/>
                <w:sz w:val="13"/>
                <w:szCs w:val="13"/>
                <w:color w:val="auto"/>
              </w:rPr>
              <w:t>- $</w:t>
            </w:r>
          </w:p>
        </w:tc>
        <w:tc>
          <w:tcPr>
            <w:tcW w:w="1300" w:type="dxa"/>
            <w:vAlign w:val="bottom"/>
            <w:gridSpan w:val="3"/>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4"/>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701</w:t>
            </w:r>
          </w:p>
        </w:tc>
      </w:tr>
      <w:tr>
        <w:trPr>
          <w:trHeight w:val="151"/>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130,840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4,581</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135,421</w:t>
            </w:r>
          </w:p>
        </w:tc>
      </w:tr>
      <w:tr>
        <w:trPr>
          <w:trHeight w:val="180"/>
        </w:trPr>
        <w:tc>
          <w:tcPr>
            <w:tcW w:w="40" w:type="dxa"/>
            <w:vAlign w:val="bottom"/>
          </w:tcPr>
          <w:p>
            <w:pPr>
              <w:spacing w:after="0"/>
              <w:rPr>
                <w:sz w:val="15"/>
                <w:szCs w:val="15"/>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65,237</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65,237</w:t>
            </w:r>
          </w:p>
        </w:tc>
      </w:tr>
      <w:tr>
        <w:trPr>
          <w:trHeight w:val="141"/>
        </w:trPr>
        <w:tc>
          <w:tcPr>
            <w:tcW w:w="4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196,778</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4,581</w:t>
            </w: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201,359</w:t>
            </w:r>
          </w:p>
        </w:tc>
      </w:tr>
      <w:tr>
        <w:trPr>
          <w:trHeight w:val="168"/>
        </w:trPr>
        <w:tc>
          <w:tcPr>
            <w:tcW w:w="284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24,581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127,489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127,489</w:t>
            </w:r>
          </w:p>
        </w:tc>
      </w:tr>
      <w:tr>
        <w:trPr>
          <w:trHeight w:val="151"/>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41,983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417</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509,189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510,411</w:t>
            </w:r>
          </w:p>
        </w:tc>
      </w:tr>
      <w:tr>
        <w:trPr>
          <w:trHeight w:val="155"/>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107</w:t>
            </w:r>
          </w:p>
        </w:tc>
      </w:tr>
      <w:tr>
        <w:trPr>
          <w:trHeight w:val="167"/>
        </w:trPr>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703,349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704,988</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14"/>
                <w:szCs w:val="14"/>
                <w:color w:val="auto"/>
                <w:vertAlign w:val="superscript"/>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Secured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97,605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536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98,141</w:t>
            </w:r>
          </w:p>
        </w:tc>
      </w:tr>
      <w:tr>
        <w:trPr>
          <w:trHeight w:val="160"/>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48,434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w:t>
            </w:r>
          </w:p>
        </w:tc>
        <w:tc>
          <w:tcPr>
            <w:tcW w:w="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48,451</w:t>
            </w:r>
          </w:p>
        </w:tc>
      </w:tr>
      <w:tr>
        <w:trPr>
          <w:trHeight w:val="161"/>
        </w:trPr>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146,039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553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146,592</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59,491</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r>
      <w:tr>
        <w:trPr>
          <w:trHeight w:val="160"/>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260" w:type="dxa"/>
            <w:vAlign w:val="bottom"/>
            <w:tcBorders>
              <w:bottom w:val="single" w:sz="8" w:color="CCEEFF"/>
            </w:tcBorders>
            <w:gridSpan w:val="3"/>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1,184,662</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280"/>
              <w:spacing w:after="0" w:line="131" w:lineRule="exact"/>
              <w:rPr>
                <w:sz w:val="20"/>
                <w:szCs w:val="20"/>
                <w:color w:val="auto"/>
              </w:rPr>
            </w:pPr>
            <w:r>
              <w:rPr>
                <w:rFonts w:ascii="Arial" w:cs="Arial" w:eastAsia="Arial" w:hAnsi="Arial"/>
                <w:sz w:val="13"/>
                <w:szCs w:val="13"/>
                <w:color w:val="auto"/>
              </w:rPr>
              <w:t>1,222</w:t>
            </w: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5,775</w:t>
            </w:r>
          </w:p>
        </w:tc>
        <w:tc>
          <w:tcPr>
            <w:tcW w:w="660" w:type="dxa"/>
            <w:vAlign w:val="bottom"/>
            <w:tcBorders>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1,191,659</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5" w:name="page86"/>
    <w:bookmarkEnd w:id="8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8"/>
          </w:tcPr>
          <w:p>
            <w:pPr>
              <w:jc w:val="right"/>
              <w:ind w:right="336"/>
              <w:spacing w:after="0"/>
              <w:rPr>
                <w:sz w:val="20"/>
                <w:szCs w:val="20"/>
                <w:color w:val="auto"/>
              </w:rPr>
            </w:pPr>
            <w:r>
              <w:rPr>
                <w:rFonts w:ascii="Arial" w:cs="Arial" w:eastAsia="Arial" w:hAnsi="Arial"/>
                <w:sz w:val="13"/>
                <w:szCs w:val="13"/>
                <w:b w:val="1"/>
                <w:bCs w:val="1"/>
                <w:color w:val="auto"/>
              </w:rPr>
              <w:t>As of December 31, 2020</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00"/>
        </w:trPr>
        <w:tc>
          <w:tcPr>
            <w:tcW w:w="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Special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53"/>
        </w:trPr>
        <w:tc>
          <w:tcPr>
            <w:tcW w:w="40" w:type="dxa"/>
            <w:vAlign w:val="bottom"/>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Mention</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r>
      <w:tr>
        <w:trPr>
          <w:trHeight w:val="151"/>
        </w:trPr>
        <w:tc>
          <w:tcPr>
            <w:tcW w:w="4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2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905</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460" w:type="dxa"/>
            <w:vAlign w:val="bottom"/>
            <w:gridSpan w:val="4"/>
          </w:tcPr>
          <w:p>
            <w:pPr>
              <w:ind w:left="40"/>
              <w:spacing w:after="0"/>
              <w:rPr>
                <w:sz w:val="20"/>
                <w:szCs w:val="20"/>
                <w:color w:val="auto"/>
              </w:rPr>
            </w:pPr>
            <w:r>
              <w:rPr>
                <w:rFonts w:ascii="Arial" w:cs="Arial" w:eastAsia="Arial" w:hAnsi="Arial"/>
                <w:sz w:val="13"/>
                <w:szCs w:val="13"/>
                <w:color w:val="auto"/>
              </w:rPr>
              <w:t>- $</w:t>
            </w:r>
          </w:p>
        </w:tc>
        <w:tc>
          <w:tcPr>
            <w:tcW w:w="1300" w:type="dxa"/>
            <w:vAlign w:val="bottom"/>
            <w:gridSpan w:val="3"/>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4"/>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905</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6,748</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158,688</w:t>
            </w:r>
          </w:p>
        </w:tc>
      </w:tr>
      <w:tr>
        <w:trPr>
          <w:trHeight w:val="171"/>
        </w:trPr>
        <w:tc>
          <w:tcPr>
            <w:tcW w:w="40" w:type="dxa"/>
            <w:vAlign w:val="bottom"/>
          </w:tcPr>
          <w:p>
            <w:pPr>
              <w:spacing w:after="0"/>
              <w:rPr>
                <w:sz w:val="14"/>
                <w:szCs w:val="14"/>
                <w:color w:val="auto"/>
              </w:rPr>
            </w:pPr>
          </w:p>
        </w:tc>
        <w:tc>
          <w:tcPr>
            <w:tcW w:w="28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Condo residential</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73,016</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145</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73,161</w:t>
            </w:r>
          </w:p>
        </w:tc>
      </w:tr>
      <w:tr>
        <w:trPr>
          <w:trHeight w:val="151"/>
        </w:trPr>
        <w:tc>
          <w:tcPr>
            <w:tcW w:w="4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225,861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6,893</w:t>
            </w: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232,754</w:t>
            </w:r>
          </w:p>
        </w:tc>
      </w:tr>
      <w:tr>
        <w:trPr>
          <w:trHeight w:val="171"/>
        </w:trPr>
        <w:tc>
          <w:tcPr>
            <w:tcW w:w="284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37,348</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111,047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111,047</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442</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37,613</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415,967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803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416,770</w:t>
            </w:r>
          </w:p>
        </w:tc>
      </w:tr>
      <w:tr>
        <w:trPr>
          <w:trHeight w:val="165"/>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3,647</w:t>
            </w:r>
          </w:p>
        </w:tc>
      </w:tr>
      <w:tr>
        <w:trPr>
          <w:trHeight w:val="156"/>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605,180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1,245</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606,425</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Secured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44,255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44,457</w:t>
            </w:r>
          </w:p>
        </w:tc>
      </w:tr>
      <w:tr>
        <w:trPr>
          <w:trHeight w:val="165"/>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112,842</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112,873</w:t>
            </w:r>
          </w:p>
        </w:tc>
      </w:tr>
      <w:tr>
        <w:trPr>
          <w:trHeight w:val="156"/>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157,097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233</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157,330</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38,999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38,999</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278</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5,507</w:t>
            </w:r>
          </w:p>
        </w:tc>
      </w:tr>
      <w:tr>
        <w:trPr>
          <w:trHeight w:val="171"/>
        </w:trPr>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gridSpan w:val="2"/>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1,032,366</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8,649</w:t>
            </w:r>
          </w:p>
        </w:tc>
        <w:tc>
          <w:tcPr>
            <w:tcW w:w="660" w:type="dxa"/>
            <w:vAlign w:val="bottom"/>
            <w:gridSpan w:val="2"/>
            <w:shd w:val="clear" w:color="auto" w:fill="CCEEFF"/>
          </w:tcPr>
          <w:p>
            <w:pPr>
              <w:jc w:val="right"/>
              <w:ind w:right="536"/>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1,041,015</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6" w:name="page87"/>
    <w:bookmarkEnd w:id="8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Loan Aging</w:t>
      </w:r>
    </w:p>
    <w:p>
      <w:pPr>
        <w:spacing w:after="0" w:line="188" w:lineRule="exact"/>
        <w:rPr>
          <w:sz w:val="20"/>
          <w:szCs w:val="20"/>
          <w:color w:val="auto"/>
        </w:rPr>
      </w:pPr>
    </w:p>
    <w:p>
      <w:pPr>
        <w:jc w:val="both"/>
        <w:ind w:left="640" w:right="699" w:firstLine="256"/>
        <w:spacing w:after="0" w:line="262" w:lineRule="auto"/>
        <w:rPr>
          <w:sz w:val="20"/>
          <w:szCs w:val="20"/>
          <w:color w:val="auto"/>
        </w:rPr>
      </w:pPr>
      <w:r>
        <w:rPr>
          <w:rFonts w:ascii="Arial" w:cs="Arial" w:eastAsia="Arial" w:hAnsi="Arial"/>
          <w:sz w:val="13"/>
          <w:szCs w:val="13"/>
          <w:color w:val="auto"/>
        </w:rPr>
        <w:t>The Company also considers the performance of loans in grading and in evaluating the credit quality of the loan portfolio. The Company analyzes credit quality and loan grades based on payment performance and the aging status of the loan. The following table include an aging analysis of accruing loans and total non-accruing loans as of December 31, 2021 and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2020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556"/>
              <w:spacing w:after="0"/>
              <w:rPr>
                <w:sz w:val="20"/>
                <w:szCs w:val="20"/>
                <w:color w:val="auto"/>
              </w:rPr>
            </w:pPr>
            <w:r>
              <w:rPr>
                <w:rFonts w:ascii="Arial" w:cs="Arial" w:eastAsia="Arial" w:hAnsi="Arial"/>
                <w:sz w:val="13"/>
                <w:szCs w:val="13"/>
                <w:b w:val="1"/>
                <w:bCs w:val="1"/>
                <w:color w:val="auto"/>
              </w:rPr>
              <w:t>Accruing</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right="56"/>
              <w:spacing w:after="0" w:line="115" w:lineRule="exact"/>
              <w:rPr>
                <w:sz w:val="20"/>
                <w:szCs w:val="20"/>
                <w:color w:val="auto"/>
              </w:rPr>
            </w:pPr>
            <w:r>
              <w:rPr>
                <w:rFonts w:ascii="Arial" w:cs="Arial" w:eastAsia="Arial" w:hAnsi="Arial"/>
                <w:sz w:val="13"/>
                <w:szCs w:val="13"/>
                <w:b w:val="1"/>
                <w:bCs w:val="1"/>
                <w:color w:val="auto"/>
                <w:w w:val="98"/>
              </w:rPr>
              <w:t>Past Due &gt;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w w:val="97"/>
              </w:rPr>
              <w:t>90 Days 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8"/>
          </w:tcPr>
          <w:p>
            <w:pPr>
              <w:jc w:val="right"/>
              <w:ind w:right="160"/>
              <w:spacing w:after="0"/>
              <w:rPr>
                <w:sz w:val="20"/>
                <w:szCs w:val="20"/>
                <w:color w:val="auto"/>
              </w:rPr>
            </w:pPr>
            <w:r>
              <w:rPr>
                <w:rFonts w:ascii="Arial" w:cs="Arial" w:eastAsia="Arial" w:hAnsi="Arial"/>
                <w:sz w:val="13"/>
                <w:szCs w:val="13"/>
                <w:b w:val="1"/>
                <w:bCs w:val="1"/>
                <w:color w:val="auto"/>
                <w:w w:val="99"/>
              </w:rPr>
              <w:t>Past Due 30-</w:t>
            </w:r>
          </w:p>
        </w:tc>
        <w:tc>
          <w:tcPr>
            <w:tcW w:w="780" w:type="dxa"/>
            <w:vAlign w:val="bottom"/>
          </w:tcPr>
          <w:p>
            <w:pPr>
              <w:jc w:val="center"/>
              <w:ind w:right="56"/>
              <w:spacing w:after="0"/>
              <w:rPr>
                <w:sz w:val="20"/>
                <w:szCs w:val="20"/>
                <w:color w:val="auto"/>
              </w:rPr>
            </w:pPr>
            <w:r>
              <w:rPr>
                <w:rFonts w:ascii="Arial" w:cs="Arial" w:eastAsia="Arial" w:hAnsi="Arial"/>
                <w:sz w:val="13"/>
                <w:szCs w:val="13"/>
                <w:b w:val="1"/>
                <w:bCs w:val="1"/>
                <w:color w:val="auto"/>
                <w:w w:val="92"/>
              </w:rPr>
              <w:t>Still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b w:val="1"/>
                <w:bCs w:val="1"/>
                <w:color w:val="auto"/>
              </w:rPr>
              <w:t>89 Days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Accruing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Accruing</w:t>
            </w:r>
          </w:p>
        </w:tc>
        <w:tc>
          <w:tcPr>
            <w:tcW w:w="88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Loans</w:t>
            </w: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701</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180" w:type="dxa"/>
            <w:vAlign w:val="bottom"/>
            <w:gridSpan w:val="4"/>
          </w:tcPr>
          <w:p>
            <w:pPr>
              <w:spacing w:after="0"/>
              <w:rPr>
                <w:sz w:val="20"/>
                <w:szCs w:val="20"/>
                <w:color w:val="auto"/>
              </w:rPr>
            </w:pPr>
            <w:r>
              <w:rPr>
                <w:rFonts w:ascii="Arial" w:cs="Arial" w:eastAsia="Arial" w:hAnsi="Arial"/>
                <w:sz w:val="13"/>
                <w:szCs w:val="13"/>
                <w:color w:val="auto"/>
              </w:rPr>
              <w:t>- $</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701</w:t>
            </w:r>
          </w:p>
        </w:tc>
        <w:tc>
          <w:tcPr>
            <w:tcW w:w="2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133,942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134,231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135,421</w:t>
            </w:r>
          </w:p>
        </w:tc>
        <w:tc>
          <w:tcPr>
            <w:tcW w:w="20" w:type="dxa"/>
            <w:vAlign w:val="bottom"/>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64,243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65,237</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198,886</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1,283</w:t>
            </w:r>
          </w:p>
        </w:tc>
        <w:tc>
          <w:tcPr>
            <w:tcW w:w="8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200,169</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1,190</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2"/>
                <w:szCs w:val="12"/>
                <w:color w:val="auto"/>
              </w:rPr>
            </w:pPr>
          </w:p>
        </w:tc>
      </w:tr>
      <w:tr>
        <w:trPr>
          <w:trHeight w:val="168"/>
        </w:trPr>
        <w:tc>
          <w:tcPr>
            <w:tcW w:w="22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127,053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127,489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510,411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704,552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Secured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98,141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48,041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48,451</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48,451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146,182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146,592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59,491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78,969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1,188,080</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2,389</w:t>
            </w:r>
          </w:p>
        </w:tc>
        <w:tc>
          <w:tcPr>
            <w:tcW w:w="8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1,190,469</w:t>
            </w:r>
          </w:p>
        </w:tc>
        <w:tc>
          <w:tcPr>
            <w:tcW w:w="2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1,190</w:t>
            </w:r>
          </w:p>
        </w:tc>
        <w:tc>
          <w:tcPr>
            <w:tcW w:w="18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1,191,659</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7" w:name="page88"/>
    <w:bookmarkEnd w:id="8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Accruing</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98"/>
              </w:rPr>
              <w:t>Past Due &gt;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73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rPr>
              <w:t>90 Days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Still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2020:</w:t>
            </w:r>
          </w:p>
        </w:tc>
        <w:tc>
          <w:tcPr>
            <w:tcW w:w="140" w:type="dxa"/>
            <w:vAlign w:val="bottom"/>
          </w:tcPr>
          <w:p>
            <w:pPr>
              <w:spacing w:after="0"/>
              <w:rPr>
                <w:sz w:val="13"/>
                <w:szCs w:val="13"/>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Accruing</w:t>
            </w:r>
          </w:p>
        </w:tc>
        <w:tc>
          <w:tcPr>
            <w:tcW w:w="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71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73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38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905</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60" w:type="dxa"/>
            <w:vAlign w:val="bottom"/>
          </w:tcPr>
          <w:p>
            <w:pPr>
              <w:jc w:val="right"/>
              <w:ind w:right="36"/>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905</w:t>
            </w:r>
          </w:p>
        </w:tc>
        <w:tc>
          <w:tcPr>
            <w:tcW w:w="17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1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905</w:t>
            </w:r>
          </w:p>
        </w:tc>
        <w:tc>
          <w:tcPr>
            <w:tcW w:w="20" w:type="dxa"/>
            <w:vAlign w:val="bottom"/>
          </w:tcPr>
          <w:p>
            <w:pPr>
              <w:spacing w:after="0"/>
              <w:rPr>
                <w:sz w:val="14"/>
                <w:szCs w:val="14"/>
                <w:color w:val="auto"/>
              </w:rPr>
            </w:pPr>
          </w:p>
        </w:tc>
      </w:tr>
      <w:tr>
        <w:trPr>
          <w:trHeight w:val="171"/>
        </w:trPr>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154,779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2,354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157,133</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1,555</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158,688</w:t>
            </w:r>
          </w:p>
        </w:tc>
        <w:tc>
          <w:tcPr>
            <w:tcW w:w="20" w:type="dxa"/>
            <w:vAlign w:val="bottom"/>
            <w:shd w:val="clear" w:color="auto" w:fill="CCEEFF"/>
          </w:tcPr>
          <w:p>
            <w:pPr>
              <w:spacing w:after="0"/>
              <w:rPr>
                <w:sz w:val="14"/>
                <w:szCs w:val="14"/>
                <w:color w:val="auto"/>
              </w:rPr>
            </w:pPr>
          </w:p>
        </w:tc>
      </w:tr>
      <w:tr>
        <w:trPr>
          <w:trHeight w:val="171"/>
        </w:trPr>
        <w:tc>
          <w:tcPr>
            <w:tcW w:w="2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72,625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536</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73,161</w:t>
            </w: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73,161</w:t>
            </w:r>
          </w:p>
        </w:tc>
        <w:tc>
          <w:tcPr>
            <w:tcW w:w="20" w:type="dxa"/>
            <w:vAlign w:val="bottom"/>
          </w:tcPr>
          <w:p>
            <w:pPr>
              <w:spacing w:after="0"/>
              <w:rPr>
                <w:sz w:val="14"/>
                <w:szCs w:val="14"/>
                <w:color w:val="auto"/>
              </w:rPr>
            </w:pPr>
          </w:p>
        </w:tc>
      </w:tr>
      <w:tr>
        <w:trPr>
          <w:trHeight w:val="151"/>
        </w:trPr>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228,309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2,890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231,199</w:t>
            </w: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1,555</w:t>
            </w: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232,754</w:t>
            </w:r>
          </w:p>
        </w:tc>
        <w:tc>
          <w:tcPr>
            <w:tcW w:w="20" w:type="dxa"/>
            <w:vAlign w:val="bottom"/>
            <w:shd w:val="clear" w:color="auto" w:fill="CCEEFF"/>
          </w:tcPr>
          <w:p>
            <w:pPr>
              <w:spacing w:after="0"/>
              <w:rPr>
                <w:sz w:val="13"/>
                <w:szCs w:val="13"/>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37,348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37,348</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37,348</w:t>
            </w: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ind w:left="100"/>
              <w:spacing w:after="0"/>
              <w:rPr>
                <w:sz w:val="20"/>
                <w:szCs w:val="20"/>
                <w:color w:val="auto"/>
              </w:rPr>
            </w:pPr>
            <w:r>
              <w:rPr>
                <w:rFonts w:ascii="Arial" w:cs="Arial" w:eastAsia="Arial" w:hAnsi="Arial"/>
                <w:sz w:val="13"/>
                <w:szCs w:val="13"/>
                <w:color w:val="auto"/>
              </w:rPr>
              <w:t>Multi family residential</w:t>
            </w: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111,047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111,047</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111,047</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37,475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37,613</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37,613</w:t>
            </w: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416,770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416,770</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416,770</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3,647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3,647</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3,647</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606,287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138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606,425</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606,425</w:t>
            </w:r>
          </w:p>
        </w:tc>
        <w:tc>
          <w:tcPr>
            <w:tcW w:w="20" w:type="dxa"/>
            <w:vAlign w:val="bottom"/>
          </w:tcPr>
          <w:p>
            <w:pPr>
              <w:spacing w:after="0"/>
              <w:rPr>
                <w:sz w:val="13"/>
                <w:szCs w:val="13"/>
                <w:color w:val="auto"/>
              </w:rPr>
            </w:pPr>
          </w:p>
        </w:tc>
      </w:tr>
      <w:tr>
        <w:trPr>
          <w:trHeight w:val="17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44,378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44,434</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36"/>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44,457</w:t>
            </w:r>
          </w:p>
        </w:tc>
        <w:tc>
          <w:tcPr>
            <w:tcW w:w="20" w:type="dxa"/>
            <w:vAlign w:val="bottom"/>
          </w:tcPr>
          <w:p>
            <w:pPr>
              <w:spacing w:after="0"/>
              <w:rPr>
                <w:sz w:val="14"/>
                <w:szCs w:val="14"/>
                <w:color w:val="auto"/>
              </w:rPr>
            </w:pPr>
          </w:p>
        </w:tc>
      </w:tr>
      <w:tr>
        <w:trPr>
          <w:trHeight w:val="165"/>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112,873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112,873</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112,873</w:t>
            </w:r>
          </w:p>
        </w:tc>
        <w:tc>
          <w:tcPr>
            <w:tcW w:w="20" w:type="dxa"/>
            <w:vAlign w:val="bottom"/>
            <w:shd w:val="clear" w:color="auto" w:fill="CCEEFF"/>
          </w:tcPr>
          <w:p>
            <w:pPr>
              <w:spacing w:after="0"/>
              <w:rPr>
                <w:sz w:val="14"/>
                <w:szCs w:val="14"/>
                <w:color w:val="auto"/>
              </w:rPr>
            </w:pPr>
          </w:p>
        </w:tc>
      </w:tr>
      <w:tr>
        <w:trPr>
          <w:trHeight w:val="156"/>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157,251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157,307</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36"/>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157,330</w:t>
            </w: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38,999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38,999</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16"/>
              <w:spacing w:after="0"/>
              <w:rPr>
                <w:sz w:val="20"/>
                <w:szCs w:val="20"/>
                <w:color w:val="auto"/>
              </w:rPr>
            </w:pPr>
            <w:r>
              <w:rPr>
                <w:rFonts w:ascii="Arial" w:cs="Arial" w:eastAsia="Arial" w:hAnsi="Arial"/>
                <w:sz w:val="13"/>
                <w:szCs w:val="13"/>
                <w:color w:val="auto"/>
              </w:rPr>
              <w:t>38,999</w:t>
            </w:r>
          </w:p>
        </w:tc>
        <w:tc>
          <w:tcPr>
            <w:tcW w:w="20" w:type="dxa"/>
            <w:vAlign w:val="bottom"/>
          </w:tcPr>
          <w:p>
            <w:pPr>
              <w:spacing w:after="0"/>
              <w:rPr>
                <w:sz w:val="14"/>
                <w:szCs w:val="14"/>
                <w:color w:val="auto"/>
              </w:rPr>
            </w:pPr>
          </w:p>
        </w:tc>
      </w:tr>
      <w:tr>
        <w:trPr>
          <w:trHeight w:val="17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5,198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309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5,507</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5,507</w:t>
            </w:r>
          </w:p>
        </w:tc>
        <w:tc>
          <w:tcPr>
            <w:tcW w:w="20" w:type="dxa"/>
            <w:vAlign w:val="bottom"/>
            <w:shd w:val="clear" w:color="auto" w:fill="CCEEFF"/>
          </w:tcPr>
          <w:p>
            <w:pPr>
              <w:spacing w:after="0"/>
              <w:rPr>
                <w:sz w:val="14"/>
                <w:szCs w:val="14"/>
                <w:color w:val="auto"/>
              </w:rPr>
            </w:pPr>
          </w:p>
        </w:tc>
      </w:tr>
      <w:tr>
        <w:trPr>
          <w:trHeight w:val="171"/>
        </w:trPr>
        <w:tc>
          <w:tcPr>
            <w:tcW w:w="238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1,036,044</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3,393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1,039,437</w:t>
            </w:r>
          </w:p>
        </w:tc>
        <w:tc>
          <w:tcPr>
            <w:tcW w:w="17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1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1,578</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3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1,041,015</w:t>
            </w:r>
          </w:p>
        </w:tc>
        <w:tc>
          <w:tcPr>
            <w:tcW w:w="20" w:type="dxa"/>
            <w:vAlign w:val="bottom"/>
            <w:shd w:val="clear" w:color="auto" w:fill="CCEEFF"/>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There was no interest income recognized attributable to nonaccrual loans outstanding at December 31, 2021 and 2020. Interest income on these loans for the years ended December 31, 2021 and 2020, would have been approximately $5 thousand and $47 thousand, respectively, had these loans performed in accordance with their original terms.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were no loans over 90 days past due and accruing as of December 31, 2021 and 2020.</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Impaired Loans</w:t>
      </w:r>
    </w:p>
    <w:p>
      <w:pPr>
        <w:spacing w:after="0" w:line="188"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for the dates indicated (in thousands):</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8"/>
          </w:tcPr>
          <w:p>
            <w:pPr>
              <w:jc w:val="center"/>
              <w:ind w:right="56"/>
              <w:spacing w:after="0"/>
              <w:rPr>
                <w:sz w:val="20"/>
                <w:szCs w:val="20"/>
                <w:color w:val="auto"/>
              </w:rPr>
            </w:pPr>
            <w:r>
              <w:rPr>
                <w:rFonts w:ascii="Arial" w:cs="Arial" w:eastAsia="Arial" w:hAnsi="Arial"/>
                <w:sz w:val="13"/>
                <w:szCs w:val="13"/>
                <w:b w:val="1"/>
                <w:bCs w:val="1"/>
                <w:color w:val="auto"/>
                <w:w w:val="97"/>
              </w:rPr>
              <w:t>December 31, 2021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9"/>
          </w:tcPr>
          <w:p>
            <w:pPr>
              <w:jc w:val="center"/>
              <w:ind w:right="56"/>
              <w:spacing w:after="0"/>
              <w:rPr>
                <w:sz w:val="20"/>
                <w:szCs w:val="20"/>
                <w:color w:val="auto"/>
              </w:rPr>
            </w:pPr>
            <w:r>
              <w:rPr>
                <w:rFonts w:ascii="Arial" w:cs="Arial" w:eastAsia="Arial" w:hAnsi="Arial"/>
                <w:sz w:val="13"/>
                <w:szCs w:val="13"/>
                <w:b w:val="1"/>
                <w:bCs w:val="1"/>
                <w:color w:val="auto"/>
                <w:w w:val="97"/>
              </w:rPr>
              <w:t>December 31, 2020</w:t>
            </w:r>
          </w:p>
        </w:tc>
        <w:tc>
          <w:tcPr>
            <w:tcW w:w="20" w:type="dxa"/>
            <w:vAlign w:val="bottom"/>
          </w:tcPr>
          <w:p>
            <w:pPr>
              <w:spacing w:after="0"/>
              <w:rPr>
                <w:sz w:val="13"/>
                <w:szCs w:val="13"/>
                <w:color w:val="auto"/>
              </w:rPr>
            </w:pPr>
          </w:p>
        </w:tc>
      </w:tr>
      <w:tr>
        <w:trPr>
          <w:trHeight w:val="243"/>
        </w:trPr>
        <w:tc>
          <w:tcPr>
            <w:tcW w:w="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b w:val="1"/>
                <w:bCs w:val="1"/>
                <w:color w:val="auto"/>
                <w:w w:val="92"/>
              </w:rPr>
              <w:t>Valuation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b w:val="1"/>
                <w:bCs w:val="1"/>
                <w:color w:val="auto"/>
                <w:w w:val="95"/>
              </w:rPr>
              <w:t>Valuation</w:t>
            </w:r>
          </w:p>
        </w:tc>
        <w:tc>
          <w:tcPr>
            <w:tcW w:w="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5,021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5,035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5,100</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5,093</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1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696</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5,717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5,730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3,985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3,950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5,339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5,302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4,350</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20" w:type="dxa"/>
            <w:vAlign w:val="bottom"/>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10,067</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10,045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360</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11,652</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11,607</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453</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88" w:name="page89"/>
    <w:bookmarkEnd w:id="8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table presents the average recorded investment balance on impaired loans as of December 31, 2021 and 2020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41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3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68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8,791</w:t>
            </w:r>
          </w:p>
        </w:tc>
        <w:tc>
          <w:tcPr>
            <w:tcW w:w="2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6,869</w:t>
            </w:r>
          </w:p>
        </w:tc>
        <w:tc>
          <w:tcPr>
            <w:tcW w:w="20" w:type="dxa"/>
            <w:vAlign w:val="bottom"/>
            <w:shd w:val="clear" w:color="auto" w:fill="CCEEFF"/>
          </w:tcPr>
          <w:p>
            <w:pPr>
              <w:spacing w:after="0"/>
              <w:rPr>
                <w:sz w:val="12"/>
                <w:szCs w:val="12"/>
                <w:color w:val="auto"/>
              </w:rPr>
            </w:pPr>
          </w:p>
        </w:tc>
      </w:tr>
      <w:tr>
        <w:trPr>
          <w:trHeight w:val="171"/>
        </w:trPr>
        <w:tc>
          <w:tcPr>
            <w:tcW w:w="33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714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1,722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20" w:type="dxa"/>
            <w:vAlign w:val="bottom"/>
            <w:shd w:val="clear" w:color="auto" w:fill="CCEEFF"/>
          </w:tcPr>
          <w:p>
            <w:pPr>
              <w:spacing w:after="0"/>
              <w:rPr>
                <w:sz w:val="14"/>
                <w:szCs w:val="14"/>
                <w:color w:val="auto"/>
              </w:rPr>
            </w:pPr>
          </w:p>
        </w:tc>
      </w:tr>
      <w:tr>
        <w:trPr>
          <w:trHeight w:val="160"/>
        </w:trPr>
        <w:tc>
          <w:tcPr>
            <w:tcW w:w="33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19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254</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2680" w:type="dxa"/>
            <w:vAlign w:val="bottom"/>
            <w:tcBorders>
              <w:bottom w:val="single" w:sz="8" w:color="CCEEFF"/>
            </w:tcBorders>
            <w:gridSpan w:val="2"/>
            <w:shd w:val="clear" w:color="auto" w:fill="CCEEFF"/>
          </w:tcPr>
          <w:p>
            <w:pPr>
              <w:jc w:val="right"/>
              <w:ind w:right="720"/>
              <w:spacing w:after="0" w:line="131"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9,937</w:t>
            </w:r>
          </w:p>
        </w:tc>
        <w:tc>
          <w:tcPr>
            <w:tcW w:w="280" w:type="dxa"/>
            <w:vAlign w:val="bottom"/>
            <w:tcBorders>
              <w:bottom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8,877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Interest income recognized on impaired loans for the years ended December 31, 2021 and 2020 was $ 415 thousand and $446 thousand, respectively.</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Troubled Debt Restructuring</w:t>
      </w:r>
    </w:p>
    <w:p>
      <w:pPr>
        <w:spacing w:after="0" w:line="188"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A troubled debt restructuring (“TDR”) occurs when the Company has agreed to a loan modification in the form of a concession for a borrower who is experiencing financial difficulty.</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performing and non-performing TDRs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2021</w:t>
            </w:r>
          </w:p>
        </w:tc>
        <w:tc>
          <w:tcPr>
            <w:tcW w:w="8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3"/>
                <w:szCs w:val="13"/>
                <w:b w:val="1"/>
                <w:bCs w:val="1"/>
                <w:color w:val="auto"/>
                <w:w w:val="99"/>
              </w:rPr>
              <w:t>December 31, 2020</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w w:val="98"/>
              </w:rPr>
              <w:t>Non-Accrual</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Accrual Status</w:t>
            </w:r>
          </w:p>
        </w:tc>
        <w:tc>
          <w:tcPr>
            <w:tcW w:w="80" w:type="dxa"/>
            <w:vAlign w:val="bottom"/>
          </w:tcPr>
          <w:p>
            <w:pPr>
              <w:spacing w:after="0"/>
              <w:rPr>
                <w:sz w:val="13"/>
                <w:szCs w:val="13"/>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Status</w:t>
            </w:r>
          </w:p>
        </w:tc>
        <w:tc>
          <w:tcPr>
            <w:tcW w:w="100" w:type="dxa"/>
            <w:vAlign w:val="bottom"/>
          </w:tcPr>
          <w:p>
            <w:pPr>
              <w:spacing w:after="0"/>
              <w:rPr>
                <w:sz w:val="13"/>
                <w:szCs w:val="13"/>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Total TDRs</w:t>
            </w: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Accrual Status</w:t>
            </w:r>
          </w:p>
        </w:tc>
        <w:tc>
          <w:tcPr>
            <w:tcW w:w="100" w:type="dxa"/>
            <w:vAlign w:val="bottom"/>
          </w:tcPr>
          <w:p>
            <w:pPr>
              <w:spacing w:after="0"/>
              <w:rPr>
                <w:sz w:val="13"/>
                <w:szCs w:val="13"/>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rPr>
              <w:t>Status</w:t>
            </w:r>
          </w:p>
        </w:tc>
        <w:tc>
          <w:tcPr>
            <w:tcW w:w="120" w:type="dxa"/>
            <w:vAlign w:val="bottom"/>
          </w:tcPr>
          <w:p>
            <w:pPr>
              <w:spacing w:after="0"/>
              <w:rPr>
                <w:sz w:val="13"/>
                <w:szCs w:val="13"/>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Total TDRs</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40" w:type="dxa"/>
            <w:vAlign w:val="bottom"/>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8,884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777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9,661</w:t>
            </w:r>
          </w:p>
        </w:tc>
        <w:tc>
          <w:tcPr>
            <w:tcW w:w="20" w:type="dxa"/>
            <w:vAlign w:val="bottom"/>
            <w:shd w:val="clear" w:color="auto" w:fill="CCEEFF"/>
          </w:tcPr>
          <w:p>
            <w:pPr>
              <w:spacing w:after="0"/>
              <w:rPr>
                <w:sz w:val="13"/>
                <w:szCs w:val="13"/>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696</w:t>
            </w:r>
          </w:p>
        </w:tc>
        <w:tc>
          <w:tcPr>
            <w:tcW w:w="8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696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733</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8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179</w:t>
            </w: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c>
          <w:tcPr>
            <w:tcW w:w="12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shd w:val="clear" w:color="auto" w:fill="CCEEFF"/>
          </w:tcPr>
          <w:p>
            <w:pPr>
              <w:spacing w:after="0"/>
              <w:rPr>
                <w:sz w:val="14"/>
                <w:szCs w:val="14"/>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8,876</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8,876</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10,074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10,874</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Company had allocated $360 thousand and $ 453 thousand of specific allowance for TDR loans at December 31, 2021 and 2020, respectively. Charge-offs on TDR loans for the years ended December 31, 2021 and 2020 was $ 18 thousand and $153 thousand, respectively. There was no commitment to lend additional funds to these TDR customers.</w:t>
      </w:r>
    </w:p>
    <w:p>
      <w:pPr>
        <w:spacing w:after="0" w:line="142"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 did not have any new TDR loans for the year ended December 31, 2021. For the year ended December 31, 2020, the Company had the following new TDR loans (in thousands, except number of loans):</w:t>
      </w:r>
    </w:p>
    <w:p>
      <w:pPr>
        <w:sectPr>
          <w:pgSz w:w="11900" w:h="16838" w:orient="portrait"/>
          <w:cols w:equalWidth="0" w:num="1">
            <w:col w:w="9019"/>
          </w:cols>
          <w:pgMar w:left="1440" w:top="490"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Residential real estate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Commercial real estate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Commercial and industrial</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Consumer and other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98"/>
              </w:rPr>
              <w:t>Recorded Investment Prior to Modification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8"/>
              </w:rPr>
              <w:t>Recorded Investment After Modification</w:t>
            </w:r>
          </w:p>
        </w:tc>
        <w:tc>
          <w:tcPr>
            <w:tcW w:w="20" w:type="dxa"/>
            <w:vAlign w:val="bottom"/>
          </w:tcPr>
          <w:p>
            <w:pPr>
              <w:spacing w:after="0"/>
              <w:rPr>
                <w:sz w:val="13"/>
                <w:szCs w:val="13"/>
                <w:color w:val="auto"/>
              </w:rPr>
            </w:pPr>
          </w:p>
        </w:tc>
      </w:tr>
      <w:tr>
        <w:trPr>
          <w:trHeight w:val="167"/>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Number of Loans</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Modifications</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Number of Loans</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Modifications</w:t>
            </w:r>
          </w:p>
        </w:tc>
        <w:tc>
          <w:tcPr>
            <w:tcW w:w="2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5,679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2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w:t>
            </w:r>
          </w:p>
        </w:tc>
        <w:tc>
          <w:tcPr>
            <w:tcW w:w="10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5,679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12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451</w:t>
            </w:r>
          </w:p>
        </w:tc>
        <w:tc>
          <w:tcPr>
            <w:tcW w:w="2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1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shd w:val="clear" w:color="auto" w:fill="CCEEFF"/>
          </w:tcPr>
          <w:p>
            <w:pPr>
              <w:jc w:val="right"/>
              <w:spacing w:after="0" w:line="146" w:lineRule="exact"/>
              <w:rPr>
                <w:sz w:val="20"/>
                <w:szCs w:val="20"/>
                <w:color w:val="auto"/>
              </w:rPr>
            </w:pPr>
            <w:r>
              <w:rPr>
                <w:rFonts w:ascii="Arial" w:cs="Arial" w:eastAsia="Arial" w:hAnsi="Arial"/>
                <w:sz w:val="13"/>
                <w:szCs w:val="13"/>
                <w:color w:val="auto"/>
              </w:rPr>
              <w:t>2</w:t>
            </w:r>
          </w:p>
        </w:tc>
        <w:tc>
          <w:tcPr>
            <w:tcW w:w="10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9"/>
        </w:trPr>
        <w:tc>
          <w:tcPr>
            <w:tcW w:w="20" w:type="dxa"/>
            <w:vAlign w:val="bottom"/>
          </w:tcPr>
          <w:p>
            <w:pPr>
              <w:spacing w:after="0"/>
              <w:rPr>
                <w:sz w:val="12"/>
                <w:szCs w:val="12"/>
                <w:color w:val="auto"/>
              </w:rPr>
            </w:pPr>
          </w:p>
        </w:tc>
        <w:tc>
          <w:tcPr>
            <w:tcW w:w="12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w:t>
            </w:r>
          </w:p>
        </w:tc>
        <w:tc>
          <w:tcPr>
            <w:tcW w:w="80" w:type="dxa"/>
            <w:vAlign w:val="bottom"/>
            <w:tcBorders>
              <w:right w:val="single" w:sz="8" w:color="CCEEFF"/>
            </w:tcBorders>
            <w:gridSpan w:val="2"/>
          </w:tcPr>
          <w:p>
            <w:pPr>
              <w:spacing w:after="0"/>
              <w:rPr>
                <w:sz w:val="12"/>
                <w:szCs w:val="12"/>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6,664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2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w:t>
            </w:r>
          </w:p>
        </w:tc>
        <w:tc>
          <w:tcPr>
            <w:tcW w:w="10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6,660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2100" w:space="700"/>
            <w:col w:w="6219"/>
          </w:cols>
          <w:pgMar w:left="1440" w:top="490" w:right="1440" w:bottom="1440" w:gutter="0" w:footer="0" w:header="0"/>
          <w:type w:val="continuous"/>
        </w:sectPr>
      </w:pPr>
    </w:p>
    <w:p>
      <w:pPr>
        <w:ind w:left="640" w:right="739" w:firstLine="256"/>
        <w:spacing w:after="0" w:line="252" w:lineRule="auto"/>
        <w:rPr>
          <w:sz w:val="20"/>
          <w:szCs w:val="20"/>
          <w:color w:val="auto"/>
        </w:rPr>
      </w:pPr>
      <w:r>
        <w:rPr>
          <w:rFonts w:ascii="Arial" w:cs="Arial" w:eastAsia="Arial" w:hAnsi="Arial"/>
          <w:sz w:val="14"/>
          <w:szCs w:val="14"/>
          <w:color w:val="auto"/>
        </w:rPr>
        <w:t>Modifications to loans can be made for rate, term, payment, conversion of loan to interest only for a limited time or a combination to include more than one type of modification.</w:t>
      </w:r>
    </w:p>
    <w:p>
      <w:pPr>
        <w:spacing w:after="0" w:line="153"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As of December 31, 2021 and 2020, there were no defaults on loans which were modified as a TDR within the prior 12 months.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CARES Act Modifications</w:t>
      </w:r>
    </w:p>
    <w:p>
      <w:pPr>
        <w:spacing w:after="0" w:line="188"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The Company provided financial relief to borrowers impacted by COVID-19 and provided modifications to include interest only deferral or principal and interest deferral. These modifications are excluded from TDR classification under Section 4013 of the CARES Act or under applicable interagency guidance of the federal banking regulators.</w:t>
      </w:r>
    </w:p>
    <w:p>
      <w:pPr>
        <w:spacing w:after="0" w:line="200" w:lineRule="exact"/>
        <w:rPr>
          <w:sz w:val="20"/>
          <w:szCs w:val="20"/>
          <w:color w:val="auto"/>
        </w:rPr>
      </w:pPr>
    </w:p>
    <w:p>
      <w:pPr>
        <w:spacing w:after="0" w:line="39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type w:val="continuous"/>
        </w:sectPr>
      </w:pPr>
    </w:p>
    <w:bookmarkStart w:id="89" w:name="page90"/>
    <w:bookmarkEnd w:id="8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During the year ended December 31, 2020, the Company had modified 132 loans with outstanding balances of $185.9 million. At December 31, 2020, two modified loans totaling $777 thousand were classified as non-accrual and two modified loans totaling $1.4 million were past due.</w:t>
      </w:r>
    </w:p>
    <w:p>
      <w:pPr>
        <w:spacing w:after="0" w:line="142" w:lineRule="exact"/>
        <w:rPr>
          <w:sz w:val="20"/>
          <w:szCs w:val="20"/>
          <w:color w:val="auto"/>
        </w:rPr>
      </w:pPr>
    </w:p>
    <w:p>
      <w:pPr>
        <w:ind w:left="640" w:right="739" w:firstLine="256"/>
        <w:spacing w:after="0" w:line="268" w:lineRule="auto"/>
        <w:rPr>
          <w:sz w:val="20"/>
          <w:szCs w:val="20"/>
          <w:color w:val="auto"/>
        </w:rPr>
      </w:pPr>
      <w:r>
        <w:rPr>
          <w:rFonts w:ascii="Arial" w:cs="Arial" w:eastAsia="Arial" w:hAnsi="Arial"/>
          <w:sz w:val="14"/>
          <w:szCs w:val="14"/>
          <w:color w:val="auto"/>
        </w:rPr>
        <w:t>During the year ended December 31, 2021, the Company did not modify any new loans to borrowers impacted by COVID-19. At December 31, 2021, there was one loan past due for $289 thousand that was modified in 2020.</w:t>
      </w:r>
    </w:p>
    <w:p>
      <w:pPr>
        <w:spacing w:after="0" w:line="113" w:lineRule="exact"/>
        <w:rPr>
          <w:sz w:val="20"/>
          <w:szCs w:val="20"/>
          <w:color w:val="auto"/>
        </w:rPr>
      </w:pPr>
    </w:p>
    <w:p>
      <w:pPr>
        <w:ind w:left="1160" w:hanging="518"/>
        <w:spacing w:after="0"/>
        <w:tabs>
          <w:tab w:leader="none" w:pos="116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220"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The Company enters into leases in the normal course of business primarily for banking centers and back-office operations. As of December 31, 2021, the Company leased nine of the ten banking centers and the headquarter building. The Company is obligated under non-cancelable operating leases for these premises with expiration dates ranging from 2022 to 2036, many of these leases have extension clauses which the Company could exercise which would extend these dates.</w:t>
      </w:r>
    </w:p>
    <w:p>
      <w:pPr>
        <w:spacing w:after="0" w:line="160"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ROU assets and lease liabilities are recognized at the lease commencement date based on the estimated present value of lease payments over the lease term. In the Company’s Consolidated Balance Sheets, ROU assets are reported under other assets while lease liabilities are classified under accrued interest and other liabilities.</w:t>
      </w:r>
    </w:p>
    <w:p>
      <w:pPr>
        <w:spacing w:after="0" w:line="142"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As most of the Company’s leases do not provide an implicit rate, the incremental borrowing rate based on the information available at commencement date is used. The Company’s incremental borrowing rate is based on the FHLB advance rate matching or nearing the lease term.</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following table presents the ROU assets and lease liabilities as of December 31, 2021 and 2020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23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380" w:type="dxa"/>
            <w:vAlign w:val="bottom"/>
            <w:shd w:val="clear" w:color="auto" w:fill="CCEEFF"/>
          </w:tcPr>
          <w:p>
            <w:pPr>
              <w:jc w:val="right"/>
              <w:ind w:right="2596"/>
              <w:spacing w:after="0"/>
              <w:rPr>
                <w:sz w:val="20"/>
                <w:szCs w:val="20"/>
                <w:color w:val="auto"/>
              </w:rPr>
            </w:pPr>
            <w:r>
              <w:rPr>
                <w:rFonts w:ascii="Arial" w:cs="Arial" w:eastAsia="Arial" w:hAnsi="Arial"/>
                <w:sz w:val="13"/>
                <w:szCs w:val="13"/>
                <w:b w:val="1"/>
                <w:bCs w:val="1"/>
                <w:color w:val="auto"/>
                <w:w w:val="90"/>
              </w:rPr>
              <w:t>ROU assets:</w:t>
            </w:r>
          </w:p>
        </w:tc>
        <w:tc>
          <w:tcPr>
            <w:tcW w:w="2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380" w:type="dxa"/>
            <w:vAlign w:val="bottom"/>
          </w:tcPr>
          <w:p>
            <w:pPr>
              <w:jc w:val="right"/>
              <w:ind w:right="2296"/>
              <w:spacing w:after="0"/>
              <w:rPr>
                <w:sz w:val="20"/>
                <w:szCs w:val="20"/>
                <w:color w:val="auto"/>
              </w:rPr>
            </w:pPr>
            <w:r>
              <w:rPr>
                <w:rFonts w:ascii="Arial" w:cs="Arial" w:eastAsia="Arial" w:hAnsi="Arial"/>
                <w:sz w:val="13"/>
                <w:szCs w:val="13"/>
                <w:color w:val="auto"/>
              </w:rPr>
              <w:t>Operating leases</w:t>
            </w:r>
          </w:p>
        </w:tc>
        <w:tc>
          <w:tcPr>
            <w:tcW w:w="2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14,185</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14,513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420" w:type="dxa"/>
            <w:vAlign w:val="bottom"/>
            <w:gridSpan w:val="2"/>
          </w:tcPr>
          <w:p>
            <w:pPr>
              <w:jc w:val="right"/>
              <w:ind w:right="2376"/>
              <w:spacing w:after="0"/>
              <w:rPr>
                <w:sz w:val="20"/>
                <w:szCs w:val="20"/>
                <w:color w:val="auto"/>
              </w:rPr>
            </w:pPr>
            <w:r>
              <w:rPr>
                <w:rFonts w:ascii="Arial" w:cs="Arial" w:eastAsia="Arial" w:hAnsi="Arial"/>
                <w:sz w:val="13"/>
                <w:szCs w:val="13"/>
                <w:b w:val="1"/>
                <w:bCs w:val="1"/>
                <w:color w:val="auto"/>
                <w:w w:val="95"/>
              </w:rPr>
              <w:t>Lease liabilities:</w:t>
            </w: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380" w:type="dxa"/>
            <w:vAlign w:val="bottom"/>
            <w:shd w:val="clear" w:color="auto" w:fill="CCEEFF"/>
          </w:tcPr>
          <w:p>
            <w:pPr>
              <w:jc w:val="right"/>
              <w:ind w:right="2296"/>
              <w:spacing w:after="0"/>
              <w:rPr>
                <w:sz w:val="20"/>
                <w:szCs w:val="20"/>
                <w:color w:val="auto"/>
              </w:rPr>
            </w:pPr>
            <w:r>
              <w:rPr>
                <w:rFonts w:ascii="Arial" w:cs="Arial" w:eastAsia="Arial" w:hAnsi="Arial"/>
                <w:sz w:val="13"/>
                <w:szCs w:val="13"/>
                <w:color w:val="auto"/>
              </w:rPr>
              <w:t>Operating leases</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14,185</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14,513</w:t>
            </w:r>
          </w:p>
        </w:tc>
        <w:tc>
          <w:tcPr>
            <w:tcW w:w="20" w:type="dxa"/>
            <w:vAlign w:val="bottom"/>
            <w:shd w:val="clear" w:color="auto" w:fill="CCEEFF"/>
          </w:tcPr>
          <w:p>
            <w:pPr>
              <w:spacing w:after="0"/>
              <w:rPr>
                <w:sz w:val="14"/>
                <w:szCs w:val="14"/>
                <w:color w:val="auto"/>
              </w:rPr>
            </w:pPr>
          </w:p>
        </w:tc>
      </w:tr>
    </w:tbl>
    <w:p>
      <w:pPr>
        <w:spacing w:after="0" w:line="17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weighted average remaining lease term and weighted average discount rate as of December 31, 2021 and 2020:</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57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Weighted average remaining lease term (in years):</w:t>
            </w: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5740" w:type="dxa"/>
            <w:vAlign w:val="bottom"/>
            <w:gridSpan w:val="2"/>
          </w:tcPr>
          <w:p>
            <w:pPr>
              <w:jc w:val="right"/>
              <w:ind w:right="4720"/>
              <w:spacing w:after="0"/>
              <w:rPr>
                <w:sz w:val="20"/>
                <w:szCs w:val="20"/>
                <w:color w:val="auto"/>
              </w:rPr>
            </w:pPr>
            <w:r>
              <w:rPr>
                <w:rFonts w:ascii="Arial" w:cs="Arial" w:eastAsia="Arial" w:hAnsi="Arial"/>
                <w:sz w:val="13"/>
                <w:szCs w:val="13"/>
                <w:color w:val="auto"/>
              </w:rPr>
              <w:t>Operating leases</w:t>
            </w:r>
          </w:p>
        </w:tc>
        <w:tc>
          <w:tcPr>
            <w:tcW w:w="940" w:type="dxa"/>
            <w:vAlign w:val="bottom"/>
          </w:tcPr>
          <w:p>
            <w:pPr>
              <w:ind w:left="500"/>
              <w:spacing w:after="0"/>
              <w:rPr>
                <w:sz w:val="20"/>
                <w:szCs w:val="20"/>
                <w:color w:val="auto"/>
              </w:rPr>
            </w:pPr>
            <w:r>
              <w:rPr>
                <w:rFonts w:ascii="Arial" w:cs="Arial" w:eastAsia="Arial" w:hAnsi="Arial"/>
                <w:sz w:val="13"/>
                <w:szCs w:val="13"/>
                <w:color w:val="auto"/>
              </w:rPr>
              <w:t>8.28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9.13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780" w:type="dxa"/>
            <w:vAlign w:val="bottom"/>
            <w:gridSpan w:val="3"/>
          </w:tcPr>
          <w:p>
            <w:pPr>
              <w:spacing w:after="0"/>
              <w:rPr>
                <w:sz w:val="20"/>
                <w:szCs w:val="20"/>
                <w:color w:val="auto"/>
              </w:rPr>
            </w:pPr>
            <w:r>
              <w:rPr>
                <w:rFonts w:ascii="Arial" w:cs="Arial" w:eastAsia="Arial" w:hAnsi="Arial"/>
                <w:sz w:val="13"/>
                <w:szCs w:val="13"/>
                <w:b w:val="1"/>
                <w:bCs w:val="1"/>
                <w:color w:val="auto"/>
              </w:rPr>
              <w:t>Weighted average discount rate: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5740" w:type="dxa"/>
            <w:vAlign w:val="bottom"/>
            <w:gridSpan w:val="2"/>
            <w:shd w:val="clear" w:color="auto" w:fill="CCEEFF"/>
          </w:tcPr>
          <w:p>
            <w:pPr>
              <w:jc w:val="right"/>
              <w:ind w:right="4720"/>
              <w:spacing w:after="0"/>
              <w:rPr>
                <w:sz w:val="20"/>
                <w:szCs w:val="20"/>
                <w:color w:val="auto"/>
              </w:rPr>
            </w:pPr>
            <w:r>
              <w:rPr>
                <w:rFonts w:ascii="Arial" w:cs="Arial" w:eastAsia="Arial" w:hAnsi="Arial"/>
                <w:sz w:val="13"/>
                <w:szCs w:val="13"/>
                <w:color w:val="auto"/>
              </w:rPr>
              <w:t>Operating leases</w:t>
            </w: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0" w:name="page91"/>
    <w:bookmarkEnd w:id="9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Future lease payment obligations and a reconciliation to lease liability as of December 31, 2021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2022</w:t>
            </w:r>
          </w:p>
        </w:tc>
        <w:tc>
          <w:tcPr>
            <w:tcW w:w="25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w:t>
            </w:r>
          </w:p>
        </w:tc>
        <w:tc>
          <w:tcPr>
            <w:tcW w:w="20" w:type="dxa"/>
            <w:vAlign w:val="bottom"/>
            <w:shd w:val="clear" w:color="auto" w:fill="CCEEFF"/>
          </w:tcPr>
          <w:p>
            <w:pPr>
              <w:spacing w:after="0"/>
              <w:rPr>
                <w:sz w:val="14"/>
                <w:szCs w:val="14"/>
                <w:color w:val="auto"/>
              </w:rPr>
            </w:pPr>
          </w:p>
        </w:tc>
      </w:tr>
      <w:tr>
        <w:trPr>
          <w:trHeight w:val="171"/>
        </w:trPr>
        <w:tc>
          <w:tcPr>
            <w:tcW w:w="4100" w:type="dxa"/>
            <w:vAlign w:val="bottom"/>
            <w:gridSpan w:val="3"/>
          </w:tcPr>
          <w:p>
            <w:pPr>
              <w:jc w:val="right"/>
              <w:ind w:right="3756"/>
              <w:spacing w:after="0"/>
              <w:rPr>
                <w:sz w:val="20"/>
                <w:szCs w:val="20"/>
                <w:color w:val="auto"/>
              </w:rPr>
            </w:pPr>
            <w:r>
              <w:rPr>
                <w:rFonts w:ascii="Arial" w:cs="Arial" w:eastAsia="Arial" w:hAnsi="Arial"/>
                <w:sz w:val="13"/>
                <w:szCs w:val="13"/>
                <w:color w:val="auto"/>
                <w:w w:val="89"/>
              </w:rPr>
              <w:t>2023</w:t>
            </w: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2,471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2024</w:t>
            </w:r>
          </w:p>
        </w:tc>
        <w:tc>
          <w:tcPr>
            <w:tcW w:w="1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20" w:type="dxa"/>
            <w:vAlign w:val="bottom"/>
            <w:shd w:val="clear" w:color="auto" w:fill="CCEEFF"/>
          </w:tcPr>
          <w:p>
            <w:pPr>
              <w:spacing w:after="0"/>
              <w:rPr>
                <w:sz w:val="14"/>
                <w:szCs w:val="14"/>
                <w:color w:val="auto"/>
              </w:rPr>
            </w:pPr>
          </w:p>
        </w:tc>
      </w:tr>
      <w:tr>
        <w:trPr>
          <w:trHeight w:val="171"/>
        </w:trPr>
        <w:tc>
          <w:tcPr>
            <w:tcW w:w="4100" w:type="dxa"/>
            <w:vAlign w:val="bottom"/>
            <w:gridSpan w:val="3"/>
          </w:tcPr>
          <w:p>
            <w:pPr>
              <w:jc w:val="right"/>
              <w:ind w:right="3756"/>
              <w:spacing w:after="0"/>
              <w:rPr>
                <w:sz w:val="20"/>
                <w:szCs w:val="20"/>
                <w:color w:val="auto"/>
              </w:rPr>
            </w:pPr>
            <w:r>
              <w:rPr>
                <w:rFonts w:ascii="Arial" w:cs="Arial" w:eastAsia="Arial" w:hAnsi="Arial"/>
                <w:sz w:val="13"/>
                <w:szCs w:val="13"/>
                <w:color w:val="auto"/>
                <w:w w:val="89"/>
              </w:rPr>
              <w:t>2025</w:t>
            </w: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2,606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2026</w:t>
            </w:r>
          </w:p>
        </w:tc>
        <w:tc>
          <w:tcPr>
            <w:tcW w:w="1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1,675</w:t>
            </w:r>
          </w:p>
        </w:tc>
        <w:tc>
          <w:tcPr>
            <w:tcW w:w="20" w:type="dxa"/>
            <w:vAlign w:val="bottom"/>
            <w:shd w:val="clear" w:color="auto" w:fill="CCEEFF"/>
          </w:tcPr>
          <w:p>
            <w:pPr>
              <w:spacing w:after="0"/>
              <w:rPr>
                <w:sz w:val="14"/>
                <w:szCs w:val="14"/>
                <w:color w:val="auto"/>
              </w:rPr>
            </w:pPr>
          </w:p>
        </w:tc>
      </w:tr>
      <w:tr>
        <w:trPr>
          <w:trHeight w:val="171"/>
        </w:trPr>
        <w:tc>
          <w:tcPr>
            <w:tcW w:w="4100" w:type="dxa"/>
            <w:vAlign w:val="bottom"/>
            <w:gridSpan w:val="3"/>
          </w:tcPr>
          <w:p>
            <w:pPr>
              <w:spacing w:after="0"/>
              <w:rPr>
                <w:sz w:val="20"/>
                <w:szCs w:val="20"/>
                <w:color w:val="auto"/>
              </w:rPr>
            </w:pPr>
            <w:r>
              <w:rPr>
                <w:rFonts w:ascii="Arial" w:cs="Arial" w:eastAsia="Arial" w:hAnsi="Arial"/>
                <w:sz w:val="13"/>
                <w:szCs w:val="13"/>
                <w:color w:val="auto"/>
              </w:rPr>
              <w:t>Thereafter</w:t>
            </w: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3,968</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future minimum lease payments</w:t>
            </w:r>
          </w:p>
        </w:tc>
        <w:tc>
          <w:tcPr>
            <w:tcW w:w="19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16,097</w:t>
            </w:r>
          </w:p>
        </w:tc>
        <w:tc>
          <w:tcPr>
            <w:tcW w:w="20" w:type="dxa"/>
            <w:vAlign w:val="bottom"/>
            <w:shd w:val="clear" w:color="auto" w:fill="CCEEFF"/>
          </w:tcPr>
          <w:p>
            <w:pPr>
              <w:spacing w:after="0"/>
              <w:rPr>
                <w:sz w:val="13"/>
                <w:szCs w:val="13"/>
                <w:color w:val="auto"/>
              </w:rPr>
            </w:pPr>
          </w:p>
        </w:tc>
      </w:tr>
      <w:tr>
        <w:trPr>
          <w:trHeight w:val="171"/>
        </w:trPr>
        <w:tc>
          <w:tcPr>
            <w:tcW w:w="4100" w:type="dxa"/>
            <w:vAlign w:val="bottom"/>
            <w:gridSpan w:val="3"/>
          </w:tcPr>
          <w:p>
            <w:pPr>
              <w:spacing w:after="0"/>
              <w:rPr>
                <w:sz w:val="20"/>
                <w:szCs w:val="20"/>
                <w:color w:val="auto"/>
              </w:rPr>
            </w:pPr>
            <w:r>
              <w:rPr>
                <w:rFonts w:ascii="Arial" w:cs="Arial" w:eastAsia="Arial" w:hAnsi="Arial"/>
                <w:sz w:val="13"/>
                <w:szCs w:val="13"/>
                <w:color w:val="auto"/>
              </w:rPr>
              <w:t>Less: interest component</w:t>
            </w:r>
          </w:p>
        </w:tc>
        <w:tc>
          <w:tcPr>
            <w:tcW w:w="1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(1,912)</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Total lease liability</w:t>
            </w:r>
          </w:p>
        </w:tc>
        <w:tc>
          <w:tcPr>
            <w:tcW w:w="25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14,185</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1160" w:hanging="518"/>
        <w:spacing w:after="0"/>
        <w:tabs>
          <w:tab w:leader="none" w:pos="116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premises and equipment are presented below as of December 31, 2021 and 2020 (in thousands):</w:t>
      </w:r>
    </w:p>
    <w:p>
      <w:pPr>
        <w:sectPr>
          <w:pgSz w:w="11900" w:h="16838" w:orient="portrait"/>
          <w:cols w:equalWidth="0" w:num="1">
            <w:col w:w="9019"/>
          </w:cols>
          <w:pgMar w:left="1440" w:top="490" w:right="1440" w:bottom="1440" w:gutter="0" w:footer="0" w:header="0"/>
        </w:sect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Land</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Building</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Furniture, fixtures and equipment</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Computer hardware and software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Leasehold improvements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Premises and equipment, gross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Accumulated depreciation and amortization</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Premises and equipment, net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Borders>
              <w:right w:val="single" w:sz="8" w:color="CCEEFF"/>
            </w:tcBorders>
          </w:tcPr>
          <w:p>
            <w:pPr>
              <w:spacing w:after="0"/>
              <w:rPr>
                <w:sz w:val="13"/>
                <w:szCs w:val="13"/>
                <w:color w:val="auto"/>
              </w:rPr>
            </w:pPr>
          </w:p>
        </w:tc>
        <w:tc>
          <w:tcPr>
            <w:tcW w:w="160" w:type="dxa"/>
            <w:vAlign w:val="bottom"/>
            <w:shd w:val="clear" w:color="auto" w:fill="CCEEFF"/>
          </w:tcPr>
          <w:p>
            <w:pPr>
              <w:jc w:val="right"/>
              <w:ind w:right="93"/>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2,625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8,726</w:t>
            </w:r>
          </w:p>
        </w:tc>
        <w:tc>
          <w:tcPr>
            <w:tcW w:w="100" w:type="dxa"/>
            <w:vAlign w:val="bottom"/>
            <w:tcBorders>
              <w:right w:val="single" w:sz="8" w:color="CCEEFF"/>
            </w:tcBorders>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9,080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4,471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9,921</w:t>
            </w:r>
          </w:p>
        </w:tc>
        <w:tc>
          <w:tcPr>
            <w:tcW w:w="100" w:type="dxa"/>
            <w:vAlign w:val="bottom"/>
            <w:tcBorders>
              <w:bottom w:val="single" w:sz="8" w:color="auto"/>
              <w:right w:val="single" w:sz="8" w:color="CCEEFF"/>
            </w:tcBorders>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9,650</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26,118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27,198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CCEEFF"/>
            </w:tcBorders>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(20,840)</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(20,851)</w:t>
            </w:r>
          </w:p>
        </w:tc>
        <w:tc>
          <w:tcPr>
            <w:tcW w:w="20" w:type="dxa"/>
            <w:vAlign w:val="bottom"/>
            <w:shd w:val="clear" w:color="auto" w:fill="CCEEFF"/>
          </w:tcPr>
          <w:p>
            <w:pPr>
              <w:spacing w:after="0"/>
              <w:rPr>
                <w:sz w:val="12"/>
                <w:szCs w:val="12"/>
                <w:color w:val="auto"/>
              </w:rPr>
            </w:pPr>
          </w:p>
        </w:tc>
      </w:tr>
      <w:tr>
        <w:trPr>
          <w:trHeight w:val="161"/>
        </w:trPr>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5,278</w:t>
            </w:r>
          </w:p>
        </w:tc>
        <w:tc>
          <w:tcPr>
            <w:tcW w:w="100" w:type="dxa"/>
            <w:vAlign w:val="bottom"/>
          </w:tcPr>
          <w:p>
            <w:pPr>
              <w:spacing w:after="0"/>
              <w:rPr>
                <w:sz w:val="14"/>
                <w:szCs w:val="14"/>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6,347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680" w:space="720"/>
            <w:col w:w="2619"/>
          </w:cols>
          <w:pgMar w:left="1440" w:top="490" w:right="1440" w:bottom="1440" w:gutter="0" w:footer="0" w:header="0"/>
          <w:type w:val="continuous"/>
        </w:sectPr>
      </w:pPr>
    </w:p>
    <w:p>
      <w:pPr>
        <w:jc w:val="both"/>
        <w:ind w:left="640" w:right="699" w:firstLine="256"/>
        <w:spacing w:after="0" w:line="248" w:lineRule="auto"/>
        <w:rPr>
          <w:sz w:val="20"/>
          <w:szCs w:val="20"/>
          <w:color w:val="auto"/>
        </w:rPr>
      </w:pPr>
      <w:r>
        <w:rPr>
          <w:rFonts w:ascii="Arial" w:cs="Arial" w:eastAsia="Arial" w:hAnsi="Arial"/>
          <w:sz w:val="14"/>
          <w:szCs w:val="14"/>
          <w:color w:val="auto"/>
        </w:rPr>
        <w:t>Depreciation and amortization expense was $1.0 million and $1.3 million for the years ended December 31, 2021 and 2020, respectively. During 2021, the Company eliminated $0.6 million in assets due to the sale of one banking center and relocation of another banking center. The depreciation on these assets was $0.6 million with the remaining amount recognized as an immaterial loss. The Company eliminated $ 0.5 million in assets which were fully depreciated in 2020.</w:t>
      </w:r>
    </w:p>
    <w:p>
      <w:pPr>
        <w:spacing w:after="0" w:line="138" w:lineRule="exact"/>
        <w:rPr>
          <w:sz w:val="20"/>
          <w:szCs w:val="20"/>
          <w:color w:val="auto"/>
        </w:rPr>
      </w:pPr>
    </w:p>
    <w:p>
      <w:pPr>
        <w:ind w:left="1020" w:hanging="378"/>
        <w:spacing w:after="0"/>
        <w:tabs>
          <w:tab w:leader="none" w:pos="102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Company’s provision for income taxes is presented in the following table for the years ended December 31, 2021 and 2020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040" w:type="dxa"/>
            <w:vAlign w:val="bottom"/>
            <w:tcBorders>
              <w:top w:val="single" w:sz="8" w:color="CCEEFF"/>
            </w:tcBorders>
            <w:shd w:val="clear" w:color="auto" w:fill="CCEEFF"/>
          </w:tcPr>
          <w:p>
            <w:pPr>
              <w:jc w:val="center"/>
              <w:ind w:right="2516"/>
              <w:spacing w:after="0"/>
              <w:rPr>
                <w:sz w:val="20"/>
                <w:szCs w:val="20"/>
                <w:color w:val="auto"/>
              </w:rPr>
            </w:pPr>
            <w:r>
              <w:rPr>
                <w:rFonts w:ascii="Arial" w:cs="Arial" w:eastAsia="Arial" w:hAnsi="Arial"/>
                <w:sz w:val="13"/>
                <w:szCs w:val="13"/>
                <w:b w:val="1"/>
                <w:bCs w:val="1"/>
                <w:color w:val="auto"/>
                <w:w w:val="89"/>
              </w:rPr>
              <w:t>Current:</w:t>
            </w:r>
          </w:p>
        </w:tc>
        <w:tc>
          <w:tcPr>
            <w:tcW w:w="20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Federal</w:t>
            </w:r>
          </w:p>
        </w:tc>
        <w:tc>
          <w:tcPr>
            <w:tcW w:w="282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jc w:val="center"/>
              <w:ind w:right="2516"/>
              <w:spacing w:after="0"/>
              <w:rPr>
                <w:sz w:val="20"/>
                <w:szCs w:val="20"/>
                <w:color w:val="auto"/>
              </w:rPr>
            </w:pPr>
            <w:r>
              <w:rPr>
                <w:rFonts w:ascii="Arial" w:cs="Arial" w:eastAsia="Arial" w:hAnsi="Arial"/>
                <w:sz w:val="13"/>
                <w:szCs w:val="13"/>
                <w:color w:val="auto"/>
                <w:w w:val="85"/>
              </w:rPr>
              <w:t>State</w:t>
            </w:r>
          </w:p>
        </w:tc>
        <w:tc>
          <w:tcPr>
            <w:tcW w:w="20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308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Federal</w:t>
            </w:r>
          </w:p>
        </w:tc>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5,314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2,074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jc w:val="center"/>
              <w:ind w:right="2516"/>
              <w:spacing w:after="0"/>
              <w:rPr>
                <w:sz w:val="20"/>
                <w:szCs w:val="20"/>
                <w:color w:val="auto"/>
              </w:rPr>
            </w:pPr>
            <w:r>
              <w:rPr>
                <w:rFonts w:ascii="Arial" w:cs="Arial" w:eastAsia="Arial" w:hAnsi="Arial"/>
                <w:sz w:val="13"/>
                <w:szCs w:val="13"/>
                <w:color w:val="auto"/>
                <w:w w:val="85"/>
              </w:rPr>
              <w:t>State</w:t>
            </w:r>
          </w:p>
        </w:tc>
        <w:tc>
          <w:tcPr>
            <w:tcW w:w="20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1,286</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20" w:type="dxa"/>
            <w:vAlign w:val="bottom"/>
            <w:shd w:val="clear" w:color="auto" w:fill="CCEEFF"/>
          </w:tcPr>
          <w:p>
            <w:pPr>
              <w:spacing w:after="0"/>
              <w:rPr>
                <w:sz w:val="14"/>
                <w:szCs w:val="14"/>
                <w:color w:val="auto"/>
              </w:rPr>
            </w:pPr>
          </w:p>
        </w:tc>
      </w:tr>
      <w:tr>
        <w:trPr>
          <w:trHeight w:val="151"/>
        </w:trPr>
        <w:tc>
          <w:tcPr>
            <w:tcW w:w="3080" w:type="dxa"/>
            <w:vAlign w:val="bottom"/>
            <w:gridSpan w:val="2"/>
          </w:tcPr>
          <w:p>
            <w:pPr>
              <w:spacing w:after="0"/>
              <w:rPr>
                <w:sz w:val="20"/>
                <w:szCs w:val="20"/>
                <w:color w:val="auto"/>
              </w:rPr>
            </w:pPr>
            <w:r>
              <w:rPr>
                <w:rFonts w:ascii="Arial" w:cs="Arial" w:eastAsia="Arial" w:hAnsi="Arial"/>
                <w:sz w:val="13"/>
                <w:szCs w:val="13"/>
                <w:color w:val="auto"/>
              </w:rPr>
              <w:t>Total deferred</w:t>
            </w:r>
          </w:p>
        </w:tc>
        <w:tc>
          <w:tcPr>
            <w:tcW w:w="2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6,600</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2,588</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Total tax expense</w:t>
            </w:r>
          </w:p>
        </w:tc>
        <w:tc>
          <w:tcPr>
            <w:tcW w:w="282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6,600</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2,588</w:t>
            </w:r>
          </w:p>
        </w:tc>
        <w:tc>
          <w:tcPr>
            <w:tcW w:w="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type w:val="continuous"/>
        </w:sectPr>
      </w:pPr>
    </w:p>
    <w:bookmarkStart w:id="91" w:name="page92"/>
    <w:bookmarkEnd w:id="9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actual income tax expense for the years ended December 31, 2021 and 2020 differs from the statutory tax expense for the year (computed by applying the U.S. federal corporate tax rate of 21% for 2021 and 2020 to income before provision for income taxes) as follows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210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5,812</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2,815</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969</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1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tax expense</w:t>
            </w:r>
          </w:p>
        </w:tc>
        <w:tc>
          <w:tcPr>
            <w:tcW w:w="210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2,588</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the deferred tax assets and deferred tax liabilities as of December 31, 2021 and 2020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1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Net operating loss</w:t>
            </w:r>
          </w:p>
        </w:tc>
        <w:tc>
          <w:tcPr>
            <w:tcW w:w="198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28,819</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35,506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3,816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3,824</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Lease liability</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3,595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3,617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 on available for sale securities</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Deferred loan fees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400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Depreciable property</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361</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Stock option compensation</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241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Accruals</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600</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Other, net</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w:t>
            </w: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1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38,651</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44,393</w:t>
            </w:r>
          </w:p>
        </w:tc>
        <w:tc>
          <w:tcPr>
            <w:tcW w:w="20" w:type="dxa"/>
            <w:vAlign w:val="bottom"/>
            <w:shd w:val="clear" w:color="auto" w:fill="CCEEFF"/>
          </w:tcPr>
          <w:p>
            <w:pPr>
              <w:spacing w:after="0"/>
              <w:rPr>
                <w:sz w:val="13"/>
                <w:szCs w:val="13"/>
                <w:color w:val="auto"/>
              </w:rPr>
            </w:pPr>
          </w:p>
        </w:tc>
      </w:tr>
      <w:tr>
        <w:trPr>
          <w:trHeight w:val="171"/>
        </w:trPr>
        <w:tc>
          <w:tcPr>
            <w:tcW w:w="390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liability:</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Unrealized gain on available for sale securities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(1,553)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Lease right of use asset</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Deferred expenses</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liability</w:t>
            </w:r>
          </w:p>
        </w:tc>
        <w:tc>
          <w:tcPr>
            <w:tcW w:w="1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(5,234)</w:t>
            </w:r>
          </w:p>
        </w:tc>
        <w:tc>
          <w:tcPr>
            <w:tcW w:w="20" w:type="dxa"/>
            <w:vAlign w:val="bottom"/>
            <w:shd w:val="clear" w:color="auto" w:fill="CCEEFF"/>
          </w:tcPr>
          <w:p>
            <w:pPr>
              <w:spacing w:after="0"/>
              <w:rPr>
                <w:sz w:val="13"/>
                <w:szCs w:val="13"/>
                <w:color w:val="auto"/>
              </w:rPr>
            </w:pPr>
          </w:p>
        </w:tc>
      </w:tr>
      <w:tr>
        <w:trPr>
          <w:trHeight w:val="171"/>
        </w:trPr>
        <w:tc>
          <w:tcPr>
            <w:tcW w:w="390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34,929</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39,159</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Company has approximately $109.5 million of Federal and $132.2 million of State net operating loss carryforwards expiring in various amounts from 2031 to 2036. Their utilization is limited to future taxable earnings of the Company.</w:t>
      </w:r>
    </w:p>
    <w:p>
      <w:pPr>
        <w:spacing w:after="0" w:line="153"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5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U.S. Federal jurisdiction and Florida are the major tax jurisdictions where the Company files income tax returns.</w:t>
      </w:r>
    </w:p>
    <w:p>
      <w:pPr>
        <w:ind w:left="640"/>
        <w:spacing w:after="0"/>
        <w:rPr>
          <w:sz w:val="20"/>
          <w:szCs w:val="20"/>
          <w:color w:val="auto"/>
        </w:rPr>
      </w:pPr>
      <w:r>
        <w:rPr>
          <w:rFonts w:ascii="Arial" w:cs="Arial" w:eastAsia="Arial" w:hAnsi="Arial"/>
          <w:sz w:val="14"/>
          <w:szCs w:val="14"/>
          <w:color w:val="auto"/>
        </w:rPr>
        <w:t>The Company is generally no longer subject to U.S. Federal or State examinations by tax authorities for years before 2018.</w:t>
      </w:r>
    </w:p>
    <w:p>
      <w:pPr>
        <w:spacing w:after="0" w:line="17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For the years ended December 31, 2021 and 2020, the Company did not have any unrecognized tax benefits as a result of tax positions taken during a prior period or during the current period. Additionally, no interest or penalties were recorded as a result of tax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2" w:name="page93"/>
    <w:bookmarkEnd w:id="9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160" w:hanging="518"/>
        <w:spacing w:after="0"/>
        <w:tabs>
          <w:tab w:leader="none" w:pos="116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DEPOSITS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deposits by type at December 31, 2021 and 2020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86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Non-interest bearing deposits</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605,425</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442,467</w:t>
            </w:r>
          </w:p>
        </w:tc>
        <w:tc>
          <w:tcPr>
            <w:tcW w:w="20" w:type="dxa"/>
            <w:vAlign w:val="bottom"/>
            <w:shd w:val="clear" w:color="auto" w:fill="CCEEFF"/>
          </w:tcPr>
          <w:p>
            <w:pPr>
              <w:spacing w:after="0"/>
              <w:rPr>
                <w:sz w:val="14"/>
                <w:szCs w:val="14"/>
                <w:color w:val="auto"/>
              </w:rPr>
            </w:pPr>
          </w:p>
        </w:tc>
      </w:tr>
      <w:tr>
        <w:trPr>
          <w:trHeight w:val="171"/>
        </w:trPr>
        <w:tc>
          <w:tcPr>
            <w:tcW w:w="3920" w:type="dxa"/>
            <w:vAlign w:val="bottom"/>
            <w:gridSpan w:val="3"/>
          </w:tcPr>
          <w:p>
            <w:pPr>
              <w:spacing w:after="0"/>
              <w:rPr>
                <w:sz w:val="20"/>
                <w:szCs w:val="20"/>
                <w:color w:val="auto"/>
              </w:rPr>
            </w:pPr>
            <w:r>
              <w:rPr>
                <w:rFonts w:ascii="Arial" w:cs="Arial" w:eastAsia="Arial" w:hAnsi="Arial"/>
                <w:sz w:val="13"/>
                <w:szCs w:val="13"/>
                <w:color w:val="auto"/>
              </w:rPr>
              <w:t>Interest-bearing transaction accounts</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55,878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45,132</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Saving and money market deposits</w:t>
            </w: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527,373</w:t>
            </w:r>
          </w:p>
        </w:tc>
        <w:tc>
          <w:tcPr>
            <w:tcW w:w="20" w:type="dxa"/>
            <w:vAlign w:val="bottom"/>
            <w:shd w:val="clear" w:color="auto" w:fill="CCEEFF"/>
          </w:tcPr>
          <w:p>
            <w:pPr>
              <w:spacing w:after="0"/>
              <w:rPr>
                <w:sz w:val="14"/>
                <w:szCs w:val="14"/>
                <w:color w:val="auto"/>
              </w:rPr>
            </w:pPr>
          </w:p>
        </w:tc>
      </w:tr>
      <w:tr>
        <w:trPr>
          <w:trHeight w:val="171"/>
        </w:trPr>
        <w:tc>
          <w:tcPr>
            <w:tcW w:w="3920" w:type="dxa"/>
            <w:vAlign w:val="bottom"/>
            <w:gridSpan w:val="3"/>
          </w:tcPr>
          <w:p>
            <w:pPr>
              <w:spacing w:after="0"/>
              <w:rPr>
                <w:sz w:val="20"/>
                <w:szCs w:val="20"/>
                <w:color w:val="auto"/>
              </w:rPr>
            </w:pPr>
            <w:r>
              <w:rPr>
                <w:rFonts w:ascii="Arial" w:cs="Arial" w:eastAsia="Arial" w:hAnsi="Arial"/>
                <w:sz w:val="13"/>
                <w:szCs w:val="13"/>
                <w:color w:val="auto"/>
              </w:rPr>
              <w:t>Time deposits</w:t>
            </w: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225,220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258,430</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deposits</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1,590,379</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1,273,402</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Time deposits exceeding the FDIC insurance limit of $250 thousand at December 31, 2021 and 2020 were approximately $119.4 million and $104.1 million, respectively.</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At December 31, 2021, the scheduled maturities of time deposits were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2022</w:t>
            </w:r>
          </w:p>
        </w:tc>
        <w:tc>
          <w:tcPr>
            <w:tcW w:w="33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184,495</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936"/>
              <w:spacing w:after="0"/>
              <w:rPr>
                <w:sz w:val="20"/>
                <w:szCs w:val="20"/>
                <w:color w:val="auto"/>
              </w:rPr>
            </w:pPr>
            <w:r>
              <w:rPr>
                <w:rFonts w:ascii="Arial" w:cs="Arial" w:eastAsia="Arial" w:hAnsi="Arial"/>
                <w:sz w:val="13"/>
                <w:szCs w:val="13"/>
                <w:color w:val="auto"/>
                <w:w w:val="89"/>
              </w:rPr>
              <w:t>2023</w:t>
            </w: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15,111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2024</w:t>
            </w:r>
          </w:p>
        </w:tc>
        <w:tc>
          <w:tcPr>
            <w:tcW w:w="2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4,164</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936"/>
              <w:spacing w:after="0"/>
              <w:rPr>
                <w:sz w:val="20"/>
                <w:szCs w:val="20"/>
                <w:color w:val="auto"/>
              </w:rPr>
            </w:pPr>
            <w:r>
              <w:rPr>
                <w:rFonts w:ascii="Arial" w:cs="Arial" w:eastAsia="Arial" w:hAnsi="Arial"/>
                <w:sz w:val="13"/>
                <w:szCs w:val="13"/>
                <w:color w:val="auto"/>
                <w:w w:val="89"/>
              </w:rPr>
              <w:t>2025</w:t>
            </w: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1,172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2026</w:t>
            </w:r>
          </w:p>
        </w:tc>
        <w:tc>
          <w:tcPr>
            <w:tcW w:w="2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20,271</w:t>
            </w:r>
          </w:p>
        </w:tc>
        <w:tc>
          <w:tcPr>
            <w:tcW w:w="20" w:type="dxa"/>
            <w:vAlign w:val="bottom"/>
            <w:shd w:val="clear" w:color="auto" w:fill="CCEEFF"/>
          </w:tcPr>
          <w:p>
            <w:pPr>
              <w:spacing w:after="0"/>
              <w:rPr>
                <w:sz w:val="14"/>
                <w:szCs w:val="14"/>
                <w:color w:val="auto"/>
              </w:rPr>
            </w:pPr>
          </w:p>
        </w:tc>
      </w:tr>
      <w:tr>
        <w:trPr>
          <w:trHeight w:val="160"/>
        </w:trPr>
        <w:tc>
          <w:tcPr>
            <w:tcW w:w="3280" w:type="dxa"/>
            <w:vAlign w:val="bottom"/>
            <w:gridSpan w:val="2"/>
          </w:tcPr>
          <w:p>
            <w:pPr>
              <w:jc w:val="right"/>
              <w:ind w:right="2616"/>
              <w:spacing w:after="0"/>
              <w:rPr>
                <w:sz w:val="20"/>
                <w:szCs w:val="20"/>
                <w:color w:val="auto"/>
              </w:rPr>
            </w:pPr>
            <w:r>
              <w:rPr>
                <w:rFonts w:ascii="Arial" w:cs="Arial" w:eastAsia="Arial" w:hAnsi="Arial"/>
                <w:sz w:val="13"/>
                <w:szCs w:val="13"/>
                <w:color w:val="auto"/>
                <w:w w:val="96"/>
              </w:rPr>
              <w:t>Thereafter</w:t>
            </w:r>
          </w:p>
        </w:tc>
        <w:tc>
          <w:tcPr>
            <w:tcW w:w="27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240" w:type="dxa"/>
            <w:vAlign w:val="bottom"/>
            <w:tcBorders>
              <w:bottom w:val="single" w:sz="8" w:color="CCEEFF"/>
            </w:tcBorders>
            <w:shd w:val="clear" w:color="auto" w:fill="CCEEFF"/>
          </w:tcPr>
          <w:p>
            <w:pPr>
              <w:spacing w:after="0"/>
              <w:rPr>
                <w:sz w:val="13"/>
                <w:szCs w:val="13"/>
                <w:color w:val="auto"/>
              </w:rPr>
            </w:pPr>
          </w:p>
        </w:tc>
        <w:tc>
          <w:tcPr>
            <w:tcW w:w="3320" w:type="dxa"/>
            <w:vAlign w:val="bottom"/>
            <w:tcBorders>
              <w:bottom w:val="single" w:sz="8" w:color="CCEEFF"/>
            </w:tcBorders>
            <w:gridSpan w:val="2"/>
            <w:shd w:val="clear" w:color="auto" w:fill="CCEEFF"/>
          </w:tcPr>
          <w:p>
            <w:pPr>
              <w:jc w:val="right"/>
              <w:ind w:right="560"/>
              <w:spacing w:after="0" w:line="131"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225,220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At December 31, 2021 and 2020, the aggregate amount of demand deposits reclassified to loans as overdrafts was $247 thousand and $224 thousand, respectively.</w:t>
      </w:r>
    </w:p>
    <w:p>
      <w:pPr>
        <w:spacing w:after="0" w:line="135" w:lineRule="exact"/>
        <w:rPr>
          <w:sz w:val="20"/>
          <w:szCs w:val="20"/>
          <w:color w:val="auto"/>
        </w:rPr>
      </w:pPr>
    </w:p>
    <w:p>
      <w:pPr>
        <w:ind w:left="1160" w:hanging="518"/>
        <w:spacing w:after="0"/>
        <w:tabs>
          <w:tab w:leader="none" w:pos="11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Borrowed funds consist of fixed rate advances from the FHLB. At December 31, 2021 and 2020, FHLB advances were $36.0 million.</w:t>
      </w:r>
    </w:p>
    <w:p>
      <w:pPr>
        <w:spacing w:after="0" w:line="153"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the fixed interest rates and expected maturities of the FHLB advances at both December 31, 2021 and 2020 (in thousands):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Interest Rate</w:t>
            </w:r>
          </w:p>
        </w:tc>
        <w:tc>
          <w:tcPr>
            <w:tcW w:w="60" w:type="dxa"/>
            <w:vAlign w:val="bottom"/>
          </w:tcPr>
          <w:p>
            <w:pPr>
              <w:spacing w:after="0"/>
              <w:rPr>
                <w:sz w:val="14"/>
                <w:szCs w:val="14"/>
                <w:color w:val="auto"/>
              </w:rPr>
            </w:pPr>
          </w:p>
        </w:tc>
        <w:tc>
          <w:tcPr>
            <w:tcW w:w="1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4"/>
                <w:szCs w:val="14"/>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r>
      <w:tr>
        <w:trPr>
          <w:trHeight w:val="15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0.81%</w:t>
            </w: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August 17,</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2023</w:t>
            </w:r>
          </w:p>
        </w:tc>
        <w:tc>
          <w:tcPr>
            <w:tcW w:w="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3"/>
                <w:szCs w:val="13"/>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rPr>
              <w:t>1.04%</w:t>
            </w:r>
          </w:p>
        </w:tc>
        <w:tc>
          <w:tcPr>
            <w:tcW w:w="60" w:type="dxa"/>
            <w:vAlign w:val="bottom"/>
          </w:tcPr>
          <w:p>
            <w:pPr>
              <w:spacing w:after="0"/>
              <w:rPr>
                <w:sz w:val="14"/>
                <w:szCs w:val="14"/>
                <w:color w:val="auto"/>
              </w:rPr>
            </w:pPr>
          </w:p>
        </w:tc>
        <w:tc>
          <w:tcPr>
            <w:tcW w:w="1840" w:type="dxa"/>
            <w:vAlign w:val="bottom"/>
          </w:tcPr>
          <w:p>
            <w:pPr>
              <w:jc w:val="center"/>
              <w:ind w:right="16"/>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July 30,</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2.05%</w:t>
            </w: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Pr>
          <w:p>
            <w:pPr>
              <w:jc w:val="center"/>
              <w:spacing w:after="0"/>
              <w:rPr>
                <w:sz w:val="20"/>
                <w:szCs w:val="20"/>
                <w:color w:val="auto"/>
              </w:rPr>
            </w:pPr>
            <w:r>
              <w:rPr>
                <w:rFonts w:ascii="Arial" w:cs="Arial" w:eastAsia="Arial" w:hAnsi="Arial"/>
                <w:sz w:val="13"/>
                <w:szCs w:val="13"/>
                <w:color w:val="auto"/>
              </w:rPr>
              <w:t>1.91%</w:t>
            </w:r>
          </w:p>
        </w:tc>
        <w:tc>
          <w:tcPr>
            <w:tcW w:w="60" w:type="dxa"/>
            <w:vAlign w:val="bottom"/>
          </w:tcPr>
          <w:p>
            <w:pPr>
              <w:spacing w:after="0"/>
              <w:rPr>
                <w:sz w:val="14"/>
                <w:szCs w:val="14"/>
                <w:color w:val="auto"/>
              </w:rPr>
            </w:pPr>
          </w:p>
        </w:tc>
        <w:tc>
          <w:tcPr>
            <w:tcW w:w="1840" w:type="dxa"/>
            <w:vAlign w:val="bottom"/>
          </w:tcPr>
          <w:p>
            <w:pPr>
              <w:jc w:val="center"/>
              <w:ind w:right="16"/>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March 28,</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1.81%</w:t>
            </w: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April 17, 2025</w:t>
            </w: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1.07%</w:t>
            </w:r>
          </w:p>
        </w:tc>
        <w:tc>
          <w:tcPr>
            <w:tcW w:w="6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jc w:val="center"/>
              <w:ind w:right="16"/>
              <w:spacing w:after="0"/>
              <w:rPr>
                <w:sz w:val="20"/>
                <w:szCs w:val="20"/>
                <w:color w:val="auto"/>
              </w:rPr>
            </w:pPr>
            <w:r>
              <w:rPr>
                <w:rFonts w:ascii="Arial" w:cs="Arial" w:eastAsia="Arial" w:hAnsi="Arial"/>
                <w:sz w:val="13"/>
                <w:szCs w:val="13"/>
                <w:color w:val="auto"/>
              </w:rPr>
              <w:t>Fixed</w:t>
            </w:r>
          </w:p>
        </w:tc>
        <w:tc>
          <w:tcPr>
            <w:tcW w:w="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July 18,</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61"/>
        </w:trPr>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36,000</w:t>
            </w:r>
          </w:p>
        </w:tc>
        <w:tc>
          <w:tcPr>
            <w:tcW w:w="20" w:type="dxa"/>
            <w:vAlign w:val="bottom"/>
            <w:shd w:val="clear" w:color="auto" w:fill="CCEEFF"/>
          </w:tcPr>
          <w:p>
            <w:pPr>
              <w:spacing w:after="0"/>
              <w:rPr>
                <w:sz w:val="14"/>
                <w:szCs w:val="14"/>
                <w:color w:val="auto"/>
              </w:rPr>
            </w:pPr>
          </w:p>
        </w:tc>
      </w:tr>
      <w:tr>
        <w:trPr>
          <w:trHeight w:val="20"/>
        </w:trPr>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34" w:lineRule="exact"/>
        <w:rPr>
          <w:sz w:val="20"/>
          <w:szCs w:val="20"/>
          <w:color w:val="auto"/>
        </w:rPr>
      </w:pPr>
    </w:p>
    <w:p>
      <w:pPr>
        <w:ind w:left="1160" w:hanging="518"/>
        <w:spacing w:after="0"/>
        <w:tabs>
          <w:tab w:leader="none" w:pos="116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EQUITY BASED AND OTHER COMPENSATION PLANS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Employee 401(k) Plan</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has an employee 401(k) plan (the “Plan”) covering substantially all eligible employees. The Plan includes a provision that the employer may contribute to the accounts of eligible employees for whom a salary deferral is made. There was $296 thousand and $282 thousand of Company contributions to the Plan during the years ended December 31, 2021 and 2020, respectively , and are included under salaries and employee benefits in the Consolidated Statements of Operations.</w:t>
      </w:r>
    </w:p>
    <w:p>
      <w:pPr>
        <w:spacing w:after="0" w:line="16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3" w:name="page94"/>
    <w:bookmarkEnd w:id="9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Stock-Based Compensation</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Stock option balances, weighted average exercise price, and weighted average fair value of options granted for the years ended December 31, 2021 and 2020 were adjusted to reflect the 1 for 5 reverse stock split on Class A common stock. Stock options are only exercisable to Class A common stock. See Note 13 “Stockholders’ Equity” for further discussion on stock split.</w:t>
      </w:r>
    </w:p>
    <w:p>
      <w:pPr>
        <w:spacing w:after="0" w:line="156" w:lineRule="exact"/>
        <w:rPr>
          <w:sz w:val="20"/>
          <w:szCs w:val="20"/>
          <w:color w:val="auto"/>
        </w:rPr>
      </w:pPr>
    </w:p>
    <w:p>
      <w:pPr>
        <w:jc w:val="both"/>
        <w:ind w:left="640" w:right="659" w:firstLine="256"/>
        <w:spacing w:after="0" w:line="245" w:lineRule="auto"/>
        <w:rPr>
          <w:sz w:val="20"/>
          <w:szCs w:val="20"/>
          <w:color w:val="auto"/>
        </w:rPr>
      </w:pPr>
      <w:r>
        <w:rPr>
          <w:rFonts w:ascii="Arial" w:cs="Arial" w:eastAsia="Arial" w:hAnsi="Arial"/>
          <w:sz w:val="14"/>
          <w:szCs w:val="14"/>
          <w:color w:val="auto"/>
        </w:rPr>
        <w:t>In 2015, the Company's shareholders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in no event shall an option be exercisable after the expiration of 10 years from the grant date. The 2015 Option Plan has a 10-year life and will terminate in 2025. In July 2020, the shareholders of the Company approved to amend the 2015 Option plan authorizing the issuance of an additional 3,000,000 shares of common stock and extending the life of the plan 5 additional years, terminating in 2030. The approved shares after being adjusted to reflect the 1 for 5 reverse stock split totaled 1,000,000 shares. In December 2021, the shareholders of the Company approved to amend the 2015 Option plan authorizing the issuance of an additional 1,400,000 shares of common stock.</w:t>
      </w:r>
    </w:p>
    <w:p>
      <w:pPr>
        <w:spacing w:after="0" w:line="149"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 xml:space="preserve">At December 31, 2021, there were 1,401,667 shares available for grant under the 2015 Option Plan. At December 31, 2020, there were </w:t>
      </w:r>
      <w:r>
        <w:rPr>
          <w:rFonts w:ascii="Arial" w:cs="Arial" w:eastAsia="Arial" w:hAnsi="Arial"/>
          <w:sz w:val="13"/>
          <w:szCs w:val="13"/>
          <w:color w:val="auto"/>
        </w:rPr>
        <w:t>621,667</w:t>
      </w:r>
      <w:r>
        <w:rPr>
          <w:rFonts w:ascii="Arial" w:cs="Arial" w:eastAsia="Arial" w:hAnsi="Arial"/>
          <w:sz w:val="14"/>
          <w:szCs w:val="14"/>
          <w:color w:val="auto"/>
        </w:rPr>
        <w:t xml:space="preserve"> shares available for grant under the 2015 Option Plan after the 1 for 5 reverse stock split.</w:t>
      </w:r>
    </w:p>
    <w:p>
      <w:pPr>
        <w:spacing w:after="0" w:line="131"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 based compensation expense is based on awards that the Company expects will ultimately vest, reduced by estimated forfeitures. Estimated forfeitures consider the voluntary termination trends as well as actual option forfeitures.</w:t>
      </w:r>
    </w:p>
    <w:p>
      <w:pPr>
        <w:spacing w:after="0" w:line="146"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compensation expense is reported under salaries and employee benefits in the accompanying Consolidated Statements of Operations. Compensation expense totaling $287 thousand was recognized for the year ended December 31, 2021 and $187 thousand for the year ended December 31, 2020. There was no related tax benefit for the years ended December 31, 2021 and 2020.</w:t>
      </w:r>
    </w:p>
    <w:p>
      <w:pPr>
        <w:spacing w:after="0" w:line="156"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Unrecognized compensation cost remaining on stock-based compensation totaled $1.3 million and $0.1 million for the years ended December 31, 2021 and 2020.</w:t>
      </w:r>
    </w:p>
    <w:p>
      <w:pPr>
        <w:spacing w:after="0" w:line="153" w:lineRule="exact"/>
        <w:rPr>
          <w:sz w:val="20"/>
          <w:szCs w:val="20"/>
          <w:color w:val="auto"/>
        </w:rPr>
      </w:pPr>
    </w:p>
    <w:p>
      <w:pPr>
        <w:jc w:val="both"/>
        <w:ind w:left="640" w:right="639" w:firstLine="256"/>
        <w:spacing w:after="0" w:line="253" w:lineRule="auto"/>
        <w:rPr>
          <w:sz w:val="20"/>
          <w:szCs w:val="20"/>
          <w:color w:val="auto"/>
        </w:rPr>
      </w:pPr>
      <w:r>
        <w:rPr>
          <w:rFonts w:ascii="Arial" w:cs="Arial" w:eastAsia="Arial" w:hAnsi="Arial"/>
          <w:sz w:val="14"/>
          <w:szCs w:val="14"/>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42" w:lineRule="exact"/>
        <w:rPr>
          <w:sz w:val="20"/>
          <w:szCs w:val="20"/>
          <w:color w:val="auto"/>
        </w:rPr>
      </w:pPr>
    </w:p>
    <w:p>
      <w:pPr>
        <w:ind w:left="640" w:right="719" w:firstLine="256"/>
        <w:spacing w:after="0" w:line="268" w:lineRule="auto"/>
        <w:rPr>
          <w:sz w:val="20"/>
          <w:szCs w:val="20"/>
          <w:color w:val="auto"/>
        </w:rPr>
      </w:pPr>
      <w:r>
        <w:rPr>
          <w:rFonts w:ascii="Arial" w:cs="Arial" w:eastAsia="Arial" w:hAnsi="Arial"/>
          <w:sz w:val="14"/>
          <w:szCs w:val="14"/>
          <w:color w:val="auto"/>
        </w:rPr>
        <w:t>The fair value of options granted was determined using the following weighted-average assumptions at December 31, 2021:</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98"/>
              </w:rPr>
              <w:t>Assumption</w:t>
            </w:r>
          </w:p>
        </w:tc>
        <w:tc>
          <w:tcPr>
            <w:tcW w:w="3820" w:type="dxa"/>
            <w:vAlign w:val="bottom"/>
            <w:gridSpan w:val="4"/>
          </w:tcPr>
          <w:p>
            <w:pPr>
              <w:jc w:val="right"/>
              <w:ind w:right="1696"/>
              <w:spacing w:after="0"/>
              <w:rPr>
                <w:sz w:val="20"/>
                <w:szCs w:val="20"/>
                <w:color w:val="auto"/>
              </w:rPr>
            </w:pPr>
            <w:r>
              <w:rPr>
                <w:rFonts w:ascii="Arial" w:cs="Arial" w:eastAsia="Arial" w:hAnsi="Arial"/>
                <w:sz w:val="13"/>
                <w:szCs w:val="13"/>
                <w:b w:val="1"/>
                <w:bCs w:val="1"/>
                <w:color w:val="auto"/>
              </w:rPr>
              <w:t>2021</w:t>
            </w:r>
          </w:p>
        </w:tc>
      </w:tr>
      <w:tr>
        <w:trPr>
          <w:trHeight w:val="151"/>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Risk-free interest rate</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auto"/>
            </w:tcBorders>
            <w:shd w:val="clear" w:color="auto" w:fill="CCEEFF"/>
          </w:tcPr>
          <w:p>
            <w:pPr>
              <w:jc w:val="right"/>
              <w:ind w:right="1656"/>
              <w:spacing w:after="0"/>
              <w:rPr>
                <w:sz w:val="20"/>
                <w:szCs w:val="20"/>
                <w:color w:val="auto"/>
              </w:rPr>
            </w:pPr>
            <w:r>
              <w:rPr>
                <w:rFonts w:ascii="Arial" w:cs="Arial" w:eastAsia="Arial" w:hAnsi="Arial"/>
                <w:sz w:val="13"/>
                <w:szCs w:val="13"/>
                <w:color w:val="auto"/>
              </w:rPr>
              <w:t>1.49%</w:t>
            </w:r>
          </w:p>
        </w:tc>
      </w:tr>
      <w:tr>
        <w:trPr>
          <w:trHeight w:val="168"/>
        </w:trPr>
        <w:tc>
          <w:tcPr>
            <w:tcW w:w="3720" w:type="dxa"/>
            <w:vAlign w:val="bottom"/>
          </w:tcPr>
          <w:p>
            <w:pPr>
              <w:jc w:val="center"/>
              <w:spacing w:after="0"/>
              <w:rPr>
                <w:sz w:val="20"/>
                <w:szCs w:val="20"/>
                <w:color w:val="auto"/>
              </w:rPr>
            </w:pPr>
            <w:r>
              <w:rPr>
                <w:rFonts w:ascii="Arial" w:cs="Arial" w:eastAsia="Arial" w:hAnsi="Arial"/>
                <w:sz w:val="13"/>
                <w:szCs w:val="13"/>
                <w:color w:val="auto"/>
                <w:w w:val="97"/>
              </w:rPr>
              <w:t>Expected term</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40" w:type="dxa"/>
            <w:vAlign w:val="bottom"/>
          </w:tcPr>
          <w:p>
            <w:pPr>
              <w:jc w:val="right"/>
              <w:ind w:right="1596"/>
              <w:spacing w:after="0"/>
              <w:rPr>
                <w:sz w:val="20"/>
                <w:szCs w:val="20"/>
                <w:color w:val="auto"/>
              </w:rPr>
            </w:pPr>
            <w:r>
              <w:rPr>
                <w:rFonts w:ascii="Arial" w:cs="Arial" w:eastAsia="Arial" w:hAnsi="Arial"/>
                <w:sz w:val="13"/>
                <w:szCs w:val="13"/>
                <w:color w:val="auto"/>
              </w:rPr>
              <w:t>10 years</w:t>
            </w:r>
          </w:p>
        </w:tc>
      </w:tr>
      <w:tr>
        <w:trPr>
          <w:trHeight w:val="173"/>
        </w:trPr>
        <w:tc>
          <w:tcPr>
            <w:tcW w:w="3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Expected stock price volatility</w:t>
            </w:r>
          </w:p>
        </w:tc>
        <w:tc>
          <w:tcPr>
            <w:tcW w:w="80" w:type="dxa"/>
            <w:vAlign w:val="bottom"/>
            <w:gridSpan w:val="3"/>
            <w:shd w:val="clear" w:color="auto" w:fill="CCEEFF"/>
          </w:tcPr>
          <w:p>
            <w:pPr>
              <w:spacing w:after="0"/>
              <w:rPr>
                <w:sz w:val="15"/>
                <w:szCs w:val="15"/>
                <w:color w:val="auto"/>
              </w:rPr>
            </w:pPr>
          </w:p>
        </w:tc>
        <w:tc>
          <w:tcPr>
            <w:tcW w:w="3740" w:type="dxa"/>
            <w:vAlign w:val="bottom"/>
            <w:shd w:val="clear" w:color="auto" w:fill="CCEEFF"/>
          </w:tcPr>
          <w:p>
            <w:pPr>
              <w:jc w:val="right"/>
              <w:ind w:right="1716"/>
              <w:spacing w:after="0"/>
              <w:rPr>
                <w:sz w:val="20"/>
                <w:szCs w:val="20"/>
                <w:color w:val="auto"/>
              </w:rPr>
            </w:pPr>
            <w:r>
              <w:rPr>
                <w:rFonts w:ascii="Arial" w:cs="Arial" w:eastAsia="Arial" w:hAnsi="Arial"/>
                <w:sz w:val="13"/>
                <w:szCs w:val="13"/>
                <w:color w:val="auto"/>
              </w:rPr>
              <w:t>10%</w:t>
            </w:r>
          </w:p>
        </w:tc>
      </w:tr>
      <w:tr>
        <w:trPr>
          <w:trHeight w:val="166"/>
        </w:trPr>
        <w:tc>
          <w:tcPr>
            <w:tcW w:w="3720" w:type="dxa"/>
            <w:vAlign w:val="bottom"/>
          </w:tcPr>
          <w:p>
            <w:pPr>
              <w:jc w:val="center"/>
              <w:spacing w:after="0"/>
              <w:rPr>
                <w:sz w:val="20"/>
                <w:szCs w:val="20"/>
                <w:color w:val="auto"/>
              </w:rPr>
            </w:pPr>
            <w:r>
              <w:rPr>
                <w:rFonts w:ascii="Arial" w:cs="Arial" w:eastAsia="Arial" w:hAnsi="Arial"/>
                <w:sz w:val="13"/>
                <w:szCs w:val="13"/>
                <w:color w:val="auto"/>
                <w:w w:val="96"/>
              </w:rPr>
              <w:t>Dividend yield</w:t>
            </w:r>
          </w:p>
        </w:tc>
        <w:tc>
          <w:tcPr>
            <w:tcW w:w="3820" w:type="dxa"/>
            <w:vAlign w:val="bottom"/>
            <w:gridSpan w:val="4"/>
          </w:tcPr>
          <w:p>
            <w:pPr>
              <w:jc w:val="right"/>
              <w:ind w:right="1756"/>
              <w:spacing w:after="0"/>
              <w:rPr>
                <w:sz w:val="20"/>
                <w:szCs w:val="20"/>
                <w:color w:val="auto"/>
              </w:rPr>
            </w:pPr>
            <w:r>
              <w:rPr>
                <w:rFonts w:ascii="Arial" w:cs="Arial" w:eastAsia="Arial" w:hAnsi="Arial"/>
                <w:sz w:val="13"/>
                <w:szCs w:val="13"/>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4" w:name="page95"/>
    <w:bookmarkEnd w:id="9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stock options for the years ended December 31, 2021 and 2020:</w:t>
      </w: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Weighted Average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Weighted 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right"/>
              <w:ind w:right="196"/>
              <w:spacing w:after="0"/>
              <w:rPr>
                <w:sz w:val="20"/>
                <w:szCs w:val="20"/>
                <w:color w:val="auto"/>
              </w:rPr>
            </w:pPr>
            <w:r>
              <w:rPr>
                <w:rFonts w:ascii="Arial" w:cs="Arial" w:eastAsia="Arial" w:hAnsi="Arial"/>
                <w:sz w:val="13"/>
                <w:szCs w:val="13"/>
                <w:b w:val="1"/>
                <w:bCs w:val="1"/>
                <w:color w:val="auto"/>
              </w:rPr>
              <w:t>Remaining</w:t>
            </w:r>
          </w:p>
        </w:tc>
        <w:tc>
          <w:tcPr>
            <w:tcW w:w="40" w:type="dxa"/>
            <w:vAlign w:val="bottom"/>
          </w:tcPr>
          <w:p>
            <w:pPr>
              <w:spacing w:after="0"/>
              <w:rPr>
                <w:sz w:val="12"/>
                <w:szCs w:val="12"/>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b w:val="1"/>
                <w:bCs w:val="1"/>
                <w:color w:val="auto"/>
              </w:rPr>
              <w:t>Aggregate Intrinsic</w:t>
            </w:r>
          </w:p>
        </w:tc>
      </w:tr>
      <w:tr>
        <w:trPr>
          <w:trHeight w:val="153"/>
        </w:trPr>
        <w:tc>
          <w:tcPr>
            <w:tcW w:w="40" w:type="dxa"/>
            <w:vAlign w:val="bottom"/>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Stock Options</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8"/>
              </w:rPr>
              <w:t>Exercise Price</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Contractual Years</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January 1, 2021</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339,667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Granted</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620,000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2021</w:t>
            </w:r>
          </w:p>
        </w:tc>
        <w:tc>
          <w:tcPr>
            <w:tcW w:w="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959,667</w:t>
            </w:r>
          </w:p>
        </w:tc>
        <w:tc>
          <w:tcPr>
            <w:tcW w:w="1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10.87</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1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2840" w:type="dxa"/>
            <w:vAlign w:val="bottom"/>
            <w:gridSpan w:val="3"/>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2840" w:type="dxa"/>
            <w:vAlign w:val="bottom"/>
            <w:gridSpan w:val="3"/>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080" w:type="dxa"/>
            <w:vAlign w:val="bottom"/>
          </w:tcPr>
          <w:p>
            <w:pPr>
              <w:spacing w:after="0"/>
              <w:rPr>
                <w:sz w:val="10"/>
                <w:szCs w:val="10"/>
                <w:color w:val="auto"/>
              </w:rPr>
            </w:pPr>
          </w:p>
        </w:tc>
        <w:tc>
          <w:tcPr>
            <w:tcW w:w="1220" w:type="dxa"/>
            <w:vAlign w:val="bottom"/>
            <w:gridSpan w:val="4"/>
          </w:tcPr>
          <w:p>
            <w:pPr>
              <w:spacing w:after="0"/>
              <w:rPr>
                <w:sz w:val="10"/>
                <w:szCs w:val="10"/>
                <w:color w:val="auto"/>
              </w:rPr>
            </w:pPr>
          </w:p>
        </w:tc>
        <w:tc>
          <w:tcPr>
            <w:tcW w:w="30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0" w:type="dxa"/>
            <w:vAlign w:val="bottom"/>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Exercisable at December 31, 2021</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319,667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40" w:type="dxa"/>
            <w:vAlign w:val="bottom"/>
            <w:gridSpan w:val="2"/>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20" w:type="dxa"/>
            <w:vAlign w:val="bottom"/>
            <w:shd w:val="clear" w:color="auto" w:fill="CCEEFF"/>
          </w:tcPr>
          <w:p>
            <w:pPr>
              <w:spacing w:after="0"/>
              <w:rPr>
                <w:sz w:val="14"/>
                <w:szCs w:val="14"/>
                <w:color w:val="auto"/>
              </w:rPr>
            </w:pPr>
          </w:p>
        </w:tc>
      </w:tr>
      <w:tr>
        <w:trPr>
          <w:trHeight w:val="171"/>
        </w:trPr>
        <w:tc>
          <w:tcPr>
            <w:tcW w:w="284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January 1, 2020</w:t>
            </w:r>
            <w:r>
              <w:rPr>
                <w:rFonts w:ascii="Arial" w:cs="Arial" w:eastAsia="Arial" w:hAnsi="Arial"/>
                <w:sz w:val="7"/>
                <w:szCs w:val="7"/>
                <w:color w:val="auto"/>
              </w:rPr>
              <w:t>(1)</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365,667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40" w:type="dxa"/>
            <w:vAlign w:val="bottom"/>
            <w:gridSpan w:val="2"/>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Exercised</w:t>
            </w:r>
          </w:p>
        </w:tc>
        <w:tc>
          <w:tcPr>
            <w:tcW w:w="1160" w:type="dxa"/>
            <w:vAlign w:val="bottom"/>
          </w:tcPr>
          <w:p>
            <w:pPr>
              <w:jc w:val="right"/>
              <w:spacing w:after="0"/>
              <w:rPr>
                <w:sz w:val="20"/>
                <w:szCs w:val="20"/>
                <w:color w:val="auto"/>
              </w:rPr>
            </w:pPr>
            <w:r>
              <w:rPr>
                <w:rFonts w:ascii="Arial" w:cs="Arial" w:eastAsia="Arial" w:hAnsi="Arial"/>
                <w:sz w:val="13"/>
                <w:szCs w:val="13"/>
                <w:color w:val="auto"/>
              </w:rPr>
              <w:t>(2,000)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Forfeited</w:t>
            </w:r>
          </w:p>
        </w:tc>
        <w:tc>
          <w:tcPr>
            <w:tcW w:w="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1"/>
        </w:trPr>
        <w:tc>
          <w:tcPr>
            <w:tcW w:w="2840" w:type="dxa"/>
            <w:vAlign w:val="bottom"/>
            <w:gridSpan w:val="3"/>
          </w:tcPr>
          <w:p>
            <w:pPr>
              <w:spacing w:after="0"/>
              <w:rPr>
                <w:sz w:val="20"/>
                <w:szCs w:val="20"/>
                <w:color w:val="auto"/>
              </w:rPr>
            </w:pPr>
            <w:r>
              <w:rPr>
                <w:rFonts w:ascii="Arial" w:cs="Arial" w:eastAsia="Arial" w:hAnsi="Arial"/>
                <w:sz w:val="13"/>
                <w:szCs w:val="13"/>
                <w:color w:val="auto"/>
              </w:rPr>
              <w:t>Balance at December 31, 2020</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339,667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9.37</w:t>
            </w:r>
          </w:p>
        </w:tc>
        <w:tc>
          <w:tcPr>
            <w:tcW w:w="1220" w:type="dxa"/>
            <w:vAlign w:val="bottom"/>
            <w:gridSpan w:val="4"/>
          </w:tcPr>
          <w:p>
            <w:pPr>
              <w:jc w:val="right"/>
              <w:spacing w:after="0"/>
              <w:rPr>
                <w:sz w:val="20"/>
                <w:szCs w:val="20"/>
                <w:color w:val="auto"/>
              </w:rPr>
            </w:pPr>
            <w:r>
              <w:rPr>
                <w:rFonts w:ascii="Arial" w:cs="Arial" w:eastAsia="Arial" w:hAnsi="Arial"/>
                <w:sz w:val="13"/>
                <w:szCs w:val="13"/>
                <w:color w:val="auto"/>
              </w:rPr>
              <w:t>7.1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27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87"/>
        </w:trPr>
        <w:tc>
          <w:tcPr>
            <w:tcW w:w="2840" w:type="dxa"/>
            <w:vAlign w:val="bottom"/>
            <w:gridSpan w:val="3"/>
          </w:tcPr>
          <w:p>
            <w:pPr>
              <w:spacing w:after="0"/>
              <w:rPr>
                <w:sz w:val="20"/>
                <w:szCs w:val="20"/>
                <w:color w:val="auto"/>
              </w:rPr>
            </w:pPr>
            <w:r>
              <w:rPr>
                <w:rFonts w:ascii="Arial" w:cs="Arial" w:eastAsia="Arial" w:hAnsi="Arial"/>
                <w:sz w:val="13"/>
                <w:szCs w:val="13"/>
                <w:color w:val="auto"/>
              </w:rPr>
              <w:t>Exercisable at December 31, 2020</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242,333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8.71</w:t>
            </w:r>
          </w:p>
        </w:tc>
        <w:tc>
          <w:tcPr>
            <w:tcW w:w="1220" w:type="dxa"/>
            <w:vAlign w:val="bottom"/>
            <w:gridSpan w:val="4"/>
          </w:tcPr>
          <w:p>
            <w:pPr>
              <w:jc w:val="right"/>
              <w:spacing w:after="0"/>
              <w:rPr>
                <w:sz w:val="20"/>
                <w:szCs w:val="20"/>
                <w:color w:val="auto"/>
              </w:rPr>
            </w:pPr>
            <w:r>
              <w:rPr>
                <w:rFonts w:ascii="Arial" w:cs="Arial" w:eastAsia="Arial" w:hAnsi="Arial"/>
                <w:sz w:val="13"/>
                <w:szCs w:val="13"/>
                <w:color w:val="auto"/>
              </w:rPr>
              <w:t>6.6</w:t>
            </w:r>
          </w:p>
        </w:tc>
        <w:tc>
          <w:tcPr>
            <w:tcW w:w="30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208</w:t>
            </w:r>
          </w:p>
        </w:tc>
        <w:tc>
          <w:tcPr>
            <w:tcW w:w="20" w:type="dxa"/>
            <w:vAlign w:val="bottom"/>
          </w:tcPr>
          <w:p>
            <w:pPr>
              <w:spacing w:after="0"/>
              <w:rPr>
                <w:sz w:val="16"/>
                <w:szCs w:val="16"/>
                <w:color w:val="auto"/>
              </w:rPr>
            </w:pPr>
          </w:p>
        </w:tc>
      </w:tr>
    </w:tbl>
    <w:p>
      <w:pPr>
        <w:spacing w:after="0" w:line="168" w:lineRule="exact"/>
        <w:rPr>
          <w:sz w:val="20"/>
          <w:szCs w:val="20"/>
          <w:color w:val="auto"/>
        </w:rPr>
      </w:pPr>
    </w:p>
    <w:p>
      <w:pPr>
        <w:ind w:left="620" w:right="779"/>
        <w:spacing w:after="0" w:line="263" w:lineRule="auto"/>
        <w:tabs>
          <w:tab w:leader="none" w:pos="824" w:val="left"/>
        </w:tabs>
        <w:numPr>
          <w:ilvl w:val="0"/>
          <w:numId w:val="40"/>
        </w:numPr>
        <w:rPr>
          <w:rFonts w:ascii="Arial" w:cs="Arial" w:eastAsia="Arial" w:hAnsi="Arial"/>
          <w:sz w:val="11"/>
          <w:szCs w:val="11"/>
          <w:color w:val="auto"/>
        </w:rPr>
      </w:pPr>
      <w:r>
        <w:rPr>
          <w:rFonts w:ascii="Arial" w:cs="Arial" w:eastAsia="Arial" w:hAnsi="Arial"/>
          <w:sz w:val="11"/>
          <w:szCs w:val="11"/>
          <w:color w:val="auto"/>
        </w:rPr>
        <w:t>Class A common stock outstanding and additional paid-in-capital for December 31, 2020 were adjusted to reflect the 1 for 5 reverse stock split. See Note 13 "Stockholders' Equity" for further discussion on the stock split.</w:t>
      </w:r>
    </w:p>
    <w:p>
      <w:pPr>
        <w:spacing w:after="0" w:line="232"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aggregate intrinsic value in the table above represents the total pre-tax intrinsic value (the difference between the valuation of the Company’s stock and the exercise price, multiplied by the number of options considered in-the-money) that would have been received by the option holders had all option holders exercised their options.</w:t>
      </w:r>
    </w:p>
    <w:p>
      <w:pPr>
        <w:spacing w:after="0" w:line="142"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The weighted average fair value of options granted for the years ended December 31, 2021 and 2020 was $ 2.32 and $0.00, respectively.</w:t>
      </w:r>
    </w:p>
    <w:p>
      <w:pPr>
        <w:spacing w:after="0" w:line="113" w:lineRule="exact"/>
        <w:rPr>
          <w:sz w:val="20"/>
          <w:szCs w:val="20"/>
          <w:color w:val="auto"/>
        </w:rPr>
      </w:pPr>
    </w:p>
    <w:p>
      <w:pPr>
        <w:ind w:left="1040" w:hanging="398"/>
        <w:spacing w:after="0"/>
        <w:tabs>
          <w:tab w:leader="none" w:pos="104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20"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47"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December 31, 2021 and 2020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134,877</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107,553</w:t>
            </w:r>
          </w:p>
        </w:tc>
        <w:tc>
          <w:tcPr>
            <w:tcW w:w="20" w:type="dxa"/>
            <w:vAlign w:val="bottom"/>
            <w:shd w:val="clear" w:color="auto" w:fill="CCEEFF"/>
          </w:tcPr>
          <w:p>
            <w:pPr>
              <w:spacing w:after="0"/>
              <w:rPr>
                <w:sz w:val="13"/>
                <w:szCs w:val="13"/>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6,420</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1,813</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141,297</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109,366</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53"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5" w:name="page96"/>
    <w:bookmarkEnd w:id="9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127" w:lineRule="exact"/>
        <w:rPr>
          <w:sz w:val="20"/>
          <w:szCs w:val="20"/>
          <w:color w:val="auto"/>
        </w:rPr>
      </w:pPr>
    </w:p>
    <w:p>
      <w:pPr>
        <w:ind w:left="1040" w:hanging="398"/>
        <w:spacing w:after="0"/>
        <w:tabs>
          <w:tab w:leader="none" w:pos="10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2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utilizes interest rate swap agreements as part of its asset 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56"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The Company enters into interest rate swaps with its loan customers. The Company had 18 and 15 interest rate swaps with loan customers with a notional amount of $39.2 million and $30.6 million at December 31, 2021 and 2020, respectively. These interest rate swaps have a maturity date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it does not qualify as hedges for accounting purposes.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Company’s customer related interest rate swaps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9"/>
              </w:rPr>
              <w:t>Notional</w:t>
            </w:r>
          </w:p>
        </w:tc>
        <w:tc>
          <w:tcPr>
            <w:tcW w:w="60" w:type="dxa"/>
            <w:vAlign w:val="bottom"/>
          </w:tcPr>
          <w:p>
            <w:pPr>
              <w:spacing w:after="0"/>
              <w:rPr>
                <w:sz w:val="13"/>
                <w:szCs w:val="13"/>
                <w:color w:val="auto"/>
              </w:rPr>
            </w:pPr>
          </w:p>
        </w:tc>
        <w:tc>
          <w:tcPr>
            <w:tcW w:w="72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Balance Sheet Location</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Asset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Liability</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shd w:val="clear" w:color="auto" w:fill="CCEEFF"/>
          </w:tcPr>
          <w:p>
            <w:pPr>
              <w:jc w:val="right"/>
              <w:ind w:right="1796"/>
              <w:spacing w:after="0"/>
              <w:rPr>
                <w:sz w:val="20"/>
                <w:szCs w:val="20"/>
                <w:color w:val="auto"/>
              </w:rPr>
            </w:pPr>
            <w:r>
              <w:rPr>
                <w:rFonts w:ascii="Arial" w:cs="Arial" w:eastAsia="Arial" w:hAnsi="Arial"/>
                <w:sz w:val="13"/>
                <w:szCs w:val="13"/>
                <w:b w:val="1"/>
                <w:bCs w:val="1"/>
                <w:color w:val="auto"/>
                <w:w w:val="93"/>
              </w:rPr>
              <w:t>December 31, 2021: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39,156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1,260</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020" w:type="dxa"/>
            <w:vAlign w:val="bottom"/>
          </w:tcPr>
          <w:p>
            <w:pPr>
              <w:jc w:val="right"/>
              <w:ind w:right="1796"/>
              <w:spacing w:after="0"/>
              <w:rPr>
                <w:sz w:val="20"/>
                <w:szCs w:val="20"/>
                <w:color w:val="auto"/>
              </w:rPr>
            </w:pPr>
            <w:r>
              <w:rPr>
                <w:rFonts w:ascii="Arial" w:cs="Arial" w:eastAsia="Arial" w:hAnsi="Arial"/>
                <w:sz w:val="13"/>
                <w:szCs w:val="13"/>
                <w:b w:val="1"/>
                <w:bCs w:val="1"/>
                <w:color w:val="auto"/>
                <w:w w:val="93"/>
              </w:rPr>
              <w:t>December 31, 2020: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020" w:type="dxa"/>
            <w:vAlign w:val="bottom"/>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30,611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260</w:t>
            </w:r>
          </w:p>
        </w:tc>
        <w:tc>
          <w:tcPr>
            <w:tcW w:w="1660" w:type="dxa"/>
            <w:vAlign w:val="bottom"/>
            <w:gridSpan w:val="2"/>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040" w:hanging="398"/>
        <w:spacing w:after="0"/>
        <w:tabs>
          <w:tab w:leader="none" w:pos="104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Determination of Fair Value</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5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6" w:name="page97"/>
    <w:bookmarkEnd w:id="9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Fair Value Hierarchy</w:t>
      </w:r>
    </w:p>
    <w:p>
      <w:pPr>
        <w:spacing w:after="0" w:line="188"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40"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21" w:lineRule="exact"/>
        <w:rPr>
          <w:sz w:val="20"/>
          <w:szCs w:val="20"/>
          <w:color w:val="auto"/>
        </w:rPr>
      </w:pPr>
    </w:p>
    <w:p>
      <w:pPr>
        <w:jc w:val="both"/>
        <w:ind w:left="1160" w:right="719"/>
        <w:spacing w:after="0" w:line="257"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5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4"/>
          <w:szCs w:val="14"/>
          <w:color w:val="auto"/>
        </w:rPr>
        <w:t>When instruments are traded in secondary markets and quoted market prices do not exist for</w:t>
      </w:r>
      <w:r>
        <w:rPr>
          <w:rFonts w:ascii="Arial" w:cs="Arial" w:eastAsia="Arial" w:hAnsi="Arial"/>
          <w:sz w:val="14"/>
          <w:szCs w:val="14"/>
          <w:b w:val="1"/>
          <w:bCs w:val="1"/>
          <w:color w:val="auto"/>
        </w:rPr>
        <w:t xml:space="preserve"> </w:t>
      </w:r>
      <w:r>
        <w:rPr>
          <w:rFonts w:ascii="Arial" w:cs="Arial" w:eastAsia="Arial" w:hAnsi="Arial"/>
          <w:sz w:val="14"/>
          <w:szCs w:val="14"/>
          <w:color w:val="auto"/>
        </w:rPr>
        <w:t>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9" w:lineRule="exact"/>
        <w:rPr>
          <w:sz w:val="20"/>
          <w:szCs w:val="20"/>
          <w:color w:val="auto"/>
        </w:rPr>
      </w:pPr>
    </w:p>
    <w:p>
      <w:pPr>
        <w:jc w:val="both"/>
        <w:ind w:left="640" w:right="719" w:firstLine="256"/>
        <w:spacing w:after="0" w:line="279"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34"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following table represents the Company's assets measured at fair value on a recurring basis at December 31, 2021 and 2020 for each of the fair value hierarchy levels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ind w:left="20"/>
              <w:spacing w:after="0"/>
              <w:rPr>
                <w:sz w:val="20"/>
                <w:szCs w:val="20"/>
                <w:color w:val="auto"/>
              </w:rPr>
            </w:pPr>
            <w:r>
              <w:rPr>
                <w:rFonts w:ascii="Arial" w:cs="Arial" w:eastAsia="Arial" w:hAnsi="Arial"/>
                <w:sz w:val="13"/>
                <w:szCs w:val="13"/>
                <w:b w:val="1"/>
                <w:bCs w:val="1"/>
                <w:color w:val="auto"/>
              </w:rPr>
              <w:t>Level 1</w:t>
            </w:r>
          </w:p>
        </w:tc>
        <w:tc>
          <w:tcPr>
            <w:tcW w:w="620" w:type="dxa"/>
            <w:vAlign w:val="bottom"/>
          </w:tcPr>
          <w:p>
            <w:pPr>
              <w:jc w:val="right"/>
              <w:ind w:right="116"/>
              <w:spacing w:after="0"/>
              <w:rPr>
                <w:sz w:val="20"/>
                <w:szCs w:val="20"/>
                <w:color w:val="auto"/>
              </w:rPr>
            </w:pPr>
            <w:r>
              <w:rPr>
                <w:rFonts w:ascii="Arial" w:cs="Arial" w:eastAsia="Arial" w:hAnsi="Arial"/>
                <w:sz w:val="13"/>
                <w:szCs w:val="13"/>
                <w:b w:val="1"/>
                <w:bCs w:val="1"/>
                <w:color w:val="auto"/>
                <w:w w:val="95"/>
              </w:rPr>
              <w:t>Level 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5"/>
              </w:rPr>
              <w:t>Level 3</w:t>
            </w:r>
          </w:p>
        </w:tc>
        <w:tc>
          <w:tcPr>
            <w:tcW w:w="64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3"/>
                <w:szCs w:val="13"/>
                <w:b w:val="1"/>
                <w:bCs w:val="1"/>
                <w:color w:val="auto"/>
                <w:w w:val="95"/>
              </w:rPr>
              <w:t>Level 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U.S. Government Agency - SBA</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4"/>
          </w:tcPr>
          <w:p>
            <w:pPr>
              <w:ind w:left="30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10,520</w:t>
            </w:r>
          </w:p>
        </w:tc>
        <w:tc>
          <w:tcPr>
            <w:tcW w:w="280" w:type="dxa"/>
            <w:vAlign w:val="bottom"/>
            <w:gridSpan w:val="3"/>
          </w:tcPr>
          <w:p>
            <w:pPr>
              <w:jc w:val="right"/>
              <w:ind w:right="136"/>
              <w:spacing w:after="0"/>
              <w:rPr>
                <w:sz w:val="20"/>
                <w:szCs w:val="20"/>
                <w:color w:val="auto"/>
              </w:rPr>
            </w:pPr>
            <w:r>
              <w:rPr>
                <w:rFonts w:ascii="Arial" w:cs="Arial" w:eastAsia="Arial" w:hAnsi="Arial"/>
                <w:sz w:val="13"/>
                <w:szCs w:val="13"/>
                <w:color w:val="auto"/>
                <w:w w:val="82"/>
              </w:rPr>
              <w:t>$</w:t>
            </w:r>
          </w:p>
        </w:tc>
        <w:tc>
          <w:tcPr>
            <w:tcW w:w="38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10,520</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1,552</w:t>
            </w:r>
          </w:p>
        </w:tc>
        <w:tc>
          <w:tcPr>
            <w:tcW w:w="280" w:type="dxa"/>
            <w:vAlign w:val="bottom"/>
            <w:gridSpan w:val="3"/>
          </w:tcPr>
          <w:p>
            <w:pPr>
              <w:jc w:val="right"/>
              <w:ind w:right="136"/>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1,552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U.S. Government Agency</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20,032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20,032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Collateralized mortgage obligations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156,829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156,829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104,650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104,650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9"/>
              </w:rPr>
              <w:t>Mortgage-backed securities - Residential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118,842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81,301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81,301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w w:val="98"/>
              </w:rPr>
              <w:t>Mortgage-backed securities - Commercial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50,117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50,117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48,331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48,331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Municipal Securities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24,276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24,211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Bank subordinated debt securities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28,408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28,408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24,630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24,630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Corporate Bond</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12,550</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29,615</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29,615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00" w:type="dxa"/>
            <w:vAlign w:val="bottom"/>
            <w:gridSpan w:val="2"/>
          </w:tcPr>
          <w:p>
            <w:pPr>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401,542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401,542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334,322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334,322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Total assets at fair value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4"/>
          </w:tcPr>
          <w:p>
            <w:pPr>
              <w:ind w:left="30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402,976</w:t>
            </w:r>
          </w:p>
        </w:tc>
        <w:tc>
          <w:tcPr>
            <w:tcW w:w="280" w:type="dxa"/>
            <w:vAlign w:val="bottom"/>
            <w:gridSpan w:val="3"/>
          </w:tcPr>
          <w:p>
            <w:pPr>
              <w:jc w:val="right"/>
              <w:ind w:right="136"/>
              <w:spacing w:after="0"/>
              <w:rPr>
                <w:sz w:val="20"/>
                <w:szCs w:val="20"/>
                <w:color w:val="auto"/>
              </w:rPr>
            </w:pPr>
            <w:r>
              <w:rPr>
                <w:rFonts w:ascii="Arial" w:cs="Arial" w:eastAsia="Arial" w:hAnsi="Arial"/>
                <w:sz w:val="13"/>
                <w:szCs w:val="13"/>
                <w:color w:val="auto"/>
                <w:w w:val="82"/>
              </w:rPr>
              <w:t>$</w:t>
            </w:r>
          </w:p>
        </w:tc>
        <w:tc>
          <w:tcPr>
            <w:tcW w:w="38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402,976</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334,822</w:t>
            </w:r>
          </w:p>
        </w:tc>
        <w:tc>
          <w:tcPr>
            <w:tcW w:w="280" w:type="dxa"/>
            <w:vAlign w:val="bottom"/>
            <w:gridSpan w:val="3"/>
          </w:tcPr>
          <w:p>
            <w:pPr>
              <w:jc w:val="right"/>
              <w:ind w:right="136"/>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334,822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Derivative liabilities</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40" w:type="dxa"/>
            <w:vAlign w:val="bottom"/>
            <w:gridSpan w:val="4"/>
            <w:shd w:val="clear" w:color="auto" w:fill="CCEEFF"/>
          </w:tcPr>
          <w:p>
            <w:pPr>
              <w:ind w:left="300"/>
              <w:spacing w:after="0" w:line="121" w:lineRule="exact"/>
              <w:rPr>
                <w:sz w:val="20"/>
                <w:szCs w:val="20"/>
                <w:color w:val="auto"/>
              </w:rPr>
            </w:pPr>
            <w:r>
              <w:rPr>
                <w:rFonts w:ascii="Arial" w:cs="Arial" w:eastAsia="Arial" w:hAnsi="Arial"/>
                <w:sz w:val="13"/>
                <w:szCs w:val="13"/>
                <w:color w:val="auto"/>
              </w:rPr>
              <w:t>- $</w:t>
            </w:r>
          </w:p>
        </w:tc>
        <w:tc>
          <w:tcPr>
            <w:tcW w:w="620" w:type="dxa"/>
            <w:vAlign w:val="bottom"/>
            <w:tcBorders>
              <w:right w:val="single" w:sz="8" w:color="CCEEFF"/>
            </w:tcBorders>
            <w:shd w:val="clear" w:color="auto" w:fill="CCEEFF"/>
          </w:tcPr>
          <w:p>
            <w:pPr>
              <w:jc w:val="right"/>
              <w:ind w:right="16"/>
              <w:spacing w:after="0" w:line="121" w:lineRule="exact"/>
              <w:rPr>
                <w:sz w:val="20"/>
                <w:szCs w:val="20"/>
                <w:color w:val="auto"/>
              </w:rPr>
            </w:pPr>
            <w:r>
              <w:rPr>
                <w:rFonts w:ascii="Arial" w:cs="Arial" w:eastAsia="Arial" w:hAnsi="Arial"/>
                <w:sz w:val="13"/>
                <w:szCs w:val="13"/>
                <w:color w:val="auto"/>
              </w:rPr>
              <w:t>1,434</w:t>
            </w:r>
          </w:p>
        </w:tc>
        <w:tc>
          <w:tcPr>
            <w:tcW w:w="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36"/>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16"/>
              <w:spacing w:after="0" w:line="121" w:lineRule="exact"/>
              <w:rPr>
                <w:sz w:val="20"/>
                <w:szCs w:val="20"/>
                <w:color w:val="auto"/>
              </w:rPr>
            </w:pPr>
            <w:r>
              <w:rPr>
                <w:rFonts w:ascii="Arial" w:cs="Arial" w:eastAsia="Arial" w:hAnsi="Arial"/>
                <w:sz w:val="13"/>
                <w:szCs w:val="13"/>
                <w:color w:val="auto"/>
              </w:rPr>
              <w:t>1,434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shd w:val="clear" w:color="auto" w:fill="CCEEFF"/>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36"/>
              <w:spacing w:after="0"/>
              <w:rPr>
                <w:sz w:val="20"/>
                <w:szCs w:val="20"/>
                <w:color w:val="auto"/>
              </w:rPr>
            </w:pPr>
            <w:r>
              <w:rPr>
                <w:rFonts w:ascii="Arial" w:cs="Arial" w:eastAsia="Arial" w:hAnsi="Arial"/>
                <w:sz w:val="10"/>
                <w:szCs w:val="10"/>
                <w:color w:val="auto"/>
                <w:w w:val="71"/>
              </w:rPr>
              <w:t>$</w:t>
            </w:r>
          </w:p>
        </w:tc>
        <w:tc>
          <w:tcPr>
            <w:tcW w:w="280" w:type="dxa"/>
            <w:vAlign w:val="bottom"/>
            <w:tcBorders>
              <w:right w:val="single" w:sz="8" w:color="CCEEFF"/>
            </w:tcBorders>
            <w:shd w:val="clear" w:color="auto" w:fill="CCEEFF"/>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liabilities at fair value</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500" w:type="dxa"/>
            <w:vAlign w:val="bottom"/>
            <w:gridSpan w:val="2"/>
            <w:vMerge w:val="continue"/>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4"/>
          </w:tcPr>
          <w:p>
            <w:pPr>
              <w:ind w:left="300"/>
              <w:spacing w:after="0"/>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1,434</w:t>
            </w:r>
          </w:p>
        </w:tc>
        <w:tc>
          <w:tcPr>
            <w:tcW w:w="280" w:type="dxa"/>
            <w:vAlign w:val="bottom"/>
            <w:gridSpan w:val="3"/>
          </w:tcPr>
          <w:p>
            <w:pPr>
              <w:jc w:val="right"/>
              <w:ind w:right="136"/>
              <w:spacing w:after="0"/>
              <w:rPr>
                <w:sz w:val="20"/>
                <w:szCs w:val="20"/>
                <w:color w:val="auto"/>
              </w:rPr>
            </w:pPr>
            <w:r>
              <w:rPr>
                <w:rFonts w:ascii="Arial" w:cs="Arial" w:eastAsia="Arial" w:hAnsi="Arial"/>
                <w:sz w:val="13"/>
                <w:szCs w:val="13"/>
                <w:color w:val="auto"/>
                <w:w w:val="82"/>
              </w:rPr>
              <w:t>$</w:t>
            </w:r>
          </w:p>
        </w:tc>
        <w:tc>
          <w:tcPr>
            <w:tcW w:w="38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1,434</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500</w:t>
            </w:r>
          </w:p>
        </w:tc>
        <w:tc>
          <w:tcPr>
            <w:tcW w:w="280" w:type="dxa"/>
            <w:vAlign w:val="bottom"/>
            <w:gridSpan w:val="3"/>
          </w:tcPr>
          <w:p>
            <w:pPr>
              <w:jc w:val="right"/>
              <w:ind w:right="136"/>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7" w:name="page98"/>
    <w:bookmarkEnd w:id="97"/>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b w:val="1"/>
          <w:bCs w:val="1"/>
          <w:color w:val="auto"/>
        </w:rPr>
        <w:t xml:space="preserve">Impaired Loans: </w:t>
      </w:r>
      <w:r>
        <w:rPr>
          <w:rFonts w:ascii="Arial" w:cs="Arial" w:eastAsia="Arial" w:hAnsi="Arial"/>
          <w:sz w:val="14"/>
          <w:szCs w:val="14"/>
          <w:color w:val="auto"/>
        </w:rPr>
        <w:t>At December 31, 2021 and 2020, in accordance with provisions of the loan impairment guidance,</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 loans with a carrying amount of approximately $4.4 million and $5.8 million, respectively, were written down to their fair value of approximately $4.0 million and $5.4 million, respectively, resulting in an impairment charge of $360 thousand and $453 thousand, respectively, which was included in the allowance for credit losses at December 31, 2021 and 2020, respectively. Loans applicable to write-downs, or impaired loans, are estimated using the present value of expected cash flows or the appraised value of the underlying collateral discounted as necessary due to management's estimates of changes in economic conditions are considered a Level 3 valuation.</w:t>
      </w:r>
    </w:p>
    <w:p>
      <w:pPr>
        <w:spacing w:after="0" w:line="128" w:lineRule="exact"/>
        <w:rPr>
          <w:sz w:val="20"/>
          <w:szCs w:val="20"/>
          <w:color w:val="auto"/>
        </w:rPr>
      </w:pPr>
    </w:p>
    <w:p>
      <w:pPr>
        <w:jc w:val="both"/>
        <w:ind w:left="640" w:right="69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are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156"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December 31, 2021 and 2020 for each of the fair value hierarchy levels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December 31, 2021:</w:t>
            </w:r>
          </w:p>
        </w:tc>
        <w:tc>
          <w:tcPr>
            <w:tcW w:w="1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3,990</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3,990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5,366</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December 31, 2021 and 2020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36"/>
              <w:spacing w:after="0"/>
              <w:rPr>
                <w:sz w:val="20"/>
                <w:szCs w:val="20"/>
                <w:color w:val="auto"/>
              </w:rPr>
            </w:pPr>
            <w:r>
              <w:rPr>
                <w:rFonts w:ascii="Arial" w:cs="Arial" w:eastAsia="Arial" w:hAnsi="Arial"/>
                <w:sz w:val="13"/>
                <w:szCs w:val="13"/>
                <w:b w:val="1"/>
                <w:bCs w:val="1"/>
                <w:color w:val="auto"/>
                <w:w w:val="96"/>
              </w:rPr>
              <w:t>Fair Value</w:t>
            </w:r>
          </w:p>
        </w:tc>
        <w:tc>
          <w:tcPr>
            <w:tcW w:w="1760" w:type="dxa"/>
            <w:vAlign w:val="bottom"/>
          </w:tcPr>
          <w:p>
            <w:pPr>
              <w:ind w:left="140"/>
              <w:spacing w:after="0"/>
              <w:rPr>
                <w:sz w:val="20"/>
                <w:szCs w:val="20"/>
                <w:color w:val="auto"/>
              </w:rPr>
            </w:pPr>
            <w:r>
              <w:rPr>
                <w:rFonts w:ascii="Arial" w:cs="Arial" w:eastAsia="Arial" w:hAnsi="Arial"/>
                <w:sz w:val="13"/>
                <w:szCs w:val="13"/>
                <w:b w:val="1"/>
                <w:bCs w:val="1"/>
                <w:color w:val="auto"/>
              </w:rPr>
              <w:t>Valuation Techniqu e(s)</w:t>
            </w:r>
          </w:p>
        </w:tc>
        <w:tc>
          <w:tcPr>
            <w:tcW w:w="60" w:type="dxa"/>
            <w:vAlign w:val="bottom"/>
          </w:tcPr>
          <w:p>
            <w:pPr>
              <w:spacing w:after="0"/>
              <w:rPr>
                <w:sz w:val="14"/>
                <w:szCs w:val="14"/>
                <w:color w:val="auto"/>
              </w:rPr>
            </w:pPr>
          </w:p>
        </w:tc>
        <w:tc>
          <w:tcPr>
            <w:tcW w:w="3320" w:type="dxa"/>
            <w:vAlign w:val="bottom"/>
            <w:gridSpan w:val="2"/>
          </w:tcPr>
          <w:p>
            <w:pPr>
              <w:ind w:left="940"/>
              <w:spacing w:after="0"/>
              <w:rPr>
                <w:sz w:val="20"/>
                <w:szCs w:val="20"/>
                <w:color w:val="auto"/>
              </w:rPr>
            </w:pPr>
            <w:r>
              <w:rPr>
                <w:rFonts w:ascii="Arial" w:cs="Arial" w:eastAsia="Arial" w:hAnsi="Arial"/>
                <w:sz w:val="13"/>
                <w:szCs w:val="13"/>
                <w:b w:val="1"/>
                <w:bCs w:val="1"/>
                <w:color w:val="auto"/>
              </w:rPr>
              <w:t>Unobservable Input(s)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3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80" w:type="dxa"/>
            <w:vAlign w:val="bottom"/>
            <w:gridSpan w:val="3"/>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3,807</w:t>
            </w:r>
          </w:p>
        </w:tc>
        <w:tc>
          <w:tcPr>
            <w:tcW w:w="1760" w:type="dxa"/>
            <w:vAlign w:val="bottom"/>
          </w:tcPr>
          <w:p>
            <w:pPr>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Adj. for differences between comparable sales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70</w:t>
            </w: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171"/>
        </w:trPr>
        <w:tc>
          <w:tcPr>
            <w:tcW w:w="15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113</w:t>
            </w:r>
          </w:p>
        </w:tc>
        <w:tc>
          <w:tcPr>
            <w:tcW w:w="1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Total impaired loans</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3,990</w:t>
            </w: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15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80" w:type="dxa"/>
            <w:vAlign w:val="bottom"/>
            <w:gridSpan w:val="3"/>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5,119</w:t>
            </w:r>
          </w:p>
        </w:tc>
        <w:tc>
          <w:tcPr>
            <w:tcW w:w="1760" w:type="dxa"/>
            <w:vAlign w:val="bottom"/>
          </w:tcPr>
          <w:p>
            <w:pPr>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Adj. for differences between comparable sales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94</w:t>
            </w: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171"/>
        </w:trPr>
        <w:tc>
          <w:tcPr>
            <w:tcW w:w="15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153</w:t>
            </w:r>
          </w:p>
        </w:tc>
        <w:tc>
          <w:tcPr>
            <w:tcW w:w="1760" w:type="dxa"/>
            <w:vAlign w:val="bottom"/>
          </w:tcPr>
          <w:p>
            <w:pPr>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Total impaired loans</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5,366</w:t>
            </w: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There were no financial liabilities measured at fair value on a non-recurring basis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8" w:name="page99"/>
    <w:bookmarkEnd w:id="9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Not Measured at Fair Value</w:t>
      </w:r>
    </w:p>
    <w:p>
      <w:pPr>
        <w:spacing w:after="0" w:line="188"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carrying amounts and estimated fair values of financial instruments not carried at fair value, at December 31, 2021 and 2020 are as follows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rPr>
              <w:t>Fair Value Hierarchy</w:t>
            </w: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Fair Value</w:t>
            </w:r>
          </w:p>
        </w:tc>
      </w:tr>
      <w:tr>
        <w:trPr>
          <w:trHeight w:val="153"/>
        </w:trPr>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r>
      <w:tr>
        <w:trPr>
          <w:trHeight w:val="151"/>
        </w:trPr>
        <w:tc>
          <w:tcPr>
            <w:tcW w:w="40" w:type="dxa"/>
            <w:vAlign w:val="bottom"/>
          </w:tcPr>
          <w:p>
            <w:pPr>
              <w:spacing w:after="0"/>
              <w:rPr>
                <w:sz w:val="13"/>
                <w:szCs w:val="13"/>
                <w:color w:val="auto"/>
              </w:rPr>
            </w:pPr>
          </w:p>
        </w:tc>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Assets: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6,477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39,751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122,658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120,157</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120,157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1,175,024</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1,189,191</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1,189,191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5,975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1,222</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4,753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5,975</w:t>
            </w:r>
          </w:p>
        </w:tc>
        <w:tc>
          <w:tcPr>
            <w:tcW w:w="20" w:type="dxa"/>
            <w:vAlign w:val="bottom"/>
            <w:shd w:val="clear" w:color="auto" w:fill="CCEEFF"/>
          </w:tcPr>
          <w:p>
            <w:pPr>
              <w:spacing w:after="0"/>
              <w:rPr>
                <w:sz w:val="14"/>
                <w:szCs w:val="14"/>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605,425</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703,856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55,878</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Time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225,220</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224,688</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224,688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36,000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36,479</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36,479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96</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50</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46</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December 31, 2020: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9,828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9,828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9,828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37,906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37,906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37,906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1,023,418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1,046,782</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1,046,782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5,547</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874</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4,673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5,547</w:t>
            </w:r>
          </w:p>
        </w:tc>
        <w:tc>
          <w:tcPr>
            <w:tcW w:w="20" w:type="dxa"/>
            <w:vAlign w:val="bottom"/>
            <w:shd w:val="clear" w:color="auto" w:fill="CCEEFF"/>
          </w:tcPr>
          <w:p>
            <w:pPr>
              <w:spacing w:after="0"/>
              <w:rPr>
                <w:sz w:val="14"/>
                <w:szCs w:val="14"/>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442,467</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442,467</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442,467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527,373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527,373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527,373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45,132</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45,132</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45,132</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Time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258,430</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259,857</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259,857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36,000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37,543</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37,543</w:t>
            </w:r>
          </w:p>
        </w:tc>
        <w:tc>
          <w:tcPr>
            <w:tcW w:w="20" w:type="dxa"/>
            <w:vAlign w:val="bottom"/>
            <w:shd w:val="clear" w:color="auto" w:fill="CCEEFF"/>
          </w:tcPr>
          <w:p>
            <w:pPr>
              <w:spacing w:after="0"/>
              <w:rPr>
                <w:sz w:val="14"/>
                <w:szCs w:val="14"/>
                <w:color w:val="auto"/>
              </w:rPr>
            </w:pPr>
          </w:p>
        </w:tc>
      </w:tr>
      <w:tr>
        <w:trPr>
          <w:trHeight w:val="187"/>
        </w:trPr>
        <w:tc>
          <w:tcPr>
            <w:tcW w:w="40" w:type="dxa"/>
            <w:vAlign w:val="bottom"/>
          </w:tcPr>
          <w:p>
            <w:pPr>
              <w:spacing w:after="0"/>
              <w:rPr>
                <w:sz w:val="16"/>
                <w:szCs w:val="16"/>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156</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49</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107</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16"/>
                <w:szCs w:val="16"/>
                <w:color w:val="auto"/>
              </w:rPr>
            </w:pPr>
          </w:p>
        </w:tc>
      </w:tr>
    </w:tbl>
    <w:p>
      <w:pPr>
        <w:spacing w:after="0" w:line="136" w:lineRule="exact"/>
        <w:rPr>
          <w:sz w:val="20"/>
          <w:szCs w:val="20"/>
          <w:color w:val="auto"/>
        </w:rPr>
      </w:pPr>
    </w:p>
    <w:p>
      <w:pPr>
        <w:ind w:left="1040" w:hanging="398"/>
        <w:spacing w:after="0"/>
        <w:tabs>
          <w:tab w:leader="none" w:pos="104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Common Stock</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rights of the holders of Class A common stock and Class B common stock are the same, except for voting and conversion rights. Holders of Class A common stock are entitled to voting rights, while holders of Class B common stock have no voting rights. Shares of Class B common stock are convertible into shares of Class A common stock if sold or transferred.</w:t>
      </w:r>
    </w:p>
    <w:p>
      <w:pPr>
        <w:spacing w:after="0" w:line="145"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On June 16, 2021, the Company effected a 1 for 5 reverse stock split of all the Class A common stock $1.00 par value. As of the effective date of June 16, 2021, each five shares of the Company’s Class A common stock was combined into one fully paid share of Class A common stock. Any fractional shares resulting from this reverse stock split were rounded up to one whole share. The Company has adjusted the Class A common stock, earnings per share and stock options adjusted for this 1 for 5 reverse stock split for all periods here. The Class B common stock were not adjusted but if sold or exchanged would be converted at the 1 for 5 reverse stock split of 5 Class B common stock for 1 share of Class A common stock. Any dividends declared by the Board of Directors (the “Board”) to include Class B common stock will also be paid as if converted. The 1 for 5 reverse stock split resulted in adjustments to Consolidated Balance Sheets, Consolidated Statements of Operations, and 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99" w:name="page100"/>
    <w:bookmarkEnd w:id="99"/>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On July 27, 2021, the Company completed the Initial Public Offering (“IPO”) of its Class A common stock, in which it issued and sold 4,600,000 shares of Class A common stock at a price of $10.00 per share. The Company received total net proceeds of $40.0 million after deducting underwriting discounts and expenses.</w:t>
      </w:r>
    </w:p>
    <w:p>
      <w:pPr>
        <w:spacing w:after="0" w:line="142"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On December 21, 2021, the Company entered into agreements with the Class B shareholders to exchange all outstanding Class B non-voting common stock for Class A voting common stock at a ratio of 5 to 1. On the same day, a total of 6,121,052 shares of Class B common stock was exchanged for 1,224,212 shares of Class A common stock.</w:t>
      </w:r>
    </w:p>
    <w:p>
      <w:pPr>
        <w:spacing w:after="0" w:line="152"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 December 2021, USCB Financial Holdings, Inc. (the “Company”) acquired all the issued and outstanding shares of the Class A voting common stock of U.S. Century Bank (the “Bank”), which are the only issued and outstanding shares of the Bank’s capital stock, in a share exchange (the “Reorganization”) effected under the Florida Business Corporation Act. Each of the outstanding shares of the Bank’s common stock, par value $ 1.00 per share, formerly held by its shareholders was converted into and exchanged for one newly issued share of the Company’s common stock, par value $ 1.00 per share, and the Bank became the Company’s wholly-owned subsidiary. Prior to filing the bank holding company formation, the Company had no material assets and had not conducted any business or operations except for activities related to our organization and the Reorganization.</w:t>
      </w:r>
    </w:p>
    <w:p>
      <w:pPr>
        <w:spacing w:after="0" w:line="158"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current shareholders own the same percentages of its common stock as they previously owned of the Bank’s common stock.</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Preferred Stock</w:t>
      </w:r>
    </w:p>
    <w:p>
      <w:pPr>
        <w:spacing w:after="0" w:line="188"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On April 5, 2021, the Board authorized and approved the offer to repurchase all outstanding shares of Class E preferred stock at the liquidation value of $7.5 million along with declared dividends of $103 thousand. All Class E preferred stock shareholders approved the repurchase which the Company completed on April 26, 2021.</w:t>
      </w:r>
    </w:p>
    <w:p>
      <w:pPr>
        <w:spacing w:after="0" w:line="142"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The Company offered the Class C and Class D preferred stockholders the ability to exchange their shares for Class A common stock. The offer to exchange was voluntary and the preferred stockholders were given the option to convert 90% of their preferred shares for Class A common stock with the remaining 10% to be redeemed in the form of cash. The exchange ratio for the shares of Class A common stock issued in the exchange transaction was based upon the IPO price for shares of Class A common stock.</w:t>
      </w:r>
    </w:p>
    <w:p>
      <w:pPr>
        <w:spacing w:after="0" w:line="146"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During the year ended December 31, 2021, 47,473 shares of Class C preferred stock and 11,061,552 shares of Class D preferred stock converted into 10,278,072 shares of Class A common stock. The exchange of the Class C and Class D preferred shares had a total liquidation value of $102.8 million. The remaining unconverted shares of Class C preferred stock and Class D preferred stock totaling 1,234,354 shares were subsequently redeemed at liquidation value for $11.4 million.</w:t>
      </w:r>
    </w:p>
    <w:p>
      <w:pPr>
        <w:spacing w:after="0" w:line="14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fair value of consideration on the exchange and redemption of the Class C and Class D preferred shares exceeded the book value causing a one-time reduction in net income available to common stockholders of $ 89.6 million. As of December 31, 2021, there were no preferred shares and no outstanding dividends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100" w:name="page101"/>
    <w:bookmarkEnd w:id="100"/>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Dividends</w:t>
      </w:r>
    </w:p>
    <w:p>
      <w:pPr>
        <w:spacing w:after="0" w:line="188"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Board approved the following dividend amounts on the preferred shares for the years ended December 31, 2021 and 2020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76"/>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40" w:type="dxa"/>
            <w:vAlign w:val="bottom"/>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20"/>
                <w:szCs w:val="20"/>
                <w:color w:val="auto"/>
              </w:rPr>
            </w:pPr>
            <w:r>
              <w:rPr>
                <w:rFonts w:ascii="Arial" w:cs="Arial" w:eastAsia="Arial" w:hAnsi="Arial"/>
                <w:sz w:val="13"/>
                <w:szCs w:val="13"/>
                <w:color w:val="auto"/>
                <w:w w:val="98"/>
              </w:rPr>
              <w:t>Preferred stock - Class C: Non-voting, Non-cumulative, Perpetual: $1.00 par value; $1,000</w:t>
            </w: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37"/>
        </w:trPr>
        <w:tc>
          <w:tcPr>
            <w:tcW w:w="5180" w:type="dxa"/>
            <w:vAlign w:val="bottom"/>
            <w:gridSpan w:val="3"/>
          </w:tcPr>
          <w:p>
            <w:pPr>
              <w:spacing w:after="0" w:line="138" w:lineRule="exact"/>
              <w:rPr>
                <w:sz w:val="20"/>
                <w:szCs w:val="20"/>
                <w:color w:val="auto"/>
              </w:rPr>
            </w:pPr>
            <w:r>
              <w:rPr>
                <w:rFonts w:ascii="Arial" w:cs="Arial" w:eastAsia="Arial" w:hAnsi="Arial"/>
                <w:sz w:val="13"/>
                <w:szCs w:val="13"/>
                <w:color w:val="auto"/>
              </w:rPr>
              <w:t>per share liquidation preference; annual dividend rate of 4% of liquidation preference paid</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quarterly. Quarterly dividend of $ 10.00 per share.</w:t>
            </w:r>
          </w:p>
        </w:tc>
        <w:tc>
          <w:tcPr>
            <w:tcW w:w="86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w:t>
            </w:r>
          </w:p>
        </w:tc>
        <w:tc>
          <w:tcPr>
            <w:tcW w:w="4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240" w:type="dxa"/>
            <w:vAlign w:val="bottom"/>
            <w:shd w:val="clear" w:color="auto" w:fill="CCEEFF"/>
          </w:tcPr>
          <w:p>
            <w:pPr>
              <w:jc w:val="right"/>
              <w:ind w:right="173"/>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6"/>
        </w:trPr>
        <w:tc>
          <w:tcPr>
            <w:tcW w:w="5180" w:type="dxa"/>
            <w:vAlign w:val="bottom"/>
            <w:gridSpan w:val="3"/>
          </w:tcPr>
          <w:p>
            <w:pPr>
              <w:spacing w:after="0"/>
              <w:rPr>
                <w:sz w:val="20"/>
                <w:szCs w:val="20"/>
                <w:color w:val="auto"/>
              </w:rPr>
            </w:pPr>
            <w:r>
              <w:rPr>
                <w:rFonts w:ascii="Arial" w:cs="Arial" w:eastAsia="Arial" w:hAnsi="Arial"/>
                <w:sz w:val="13"/>
                <w:szCs w:val="13"/>
                <w:color w:val="auto"/>
              </w:rPr>
              <w:t>Preferred stock - Class D: Non-voting, Non-cumulative, Perpetual: $1.00 par value; $5.00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9"/>
        </w:trPr>
        <w:tc>
          <w:tcPr>
            <w:tcW w:w="5180" w:type="dxa"/>
            <w:vAlign w:val="bottom"/>
            <w:gridSpan w:val="3"/>
          </w:tcPr>
          <w:p>
            <w:pPr>
              <w:spacing w:after="0"/>
              <w:rPr>
                <w:sz w:val="20"/>
                <w:szCs w:val="20"/>
                <w:color w:val="auto"/>
              </w:rPr>
            </w:pPr>
            <w:r>
              <w:rPr>
                <w:rFonts w:ascii="Arial" w:cs="Arial" w:eastAsia="Arial" w:hAnsi="Arial"/>
                <w:sz w:val="13"/>
                <w:szCs w:val="13"/>
                <w:color w:val="auto"/>
              </w:rPr>
              <w:t>per share liquidation preference; annual dividend rate of 4% of par value paid quarterly.</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7"/>
        </w:trPr>
        <w:tc>
          <w:tcPr>
            <w:tcW w:w="5180" w:type="dxa"/>
            <w:vAlign w:val="bottom"/>
            <w:gridSpan w:val="3"/>
          </w:tcPr>
          <w:p>
            <w:pPr>
              <w:spacing w:after="0" w:line="138" w:lineRule="exact"/>
              <w:rPr>
                <w:sz w:val="20"/>
                <w:szCs w:val="20"/>
                <w:color w:val="auto"/>
              </w:rPr>
            </w:pPr>
            <w:r>
              <w:rPr>
                <w:rFonts w:ascii="Arial" w:cs="Arial" w:eastAsia="Arial" w:hAnsi="Arial"/>
                <w:sz w:val="13"/>
                <w:szCs w:val="13"/>
                <w:color w:val="auto"/>
              </w:rPr>
              <w:t>Quarterly dividend of $0.01 per share.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348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492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6"/>
        </w:trPr>
        <w:tc>
          <w:tcPr>
            <w:tcW w:w="60" w:type="dxa"/>
            <w:vAlign w:val="bottom"/>
            <w:gridSpan w:val="2"/>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3"/>
                <w:szCs w:val="13"/>
                <w:color w:val="auto"/>
              </w:rPr>
              <w:t>Preferred stock - Class E: Non-voting, partially cumulative, Perpetual: $1.00 par value;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37"/>
        </w:trPr>
        <w:tc>
          <w:tcPr>
            <w:tcW w:w="5180" w:type="dxa"/>
            <w:vAlign w:val="bottom"/>
            <w:gridSpan w:val="3"/>
          </w:tcPr>
          <w:p>
            <w:pPr>
              <w:spacing w:after="0" w:line="138" w:lineRule="exact"/>
              <w:rPr>
                <w:sz w:val="20"/>
                <w:szCs w:val="20"/>
                <w:color w:val="auto"/>
              </w:rPr>
            </w:pPr>
            <w:r>
              <w:rPr>
                <w:rFonts w:ascii="Arial" w:cs="Arial" w:eastAsia="Arial" w:hAnsi="Arial"/>
                <w:sz w:val="13"/>
                <w:szCs w:val="13"/>
                <w:color w:val="auto"/>
              </w:rPr>
              <w:t>$1,000 per share liquidation preference; annual dividend rate of 7% of liquidation</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0" w:type="dxa"/>
            <w:vAlign w:val="bottom"/>
            <w:gridSpan w:val="2"/>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preferences paid quarterly. Quarterly dividend of $17.50 per share.</w:t>
            </w: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40" w:type="dxa"/>
            <w:vAlign w:val="bottom"/>
            <w:tcBorders>
              <w:bottom w:val="single" w:sz="8" w:color="auto"/>
            </w:tcBorders>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Arial" w:cs="Arial" w:eastAsia="Arial" w:hAnsi="Arial"/>
                <w:sz w:val="13"/>
                <w:szCs w:val="13"/>
                <w:color w:val="auto"/>
              </w:rPr>
              <w:t>Total dividends paid</w:t>
            </w:r>
          </w:p>
        </w:tc>
        <w:tc>
          <w:tcPr>
            <w:tcW w:w="860" w:type="dxa"/>
            <w:vAlign w:val="bottom"/>
            <w:gridSpan w:val="2"/>
          </w:tcPr>
          <w:p>
            <w:pPr>
              <w:jc w:val="right"/>
              <w:ind w:right="7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2,077</w:t>
            </w:r>
          </w:p>
        </w:tc>
        <w:tc>
          <w:tcPr>
            <w:tcW w:w="32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3,127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Declaration of dividends by the Board is required before dividend payments are made. The dividend payment dates for Class C and Class D preferred shares were set by the Board while the Class E preferred shares had a set dividend payment date on the fifteenth of February, May, August, and November.</w:t>
      </w:r>
    </w:p>
    <w:p>
      <w:pPr>
        <w:spacing w:after="0" w:line="142"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No dividends were approved by the Board for the common stock classes for the years ended December 31, 2021 and 2020. Additionally, there were no dividends declared and unpaid at December 31, 2021 and 2020.</w:t>
      </w:r>
    </w:p>
    <w:p>
      <w:pPr>
        <w:spacing w:after="0" w:line="124" w:lineRule="exact"/>
        <w:rPr>
          <w:sz w:val="20"/>
          <w:szCs w:val="20"/>
          <w:color w:val="auto"/>
        </w:rPr>
      </w:pPr>
    </w:p>
    <w:p>
      <w:pPr>
        <w:ind w:left="1040" w:hanging="398"/>
        <w:spacing w:after="0"/>
        <w:tabs>
          <w:tab w:leader="none" w:pos="104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2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57"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In calculating EPS for the year ended December 31, 2021, net income available to common stockholders was not allocated between Class A and Class B common stock since there was no issued and outstanding Class B common stock at year-end.</w:t>
      </w:r>
    </w:p>
    <w:p>
      <w:pPr>
        <w:spacing w:after="0" w:line="158"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In calculating EPS for the year ended December 31, 2020, net income available to common stockholders was allocated as if all the income for the period were distributed to common stockholders. The allocation was based on the outstanding shares per common share class to the total common shares outstanding during each period giving effect for the 1 for 5 reverse stock split. The Company’s Articles of Incorporation require that the distribution of net income to Common B stockholders be adjusted to give effect for Class A stock splits. Therefore, the income allocated to Class B common shares was calculated based on their 20% per share equivalent to Class A common shares.</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calculation of net income (loss) available to common stockholders for the years ended</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December 31, 2021 and 2020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760" w:type="dxa"/>
            <w:vAlign w:val="bottom"/>
            <w:gridSpan w:val="2"/>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21,077</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10,820</w:t>
            </w:r>
          </w:p>
        </w:tc>
        <w:tc>
          <w:tcPr>
            <w:tcW w:w="20" w:type="dxa"/>
            <w:vAlign w:val="bottom"/>
            <w:shd w:val="clear" w:color="auto" w:fill="CCEEFF"/>
          </w:tcPr>
          <w:p>
            <w:pPr>
              <w:spacing w:after="0"/>
              <w:rPr>
                <w:sz w:val="13"/>
                <w:szCs w:val="13"/>
                <w:color w:val="auto"/>
              </w:rPr>
            </w:pPr>
          </w:p>
        </w:tc>
      </w:tr>
      <w:tr>
        <w:trPr>
          <w:trHeight w:val="171"/>
        </w:trPr>
        <w:tc>
          <w:tcPr>
            <w:tcW w:w="3940" w:type="dxa"/>
            <w:vAlign w:val="bottom"/>
            <w:gridSpan w:val="2"/>
          </w:tcPr>
          <w:p>
            <w:pPr>
              <w:spacing w:after="0"/>
              <w:rPr>
                <w:sz w:val="20"/>
                <w:szCs w:val="20"/>
                <w:color w:val="auto"/>
              </w:rPr>
            </w:pPr>
            <w:r>
              <w:rPr>
                <w:rFonts w:ascii="Arial" w:cs="Arial" w:eastAsia="Arial" w:hAnsi="Arial"/>
                <w:sz w:val="13"/>
                <w:szCs w:val="13"/>
                <w:color w:val="auto"/>
              </w:rPr>
              <w:t>Less: Preferred stock dividends</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2,077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3,127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Less: Exchange and redemption of preferred shares</w:t>
            </w:r>
          </w:p>
        </w:tc>
        <w:tc>
          <w:tcPr>
            <w:tcW w:w="9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89,585</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900" w:type="dxa"/>
            <w:vAlign w:val="bottom"/>
          </w:tcPr>
          <w:p>
            <w:pPr>
              <w:ind w:left="60"/>
              <w:spacing w:after="0"/>
              <w:rPr>
                <w:sz w:val="20"/>
                <w:szCs w:val="20"/>
                <w:color w:val="auto"/>
              </w:rPr>
            </w:pPr>
            <w:r>
              <w:rPr>
                <w:rFonts w:ascii="Arial" w:cs="Arial" w:eastAsia="Arial" w:hAnsi="Arial"/>
                <w:sz w:val="13"/>
                <w:szCs w:val="13"/>
                <w:color w:val="auto"/>
              </w:rPr>
              <w:t>Net income (loss) available to common stockholders</w:t>
            </w:r>
          </w:p>
        </w:tc>
        <w:tc>
          <w:tcPr>
            <w:tcW w:w="17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(70,585)</w:t>
            </w: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7,693</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101" w:name="page102"/>
    <w:bookmarkEnd w:id="101"/>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table reflects the calculation of basic and diluted earnings (loss) per common share class for the years ended December 31, 2021 and 2020 (in thousands, except per share amounts):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Class B</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line="151" w:lineRule="exact"/>
              <w:rPr>
                <w:sz w:val="20"/>
                <w:szCs w:val="20"/>
                <w:color w:val="auto"/>
              </w:rPr>
            </w:pPr>
            <w:r>
              <w:rPr>
                <w:rFonts w:ascii="Arial" w:cs="Arial" w:eastAsia="Arial" w:hAnsi="Arial"/>
                <w:sz w:val="13"/>
                <w:szCs w:val="13"/>
                <w:b w:val="1"/>
                <w:bCs w:val="1"/>
                <w:color w:val="auto"/>
                <w:w w:val="92"/>
              </w:rPr>
              <w:t xml:space="preserve">Class B </w:t>
            </w:r>
            <w:r>
              <w:rPr>
                <w:rFonts w:ascii="Arial" w:cs="Arial" w:eastAsia="Arial" w:hAnsi="Arial"/>
                <w:sz w:val="17"/>
                <w:szCs w:val="17"/>
                <w:b w:val="1"/>
                <w:bCs w:val="1"/>
                <w:color w:val="auto"/>
                <w:w w:val="92"/>
                <w:vertAlign w:val="superscript"/>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8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Basic EPS</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3"/>
                <w:szCs w:val="13"/>
                <w:b w:val="1"/>
                <w:bCs w:val="1"/>
                <w:color w:val="auto"/>
              </w:rPr>
              <w:t>Numerator: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income (loss) available to common shares before allocation</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(70,585)</w:t>
            </w:r>
          </w:p>
        </w:tc>
        <w:tc>
          <w:tcPr>
            <w:tcW w:w="1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7,693</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7,693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Multiply: % allocated on weighted avg. shares outstanding</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840" w:type="dxa"/>
            <w:vAlign w:val="bottom"/>
            <w:shd w:val="clear" w:color="auto" w:fill="CCEEFF"/>
          </w:tcPr>
          <w:p>
            <w:pPr>
              <w:ind w:left="100"/>
              <w:spacing w:after="0" w:line="141" w:lineRule="exact"/>
              <w:rPr>
                <w:sz w:val="20"/>
                <w:szCs w:val="20"/>
                <w:color w:val="auto"/>
              </w:rPr>
            </w:pPr>
            <w:r>
              <w:rPr>
                <w:rFonts w:ascii="Arial" w:cs="Arial" w:eastAsia="Arial" w:hAnsi="Arial"/>
                <w:sz w:val="13"/>
                <w:szCs w:val="13"/>
                <w:color w:val="auto"/>
              </w:rPr>
              <w:t>Net income (loss) available to common shares after allocation</w:t>
            </w:r>
          </w:p>
        </w:tc>
        <w:tc>
          <w:tcPr>
            <w:tcW w:w="26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(70,585)</w:t>
            </w:r>
          </w:p>
        </w:tc>
        <w:tc>
          <w:tcPr>
            <w:tcW w:w="2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5,854</w:t>
            </w:r>
          </w:p>
        </w:tc>
        <w:tc>
          <w:tcPr>
            <w:tcW w:w="20" w:type="dxa"/>
            <w:vAlign w:val="bottom"/>
            <w:shd w:val="clear" w:color="auto" w:fill="CCEEFF"/>
          </w:tcPr>
          <w:p>
            <w:pPr>
              <w:spacing w:after="0"/>
              <w:rPr>
                <w:sz w:val="12"/>
                <w:szCs w:val="12"/>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10,507,530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3,887,480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Earnings (loss) per share, basic</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(6.72)</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4"/>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1.51</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38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before allocation</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(70,585)</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4"/>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7,693</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Multiply: % allocated on weighted avg. shares outstanding</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76.1%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after allocation</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(70,585)</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4"/>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5,854</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Weighted average shares outstanding for basic EPS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3,887,480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23,810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Weighted avg. shares including dilutive potential common shares</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3,911,290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vMerge w:val="continue"/>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(loss) per share, diluted</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0.30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vMerge w:val="restart"/>
          </w:tcPr>
          <w:p>
            <w:pPr>
              <w:spacing w:after="0"/>
              <w:rPr>
                <w:sz w:val="10"/>
                <w:szCs w:val="10"/>
                <w:color w:val="auto"/>
              </w:rPr>
            </w:pPr>
          </w:p>
        </w:tc>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vMerge w:val="continue"/>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183,303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75,666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20" w:right="779"/>
        <w:spacing w:after="0" w:line="263" w:lineRule="auto"/>
        <w:tabs>
          <w:tab w:leader="none" w:pos="824" w:val="left"/>
        </w:tabs>
        <w:numPr>
          <w:ilvl w:val="0"/>
          <w:numId w:val="46"/>
        </w:numPr>
        <w:rPr>
          <w:rFonts w:ascii="Arial" w:cs="Arial" w:eastAsia="Arial" w:hAnsi="Arial"/>
          <w:sz w:val="11"/>
          <w:szCs w:val="11"/>
          <w:color w:val="auto"/>
        </w:rPr>
      </w:pPr>
      <w:r>
        <w:rPr>
          <w:rFonts w:ascii="Arial" w:cs="Arial" w:eastAsia="Arial" w:hAnsi="Arial"/>
          <w:sz w:val="11"/>
          <w:szCs w:val="11"/>
          <w:color w:val="auto"/>
        </w:rPr>
        <w:t>Net income (loss) available to common shares between Class A and Class B common stock was allocated based on the weighted average number of shares outstanding. The allocation also assumes that Class B shares are converted to Class A which is equivalent to 0.20 per share of Class B or 1,224,212 shares of Class A shares.</w:t>
      </w:r>
    </w:p>
    <w:p>
      <w:pPr>
        <w:spacing w:after="0" w:line="264"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For the year ended December 31, 2021, the Company was in a net loss position after adjusting for the exchange and redemption of the Class C and Class D preferred shares, making basic net loss per share the same as diluted net loss per share as the inclusion of all potential common shares outstanding would have been antidilutive.</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See Note 13 “Stockholders’ Equity” for further discussion on the stock splits.</w:t>
      </w:r>
    </w:p>
    <w:p>
      <w:pPr>
        <w:spacing w:after="0" w:line="152" w:lineRule="exact"/>
        <w:rPr>
          <w:sz w:val="20"/>
          <w:szCs w:val="20"/>
          <w:color w:val="auto"/>
        </w:rPr>
      </w:pPr>
    </w:p>
    <w:p>
      <w:pPr>
        <w:ind w:left="1040" w:hanging="398"/>
        <w:spacing w:after="0"/>
        <w:tabs>
          <w:tab w:leader="none" w:pos="104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20"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 and the Bank’s capital amounts and classification are also subject to qualitative judgments by the regulators about components, risk weightings, and other factors.</w:t>
      </w:r>
    </w:p>
    <w:p>
      <w:pPr>
        <w:spacing w:after="0" w:line="15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capital measurements independent of the Bank.</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Bank has elected to permanently opt-out of the inclusion of accumulated other comprehensive income in the capital calculations, as permitted by the regulations. This opt-out will reduce the impact of market volatility on the Bank’s regulatory capital levels.</w:t>
      </w: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102" w:name="page103"/>
    <w:bookmarkEnd w:id="102"/>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 limit the ability of the Bank to pay dividends, repurchase shares or pay discretionary bonuses. At December 31, 2021 and 2020, the capital ratios for the Bank were sufficient to meet the conservation buffer.</w:t>
      </w:r>
    </w:p>
    <w:p>
      <w:pPr>
        <w:spacing w:after="0" w:line="160"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w:t>
      </w:r>
    </w:p>
    <w:p>
      <w:pPr>
        <w:spacing w:after="0" w:line="16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At December 31, 2021 and 2020,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158"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Actual and required capital amounts and ratios are presented below for both the Bank and the Company at December 31, 2021 and 2020 (in thousands, except ratios). The required amounts for capital adequacy shown do not include the capital conservation buffer previously discussed.</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To be Well Capitalized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Minimum Capital</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36"/>
              <w:spacing w:after="0"/>
              <w:rPr>
                <w:sz w:val="20"/>
                <w:szCs w:val="20"/>
                <w:color w:val="auto"/>
              </w:rPr>
            </w:pPr>
            <w:r>
              <w:rPr>
                <w:rFonts w:ascii="Arial" w:cs="Arial" w:eastAsia="Arial" w:hAnsi="Arial"/>
                <w:sz w:val="13"/>
                <w:szCs w:val="13"/>
                <w:b w:val="1"/>
                <w:bCs w:val="1"/>
                <w:color w:val="auto"/>
                <w:w w:val="98"/>
              </w:rPr>
              <w:t>Under Prompt Corrective</w:t>
            </w:r>
          </w:p>
        </w:tc>
        <w:tc>
          <w:tcPr>
            <w:tcW w:w="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Actual</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3"/>
                <w:szCs w:val="13"/>
                <w:b w:val="1"/>
                <w:bCs w:val="1"/>
                <w:color w:val="auto"/>
              </w:rPr>
              <w:t>Requirements</w:t>
            </w: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Action Provisions</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jc w:val="right"/>
              <w:ind w:right="5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Total risk-based capital</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186,735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14.92</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100,125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125,157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75,094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100,125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Common equity tier 1 capital</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13.70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56,321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81,352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71,825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0"/>
        </w:trPr>
        <w:tc>
          <w:tcPr>
            <w:tcW w:w="4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Total risk-based capital</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139,326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78,260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Tier 1 risk-based capital</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127,061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12.99</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58,695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78,260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Common equity tier 1 capital</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94,984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44,021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7"/>
        </w:trPr>
        <w:tc>
          <w:tcPr>
            <w:tcW w:w="2020" w:type="dxa"/>
            <w:vAlign w:val="bottom"/>
            <w:gridSpan w:val="2"/>
          </w:tcPr>
          <w:p>
            <w:pPr>
              <w:spacing w:after="0"/>
              <w:rPr>
                <w:sz w:val="20"/>
                <w:szCs w:val="20"/>
                <w:color w:val="auto"/>
              </w:rPr>
            </w:pPr>
            <w:r>
              <w:rPr>
                <w:rFonts w:ascii="Arial" w:cs="Arial" w:eastAsia="Arial" w:hAnsi="Arial"/>
                <w:sz w:val="13"/>
                <w:szCs w:val="13"/>
                <w:color w:val="auto"/>
              </w:rPr>
              <w:t>Leverage ratio</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127,061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8.61 %</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59,053</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4.00 %</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73,817</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5.00 %</w:t>
            </w:r>
          </w:p>
        </w:tc>
        <w:tc>
          <w:tcPr>
            <w:tcW w:w="20" w:type="dxa"/>
            <w:vAlign w:val="bottom"/>
          </w:tcPr>
          <w:p>
            <w:pPr>
              <w:spacing w:after="0"/>
              <w:rPr>
                <w:sz w:val="15"/>
                <w:szCs w:val="15"/>
                <w:color w:val="auto"/>
              </w:rPr>
            </w:pPr>
          </w:p>
        </w:tc>
      </w:tr>
    </w:tbl>
    <w:p>
      <w:pPr>
        <w:spacing w:after="0" w:line="154" w:lineRule="exact"/>
        <w:rPr>
          <w:sz w:val="20"/>
          <w:szCs w:val="20"/>
          <w:color w:val="auto"/>
        </w:rPr>
      </w:pPr>
    </w:p>
    <w:p>
      <w:pPr>
        <w:ind w:left="640" w:right="679" w:firstLine="256"/>
        <w:spacing w:after="0" w:line="252" w:lineRule="auto"/>
        <w:rPr>
          <w:sz w:val="20"/>
          <w:szCs w:val="20"/>
          <w:color w:val="auto"/>
        </w:rPr>
      </w:pPr>
      <w:r>
        <w:rPr>
          <w:rFonts w:ascii="Arial" w:cs="Arial" w:eastAsia="Arial" w:hAnsi="Arial"/>
          <w:sz w:val="14"/>
          <w:szCs w:val="14"/>
          <w:color w:val="auto"/>
        </w:rPr>
        <w:t>As of December 31, 2021, there was no activity between the parent bank holding company and its subsidiaries to disclose on the statements of operations or statements of cash flows.</w:t>
      </w:r>
    </w:p>
    <w:p>
      <w:pPr>
        <w:spacing w:after="0" w:line="153"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Effective December 28, 2021, the Company acquired the Bank in a merger and reorganization through the formation of a bank holding company. Pursuant to this transaction, all of the outstanding shares of the Bank’s $1.00 par value common stock formerly held by its shareholders was converted into and exchanged for one newly issued share of the Company’s par value common stock, and the Bank became a subsidiary of the Company. See Note 13 “Stockholders’ Equity” for further details.</w:t>
      </w:r>
    </w:p>
    <w:p>
      <w:pPr>
        <w:spacing w:after="0" w:line="16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The Company is limited in the amount of cash dividends that it may pay. Payment of dividends is generally limited to the Company’s net income of the current year combined with the Bank’s retained income of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if they deem such payment to be an unsafe or unsound practice.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103" w:name="page104"/>
    <w:bookmarkEnd w:id="103"/>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160" w:hanging="518"/>
        <w:spacing w:after="0"/>
        <w:tabs>
          <w:tab w:leader="none" w:pos="11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2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2021 and 2020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Deposits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1,905</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1,793</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Interest income</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ind w:left="1160" w:hanging="518"/>
        <w:spacing w:after="0"/>
        <w:tabs>
          <w:tab w:leader="none" w:pos="11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PARENT COMPANY CONDENSED FINANCIAL INFORMATION</w:t>
      </w:r>
    </w:p>
    <w:p>
      <w:pPr>
        <w:spacing w:after="0" w:line="22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December 2021, USCB Financial Holdings, Inc. was formed as the parent bank holding company of U.S. Century Bank. The condensed balance sheets are presented below for USCB Financial Holdings, Inc. at the dates indicated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December 31, 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7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10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Investment in bank subsidiary</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203,897</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Other assets</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203,897</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374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Other liabilities</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Stockholders' equity</w:t>
            </w: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At December 31, 2021, there was no activity between the parent bank holding company and its subsidiaries to disclose on the statements of operations or statements of cash flows.</w:t>
      </w:r>
    </w:p>
    <w:p>
      <w:pPr>
        <w:spacing w:after="0" w:line="135" w:lineRule="exact"/>
        <w:rPr>
          <w:sz w:val="20"/>
          <w:szCs w:val="20"/>
          <w:color w:val="auto"/>
        </w:rPr>
      </w:pPr>
    </w:p>
    <w:p>
      <w:pPr>
        <w:ind w:left="1040" w:hanging="398"/>
        <w:spacing w:after="0"/>
        <w:tabs>
          <w:tab w:leader="none" w:pos="104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2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24" w:lineRule="exact"/>
        <w:rPr>
          <w:sz w:val="20"/>
          <w:szCs w:val="20"/>
          <w:color w:val="auto"/>
        </w:rPr>
      </w:pPr>
    </w:p>
    <w:p>
      <w:pPr>
        <w:ind w:left="1160" w:hanging="518"/>
        <w:spacing w:after="0"/>
        <w:tabs>
          <w:tab w:leader="none" w:pos="11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Management has evaluated subsequent events from January 1, 2022 through March 24, 2022, which is the date this Form 10-K was available to be issued.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Share Repurchase Program</w:t>
      </w:r>
    </w:p>
    <w:p>
      <w:pPr>
        <w:spacing w:after="0" w:line="188" w:lineRule="exact"/>
        <w:rPr>
          <w:sz w:val="20"/>
          <w:szCs w:val="20"/>
          <w:color w:val="auto"/>
        </w:rPr>
      </w:pPr>
    </w:p>
    <w:p>
      <w:pPr>
        <w:jc w:val="both"/>
        <w:ind w:left="640" w:right="659" w:firstLine="256"/>
        <w:spacing w:after="0" w:line="245" w:lineRule="auto"/>
        <w:rPr>
          <w:sz w:val="20"/>
          <w:szCs w:val="20"/>
          <w:color w:val="auto"/>
        </w:rPr>
      </w:pPr>
      <w:r>
        <w:rPr>
          <w:rFonts w:ascii="Arial" w:cs="Arial" w:eastAsia="Arial" w:hAnsi="Arial"/>
          <w:sz w:val="14"/>
          <w:szCs w:val="14"/>
          <w:color w:val="auto"/>
        </w:rPr>
        <w:t>On January 24, 2022, the Board approved a share repurchase program of up to 750,000 shares of Class A common stock. Under the repurchase program, the Company may purchase shares of Class A common stock on a discretionary basis from time to time through open market repurchases, privately negotiated transactions, or other means. The repurchase program has no expiration date and may be modified, suspended, or terminated at any time. Repurchases under this program will be funded from the Company’s existing cash and cash equivalents or future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0" w:right="1440" w:bottom="1440" w:gutter="0" w:footer="0" w:header="0"/>
        </w:sectPr>
      </w:pPr>
    </w:p>
    <w:bookmarkStart w:id="104" w:name="page105"/>
    <w:bookmarkEnd w:id="104"/>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9A.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88"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its Chief Financial Officer, we evaluated the effectiveness of the design and operation of the Company’s disclosure controls and procedures as of December 31, 2021.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Report.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88"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our most recent fiscal quarter that has materially affected, or is reasonably likely to materially affect, our internal control over financial reporting.</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9B. Other Information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05" w:name="page106"/>
    <w:bookmarkEnd w:id="105"/>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77"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The information required by Item 10 is incorporated by reference to the information that appears under the headings Board Meetings and Committees in our Proxy Statement for the 2022 Annual Meeting of Shareholders.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11. Executive Compensation</w:t>
      </w:r>
    </w:p>
    <w:p>
      <w:pPr>
        <w:spacing w:after="0" w:line="18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information required by Item 11 is incorporated by reference to the information that appears under the headings Executive Compensation in our Proxy Statement for the 2022 Annual Meeting of Shareholders.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8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information required by Item 12 is incorporated by reference to the information that appears under the headings Beneficial Owners in our Proxy Statement for the 2022 Annual Meeting of Shareholders.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information required by Item 13 is incorporated by reference to the information that appears under the headings Certain Relationships and Related Transactions, and Director Independence in our Proxy Statement for the 2022 Annual Meeting of Shareholders.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8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information required by Item 14 is incorporated by reference to the information that appears under the headings Ratification of Auditors in our Proxy Statement for the 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06" w:name="page107"/>
    <w:bookmarkEnd w:id="106"/>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77" w:lineRule="exact"/>
        <w:rPr>
          <w:sz w:val="20"/>
          <w:szCs w:val="20"/>
          <w:color w:val="auto"/>
        </w:rPr>
      </w:pPr>
    </w:p>
    <w:p>
      <w:pPr>
        <w:ind w:left="920" w:hanging="257"/>
        <w:spacing w:after="0"/>
        <w:tabs>
          <w:tab w:leader="none" w:pos="9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List of documents filed as part of this Annual Report:</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1"/>
          <w:numId w:val="52"/>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Balance Sheets as of December 31, 2021 and 2020</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Operations for the years ended December 31, 2021 and 2020</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Comprehensive Income for the years ended December 31, 2021 and 2020</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Cash Flows for the years ended December 31, 2021 and 2020</w:t>
      </w:r>
    </w:p>
    <w:p>
      <w:pPr>
        <w:spacing w:after="0" w:line="20" w:lineRule="exact"/>
        <w:rPr>
          <w:sz w:val="20"/>
          <w:szCs w:val="20"/>
          <w:color w:val="auto"/>
        </w:rPr>
      </w:pPr>
    </w:p>
    <w:p>
      <w:pPr>
        <w:ind w:left="1280" w:right="739"/>
        <w:spacing w:after="0" w:line="254" w:lineRule="auto"/>
        <w:rPr>
          <w:sz w:val="20"/>
          <w:szCs w:val="20"/>
          <w:color w:val="auto"/>
        </w:rPr>
      </w:pPr>
      <w:r>
        <w:rPr>
          <w:rFonts w:ascii="Arial" w:cs="Arial" w:eastAsia="Arial" w:hAnsi="Arial"/>
          <w:sz w:val="14"/>
          <w:szCs w:val="14"/>
          <w:color w:val="auto"/>
        </w:rPr>
        <w:t>Consolidated Statements of Changes in Stockholders' Equity for the years ended December 31, 2021 and 2020 Notes to Consolidated Financial Statements</w:t>
      </w:r>
    </w:p>
    <w:p>
      <w:pPr>
        <w:ind w:left="1180" w:hanging="261"/>
        <w:spacing w:after="0"/>
        <w:tabs>
          <w:tab w:leader="none" w:pos="118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p>
    <w:p>
      <w:pPr>
        <w:spacing w:after="0" w:line="32" w:lineRule="exact"/>
        <w:rPr>
          <w:sz w:val="20"/>
          <w:szCs w:val="20"/>
          <w:color w:val="auto"/>
        </w:rPr>
      </w:pPr>
    </w:p>
    <w:p>
      <w:pPr>
        <w:ind w:left="1280" w:right="1159"/>
        <w:spacing w:after="0" w:line="252" w:lineRule="auto"/>
        <w:rPr>
          <w:sz w:val="20"/>
          <w:szCs w:val="20"/>
          <w:color w:val="auto"/>
        </w:rPr>
      </w:pPr>
      <w:r>
        <w:rPr>
          <w:rFonts w:ascii="Arial" w:cs="Arial" w:eastAsia="Arial" w:hAnsi="Arial"/>
          <w:sz w:val="14"/>
          <w:szCs w:val="14"/>
          <w:color w:val="auto"/>
        </w:rPr>
        <w:t>Financial statement schedules are omitted as not required or not applicable or because the information is included in the Consolidated Financial Statements or notes thereto.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 List of Exhibits:</w:t>
      </w:r>
    </w:p>
    <w:p>
      <w:pPr>
        <w:spacing w:after="0" w:line="10" w:lineRule="exact"/>
        <w:rPr>
          <w:sz w:val="20"/>
          <w:szCs w:val="20"/>
          <w:color w:val="auto"/>
        </w:rPr>
      </w:pPr>
    </w:p>
    <w:p>
      <w:pPr>
        <w:ind w:left="1280" w:right="839"/>
        <w:spacing w:after="0" w:line="268" w:lineRule="auto"/>
        <w:rPr>
          <w:sz w:val="20"/>
          <w:szCs w:val="20"/>
          <w:color w:val="auto"/>
        </w:rPr>
      </w:pPr>
      <w:r>
        <w:rPr>
          <w:rFonts w:ascii="Arial" w:cs="Arial" w:eastAsia="Arial" w:hAnsi="Arial"/>
          <w:sz w:val="14"/>
          <w:szCs w:val="14"/>
          <w:color w:val="auto"/>
        </w:rPr>
        <w:t>The exhibit list in the Exhibit Index is incorporated herein by reference as the list of exhibits required as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07" w:name="page108"/>
    <w:bookmarkEnd w:id="107"/>
    <w:p>
      <w:pPr>
        <w:spacing w:after="0" w:line="186" w:lineRule="auto"/>
        <w:tabs>
          <w:tab w:leader="none" w:pos="140" w:val="left"/>
          <w:tab w:leader="none" w:pos="260" w:val="left"/>
        </w:tabs>
        <w:framePr w:w="520" w:h="116" w:wrap="auto" w:vAnchor="page" w:hAnchor="page" w:x="1940" w:y="1166"/>
        <w:rPr>
          <w:rFonts w:ascii="Arial" w:cs="Arial" w:eastAsia="Arial" w:hAnsi="Arial"/>
          <w:sz w:val="13"/>
          <w:szCs w:val="13"/>
          <w:b w:val="1"/>
          <w:bCs w:val="1"/>
          <w:color w:val="auto"/>
        </w:rPr>
      </w:pPr>
      <w:r>
        <w:rPr>
          <w:rFonts w:ascii="Arial" w:cs="Arial" w:eastAsia="Arial" w:hAnsi="Arial"/>
          <w:sz w:val="13"/>
          <w:szCs w:val="13"/>
          <w:b w:val="1"/>
          <w:bCs w:val="1"/>
          <w:color w:val="auto"/>
        </w:rPr>
        <w:t>Exhibit</w:t>
      </w:r>
    </w:p>
    <w:p>
      <w:pPr>
        <w:spacing w:after="0" w:line="201" w:lineRule="auto"/>
        <w:tabs>
          <w:tab w:leader="none" w:pos="140" w:val="left"/>
          <w:tab w:leader="none" w:pos="260" w:val="left"/>
        </w:tabs>
        <w:framePr w:w="560" w:h="116" w:wrap="auto" w:vAnchor="page" w:hAnchor="page" w:x="1920" w:y="1304"/>
        <w:rPr>
          <w:rFonts w:ascii="Arial" w:cs="Arial" w:eastAsia="Arial" w:hAnsi="Arial"/>
          <w:sz w:val="12"/>
          <w:szCs w:val="12"/>
          <w:b w:val="1"/>
          <w:bCs w:val="1"/>
          <w:color w:val="auto"/>
        </w:rPr>
      </w:pPr>
      <w:r>
        <w:rPr>
          <w:rFonts w:ascii="Arial" w:cs="Arial" w:eastAsia="Arial" w:hAnsi="Arial"/>
          <w:sz w:val="12"/>
          <w:szCs w:val="12"/>
          <w:b w:val="1"/>
          <w:bCs w:val="1"/>
          <w:color w:val="auto"/>
        </w:rPr>
        <w:t>Number</w:t>
      </w:r>
    </w:p>
    <w:p>
      <w:pPr>
        <w:spacing w:after="0" w:line="201" w:lineRule="auto"/>
        <w:tabs>
          <w:tab w:leader="none" w:pos="140" w:val="left"/>
          <w:tab w:leader="none" w:pos="260" w:val="left"/>
        </w:tabs>
        <w:framePr w:w="260" w:h="116" w:wrap="auto" w:vAnchor="page" w:hAnchor="page" w:x="2080" w:y="1464"/>
        <w:rPr>
          <w:rFonts w:ascii="Arial" w:cs="Arial" w:eastAsia="Arial" w:hAnsi="Arial"/>
          <w:sz w:val="12"/>
          <w:szCs w:val="12"/>
          <w:b w:val="1"/>
          <w:bCs w:val="1"/>
          <w:u w:val="single" w:color="auto"/>
          <w:color w:val="0000FF"/>
        </w:rPr>
      </w:pPr>
      <w:hyperlink r:id="rId115">
        <w:r>
          <w:rPr>
            <w:rFonts w:ascii="Arial" w:cs="Arial" w:eastAsia="Arial" w:hAnsi="Arial"/>
            <w:sz w:val="12"/>
            <w:szCs w:val="12"/>
            <w:b w:val="1"/>
            <w:bCs w:val="1"/>
            <w:u w:val="single" w:color="auto"/>
            <w:color w:val="0000FF"/>
          </w:rPr>
          <w:t>2.1</w:t>
        </w:r>
      </w:hyperlink>
    </w:p>
    <w:p>
      <w:pPr>
        <w:spacing w:after="0" w:line="201" w:lineRule="auto"/>
        <w:tabs>
          <w:tab w:leader="none" w:pos="140" w:val="left"/>
          <w:tab w:leader="none" w:pos="260" w:val="left"/>
        </w:tabs>
        <w:framePr w:w="260" w:h="116" w:wrap="auto" w:vAnchor="page" w:hAnchor="page" w:x="2080" w:y="1902"/>
        <w:rPr>
          <w:rFonts w:ascii="Arial" w:cs="Arial" w:eastAsia="Arial" w:hAnsi="Arial"/>
          <w:sz w:val="12"/>
          <w:szCs w:val="12"/>
          <w:b w:val="1"/>
          <w:bCs w:val="1"/>
          <w:u w:val="single" w:color="auto"/>
          <w:color w:val="0000FF"/>
        </w:rPr>
      </w:pPr>
      <w:hyperlink r:id="rId116">
        <w:r>
          <w:rPr>
            <w:rFonts w:ascii="Arial" w:cs="Arial" w:eastAsia="Arial" w:hAnsi="Arial"/>
            <w:sz w:val="12"/>
            <w:szCs w:val="12"/>
            <w:b w:val="1"/>
            <w:bCs w:val="1"/>
            <w:u w:val="single" w:color="auto"/>
            <w:color w:val="0000FF"/>
          </w:rPr>
          <w:t>3.1</w:t>
        </w:r>
      </w:hyperlink>
    </w:p>
    <w:p>
      <w:pPr>
        <w:spacing w:after="0" w:line="201" w:lineRule="auto"/>
        <w:tabs>
          <w:tab w:leader="none" w:pos="140" w:val="left"/>
          <w:tab w:leader="none" w:pos="260" w:val="left"/>
        </w:tabs>
        <w:framePr w:w="260" w:h="116" w:wrap="auto" w:vAnchor="page" w:hAnchor="page" w:x="2080" w:y="2201"/>
        <w:rPr>
          <w:rFonts w:ascii="Arial" w:cs="Arial" w:eastAsia="Arial" w:hAnsi="Arial"/>
          <w:sz w:val="12"/>
          <w:szCs w:val="12"/>
          <w:b w:val="1"/>
          <w:bCs w:val="1"/>
          <w:u w:val="single" w:color="auto"/>
          <w:color w:val="0000FF"/>
        </w:rPr>
      </w:pPr>
      <w:hyperlink r:id="rId117">
        <w:r>
          <w:rPr>
            <w:rFonts w:ascii="Arial" w:cs="Arial" w:eastAsia="Arial" w:hAnsi="Arial"/>
            <w:sz w:val="12"/>
            <w:szCs w:val="12"/>
            <w:b w:val="1"/>
            <w:bCs w:val="1"/>
            <w:u w:val="single" w:color="auto"/>
            <w:color w:val="0000FF"/>
          </w:rPr>
          <w:t>3.2</w:t>
        </w:r>
      </w:hyperlink>
    </w:p>
    <w:p>
      <w:pPr>
        <w:spacing w:after="0" w:line="201" w:lineRule="auto"/>
        <w:tabs>
          <w:tab w:leader="none" w:pos="140" w:val="left"/>
          <w:tab w:leader="none" w:pos="260" w:val="left"/>
        </w:tabs>
        <w:framePr w:w="260" w:h="116" w:wrap="auto" w:vAnchor="page" w:hAnchor="page" w:x="2080" w:y="2638"/>
        <w:rPr>
          <w:rFonts w:ascii="Arial" w:cs="Arial" w:eastAsia="Arial" w:hAnsi="Arial"/>
          <w:sz w:val="12"/>
          <w:szCs w:val="12"/>
          <w:b w:val="1"/>
          <w:bCs w:val="1"/>
          <w:u w:val="single" w:color="auto"/>
          <w:color w:val="0000FF"/>
        </w:rPr>
      </w:pPr>
      <w:hyperlink r:id="rId118">
        <w:r>
          <w:rPr>
            <w:rFonts w:ascii="Arial" w:cs="Arial" w:eastAsia="Arial" w:hAnsi="Arial"/>
            <w:sz w:val="12"/>
            <w:szCs w:val="12"/>
            <w:b w:val="1"/>
            <w:bCs w:val="1"/>
            <w:u w:val="single" w:color="auto"/>
            <w:color w:val="0000FF"/>
          </w:rPr>
          <w:t>4.1</w:t>
        </w:r>
      </w:hyperlink>
    </w:p>
    <w:p>
      <w:pPr>
        <w:spacing w:after="0" w:line="201" w:lineRule="auto"/>
        <w:tabs>
          <w:tab w:leader="none" w:pos="140" w:val="left"/>
          <w:tab w:leader="none" w:pos="260" w:val="left"/>
        </w:tabs>
        <w:framePr w:w="260" w:h="116" w:wrap="auto" w:vAnchor="page" w:hAnchor="page" w:x="2080" w:y="3225"/>
        <w:rPr>
          <w:rFonts w:ascii="Arial" w:cs="Arial" w:eastAsia="Arial" w:hAnsi="Arial"/>
          <w:sz w:val="12"/>
          <w:szCs w:val="12"/>
          <w:b w:val="1"/>
          <w:bCs w:val="1"/>
          <w:u w:val="single" w:color="auto"/>
          <w:color w:val="0000FF"/>
        </w:rPr>
      </w:pPr>
      <w:hyperlink r:id="rId119">
        <w:r>
          <w:rPr>
            <w:rFonts w:ascii="Arial" w:cs="Arial" w:eastAsia="Arial" w:hAnsi="Arial"/>
            <w:sz w:val="12"/>
            <w:szCs w:val="12"/>
            <w:b w:val="1"/>
            <w:bCs w:val="1"/>
            <w:u w:val="single" w:color="auto"/>
            <w:color w:val="0000FF"/>
          </w:rPr>
          <w:t>4.2</w:t>
        </w:r>
      </w:hyperlink>
    </w:p>
    <w:p>
      <w:pPr>
        <w:spacing w:after="0" w:line="201" w:lineRule="auto"/>
        <w:tabs>
          <w:tab w:leader="none" w:pos="140" w:val="left"/>
          <w:tab w:leader="none" w:pos="260" w:val="left"/>
        </w:tabs>
        <w:framePr w:w="260" w:h="116" w:wrap="auto" w:vAnchor="page" w:hAnchor="page" w:x="2080" w:y="3822"/>
        <w:rPr>
          <w:rFonts w:ascii="Arial" w:cs="Arial" w:eastAsia="Arial" w:hAnsi="Arial"/>
          <w:sz w:val="12"/>
          <w:szCs w:val="12"/>
          <w:b w:val="1"/>
          <w:bCs w:val="1"/>
          <w:u w:val="single" w:color="auto"/>
          <w:color w:val="0000FF"/>
        </w:rPr>
      </w:pPr>
      <w:hyperlink r:id="rId120">
        <w:r>
          <w:rPr>
            <w:rFonts w:ascii="Arial" w:cs="Arial" w:eastAsia="Arial" w:hAnsi="Arial"/>
            <w:sz w:val="12"/>
            <w:szCs w:val="12"/>
            <w:b w:val="1"/>
            <w:bCs w:val="1"/>
            <w:u w:val="single" w:color="auto"/>
            <w:color w:val="0000FF"/>
          </w:rPr>
          <w:t>4.3</w:t>
        </w:r>
      </w:hyperlink>
    </w:p>
    <w:p>
      <w:pPr>
        <w:spacing w:after="0" w:line="201" w:lineRule="auto"/>
        <w:tabs>
          <w:tab w:leader="none" w:pos="140" w:val="left"/>
          <w:tab w:leader="none" w:pos="260" w:val="left"/>
        </w:tabs>
        <w:framePr w:w="260" w:h="116" w:wrap="auto" w:vAnchor="page" w:hAnchor="page" w:x="2080" w:y="4260"/>
        <w:rPr>
          <w:rFonts w:ascii="Arial" w:cs="Arial" w:eastAsia="Arial" w:hAnsi="Arial"/>
          <w:sz w:val="12"/>
          <w:szCs w:val="12"/>
          <w:b w:val="1"/>
          <w:bCs w:val="1"/>
          <w:u w:val="single" w:color="auto"/>
          <w:color w:val="0000FF"/>
        </w:rPr>
      </w:pPr>
      <w:hyperlink w:anchor="page110">
        <w:r>
          <w:rPr>
            <w:rFonts w:ascii="Arial" w:cs="Arial" w:eastAsia="Arial" w:hAnsi="Arial"/>
            <w:sz w:val="12"/>
            <w:szCs w:val="12"/>
            <w:b w:val="1"/>
            <w:bCs w:val="1"/>
            <w:u w:val="single" w:color="auto"/>
            <w:color w:val="0000FF"/>
          </w:rPr>
          <w:t>4.4</w:t>
        </w:r>
      </w:hyperlink>
    </w:p>
    <w:p>
      <w:pPr>
        <w:spacing w:after="0" w:line="201" w:lineRule="auto"/>
        <w:tabs>
          <w:tab w:leader="none" w:pos="140" w:val="left"/>
          <w:tab w:leader="none" w:pos="260" w:val="left"/>
        </w:tabs>
        <w:framePr w:w="320" w:h="116" w:wrap="auto" w:vAnchor="page" w:hAnchor="page" w:x="2040" w:y="4420"/>
        <w:rPr>
          <w:rFonts w:ascii="Arial" w:cs="Arial" w:eastAsia="Arial" w:hAnsi="Arial"/>
          <w:sz w:val="12"/>
          <w:szCs w:val="12"/>
          <w:b w:val="1"/>
          <w:bCs w:val="1"/>
          <w:u w:val="single" w:color="auto"/>
          <w:color w:val="0000FF"/>
        </w:rPr>
      </w:pPr>
      <w:hyperlink r:id="rId121">
        <w:r>
          <w:rPr>
            <w:rFonts w:ascii="Arial" w:cs="Arial" w:eastAsia="Arial" w:hAnsi="Arial"/>
            <w:sz w:val="12"/>
            <w:szCs w:val="12"/>
            <w:b w:val="1"/>
            <w:bCs w:val="1"/>
            <w:u w:val="single" w:color="auto"/>
            <w:color w:val="0000FF"/>
          </w:rPr>
          <w:t>10.1</w:t>
        </w:r>
      </w:hyperlink>
    </w:p>
    <w:p>
      <w:pPr>
        <w:spacing w:after="0" w:line="201" w:lineRule="auto"/>
        <w:tabs>
          <w:tab w:leader="none" w:pos="140" w:val="left"/>
          <w:tab w:leader="none" w:pos="260" w:val="left"/>
        </w:tabs>
        <w:framePr w:w="320" w:h="116" w:wrap="auto" w:vAnchor="page" w:hAnchor="page" w:x="2040" w:y="4868"/>
        <w:rPr>
          <w:rFonts w:ascii="Arial" w:cs="Arial" w:eastAsia="Arial" w:hAnsi="Arial"/>
          <w:sz w:val="12"/>
          <w:szCs w:val="12"/>
          <w:b w:val="1"/>
          <w:bCs w:val="1"/>
          <w:u w:val="single" w:color="auto"/>
          <w:color w:val="0000FF"/>
        </w:rPr>
      </w:pPr>
      <w:hyperlink w:anchor="page113">
        <w:r>
          <w:rPr>
            <w:rFonts w:ascii="Arial" w:cs="Arial" w:eastAsia="Arial" w:hAnsi="Arial"/>
            <w:sz w:val="12"/>
            <w:szCs w:val="12"/>
            <w:b w:val="1"/>
            <w:bCs w:val="1"/>
            <w:u w:val="single" w:color="auto"/>
            <w:color w:val="0000FF"/>
          </w:rPr>
          <w:t>10.2</w:t>
        </w:r>
      </w:hyperlink>
    </w:p>
    <w:p>
      <w:pPr>
        <w:spacing w:after="0" w:line="201" w:lineRule="auto"/>
        <w:tabs>
          <w:tab w:leader="none" w:pos="140" w:val="left"/>
          <w:tab w:leader="none" w:pos="260" w:val="left"/>
        </w:tabs>
        <w:framePr w:w="320" w:h="116" w:wrap="auto" w:vAnchor="page" w:hAnchor="page" w:x="2040" w:y="5028"/>
        <w:rPr>
          <w:rFonts w:ascii="Arial" w:cs="Arial" w:eastAsia="Arial" w:hAnsi="Arial"/>
          <w:sz w:val="12"/>
          <w:szCs w:val="12"/>
          <w:b w:val="1"/>
          <w:bCs w:val="1"/>
          <w:u w:val="single" w:color="auto"/>
          <w:color w:val="0000FF"/>
        </w:rPr>
      </w:pPr>
      <w:hyperlink w:anchor="page128">
        <w:r>
          <w:rPr>
            <w:rFonts w:ascii="Arial" w:cs="Arial" w:eastAsia="Arial" w:hAnsi="Arial"/>
            <w:sz w:val="12"/>
            <w:szCs w:val="12"/>
            <w:b w:val="1"/>
            <w:bCs w:val="1"/>
            <w:u w:val="single" w:color="auto"/>
            <w:color w:val="0000FF"/>
          </w:rPr>
          <w:t>10.3</w:t>
        </w:r>
      </w:hyperlink>
    </w:p>
    <w:p>
      <w:pPr>
        <w:spacing w:after="0" w:line="201" w:lineRule="auto"/>
        <w:tabs>
          <w:tab w:leader="none" w:pos="140" w:val="left"/>
          <w:tab w:leader="none" w:pos="260" w:val="left"/>
        </w:tabs>
        <w:framePr w:w="320" w:h="116" w:wrap="auto" w:vAnchor="page" w:hAnchor="page" w:x="2040" w:y="5188"/>
        <w:rPr>
          <w:rFonts w:ascii="Arial" w:cs="Arial" w:eastAsia="Arial" w:hAnsi="Arial"/>
          <w:sz w:val="12"/>
          <w:szCs w:val="12"/>
          <w:b w:val="1"/>
          <w:bCs w:val="1"/>
          <w:u w:val="single" w:color="auto"/>
          <w:color w:val="0000FF"/>
        </w:rPr>
      </w:pPr>
      <w:hyperlink w:anchor="page129">
        <w:r>
          <w:rPr>
            <w:rFonts w:ascii="Arial" w:cs="Arial" w:eastAsia="Arial" w:hAnsi="Arial"/>
            <w:sz w:val="12"/>
            <w:szCs w:val="12"/>
            <w:b w:val="1"/>
            <w:bCs w:val="1"/>
            <w:u w:val="single" w:color="auto"/>
            <w:color w:val="0000FF"/>
          </w:rPr>
          <w:t>10.4</w:t>
        </w:r>
      </w:hyperlink>
    </w:p>
    <w:p>
      <w:pPr>
        <w:spacing w:after="0" w:line="201" w:lineRule="auto"/>
        <w:tabs>
          <w:tab w:leader="none" w:pos="140" w:val="left"/>
          <w:tab w:leader="none" w:pos="260" w:val="left"/>
        </w:tabs>
        <w:framePr w:w="320" w:h="116" w:wrap="auto" w:vAnchor="page" w:hAnchor="page" w:x="2040" w:y="5359"/>
        <w:rPr>
          <w:rFonts w:ascii="Arial" w:cs="Arial" w:eastAsia="Arial" w:hAnsi="Arial"/>
          <w:sz w:val="12"/>
          <w:szCs w:val="12"/>
          <w:b w:val="1"/>
          <w:bCs w:val="1"/>
          <w:u w:val="single" w:color="auto"/>
          <w:color w:val="0000FF"/>
        </w:rPr>
      </w:pPr>
      <w:hyperlink w:anchor="page133">
        <w:r>
          <w:rPr>
            <w:rFonts w:ascii="Arial" w:cs="Arial" w:eastAsia="Arial" w:hAnsi="Arial"/>
            <w:sz w:val="12"/>
            <w:szCs w:val="12"/>
            <w:b w:val="1"/>
            <w:bCs w:val="1"/>
            <w:u w:val="single" w:color="auto"/>
            <w:color w:val="0000FF"/>
          </w:rPr>
          <w:t>10.5</w:t>
        </w:r>
      </w:hyperlink>
    </w:p>
    <w:p>
      <w:pPr>
        <w:spacing w:after="0" w:line="201" w:lineRule="auto"/>
        <w:tabs>
          <w:tab w:leader="none" w:pos="140" w:val="left"/>
          <w:tab w:leader="none" w:pos="260" w:val="left"/>
        </w:tabs>
        <w:framePr w:w="320" w:h="116" w:wrap="auto" w:vAnchor="page" w:hAnchor="page" w:x="2040" w:y="5519"/>
        <w:rPr>
          <w:rFonts w:ascii="Arial" w:cs="Arial" w:eastAsia="Arial" w:hAnsi="Arial"/>
          <w:sz w:val="12"/>
          <w:szCs w:val="12"/>
          <w:b w:val="1"/>
          <w:bCs w:val="1"/>
          <w:u w:val="single" w:color="auto"/>
          <w:color w:val="0000FF"/>
        </w:rPr>
      </w:pPr>
      <w:hyperlink w:anchor="page147">
        <w:r>
          <w:rPr>
            <w:rFonts w:ascii="Arial" w:cs="Arial" w:eastAsia="Arial" w:hAnsi="Arial"/>
            <w:sz w:val="12"/>
            <w:szCs w:val="12"/>
            <w:b w:val="1"/>
            <w:bCs w:val="1"/>
            <w:u w:val="single" w:color="auto"/>
            <w:color w:val="0000FF"/>
          </w:rPr>
          <w:t>10.6</w:t>
        </w:r>
      </w:hyperlink>
    </w:p>
    <w:p>
      <w:pPr>
        <w:spacing w:after="0" w:line="201" w:lineRule="auto"/>
        <w:tabs>
          <w:tab w:leader="none" w:pos="140" w:val="left"/>
          <w:tab w:leader="none" w:pos="260" w:val="left"/>
        </w:tabs>
        <w:framePr w:w="320" w:h="116" w:wrap="auto" w:vAnchor="page" w:hAnchor="page" w:x="2040" w:y="5679"/>
        <w:rPr>
          <w:rFonts w:ascii="Arial" w:cs="Arial" w:eastAsia="Arial" w:hAnsi="Arial"/>
          <w:sz w:val="12"/>
          <w:szCs w:val="12"/>
          <w:b w:val="1"/>
          <w:bCs w:val="1"/>
          <w:u w:val="single" w:color="auto"/>
          <w:color w:val="0000FF"/>
        </w:rPr>
      </w:pPr>
      <w:hyperlink w:anchor="page150">
        <w:r>
          <w:rPr>
            <w:rFonts w:ascii="Arial" w:cs="Arial" w:eastAsia="Arial" w:hAnsi="Arial"/>
            <w:sz w:val="12"/>
            <w:szCs w:val="12"/>
            <w:b w:val="1"/>
            <w:bCs w:val="1"/>
            <w:u w:val="single" w:color="auto"/>
            <w:color w:val="0000FF"/>
          </w:rPr>
          <w:t>21.1</w:t>
        </w:r>
      </w:hyperlink>
    </w:p>
    <w:p>
      <w:pPr>
        <w:spacing w:after="0" w:line="201" w:lineRule="auto"/>
        <w:tabs>
          <w:tab w:leader="none" w:pos="140" w:val="left"/>
          <w:tab w:leader="none" w:pos="260" w:val="left"/>
        </w:tabs>
        <w:framePr w:w="320" w:h="116" w:wrap="auto" w:vAnchor="page" w:hAnchor="page" w:x="2040" w:y="5849"/>
        <w:rPr>
          <w:rFonts w:ascii="Arial" w:cs="Arial" w:eastAsia="Arial" w:hAnsi="Arial"/>
          <w:sz w:val="12"/>
          <w:szCs w:val="12"/>
          <w:b w:val="1"/>
          <w:bCs w:val="1"/>
          <w:u w:val="single" w:color="auto"/>
          <w:color w:val="0000FF"/>
        </w:rPr>
      </w:pPr>
      <w:hyperlink w:anchor="page151">
        <w:r>
          <w:rPr>
            <w:rFonts w:ascii="Arial" w:cs="Arial" w:eastAsia="Arial" w:hAnsi="Arial"/>
            <w:sz w:val="12"/>
            <w:szCs w:val="12"/>
            <w:b w:val="1"/>
            <w:bCs w:val="1"/>
            <w:u w:val="single" w:color="auto"/>
            <w:color w:val="0000FF"/>
          </w:rPr>
          <w:t>23.1</w:t>
        </w:r>
      </w:hyperlink>
    </w:p>
    <w:p>
      <w:pPr>
        <w:spacing w:after="0" w:line="201" w:lineRule="auto"/>
        <w:tabs>
          <w:tab w:leader="none" w:pos="140" w:val="left"/>
          <w:tab w:leader="none" w:pos="260" w:val="left"/>
        </w:tabs>
        <w:framePr w:w="320" w:h="116" w:wrap="auto" w:vAnchor="page" w:hAnchor="page" w:x="2040" w:y="6009"/>
        <w:rPr>
          <w:rFonts w:ascii="Arial" w:cs="Arial" w:eastAsia="Arial" w:hAnsi="Arial"/>
          <w:sz w:val="12"/>
          <w:szCs w:val="12"/>
          <w:b w:val="1"/>
          <w:bCs w:val="1"/>
          <w:u w:val="single" w:color="auto"/>
          <w:color w:val="0000FF"/>
        </w:rPr>
      </w:pPr>
      <w:hyperlink w:anchor="page152">
        <w:r>
          <w:rPr>
            <w:rFonts w:ascii="Arial" w:cs="Arial" w:eastAsia="Arial" w:hAnsi="Arial"/>
            <w:sz w:val="12"/>
            <w:szCs w:val="12"/>
            <w:b w:val="1"/>
            <w:bCs w:val="1"/>
            <w:u w:val="single" w:color="auto"/>
            <w:color w:val="0000FF"/>
          </w:rPr>
          <w:t>31.1</w:t>
        </w:r>
      </w:hyperlink>
    </w:p>
    <w:p>
      <w:pPr>
        <w:spacing w:after="0" w:line="201" w:lineRule="auto"/>
        <w:tabs>
          <w:tab w:leader="none" w:pos="140" w:val="left"/>
          <w:tab w:leader="none" w:pos="260" w:val="left"/>
        </w:tabs>
        <w:framePr w:w="320" w:h="116" w:wrap="auto" w:vAnchor="page" w:hAnchor="page" w:x="2040" w:y="6170"/>
        <w:rPr>
          <w:rFonts w:ascii="Arial" w:cs="Arial" w:eastAsia="Arial" w:hAnsi="Arial"/>
          <w:sz w:val="12"/>
          <w:szCs w:val="12"/>
          <w:b w:val="1"/>
          <w:bCs w:val="1"/>
          <w:u w:val="single" w:color="auto"/>
          <w:color w:val="0000FF"/>
        </w:rPr>
      </w:pPr>
      <w:hyperlink w:anchor="page153">
        <w:r>
          <w:rPr>
            <w:rFonts w:ascii="Arial" w:cs="Arial" w:eastAsia="Arial" w:hAnsi="Arial"/>
            <w:sz w:val="12"/>
            <w:szCs w:val="12"/>
            <w:b w:val="1"/>
            <w:bCs w:val="1"/>
            <w:u w:val="single" w:color="auto"/>
            <w:color w:val="0000FF"/>
          </w:rPr>
          <w:t>31.2</w:t>
        </w:r>
      </w:hyperlink>
    </w:p>
    <w:p>
      <w:pPr>
        <w:spacing w:after="0" w:line="201" w:lineRule="auto"/>
        <w:tabs>
          <w:tab w:leader="none" w:pos="140" w:val="left"/>
          <w:tab w:leader="none" w:pos="260" w:val="left"/>
        </w:tabs>
        <w:framePr w:w="320" w:h="116" w:wrap="auto" w:vAnchor="page" w:hAnchor="page" w:x="2040" w:y="6340"/>
        <w:rPr>
          <w:rFonts w:ascii="Arial" w:cs="Arial" w:eastAsia="Arial" w:hAnsi="Arial"/>
          <w:sz w:val="12"/>
          <w:szCs w:val="12"/>
          <w:b w:val="1"/>
          <w:bCs w:val="1"/>
          <w:u w:val="single" w:color="auto"/>
          <w:color w:val="0000FF"/>
        </w:rPr>
      </w:pPr>
      <w:hyperlink w:anchor="page154">
        <w:r>
          <w:rPr>
            <w:rFonts w:ascii="Arial" w:cs="Arial" w:eastAsia="Arial" w:hAnsi="Arial"/>
            <w:sz w:val="12"/>
            <w:szCs w:val="12"/>
            <w:b w:val="1"/>
            <w:bCs w:val="1"/>
            <w:u w:val="single" w:color="auto"/>
            <w:color w:val="0000FF"/>
          </w:rPr>
          <w:t>32.1</w:t>
        </w:r>
      </w:hyperlink>
    </w:p>
    <w:p>
      <w:pPr>
        <w:spacing w:after="0" w:line="201" w:lineRule="auto"/>
        <w:tabs>
          <w:tab w:leader="none" w:pos="140" w:val="left"/>
          <w:tab w:leader="none" w:pos="260" w:val="left"/>
        </w:tabs>
        <w:framePr w:w="320" w:h="116" w:wrap="auto" w:vAnchor="page" w:hAnchor="page" w:x="2040" w:y="6500"/>
        <w:rPr>
          <w:rFonts w:ascii="Arial" w:cs="Arial" w:eastAsia="Arial" w:hAnsi="Arial"/>
          <w:sz w:val="12"/>
          <w:szCs w:val="12"/>
          <w:b w:val="1"/>
          <w:bCs w:val="1"/>
          <w:u w:val="single" w:color="auto"/>
          <w:color w:val="0000FF"/>
        </w:rPr>
      </w:pPr>
      <w:hyperlink w:anchor="page155">
        <w:r>
          <w:rPr>
            <w:rFonts w:ascii="Arial" w:cs="Arial" w:eastAsia="Arial" w:hAnsi="Arial"/>
            <w:sz w:val="12"/>
            <w:szCs w:val="12"/>
            <w:b w:val="1"/>
            <w:bCs w:val="1"/>
            <w:u w:val="single" w:color="auto"/>
            <w:color w:val="0000FF"/>
          </w:rPr>
          <w:t>32.2</w:t>
        </w:r>
      </w:hyperlink>
    </w:p>
    <w:p>
      <w:pPr>
        <w:spacing w:after="0" w:line="219" w:lineRule="auto"/>
        <w:tabs>
          <w:tab w:leader="none" w:pos="140" w:val="left"/>
          <w:tab w:leader="none" w:pos="260" w:val="left"/>
        </w:tabs>
        <w:framePr w:w="280" w:h="116" w:wrap="auto" w:vAnchor="page" w:hAnchor="page" w:x="2060" w:y="6660"/>
        <w:rPr>
          <w:rFonts w:ascii="Arial" w:cs="Arial" w:eastAsia="Arial" w:hAnsi="Arial"/>
          <w:sz w:val="11"/>
          <w:szCs w:val="11"/>
          <w:b w:val="1"/>
          <w:bCs w:val="1"/>
          <w:u w:val="single" w:color="auto"/>
          <w:color w:val="0000FF"/>
        </w:rPr>
      </w:pPr>
      <w:r>
        <w:rPr>
          <w:rFonts w:ascii="Arial" w:cs="Arial" w:eastAsia="Arial" w:hAnsi="Arial"/>
          <w:sz w:val="11"/>
          <w:szCs w:val="11"/>
          <w:b w:val="1"/>
          <w:bCs w:val="1"/>
          <w:u w:val="single" w:color="auto"/>
          <w:color w:val="0000FF"/>
        </w:rPr>
        <w:t>101</w:t>
      </w:r>
    </w:p>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62" w:lineRule="exact"/>
        <w:rPr>
          <w:rFonts w:ascii="Arial" w:cs="Arial" w:eastAsia="Arial" w:hAnsi="Arial"/>
          <w:sz w:val="11"/>
          <w:szCs w:val="11"/>
          <w:b w:val="1"/>
          <w:bCs w:val="1"/>
          <w:u w:val="single" w:color="auto"/>
          <w:color w:val="0000FF"/>
        </w:rPr>
      </w:pPr>
    </w:p>
    <w:p>
      <w:pPr>
        <w:jc w:val="center"/>
        <w:ind w:right="19"/>
        <w:spacing w:after="0"/>
        <w:rPr>
          <w:sz w:val="20"/>
          <w:szCs w:val="20"/>
          <w:color w:val="auto"/>
        </w:rPr>
      </w:pPr>
      <w:r>
        <w:rPr>
          <w:rFonts w:ascii="Arial" w:cs="Arial" w:eastAsia="Arial" w:hAnsi="Arial"/>
          <w:sz w:val="14"/>
          <w:szCs w:val="14"/>
          <w:b w:val="1"/>
          <w:bCs w:val="1"/>
          <w:color w:val="auto"/>
        </w:rPr>
        <w:t>EXHIBIT INDEX</w:t>
      </w:r>
    </w:p>
    <w:p>
      <w:pPr>
        <w:spacing w:after="0" w:line="312" w:lineRule="exact"/>
        <w:rPr>
          <w:rFonts w:ascii="Arial" w:cs="Arial" w:eastAsia="Arial" w:hAnsi="Arial"/>
          <w:sz w:val="11"/>
          <w:szCs w:val="11"/>
          <w:b w:val="1"/>
          <w:bCs w:val="1"/>
          <w:u w:val="single" w:color="auto"/>
          <w:color w:val="0000FF"/>
        </w:rPr>
      </w:pPr>
    </w:p>
    <w:p>
      <w:pPr>
        <w:ind w:left="1420"/>
        <w:spacing w:after="0"/>
        <w:rPr>
          <w:sz w:val="20"/>
          <w:szCs w:val="20"/>
          <w:color w:val="auto"/>
        </w:rPr>
      </w:pPr>
      <w:r>
        <w:rPr>
          <w:rFonts w:ascii="Arial" w:cs="Arial" w:eastAsia="Arial" w:hAnsi="Arial"/>
          <w:sz w:val="13"/>
          <w:szCs w:val="13"/>
          <w:b w:val="1"/>
          <w:bCs w:val="1"/>
          <w:color w:val="auto"/>
        </w:rPr>
        <w:t>Description of Exhibit</w:t>
      </w:r>
    </w:p>
    <w:p>
      <w:pPr>
        <w:spacing w:after="0" w:line="27" w:lineRule="exact"/>
        <w:rPr>
          <w:rFonts w:ascii="Arial" w:cs="Arial" w:eastAsia="Arial" w:hAnsi="Arial"/>
          <w:sz w:val="11"/>
          <w:szCs w:val="11"/>
          <w:b w:val="1"/>
          <w:bCs w:val="1"/>
          <w:u w:val="single" w:color="auto"/>
          <w:color w:val="0000FF"/>
        </w:rPr>
      </w:pPr>
    </w:p>
    <w:p>
      <w:pPr>
        <w:jc w:val="both"/>
        <w:ind w:left="1420" w:right="619"/>
        <w:spacing w:after="0" w:line="234" w:lineRule="auto"/>
        <w:rPr>
          <w:rFonts w:ascii="Arial" w:cs="Arial" w:eastAsia="Arial" w:hAnsi="Arial"/>
          <w:sz w:val="13"/>
          <w:szCs w:val="13"/>
          <w:u w:val="single" w:color="auto"/>
          <w:color w:val="0000FF"/>
        </w:rPr>
      </w:pPr>
      <w:hyperlink r:id="rId115">
        <w:r>
          <w:rPr>
            <w:rFonts w:ascii="Arial" w:cs="Arial" w:eastAsia="Arial" w:hAnsi="Arial"/>
            <w:sz w:val="13"/>
            <w:szCs w:val="13"/>
            <w:u w:val="single" w:color="auto"/>
            <w:color w:val="0000FF"/>
          </w:rPr>
          <w:t>Agreement and Plan of Share Exchange, dated December 27, 2021, by and between U.S. Century Bank and USCB Financial</w:t>
        </w:r>
      </w:hyperlink>
      <w:r>
        <w:rPr>
          <w:rFonts w:ascii="Arial" w:cs="Arial" w:eastAsia="Arial" w:hAnsi="Arial"/>
          <w:sz w:val="13"/>
          <w:szCs w:val="13"/>
          <w:u w:val="single" w:color="auto"/>
          <w:color w:val="0000FF"/>
        </w:rPr>
        <w:t xml:space="preserve"> </w:t>
      </w:r>
      <w:hyperlink r:id="rId115">
        <w:r>
          <w:rPr>
            <w:rFonts w:ascii="Arial" w:cs="Arial" w:eastAsia="Arial" w:hAnsi="Arial"/>
            <w:sz w:val="13"/>
            <w:szCs w:val="13"/>
            <w:u w:val="single" w:color="auto"/>
            <w:color w:val="0000FF"/>
          </w:rPr>
          <w:t>Holdings, Inc. (incorporated by reference to Exhibit 2.1 to the Registrant’s Current Report on Form 8-K (File No. 001-41196)</w:t>
        </w:r>
      </w:hyperlink>
      <w:r>
        <w:rPr>
          <w:rFonts w:ascii="Arial" w:cs="Arial" w:eastAsia="Arial" w:hAnsi="Arial"/>
          <w:sz w:val="13"/>
          <w:szCs w:val="13"/>
          <w:u w:val="single" w:color="auto"/>
          <w:color w:val="0000FF"/>
        </w:rPr>
        <w:t xml:space="preserve"> </w:t>
      </w:r>
      <w:hyperlink r:id="rId115">
        <w:r>
          <w:rPr>
            <w:rFonts w:ascii="Arial" w:cs="Arial" w:eastAsia="Arial" w:hAnsi="Arial"/>
            <w:sz w:val="13"/>
            <w:szCs w:val="13"/>
            <w:u w:val="single" w:color="auto"/>
            <w:color w:val="0000FF"/>
          </w:rPr>
          <w:t>filed with the Securities and Exchange Commission on December 30, 2021).</w:t>
        </w:r>
      </w:hyperlink>
    </w:p>
    <w:p>
      <w:pPr>
        <w:ind w:left="1420" w:right="599"/>
        <w:spacing w:after="0" w:line="236" w:lineRule="auto"/>
        <w:rPr>
          <w:rFonts w:ascii="Arial" w:cs="Arial" w:eastAsia="Arial" w:hAnsi="Arial"/>
          <w:sz w:val="13"/>
          <w:szCs w:val="13"/>
          <w:u w:val="single" w:color="auto"/>
          <w:color w:val="0000FF"/>
        </w:rPr>
      </w:pPr>
      <w:hyperlink r:id="rId116">
        <w:r>
          <w:rPr>
            <w:rFonts w:ascii="Arial" w:cs="Arial" w:eastAsia="Arial" w:hAnsi="Arial"/>
            <w:sz w:val="13"/>
            <w:szCs w:val="13"/>
            <w:u w:val="single" w:color="auto"/>
            <w:color w:val="0000FF"/>
          </w:rPr>
          <w:t>Articles of Incorporation of USCB Financial Holdings, Inc. (incorporated by reference to Exhibit 3.1 to the Registrant’s Current</w:t>
        </w:r>
      </w:hyperlink>
      <w:r>
        <w:rPr>
          <w:rFonts w:ascii="Arial" w:cs="Arial" w:eastAsia="Arial" w:hAnsi="Arial"/>
          <w:sz w:val="13"/>
          <w:szCs w:val="13"/>
          <w:u w:val="single" w:color="auto"/>
          <w:color w:val="0000FF"/>
        </w:rPr>
        <w:t xml:space="preserve"> </w:t>
      </w:r>
      <w:hyperlink r:id="rId116">
        <w:r>
          <w:rPr>
            <w:rFonts w:ascii="Arial" w:cs="Arial" w:eastAsia="Arial" w:hAnsi="Arial"/>
            <w:sz w:val="13"/>
            <w:szCs w:val="13"/>
            <w:u w:val="single" w:color="auto"/>
            <w:color w:val="0000FF"/>
          </w:rPr>
          <w:t>Report on Form 8-K (File No. 001-41196) filed with the Securities and Exchange Commission on December 30, 2021).</w:t>
        </w:r>
      </w:hyperlink>
      <w:r>
        <w:rPr>
          <w:rFonts w:ascii="Arial" w:cs="Arial" w:eastAsia="Arial" w:hAnsi="Arial"/>
          <w:sz w:val="13"/>
          <w:szCs w:val="13"/>
          <w:u w:val="single" w:color="auto"/>
          <w:color w:val="0000FF"/>
        </w:rPr>
        <w:t xml:space="preserve"> </w:t>
      </w:r>
      <w:hyperlink r:id="rId117">
        <w:r>
          <w:rPr>
            <w:rFonts w:ascii="Arial" w:cs="Arial" w:eastAsia="Arial" w:hAnsi="Arial"/>
            <w:sz w:val="13"/>
            <w:szCs w:val="13"/>
            <w:u w:val="single" w:color="auto"/>
            <w:color w:val="0000FF"/>
          </w:rPr>
          <w:t>Amended and Restated Bylaws of USCB Financial Holdings, Inc. (incorporated by reference to Exhibit 3.2 to the Registrant’s</w:t>
        </w:r>
      </w:hyperlink>
      <w:r>
        <w:rPr>
          <w:rFonts w:ascii="Arial" w:cs="Arial" w:eastAsia="Arial" w:hAnsi="Arial"/>
          <w:sz w:val="13"/>
          <w:szCs w:val="13"/>
          <w:u w:val="single" w:color="auto"/>
          <w:color w:val="0000FF"/>
        </w:rPr>
        <w:t xml:space="preserve"> </w:t>
      </w:r>
      <w:hyperlink r:id="rId117">
        <w:r>
          <w:rPr>
            <w:rFonts w:ascii="Arial" w:cs="Arial" w:eastAsia="Arial" w:hAnsi="Arial"/>
            <w:sz w:val="13"/>
            <w:szCs w:val="13"/>
            <w:u w:val="single" w:color="auto"/>
            <w:color w:val="0000FF"/>
          </w:rPr>
          <w:t>Current Report on Form 8-K (File No. 001-41196) filed with the Securities and Exchange Commission on December 30,</w:t>
        </w:r>
      </w:hyperlink>
      <w:r>
        <w:rPr>
          <w:rFonts w:ascii="Arial" w:cs="Arial" w:eastAsia="Arial" w:hAnsi="Arial"/>
          <w:sz w:val="13"/>
          <w:szCs w:val="13"/>
          <w:u w:val="single" w:color="auto"/>
          <w:color w:val="0000FF"/>
        </w:rPr>
        <w:t xml:space="preserve"> </w:t>
      </w:r>
      <w:hyperlink r:id="rId117">
        <w:r>
          <w:rPr>
            <w:rFonts w:ascii="Arial" w:cs="Arial" w:eastAsia="Arial" w:hAnsi="Arial"/>
            <w:sz w:val="13"/>
            <w:szCs w:val="13"/>
            <w:u w:val="single" w:color="auto"/>
            <w:color w:val="0000FF"/>
          </w:rPr>
          <w:t>2021).</w:t>
        </w:r>
      </w:hyperlink>
    </w:p>
    <w:p>
      <w:pPr>
        <w:spacing w:after="0" w:line="1" w:lineRule="exact"/>
        <w:rPr>
          <w:rFonts w:ascii="Arial" w:cs="Arial" w:eastAsia="Arial" w:hAnsi="Arial"/>
          <w:sz w:val="13"/>
          <w:szCs w:val="13"/>
          <w:u w:val="single" w:color="auto"/>
          <w:color w:val="0000FF"/>
        </w:rPr>
      </w:pPr>
    </w:p>
    <w:p>
      <w:pPr>
        <w:jc w:val="both"/>
        <w:ind w:left="1420" w:right="579"/>
        <w:spacing w:after="0" w:line="235" w:lineRule="auto"/>
        <w:rPr>
          <w:rFonts w:ascii="Arial" w:cs="Arial" w:eastAsia="Arial" w:hAnsi="Arial"/>
          <w:sz w:val="13"/>
          <w:szCs w:val="13"/>
          <w:u w:val="single" w:color="auto"/>
          <w:color w:val="0000FF"/>
        </w:rPr>
      </w:pPr>
      <w:hyperlink r:id="rId118">
        <w:r>
          <w:rPr>
            <w:rFonts w:ascii="Arial" w:cs="Arial" w:eastAsia="Arial" w:hAnsi="Arial"/>
            <w:sz w:val="13"/>
            <w:szCs w:val="13"/>
            <w:u w:val="single" w:color="auto"/>
            <w:color w:val="0000FF"/>
          </w:rPr>
          <w:t>Side Letter Agreement, dated December 30, 2021, between USCB Financial Holdings, Inc., U.S. Century Bank, Priam Capital</w:t>
        </w:r>
      </w:hyperlink>
      <w:r>
        <w:rPr>
          <w:rFonts w:ascii="Arial" w:cs="Arial" w:eastAsia="Arial" w:hAnsi="Arial"/>
          <w:sz w:val="13"/>
          <w:szCs w:val="13"/>
          <w:u w:val="single" w:color="auto"/>
          <w:color w:val="0000FF"/>
        </w:rPr>
        <w:t xml:space="preserve"> </w:t>
      </w:r>
      <w:hyperlink r:id="rId118">
        <w:r>
          <w:rPr>
            <w:rFonts w:ascii="Arial" w:cs="Arial" w:eastAsia="Arial" w:hAnsi="Arial"/>
            <w:sz w:val="13"/>
            <w:szCs w:val="13"/>
            <w:u w:val="single" w:color="auto"/>
            <w:color w:val="0000FF"/>
          </w:rPr>
          <w:t>Fund II, LP, Patriot Financial Partners II, L.P. and Patriot Financial Partners Parallel II, L.P. (incorporated by reference to</w:t>
        </w:r>
      </w:hyperlink>
      <w:r>
        <w:rPr>
          <w:rFonts w:ascii="Arial" w:cs="Arial" w:eastAsia="Arial" w:hAnsi="Arial"/>
          <w:sz w:val="13"/>
          <w:szCs w:val="13"/>
          <w:u w:val="single" w:color="auto"/>
          <w:color w:val="0000FF"/>
        </w:rPr>
        <w:t xml:space="preserve"> </w:t>
      </w:r>
      <w:hyperlink r:id="rId118">
        <w:r>
          <w:rPr>
            <w:rFonts w:ascii="Arial" w:cs="Arial" w:eastAsia="Arial" w:hAnsi="Arial"/>
            <w:sz w:val="13"/>
            <w:szCs w:val="13"/>
            <w:u w:val="single" w:color="auto"/>
            <w:color w:val="0000FF"/>
          </w:rPr>
          <w:t>Exhibit 4.1 to the Registrant’s Current Report on Form 8-K (File No. 001-41196) filed with the Securities and Exchange</w:t>
        </w:r>
      </w:hyperlink>
      <w:r>
        <w:rPr>
          <w:rFonts w:ascii="Arial" w:cs="Arial" w:eastAsia="Arial" w:hAnsi="Arial"/>
          <w:sz w:val="13"/>
          <w:szCs w:val="13"/>
          <w:u w:val="single" w:color="auto"/>
          <w:color w:val="0000FF"/>
        </w:rPr>
        <w:t xml:space="preserve"> </w:t>
      </w:r>
      <w:hyperlink r:id="rId118">
        <w:r>
          <w:rPr>
            <w:rFonts w:ascii="Arial" w:cs="Arial" w:eastAsia="Arial" w:hAnsi="Arial"/>
            <w:sz w:val="13"/>
            <w:szCs w:val="13"/>
            <w:u w:val="single" w:color="auto"/>
            <w:color w:val="0000FF"/>
          </w:rPr>
          <w:t>Commission on December 30, 2021).</w:t>
        </w:r>
      </w:hyperlink>
    </w:p>
    <w:p>
      <w:pPr>
        <w:spacing w:after="0" w:line="1" w:lineRule="exact"/>
        <w:rPr>
          <w:rFonts w:ascii="Arial" w:cs="Arial" w:eastAsia="Arial" w:hAnsi="Arial"/>
          <w:sz w:val="13"/>
          <w:szCs w:val="13"/>
          <w:u w:val="single" w:color="auto"/>
          <w:color w:val="0000FF"/>
        </w:rPr>
      </w:pPr>
    </w:p>
    <w:p>
      <w:pPr>
        <w:jc w:val="both"/>
        <w:ind w:left="1420" w:right="619"/>
        <w:spacing w:after="0" w:line="239" w:lineRule="auto"/>
        <w:rPr>
          <w:rFonts w:ascii="Arial" w:cs="Arial" w:eastAsia="Arial" w:hAnsi="Arial"/>
          <w:sz w:val="13"/>
          <w:szCs w:val="13"/>
          <w:u w:val="single" w:color="auto"/>
          <w:color w:val="0000FF"/>
        </w:rPr>
      </w:pPr>
      <w:hyperlink r:id="rId119">
        <w:r>
          <w:rPr>
            <w:rFonts w:ascii="Arial" w:cs="Arial" w:eastAsia="Arial" w:hAnsi="Arial"/>
            <w:sz w:val="13"/>
            <w:szCs w:val="13"/>
            <w:u w:val="single" w:color="auto"/>
            <w:color w:val="0000FF"/>
          </w:rPr>
          <w:t>Registration Rights Agreement, dated March 17, 2015, between U.S. Century Bank, Priam Capital Fund II, LP, Patriot</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Financial Partners II, L.P., Patriot Financial Partners Parallel II, L.P., and certain other shareholders of U.S. Century Bank</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(incorporated by reference to Exhibit 4.2 to the Registrant’s Current Report on Form 8-K (File No. 001-41196) filed with the</w:t>
        </w:r>
      </w:hyperlink>
      <w:r>
        <w:rPr>
          <w:rFonts w:ascii="Arial" w:cs="Arial" w:eastAsia="Arial" w:hAnsi="Arial"/>
          <w:sz w:val="13"/>
          <w:szCs w:val="13"/>
          <w:u w:val="single" w:color="auto"/>
          <w:color w:val="0000FF"/>
        </w:rPr>
        <w:t xml:space="preserve"> </w:t>
      </w:r>
      <w:hyperlink r:id="rId119">
        <w:r>
          <w:rPr>
            <w:rFonts w:ascii="Arial" w:cs="Arial" w:eastAsia="Arial" w:hAnsi="Arial"/>
            <w:sz w:val="13"/>
            <w:szCs w:val="13"/>
            <w:u w:val="single" w:color="auto"/>
            <w:color w:val="0000FF"/>
          </w:rPr>
          <w:t>Securities and Exchange Commission on December 30, 2021).</w:t>
        </w:r>
      </w:hyperlink>
    </w:p>
    <w:p>
      <w:pPr>
        <w:spacing w:after="0" w:line="2" w:lineRule="exact"/>
        <w:rPr>
          <w:rFonts w:ascii="Arial" w:cs="Arial" w:eastAsia="Arial" w:hAnsi="Arial"/>
          <w:sz w:val="13"/>
          <w:szCs w:val="13"/>
          <w:u w:val="single" w:color="auto"/>
          <w:color w:val="0000FF"/>
        </w:rPr>
      </w:pPr>
    </w:p>
    <w:p>
      <w:pPr>
        <w:ind w:left="1420" w:right="639"/>
        <w:spacing w:after="0" w:line="237" w:lineRule="auto"/>
        <w:rPr>
          <w:rFonts w:ascii="Arial" w:cs="Arial" w:eastAsia="Arial" w:hAnsi="Arial"/>
          <w:sz w:val="13"/>
          <w:szCs w:val="13"/>
          <w:u w:val="single" w:color="auto"/>
          <w:color w:val="0000FF"/>
        </w:rPr>
      </w:pPr>
      <w:hyperlink r:id="rId120">
        <w:r>
          <w:rPr>
            <w:rFonts w:ascii="Arial" w:cs="Arial" w:eastAsia="Arial" w:hAnsi="Arial"/>
            <w:sz w:val="13"/>
            <w:szCs w:val="13"/>
            <w:u w:val="single" w:color="auto"/>
            <w:color w:val="0000FF"/>
          </w:rPr>
          <w:t>Assignment and Assumption of Agreement, dated December 30, 2021, between U.S. Century Bank and USCB Financial</w:t>
        </w:r>
      </w:hyperlink>
      <w:r>
        <w:rPr>
          <w:rFonts w:ascii="Arial" w:cs="Arial" w:eastAsia="Arial" w:hAnsi="Arial"/>
          <w:sz w:val="13"/>
          <w:szCs w:val="13"/>
          <w:u w:val="single" w:color="auto"/>
          <w:color w:val="0000FF"/>
        </w:rPr>
        <w:t xml:space="preserve"> </w:t>
      </w:r>
      <w:hyperlink r:id="rId120">
        <w:r>
          <w:rPr>
            <w:rFonts w:ascii="Arial" w:cs="Arial" w:eastAsia="Arial" w:hAnsi="Arial"/>
            <w:sz w:val="13"/>
            <w:szCs w:val="13"/>
            <w:u w:val="single" w:color="auto"/>
            <w:color w:val="0000FF"/>
          </w:rPr>
          <w:t>Holdings, Inc. (incorporated by reference to Exhibit 4.3 to the Registrant’s Current Report on Form 8-K (File No. 001-41196)</w:t>
        </w:r>
      </w:hyperlink>
      <w:r>
        <w:rPr>
          <w:rFonts w:ascii="Arial" w:cs="Arial" w:eastAsia="Arial" w:hAnsi="Arial"/>
          <w:sz w:val="13"/>
          <w:szCs w:val="13"/>
          <w:u w:val="single" w:color="auto"/>
          <w:color w:val="0000FF"/>
        </w:rPr>
        <w:t xml:space="preserve"> </w:t>
      </w:r>
      <w:hyperlink r:id="rId120">
        <w:r>
          <w:rPr>
            <w:rFonts w:ascii="Arial" w:cs="Arial" w:eastAsia="Arial" w:hAnsi="Arial"/>
            <w:sz w:val="13"/>
            <w:szCs w:val="13"/>
            <w:u w:val="single" w:color="auto"/>
            <w:color w:val="0000FF"/>
          </w:rPr>
          <w:t>filed with the Securities and Exchange Commission on December 30, 2021).</w:t>
        </w:r>
      </w:hyperlink>
      <w:r>
        <w:rPr>
          <w:rFonts w:ascii="Arial" w:cs="Arial" w:eastAsia="Arial" w:hAnsi="Arial"/>
          <w:sz w:val="13"/>
          <w:szCs w:val="13"/>
          <w:u w:val="single" w:color="auto"/>
          <w:color w:val="0000FF"/>
        </w:rPr>
        <w:t xml:space="preserve"> </w:t>
      </w:r>
      <w:hyperlink w:anchor="page110">
        <w:r>
          <w:rPr>
            <w:rFonts w:ascii="Arial" w:cs="Arial" w:eastAsia="Arial" w:hAnsi="Arial"/>
            <w:sz w:val="13"/>
            <w:szCs w:val="13"/>
            <w:u w:val="single" w:color="auto"/>
            <w:color w:val="0000FF"/>
          </w:rPr>
          <w:t>Description of USCB Financial Holdings, Inc.’s securities.**</w:t>
        </w:r>
      </w:hyperlink>
    </w:p>
    <w:p>
      <w:pPr>
        <w:spacing w:after="0" w:line="7" w:lineRule="exact"/>
        <w:rPr>
          <w:rFonts w:ascii="Arial" w:cs="Arial" w:eastAsia="Arial" w:hAnsi="Arial"/>
          <w:sz w:val="13"/>
          <w:szCs w:val="13"/>
          <w:u w:val="single" w:color="auto"/>
          <w:color w:val="0000FF"/>
        </w:rPr>
      </w:pPr>
    </w:p>
    <w:p>
      <w:pPr>
        <w:jc w:val="both"/>
        <w:ind w:left="1420" w:right="619"/>
        <w:spacing w:after="0" w:line="239" w:lineRule="auto"/>
        <w:rPr>
          <w:rFonts w:ascii="Arial" w:cs="Arial" w:eastAsia="Arial" w:hAnsi="Arial"/>
          <w:sz w:val="13"/>
          <w:szCs w:val="13"/>
          <w:u w:val="single" w:color="auto"/>
          <w:color w:val="0000FF"/>
        </w:rPr>
      </w:pPr>
      <w:hyperlink r:id="rId121">
        <w:r>
          <w:rPr>
            <w:rFonts w:ascii="Arial" w:cs="Arial" w:eastAsia="Arial" w:hAnsi="Arial"/>
            <w:sz w:val="13"/>
            <w:szCs w:val="13"/>
            <w:u w:val="single" w:color="auto"/>
            <w:color w:val="0000FF"/>
          </w:rPr>
          <w:t>U.S. Century Bank Amended and Restated 2015 Equity Incentive Plan (incorporated by reference to Exhibit 10.1 to the</w:t>
        </w:r>
      </w:hyperlink>
      <w:r>
        <w:rPr>
          <w:rFonts w:ascii="Arial" w:cs="Arial" w:eastAsia="Arial" w:hAnsi="Arial"/>
          <w:sz w:val="13"/>
          <w:szCs w:val="13"/>
          <w:u w:val="single" w:color="auto"/>
          <w:color w:val="0000FF"/>
        </w:rPr>
        <w:t xml:space="preserve"> </w:t>
      </w:r>
      <w:hyperlink r:id="rId121">
        <w:r>
          <w:rPr>
            <w:rFonts w:ascii="Arial" w:cs="Arial" w:eastAsia="Arial" w:hAnsi="Arial"/>
            <w:sz w:val="13"/>
            <w:szCs w:val="13"/>
            <w:u w:val="single" w:color="auto"/>
            <w:color w:val="0000FF"/>
          </w:rPr>
          <w:t>Registrant’s Current Report on Form 8-K (File No. 001-41196) filed with the Securities and Exchange Commission on</w:t>
        </w:r>
      </w:hyperlink>
      <w:r>
        <w:rPr>
          <w:rFonts w:ascii="Arial" w:cs="Arial" w:eastAsia="Arial" w:hAnsi="Arial"/>
          <w:sz w:val="13"/>
          <w:szCs w:val="13"/>
          <w:u w:val="single" w:color="auto"/>
          <w:color w:val="0000FF"/>
        </w:rPr>
        <w:t xml:space="preserve"> </w:t>
      </w:r>
      <w:hyperlink r:id="rId121">
        <w:r>
          <w:rPr>
            <w:rFonts w:ascii="Arial" w:cs="Arial" w:eastAsia="Arial" w:hAnsi="Arial"/>
            <w:sz w:val="13"/>
            <w:szCs w:val="13"/>
            <w:u w:val="single" w:color="auto"/>
            <w:color w:val="0000FF"/>
          </w:rPr>
          <w:t>December 30, 2021).</w:t>
        </w:r>
      </w:hyperlink>
    </w:p>
    <w:p>
      <w:pPr>
        <w:spacing w:after="0" w:line="1" w:lineRule="exact"/>
        <w:rPr>
          <w:rFonts w:ascii="Arial" w:cs="Arial" w:eastAsia="Arial" w:hAnsi="Arial"/>
          <w:sz w:val="13"/>
          <w:szCs w:val="13"/>
          <w:u w:val="single" w:color="auto"/>
          <w:color w:val="0000FF"/>
        </w:rPr>
      </w:pPr>
    </w:p>
    <w:p>
      <w:pPr>
        <w:ind w:left="1420"/>
        <w:spacing w:after="0"/>
        <w:rPr>
          <w:rFonts w:ascii="Arial" w:cs="Arial" w:eastAsia="Arial" w:hAnsi="Arial"/>
          <w:sz w:val="13"/>
          <w:szCs w:val="13"/>
          <w:u w:val="single" w:color="auto"/>
          <w:color w:val="0000FF"/>
        </w:rPr>
      </w:pPr>
      <w:hyperlink w:anchor="page113">
        <w:r>
          <w:rPr>
            <w:rFonts w:ascii="Arial" w:cs="Arial" w:eastAsia="Arial" w:hAnsi="Arial"/>
            <w:sz w:val="13"/>
            <w:szCs w:val="13"/>
            <w:u w:val="single" w:color="auto"/>
            <w:color w:val="0000FF"/>
          </w:rPr>
          <w:t>Employment Agreement, dated April 16, 2016, between U.S. Century Bank and Luis de la Aguilera.*,**</w:t>
        </w:r>
      </w:hyperlink>
    </w:p>
    <w:p>
      <w:pPr>
        <w:spacing w:after="0" w:line="11" w:lineRule="exact"/>
        <w:rPr>
          <w:rFonts w:ascii="Arial" w:cs="Arial" w:eastAsia="Arial" w:hAnsi="Arial"/>
          <w:sz w:val="13"/>
          <w:szCs w:val="13"/>
          <w:u w:val="single" w:color="auto"/>
          <w:color w:val="0000FF"/>
        </w:rPr>
      </w:pPr>
    </w:p>
    <w:p>
      <w:pPr>
        <w:jc w:val="both"/>
        <w:ind w:left="1420" w:right="719"/>
        <w:spacing w:after="0" w:line="284" w:lineRule="auto"/>
        <w:rPr>
          <w:rFonts w:ascii="Arial" w:cs="Arial" w:eastAsia="Arial" w:hAnsi="Arial"/>
          <w:sz w:val="12"/>
          <w:szCs w:val="12"/>
          <w:u w:val="single" w:color="auto"/>
          <w:color w:val="0000FF"/>
        </w:rPr>
      </w:pPr>
      <w:hyperlink w:anchor="page128">
        <w:r>
          <w:rPr>
            <w:rFonts w:ascii="Arial" w:cs="Arial" w:eastAsia="Arial" w:hAnsi="Arial"/>
            <w:sz w:val="12"/>
            <w:szCs w:val="12"/>
            <w:u w:val="single" w:color="auto"/>
            <w:color w:val="0000FF"/>
          </w:rPr>
          <w:t>Amendment, dated April 19, 2019, to the Employment Agreement between U.S. Century Bank and Luis de la Aguilera.*,**</w:t>
        </w:r>
      </w:hyperlink>
      <w:r>
        <w:rPr>
          <w:rFonts w:ascii="Arial" w:cs="Arial" w:eastAsia="Arial" w:hAnsi="Arial"/>
          <w:sz w:val="12"/>
          <w:szCs w:val="12"/>
          <w:u w:val="single" w:color="auto"/>
          <w:color w:val="0000FF"/>
        </w:rPr>
        <w:t xml:space="preserve"> </w:t>
      </w:r>
      <w:hyperlink w:anchor="page129">
        <w:r>
          <w:rPr>
            <w:rFonts w:ascii="Arial" w:cs="Arial" w:eastAsia="Arial" w:hAnsi="Arial"/>
            <w:sz w:val="12"/>
            <w:szCs w:val="12"/>
            <w:u w:val="single" w:color="auto"/>
            <w:color w:val="0000FF"/>
          </w:rPr>
          <w:t>Amendment, dated April 30, 2019, to the Employment Agreement between U.S. Century Bank and Luis de la Aguilera.*,**</w:t>
        </w:r>
      </w:hyperlink>
      <w:r>
        <w:rPr>
          <w:rFonts w:ascii="Arial" w:cs="Arial" w:eastAsia="Arial" w:hAnsi="Arial"/>
          <w:sz w:val="12"/>
          <w:szCs w:val="12"/>
          <w:u w:val="single" w:color="auto"/>
          <w:color w:val="0000FF"/>
        </w:rPr>
        <w:t xml:space="preserve"> </w:t>
      </w:r>
      <w:hyperlink w:anchor="page133">
        <w:r>
          <w:rPr>
            <w:rFonts w:ascii="Arial" w:cs="Arial" w:eastAsia="Arial" w:hAnsi="Arial"/>
            <w:sz w:val="12"/>
            <w:szCs w:val="12"/>
            <w:u w:val="single" w:color="auto"/>
            <w:color w:val="0000FF"/>
          </w:rPr>
          <w:t>Employment Agreement, dated September 11, 2020, between U.S. Century Bank and Robert Anderson.*,**</w:t>
        </w:r>
      </w:hyperlink>
    </w:p>
    <w:p>
      <w:pPr>
        <w:spacing w:after="0" w:line="1" w:lineRule="exact"/>
        <w:rPr>
          <w:rFonts w:ascii="Arial" w:cs="Arial" w:eastAsia="Arial" w:hAnsi="Arial"/>
          <w:sz w:val="12"/>
          <w:szCs w:val="12"/>
          <w:u w:val="single" w:color="auto"/>
          <w:color w:val="0000FF"/>
        </w:rPr>
      </w:pPr>
    </w:p>
    <w:p>
      <w:pPr>
        <w:ind w:left="1420" w:right="1619"/>
        <w:spacing w:after="0" w:line="263" w:lineRule="auto"/>
        <w:rPr>
          <w:rFonts w:ascii="Arial" w:cs="Arial" w:eastAsia="Arial" w:hAnsi="Arial"/>
          <w:sz w:val="13"/>
          <w:szCs w:val="13"/>
          <w:color w:val="0000FF"/>
        </w:rPr>
      </w:pPr>
      <w:hyperlink w:anchor="page147">
        <w:r>
          <w:rPr>
            <w:rFonts w:ascii="Arial" w:cs="Arial" w:eastAsia="Arial" w:hAnsi="Arial"/>
            <w:sz w:val="13"/>
            <w:szCs w:val="13"/>
            <w:u w:val="single" w:color="auto"/>
            <w:color w:val="0000FF"/>
          </w:rPr>
          <w:t>Change in Control Agreement, dated August 2, 2019, between U.S. Century Bank and Benigno Pazos.*,**</w:t>
        </w:r>
      </w:hyperlink>
      <w:r>
        <w:rPr>
          <w:rFonts w:ascii="Arial" w:cs="Arial" w:eastAsia="Arial" w:hAnsi="Arial"/>
          <w:sz w:val="13"/>
          <w:szCs w:val="13"/>
          <w:u w:val="single" w:color="auto"/>
          <w:color w:val="0000FF"/>
        </w:rPr>
        <w:t xml:space="preserve"> </w:t>
      </w:r>
      <w:hyperlink w:anchor="page150">
        <w:r>
          <w:rPr>
            <w:rFonts w:ascii="Arial" w:cs="Arial" w:eastAsia="Arial" w:hAnsi="Arial"/>
            <w:sz w:val="13"/>
            <w:szCs w:val="13"/>
            <w:u w:val="single" w:color="auto"/>
            <w:color w:val="0000FF"/>
          </w:rPr>
          <w:t>Subsidiaries of USCB Financial Holdings, Inc.</w:t>
        </w:r>
      </w:hyperlink>
      <w:r>
        <w:rPr>
          <w:rFonts w:ascii="Arial" w:cs="Arial" w:eastAsia="Arial" w:hAnsi="Arial"/>
          <w:sz w:val="13"/>
          <w:szCs w:val="13"/>
          <w:color w:val="000000"/>
        </w:rPr>
        <w:t>**</w:t>
      </w:r>
    </w:p>
    <w:p>
      <w:pPr>
        <w:spacing w:after="0" w:line="3" w:lineRule="exact"/>
        <w:rPr>
          <w:sz w:val="20"/>
          <w:szCs w:val="20"/>
          <w:color w:val="auto"/>
        </w:rPr>
      </w:pPr>
    </w:p>
    <w:p>
      <w:pPr>
        <w:ind w:left="1420"/>
        <w:spacing w:after="0"/>
        <w:rPr>
          <w:rFonts w:ascii="Arial" w:cs="Arial" w:eastAsia="Arial" w:hAnsi="Arial"/>
          <w:sz w:val="13"/>
          <w:szCs w:val="13"/>
          <w:color w:val="0000FF"/>
        </w:rPr>
      </w:pPr>
      <w:hyperlink w:anchor="page151">
        <w:r>
          <w:rPr>
            <w:rFonts w:ascii="Arial" w:cs="Arial" w:eastAsia="Arial" w:hAnsi="Arial"/>
            <w:sz w:val="13"/>
            <w:szCs w:val="13"/>
            <w:u w:val="single" w:color="auto"/>
            <w:color w:val="0000FF"/>
          </w:rPr>
          <w:t>Consent of Crowe LLP, Independent Registered Public Accounting Firm.</w:t>
        </w:r>
      </w:hyperlink>
      <w:r>
        <w:rPr>
          <w:rFonts w:ascii="Arial" w:cs="Arial" w:eastAsia="Arial" w:hAnsi="Arial"/>
          <w:sz w:val="13"/>
          <w:szCs w:val="13"/>
          <w:color w:val="000000"/>
        </w:rPr>
        <w:t>**</w:t>
      </w:r>
    </w:p>
    <w:p>
      <w:pPr>
        <w:spacing w:after="0" w:line="11" w:lineRule="exact"/>
        <w:rPr>
          <w:sz w:val="20"/>
          <w:szCs w:val="20"/>
          <w:color w:val="auto"/>
        </w:rPr>
      </w:pPr>
    </w:p>
    <w:p>
      <w:pPr>
        <w:jc w:val="both"/>
        <w:ind w:left="1420" w:right="1499"/>
        <w:spacing w:after="0" w:line="262" w:lineRule="auto"/>
        <w:rPr>
          <w:rFonts w:ascii="Arial" w:cs="Arial" w:eastAsia="Arial" w:hAnsi="Arial"/>
          <w:sz w:val="13"/>
          <w:szCs w:val="13"/>
          <w:color w:val="0000FF"/>
        </w:rPr>
      </w:pPr>
      <w:hyperlink w:anchor="page152">
        <w:r>
          <w:rPr>
            <w:rFonts w:ascii="Arial" w:cs="Arial" w:eastAsia="Arial" w:hAnsi="Arial"/>
            <w:sz w:val="13"/>
            <w:szCs w:val="13"/>
            <w:u w:val="single" w:color="auto"/>
            <w:color w:val="0000FF"/>
          </w:rPr>
          <w:t>Certification of Chief Executive Officer pursuant to Rule 13a-14(a) of the Securities Exchange Act of 1934.</w:t>
        </w:r>
      </w:hyperlink>
      <w:r>
        <w:rPr>
          <w:rFonts w:ascii="Arial" w:cs="Arial" w:eastAsia="Arial" w:hAnsi="Arial"/>
          <w:sz w:val="13"/>
          <w:szCs w:val="13"/>
          <w:color w:val="000000"/>
        </w:rPr>
        <w:t>**</w:t>
      </w:r>
      <w:r>
        <w:rPr>
          <w:rFonts w:ascii="Arial" w:cs="Arial" w:eastAsia="Arial" w:hAnsi="Arial"/>
          <w:sz w:val="13"/>
          <w:szCs w:val="13"/>
          <w:color w:val="0000FF"/>
        </w:rPr>
        <w:t xml:space="preserve"> </w:t>
      </w:r>
      <w:hyperlink w:anchor="page153">
        <w:r>
          <w:rPr>
            <w:rFonts w:ascii="Arial" w:cs="Arial" w:eastAsia="Arial" w:hAnsi="Arial"/>
            <w:sz w:val="13"/>
            <w:szCs w:val="13"/>
            <w:u w:val="single" w:color="auto"/>
            <w:color w:val="0000FF"/>
          </w:rPr>
          <w:t>Certification of Chief Financial Officer pursuant to Rule 13a-14(a) of the Securities Exchange Act of 1934.</w:t>
        </w:r>
      </w:hyperlink>
      <w:r>
        <w:rPr>
          <w:rFonts w:ascii="Arial" w:cs="Arial" w:eastAsia="Arial" w:hAnsi="Arial"/>
          <w:sz w:val="13"/>
          <w:szCs w:val="13"/>
          <w:color w:val="000000"/>
        </w:rPr>
        <w:t>**</w:t>
      </w:r>
      <w:r>
        <w:rPr>
          <w:rFonts w:ascii="Arial" w:cs="Arial" w:eastAsia="Arial" w:hAnsi="Arial"/>
          <w:sz w:val="13"/>
          <w:szCs w:val="13"/>
          <w:color w:val="0000FF"/>
        </w:rPr>
        <w:t xml:space="preserve"> </w:t>
      </w:r>
      <w:hyperlink w:anchor="page154">
        <w:r>
          <w:rPr>
            <w:rFonts w:ascii="Arial" w:cs="Arial" w:eastAsia="Arial" w:hAnsi="Arial"/>
            <w:sz w:val="13"/>
            <w:szCs w:val="13"/>
            <w:u w:val="single" w:color="auto"/>
            <w:color w:val="0000FF"/>
          </w:rPr>
          <w:t>Certification of Chief Executive Officer pursuant to 18 U.S.C. Section 1350.</w:t>
        </w:r>
      </w:hyperlink>
      <w:r>
        <w:rPr>
          <w:rFonts w:ascii="Arial" w:cs="Arial" w:eastAsia="Arial" w:hAnsi="Arial"/>
          <w:sz w:val="13"/>
          <w:szCs w:val="13"/>
          <w:color w:val="000000"/>
        </w:rPr>
        <w:t>***</w:t>
      </w:r>
    </w:p>
    <w:p>
      <w:pPr>
        <w:spacing w:after="0" w:line="1" w:lineRule="exact"/>
        <w:rPr>
          <w:rFonts w:ascii="Arial" w:cs="Arial" w:eastAsia="Arial" w:hAnsi="Arial"/>
          <w:sz w:val="13"/>
          <w:szCs w:val="13"/>
          <w:color w:val="0000FF"/>
        </w:rPr>
      </w:pPr>
    </w:p>
    <w:p>
      <w:pPr>
        <w:ind w:left="1420"/>
        <w:spacing w:after="0"/>
        <w:rPr>
          <w:rFonts w:ascii="Arial" w:cs="Arial" w:eastAsia="Arial" w:hAnsi="Arial"/>
          <w:sz w:val="13"/>
          <w:szCs w:val="13"/>
          <w:color w:val="0000FF"/>
        </w:rPr>
      </w:pPr>
      <w:hyperlink w:anchor="page155">
        <w:r>
          <w:rPr>
            <w:rFonts w:ascii="Arial" w:cs="Arial" w:eastAsia="Arial" w:hAnsi="Arial"/>
            <w:sz w:val="13"/>
            <w:szCs w:val="13"/>
            <w:u w:val="single" w:color="auto"/>
            <w:color w:val="0000FF"/>
          </w:rPr>
          <w:t>Certification of Chief Financial Officer pursuant to 18 U.S.C. Section 1350.</w:t>
        </w:r>
      </w:hyperlink>
      <w:r>
        <w:rPr>
          <w:rFonts w:ascii="Arial" w:cs="Arial" w:eastAsia="Arial" w:hAnsi="Arial"/>
          <w:sz w:val="13"/>
          <w:szCs w:val="13"/>
          <w:color w:val="000000"/>
        </w:rPr>
        <w:t>***</w:t>
      </w:r>
    </w:p>
    <w:p>
      <w:pPr>
        <w:spacing w:after="0" w:line="11" w:lineRule="exact"/>
        <w:rPr>
          <w:rFonts w:ascii="Arial" w:cs="Arial" w:eastAsia="Arial" w:hAnsi="Arial"/>
          <w:sz w:val="13"/>
          <w:szCs w:val="13"/>
          <w:color w:val="0000FF"/>
        </w:rPr>
      </w:pPr>
    </w:p>
    <w:p>
      <w:pPr>
        <w:jc w:val="both"/>
        <w:ind w:left="1420" w:right="599"/>
        <w:spacing w:after="0" w:line="239" w:lineRule="auto"/>
        <w:rPr>
          <w:sz w:val="20"/>
          <w:szCs w:val="20"/>
          <w:color w:val="auto"/>
        </w:rPr>
      </w:pPr>
      <w:r>
        <w:rPr>
          <w:rFonts w:ascii="Arial" w:cs="Arial" w:eastAsia="Arial" w:hAnsi="Arial"/>
          <w:sz w:val="13"/>
          <w:szCs w:val="13"/>
          <w:color w:val="auto"/>
        </w:rPr>
        <w:t>The following financial statements from the Company’s Annual Report on Form 10-K for the year ended December 31, 2021, formatted in Inline XBRL: (i) Consolidated Balance Sheets, (ii) Consolidated Statements of Operations, (iii) Consolidated Statements of Comprehensive Income, (iv) Consolidated Statements of Changes in Stockholders’ Equity, (v) Consolidated Statements of Cash Flows, (vi) Notes to Consolidated Financial Statements.</w:t>
      </w:r>
    </w:p>
    <w:p>
      <w:pPr>
        <w:spacing w:after="0" w:line="2" w:lineRule="exact"/>
        <w:rPr>
          <w:rFonts w:ascii="Arial" w:cs="Arial" w:eastAsia="Arial" w:hAnsi="Arial"/>
          <w:sz w:val="13"/>
          <w:szCs w:val="13"/>
          <w:color w:val="0000FF"/>
        </w:rPr>
      </w:pPr>
    </w:p>
    <w:p>
      <w:pPr>
        <w:ind w:left="1200" w:right="2579" w:hanging="548"/>
        <w:spacing w:after="0" w:line="393" w:lineRule="auto"/>
        <w:tabs>
          <w:tab w:leader="none" w:pos="1403"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Management contract or compensatory plan or arrangement.</w:t>
      </w:r>
    </w:p>
    <w:p>
      <w:pPr>
        <w:spacing w:after="0" w:line="1" w:lineRule="exact"/>
        <w:rPr>
          <w:rFonts w:ascii="Arial" w:cs="Arial" w:eastAsia="Arial" w:hAnsi="Arial"/>
          <w:sz w:val="13"/>
          <w:szCs w:val="13"/>
          <w:color w:val="auto"/>
        </w:rPr>
      </w:pPr>
    </w:p>
    <w:p>
      <w:pPr>
        <w:ind w:left="1420" w:hanging="266"/>
        <w:spacing w:after="0"/>
        <w:tabs>
          <w:tab w:leader="none" w:pos="1420" w:val="left"/>
        </w:tabs>
        <w:numPr>
          <w:ilvl w:val="1"/>
          <w:numId w:val="55"/>
        </w:numPr>
        <w:rPr>
          <w:rFonts w:ascii="Arial" w:cs="Arial" w:eastAsia="Arial" w:hAnsi="Arial"/>
          <w:sz w:val="13"/>
          <w:szCs w:val="13"/>
          <w:color w:val="auto"/>
        </w:rPr>
      </w:pPr>
      <w:r>
        <w:rPr>
          <w:rFonts w:ascii="Arial" w:cs="Arial" w:eastAsia="Arial" w:hAnsi="Arial"/>
          <w:sz w:val="13"/>
          <w:szCs w:val="13"/>
          <w:color w:val="auto"/>
        </w:rPr>
        <w:t>Filed herwith.</w:t>
      </w:r>
    </w:p>
    <w:p>
      <w:pPr>
        <w:spacing w:after="0" w:line="10" w:lineRule="exact"/>
        <w:rPr>
          <w:rFonts w:ascii="Arial" w:cs="Arial" w:eastAsia="Arial" w:hAnsi="Arial"/>
          <w:sz w:val="13"/>
          <w:szCs w:val="13"/>
          <w:color w:val="auto"/>
        </w:rPr>
      </w:pPr>
    </w:p>
    <w:p>
      <w:pPr>
        <w:ind w:left="1420" w:hanging="309"/>
        <w:spacing w:after="0"/>
        <w:tabs>
          <w:tab w:leader="none" w:pos="1420" w:val="left"/>
        </w:tabs>
        <w:numPr>
          <w:ilvl w:val="1"/>
          <w:numId w:val="56"/>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0" w:lineRule="exact"/>
        <w:rPr>
          <w:rFonts w:ascii="Arial" w:cs="Arial" w:eastAsia="Arial" w:hAnsi="Arial"/>
          <w:sz w:val="13"/>
          <w:szCs w:val="13"/>
          <w:color w:val="0000FF"/>
        </w:rPr>
      </w:pPr>
    </w:p>
    <w:p>
      <w:pPr>
        <w:spacing w:after="0" w:line="207" w:lineRule="exact"/>
        <w:rPr>
          <w:rFonts w:ascii="Arial" w:cs="Arial" w:eastAsia="Arial" w:hAnsi="Arial"/>
          <w:sz w:val="13"/>
          <w:szCs w:val="13"/>
          <w:color w:val="0000FF"/>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08" w:name="page109"/>
    <w:bookmarkEnd w:id="108"/>
    <w:p>
      <w:pPr>
        <w:ind w:left="6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r>
      <w:hyperlink w:anchor="page131">
        <w:r>
          <w:rPr>
            <w:rFonts w:ascii="Arial" w:cs="Arial" w:eastAsia="Arial" w:hAnsi="Arial"/>
            <w:sz w:val="14"/>
            <w:szCs w:val="14"/>
            <w:u w:val="single" w:color="auto"/>
            <w:color w:val="0000FF"/>
          </w:rPr>
          <w:t>Table of Contents</w:t>
        </w:r>
      </w:hyperlink>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USCB FINANCIAL HOLDINGS, INC.</w:t>
      </w:r>
    </w:p>
    <w:p>
      <w:pPr>
        <w:spacing w:after="0" w:line="220" w:lineRule="exact"/>
        <w:rPr>
          <w:sz w:val="20"/>
          <w:szCs w:val="20"/>
          <w:color w:val="auto"/>
        </w:rPr>
      </w:pPr>
    </w:p>
    <w:p>
      <w:pPr>
        <w:ind w:left="860"/>
        <w:spacing w:after="0"/>
        <w:tabs>
          <w:tab w:leader="none" w:pos="4420" w:val="left"/>
          <w:tab w:leader="none" w:pos="4780" w:val="left"/>
        </w:tabs>
        <w:rPr>
          <w:sz w:val="20"/>
          <w:szCs w:val="20"/>
          <w:color w:val="auto"/>
        </w:rPr>
      </w:pPr>
      <w:r>
        <w:rPr>
          <w:rFonts w:ascii="Arial" w:cs="Arial" w:eastAsia="Arial" w:hAnsi="Arial"/>
          <w:sz w:val="14"/>
          <w:szCs w:val="14"/>
          <w:color w:val="auto"/>
        </w:rPr>
        <w:t>Date: March 24, 2022</w:t>
      </w:r>
      <w:r>
        <w:rPr>
          <w:sz w:val="20"/>
          <w:szCs w:val="20"/>
          <w:color w:val="auto"/>
        </w:rPr>
        <w:tab/>
      </w:r>
      <w:r>
        <w:rPr>
          <w:rFonts w:ascii="Arial" w:cs="Arial" w:eastAsia="Arial" w:hAnsi="Arial"/>
          <w:sz w:val="14"/>
          <w:szCs w:val="14"/>
          <w:color w:val="auto"/>
        </w:rPr>
        <w:t>By:</w:t>
        <w:tab/>
        <w:t>/s/ Luis de la Aguilera</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Luis de la Aguilera</w:t>
      </w:r>
    </w:p>
    <w:p>
      <w:pPr>
        <w:ind w:left="4800"/>
        <w:spacing w:after="0"/>
        <w:rPr>
          <w:sz w:val="20"/>
          <w:szCs w:val="20"/>
          <w:color w:val="auto"/>
        </w:rPr>
      </w:pPr>
      <w:r>
        <w:rPr>
          <w:rFonts w:ascii="Arial" w:cs="Arial" w:eastAsia="Arial" w:hAnsi="Arial"/>
          <w:sz w:val="14"/>
          <w:szCs w:val="14"/>
          <w:color w:val="auto"/>
        </w:rPr>
        <w:t>President and Chief Executive Officer</w:t>
      </w:r>
    </w:p>
    <w:p>
      <w:pPr>
        <w:spacing w:after="0" w:line="170" w:lineRule="exact"/>
        <w:rPr>
          <w:sz w:val="20"/>
          <w:szCs w:val="20"/>
          <w:color w:val="auto"/>
        </w:rPr>
      </w:pPr>
    </w:p>
    <w:p>
      <w:pPr>
        <w:ind w:left="660" w:right="719" w:firstLine="256"/>
        <w:spacing w:after="0" w:line="252" w:lineRule="auto"/>
        <w:rPr>
          <w:sz w:val="20"/>
          <w:szCs w:val="20"/>
          <w:color w:val="auto"/>
        </w:rPr>
      </w:pPr>
      <w:r>
        <w:rPr>
          <w:rFonts w:ascii="Arial" w:cs="Arial" w:eastAsia="Arial" w:hAnsi="Arial"/>
          <w:sz w:val="14"/>
          <w:szCs w:val="14"/>
          <w:color w:val="auto"/>
        </w:rPr>
        <w:t>Pursuant to the requirements of the Securities Exchange Act of 1934, this report has been signed by the following persons in the capacities and on the dates indicated.</w:t>
      </w:r>
    </w:p>
    <w:p>
      <w:pPr>
        <w:spacing w:after="0" w:line="135" w:lineRule="exact"/>
        <w:rPr>
          <w:sz w:val="20"/>
          <w:szCs w:val="20"/>
          <w:color w:val="auto"/>
        </w:rPr>
      </w:pPr>
    </w:p>
    <w:tbl>
      <w:tblPr>
        <w:tblLayout w:type="fixed"/>
        <w:tblInd w:w="78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3"/>
                <w:szCs w:val="13"/>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Chief Financial Officer (Principal Financial</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3"/>
                <w:szCs w:val="13"/>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and Principal Accounting Officer)</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Aida Levitan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Aida Levitan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Howard Feinglass</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Howard Feinglass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3"/>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Kirk Wycoff</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71"/>
        </w:trPr>
        <w:tc>
          <w:tcPr>
            <w:tcW w:w="2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Kirk Wycoff</w:t>
            </w:r>
          </w:p>
        </w:tc>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Abadin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Abadin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3"/>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Bernardo B. Fernandez</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71"/>
        </w:trPr>
        <w:tc>
          <w:tcPr>
            <w:tcW w:w="20" w:type="dxa"/>
            <w:vAlign w:val="bottom"/>
          </w:tcPr>
          <w:p>
            <w:pPr>
              <w:spacing w:after="0"/>
              <w:rPr>
                <w:sz w:val="14"/>
                <w:szCs w:val="1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Bernardo B. Fernandez</w:t>
            </w:r>
          </w:p>
        </w:tc>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Rodriguez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24, 2022</w:t>
            </w:r>
          </w:p>
        </w:tc>
      </w:tr>
      <w:tr>
        <w:trPr>
          <w:trHeight w:val="161"/>
        </w:trPr>
        <w:tc>
          <w:tcPr>
            <w:tcW w:w="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Rodriguez</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USCB Financial Holdings, Inc.</w:t>
        <w:tab/>
        <w:t>2021 10-K</w:t>
      </w:r>
    </w:p>
    <w:p>
      <w:pPr>
        <w:sectPr>
          <w:pgSz w:w="11900" w:h="16838" w:orient="portrait"/>
          <w:cols w:equalWidth="0" w:num="1">
            <w:col w:w="9019"/>
          </w:cols>
          <w:pgMar w:left="1440" w:top="491" w:right="1440" w:bottom="1440" w:gutter="0" w:footer="0" w:header="0"/>
        </w:sectPr>
      </w:pPr>
    </w:p>
    <w:bookmarkStart w:id="109" w:name="page110"/>
    <w:bookmarkEnd w:id="10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Exhibit 4.4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USCB FINANCIAL HOLDINGS, INC.’S SECURITIES</w:t>
      </w:r>
    </w:p>
    <w:p>
      <w:pPr>
        <w:spacing w:after="0" w:line="131" w:lineRule="exact"/>
        <w:rPr>
          <w:sz w:val="20"/>
          <w:szCs w:val="20"/>
          <w:color w:val="auto"/>
        </w:rPr>
      </w:pPr>
    </w:p>
    <w:p>
      <w:pPr>
        <w:jc w:val="both"/>
        <w:ind w:left="660" w:right="679" w:firstLine="256"/>
        <w:spacing w:after="0" w:line="266" w:lineRule="auto"/>
        <w:rPr>
          <w:sz w:val="20"/>
          <w:szCs w:val="20"/>
          <w:color w:val="auto"/>
        </w:rPr>
      </w:pPr>
      <w:r>
        <w:rPr>
          <w:rFonts w:ascii="Arial" w:cs="Arial" w:eastAsia="Arial" w:hAnsi="Arial"/>
          <w:sz w:val="14"/>
          <w:szCs w:val="14"/>
          <w:i w:val="1"/>
          <w:iCs w:val="1"/>
          <w:color w:val="auto"/>
        </w:rPr>
        <w:t>As of December 31, 2021, USCB Financial Holdings, Inc. (the “Company”) has one class of securities registered under Section 12 of the Securities Exchange Act of 1934, as amended, namely its Class A common stock, $1.00 par value per share (“Class A Common Stock”). The following summary of the Class A Common Stock is based on and qualified by the Company’s Articles of Incorporation (the “Articles of Incorporation”), the Company’s Amended and Restated Bylaws (the “Bylaws”) and the Side Letter Agreement (the “Side Letter Agreement”) by and between the Company and the Large Investors (as defined herein). For a complete description of the terms and provisions of the Company’s equity securities, including its common stock, refer to the Articles of Incorporation, the Bylaws and the Side Letter Agreement, all of which are filed as exhibits to this Annual Report on Form 10-K.</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General</w:t>
      </w:r>
    </w:p>
    <w:p>
      <w:pPr>
        <w:spacing w:after="0" w:line="13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Articles of Incorporation authorize a total of 68,600,000 shares of capital stock, $1.00 par value per share, consisting of (a) 53,000,000 shares of common stock, 45,000,000 of which are designated Class A Common Stock and 8,000,000 of which are designated Class B Non-Voting Common Stock, par value $1.00 per share (“Class B Common Stock” and together with the Class A Common Stock, the “Common Stock”), and (b) 15,600,000 shares of preferred stock, $1.00 par value per share.</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Voting Rights</w:t>
      </w:r>
    </w:p>
    <w:p>
      <w:pPr>
        <w:spacing w:after="0" w:line="13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Class A Common Stock has voting rights, and Class B Common Stock does not have voting rights except in limited circumstances. Holders of Class A Common Stock are entitled to one vote per share on all matters on which the holders are entitled to vote, except in the case of amendments to the Articles of Incorporation where such amendment relates solely to Class B Common Stock or any other series of the Company’s preferred stock. The Company does not have any cumulative votes in the election of directors. Under the Bylaws, unless otherwise provided by law or the Articles of Incorporation, the holders of a majority of shares issued, outstanding, and entitled to vote, present in person or by proxy, will constitute a quorum to transact business, including the election of directors, except that when a specified item of business is required to be voted on by one or more designated classes or series of capital stock, a majority of the shares of each such class or series will constitute a quorum. Once a quorum is present, except as otherwise provided by law, the Articles of Incorporation, the Bylaws or in respect of the election of directors, all matters to be voted on by the Company’s shareholders must be approved by a majority of shares constituting a quorum, and where a separate vote by class or series is required, a majority of the votes represented by the shares of the shareholders of such class or series present in person or by proxy and entitled to vote shall be the act of such class or series. The affirmative vote of the holders representing 66 2/3% of the then outstanding shares of Class A Common Stock is required to amend, alter or repeal, or adopt any provision as part of the Articles of Incorporation that is inconsistent with the purpose and intent of certain designated provisions of the Articles of Incorporation and the Bylaws including, among others, perpetual term, management of the Company, indemnification, transfer restrictions, board powers and number of directors.</w:t>
      </w:r>
    </w:p>
    <w:p>
      <w:pPr>
        <w:spacing w:after="0" w:line="108"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holders of Class B Common Stock have limited voting rights. In addition to any voting rights that may be required under Florida law, the consent of holders of Class B Common Stock representing a majority of the shares of Class B Common Stock present in person or by proxy and entitled to vote, voting as a separate class, is required to (a) amend the Articles of Incorporation in a manner that would significantly and adversely affect the rights of the holders of the Class B Common Stock in a manner that is different from the effect of such amendment on the Class A Common Stock or (b) liquidate, dissolve or wind-up the Company.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34"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Holders of Common Stock are entitled to receive such dividends as may from time to time be declared by the Company’s Board of Directors (the “Board”) out of funds legally available for such purposes. The Company can pay dividends on its Common Stock only if it has paid or provided for the payment of all dividends, if any, to which holders of its then outstanding preferred stock, are entitled. The Company’s ability to pay dividends is also subject to applicable federal and state banking laws.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Liquidation</w:t>
      </w:r>
    </w:p>
    <w:p>
      <w:pPr>
        <w:spacing w:after="0" w:line="145" w:lineRule="exact"/>
        <w:rPr>
          <w:sz w:val="20"/>
          <w:szCs w:val="20"/>
          <w:color w:val="auto"/>
        </w:rPr>
      </w:pPr>
    </w:p>
    <w:p>
      <w:pPr>
        <w:jc w:val="both"/>
        <w:ind w:left="660" w:right="679" w:firstLine="256"/>
        <w:spacing w:after="0" w:line="264" w:lineRule="auto"/>
        <w:rPr>
          <w:sz w:val="20"/>
          <w:szCs w:val="20"/>
          <w:color w:val="auto"/>
        </w:rPr>
      </w:pPr>
      <w:r>
        <w:rPr>
          <w:rFonts w:ascii="Arial" w:cs="Arial" w:eastAsia="Arial" w:hAnsi="Arial"/>
          <w:sz w:val="14"/>
          <w:szCs w:val="14"/>
          <w:color w:val="auto"/>
        </w:rPr>
        <w:t>In the event of the liquidation, dissolution or winding-up of the Company, holders of both Class A Common Stock and Class B Common Stock are entitled to share equally and ratably in our assets, if any, remaining after the payment of all the Company’s debts and liabilities, and the satisfaction of the liquidation preferences of the holders of any then outstanding classes or series of preferred stock.</w:t>
      </w:r>
    </w:p>
    <w:p>
      <w:pPr>
        <w:sectPr>
          <w:pgSz w:w="11900" w:h="16838" w:orient="portrait"/>
          <w:cols w:equalWidth="0" w:num="1">
            <w:col w:w="9019"/>
          </w:cols>
          <w:pgMar w:left="1440" w:top="502" w:right="1440" w:bottom="1440" w:gutter="0" w:footer="0" w:header="0"/>
        </w:sectPr>
      </w:pPr>
    </w:p>
    <w:bookmarkStart w:id="110" w:name="page111"/>
    <w:bookmarkEnd w:id="1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Preemptive Rights, Redemption or Other Rights</w:t>
      </w:r>
    </w:p>
    <w:p>
      <w:pPr>
        <w:spacing w:after="0" w:line="14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Pursuant to the Articles of Incorporation and the Bylaws, holders of Common Stock do not have preemptive rights or other rights to purchase, subscribe for or take any part of any shares of the Company’s capital stock. The Large Investors (as defined herein), however, have certain contractual preemptive rights pursuant to the Side Letter Agreement. In addition, the Company does not have any sinking fund or redemption provisions in the Articles of Incorporation or the Bylaws applicable to its Common Stock.</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Conversion</w:t>
      </w:r>
    </w:p>
    <w:p>
      <w:pPr>
        <w:spacing w:after="0" w:line="145" w:lineRule="exact"/>
        <w:rPr>
          <w:sz w:val="20"/>
          <w:szCs w:val="20"/>
          <w:color w:val="auto"/>
        </w:rPr>
      </w:pPr>
    </w:p>
    <w:p>
      <w:pPr>
        <w:jc w:val="both"/>
        <w:ind w:left="660" w:right="679" w:firstLine="256"/>
        <w:spacing w:after="0" w:line="262" w:lineRule="auto"/>
        <w:rPr>
          <w:sz w:val="20"/>
          <w:szCs w:val="20"/>
          <w:color w:val="auto"/>
        </w:rPr>
      </w:pPr>
      <w:r>
        <w:rPr>
          <w:rFonts w:ascii="Arial" w:cs="Arial" w:eastAsia="Arial" w:hAnsi="Arial"/>
          <w:sz w:val="14"/>
          <w:szCs w:val="14"/>
          <w:color w:val="auto"/>
        </w:rPr>
        <w:t>The Class A Common Stock does not have any conversion rights. Pursuant to the Articles of Incorporation, the Company’s shares of Class B Common Stock may only be transferred (a) to an affiliate of the holder of Class B Common Stock, (b) to the Company, (c) pursuant to a widespread public distribution of the Common Stock (including a transfer to an underwriter for the purpose of conducting a widespread public distribution or pursuant to Rule 144 under the Securities Act),</w:t>
      </w:r>
    </w:p>
    <w:p>
      <w:pPr>
        <w:spacing w:after="0" w:line="1" w:lineRule="exact"/>
        <w:rPr>
          <w:sz w:val="20"/>
          <w:szCs w:val="20"/>
          <w:color w:val="auto"/>
        </w:rPr>
      </w:pPr>
    </w:p>
    <w:p>
      <w:pPr>
        <w:jc w:val="both"/>
        <w:ind w:left="660" w:right="679" w:firstLine="3"/>
        <w:spacing w:after="0" w:line="260" w:lineRule="auto"/>
        <w:tabs>
          <w:tab w:leader="none" w:pos="872"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no transferee or group of associated transferees would receive 2% or more of any class of capital stock entitled to vote generally in the election of directors of the Company or (e) to a transferee that would control more than 50% of the capital stock entitled to vote generally in the election of directors of the Company without any transfer from the transferor. Immediately following a transfer of the type described in (c), (d) or (e) in the preceding sentence, each share of Class B Common Stock so transferred is automatically converted into 0.2 shares of Class A Common Stock (subject to adjustment as provided in the Articles of Incorporation). The Company must at all times reserve and keep available out of its authorized and unissued shares of Class A Common Stock such number of shares of Class A Common Stock that may be issuable upon conversion of all of the outstanding shares of Class B Common Stock.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Stockholder Meetings</w:t>
      </w:r>
    </w:p>
    <w:p>
      <w:pPr>
        <w:spacing w:after="0" w:line="145"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Except as otherwise provided by law, the Board, or any one or more shareholders owning, in the aggregate, not less than ten percent of the issued and outstanding Class A Common Stock, may call a special meeting of shareholders at any time for any purpose not inconsistent with the Articles of Incorporation or the Bylaws.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Director Removal</w:t>
      </w:r>
    </w:p>
    <w:p>
      <w:pPr>
        <w:spacing w:after="0" w:line="145"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color w:val="auto"/>
        </w:rPr>
        <w:t>Subject to the rights of holders of any class or series of preferred stock with respect to the election of directors, a director may be removed from office by the affirmative vote of holders of shares of capital stock issued and outstanding and entitled to vote in an election of directors representing at least a majority of the votes entitled to be cast thereon, and then, only for cause.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Anti-takeover Effects</w:t>
      </w:r>
    </w:p>
    <w:p>
      <w:pPr>
        <w:spacing w:after="0" w:line="145"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Certain provisions of the Articles of Incorporation, the Bylaws, Florida and U.S. banking laws to which the Company is subject may have anti-takeover effects and may delay, defer, or prevent a tender offer or takeover attempt that a shareholder might consider to be in such shareholder’s best interest, including those attempts that might result in a premium over the market price for the shares held by shareholders, and may make removal of management more difficult. The Articles of Incorporation and Bylaws include provisions that:</w:t>
      </w:r>
    </w:p>
    <w:p>
      <w:pPr>
        <w:spacing w:after="0" w:line="106" w:lineRule="exact"/>
        <w:rPr>
          <w:sz w:val="20"/>
          <w:szCs w:val="20"/>
          <w:color w:val="auto"/>
        </w:rPr>
      </w:pPr>
    </w:p>
    <w:p>
      <w:pPr>
        <w:ind w:left="1440" w:right="679" w:hanging="521"/>
        <w:spacing w:after="0" w:line="262" w:lineRule="auto"/>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empower the Board, without shareholder approval, to issue preferred stock, the terms of which, including voting power, are to be set by the Board;</w:t>
      </w:r>
    </w:p>
    <w:p>
      <w:pPr>
        <w:ind w:left="1440" w:right="699" w:hanging="521"/>
        <w:spacing w:after="0" w:line="262" w:lineRule="auto"/>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provide that directors may be removed from office only for cause and only upon a majority vote of the shares of capital stock entitled to vote in an election of directors;</w:t>
      </w:r>
    </w:p>
    <w:p>
      <w:pPr>
        <w:ind w:left="1440" w:hanging="521"/>
        <w:spacing w:after="0"/>
        <w:tabs>
          <w:tab w:leader="none" w:pos="14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prohibit holders of Class A Common Stock from taking action by written consent in lieu of a shareholder meeting;</w:t>
      </w:r>
    </w:p>
    <w:p>
      <w:pPr>
        <w:spacing w:after="0" w:line="21" w:lineRule="exact"/>
        <w:rPr>
          <w:rFonts w:ascii="Arial" w:cs="Arial" w:eastAsia="Arial" w:hAnsi="Arial"/>
          <w:sz w:val="13"/>
          <w:szCs w:val="13"/>
          <w:color w:val="auto"/>
        </w:rPr>
      </w:pPr>
    </w:p>
    <w:p>
      <w:pPr>
        <w:ind w:left="1440" w:hanging="521"/>
        <w:spacing w:after="0"/>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require holders of at least 10% of the Company’s Class A Common Stock in order to call a special meeting;</w:t>
      </w:r>
    </w:p>
    <w:p>
      <w:pPr>
        <w:spacing w:after="0" w:line="9" w:lineRule="exact"/>
        <w:rPr>
          <w:rFonts w:ascii="Arial" w:cs="Arial" w:eastAsia="Arial" w:hAnsi="Arial"/>
          <w:sz w:val="14"/>
          <w:szCs w:val="14"/>
          <w:color w:val="auto"/>
        </w:rPr>
      </w:pPr>
    </w:p>
    <w:p>
      <w:pPr>
        <w:ind w:left="1440" w:hanging="521"/>
        <w:spacing w:after="0"/>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do not provide for cumulative voting in elections of Company directors;</w:t>
      </w:r>
    </w:p>
    <w:p>
      <w:pPr>
        <w:spacing w:after="0" w:line="20" w:lineRule="exact"/>
        <w:rPr>
          <w:rFonts w:ascii="Arial" w:cs="Arial" w:eastAsia="Arial" w:hAnsi="Arial"/>
          <w:sz w:val="14"/>
          <w:szCs w:val="14"/>
          <w:color w:val="auto"/>
        </w:rPr>
      </w:pPr>
    </w:p>
    <w:p>
      <w:pPr>
        <w:ind w:left="1440" w:hanging="521"/>
        <w:spacing w:after="0"/>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provide that the Board has the authority to amend the Bylaws;</w:t>
      </w:r>
    </w:p>
    <w:p>
      <w:pPr>
        <w:spacing w:after="0" w:line="9" w:lineRule="exact"/>
        <w:rPr>
          <w:rFonts w:ascii="Arial" w:cs="Arial" w:eastAsia="Arial" w:hAnsi="Arial"/>
          <w:sz w:val="14"/>
          <w:szCs w:val="14"/>
          <w:color w:val="auto"/>
        </w:rPr>
      </w:pPr>
    </w:p>
    <w:p>
      <w:pPr>
        <w:jc w:val="both"/>
        <w:ind w:left="1440" w:right="679" w:hanging="521"/>
        <w:spacing w:after="0" w:line="259" w:lineRule="auto"/>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require shareholders that wish to bring business before annual or special meetings of shareholders, or to nominate candidates for election as directors at an annual meeting of shareholders, to provide timely notice of their intent in writing and satisfy disclosure requirements; and</w:t>
      </w:r>
    </w:p>
    <w:p>
      <w:pPr>
        <w:spacing w:after="0" w:line="1" w:lineRule="exact"/>
        <w:rPr>
          <w:rFonts w:ascii="Arial" w:cs="Arial" w:eastAsia="Arial" w:hAnsi="Arial"/>
          <w:sz w:val="14"/>
          <w:szCs w:val="14"/>
          <w:color w:val="auto"/>
        </w:rPr>
      </w:pPr>
    </w:p>
    <w:p>
      <w:pPr>
        <w:jc w:val="both"/>
        <w:ind w:left="1440" w:right="679" w:hanging="521"/>
        <w:spacing w:after="0" w:line="269" w:lineRule="auto"/>
        <w:tabs>
          <w:tab w:leader="none" w:pos="1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enable the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99" w:lineRule="exact"/>
        <w:rPr>
          <w:sz w:val="20"/>
          <w:szCs w:val="20"/>
          <w:color w:val="auto"/>
        </w:rPr>
      </w:pPr>
    </w:p>
    <w:p>
      <w:pPr>
        <w:ind w:left="660" w:right="679" w:firstLine="256"/>
        <w:spacing w:after="0" w:line="268" w:lineRule="auto"/>
        <w:rPr>
          <w:sz w:val="20"/>
          <w:szCs w:val="20"/>
          <w:color w:val="auto"/>
        </w:rPr>
      </w:pPr>
      <w:r>
        <w:rPr>
          <w:rFonts w:ascii="Arial" w:cs="Arial" w:eastAsia="Arial" w:hAnsi="Arial"/>
          <w:sz w:val="14"/>
          <w:szCs w:val="14"/>
          <w:color w:val="auto"/>
        </w:rPr>
        <w:t>Additionally, the Articles of Incorporation prohibit any direct or indirect transfer of stock or options to acquire stock to any person who, as a result of the transfer, would own 4.95% or more of the Company’s capital stock, as long as the</w:t>
      </w:r>
    </w:p>
    <w:p>
      <w:pPr>
        <w:sectPr>
          <w:pgSz w:w="11900" w:h="16838" w:orient="portrait"/>
          <w:cols w:equalWidth="0" w:num="1">
            <w:col w:w="9019"/>
          </w:cols>
          <w:pgMar w:left="1440" w:top="502" w:right="1440" w:bottom="1440" w:gutter="0" w:footer="0" w:header="0"/>
        </w:sectPr>
      </w:pPr>
    </w:p>
    <w:bookmarkStart w:id="111" w:name="page112"/>
    <w:bookmarkEnd w:id="1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80" w:lineRule="exact"/>
        <w:rPr>
          <w:sz w:val="20"/>
          <w:szCs w:val="20"/>
          <w:color w:val="auto"/>
        </w:rPr>
      </w:pPr>
    </w:p>
    <w:p>
      <w:pPr>
        <w:jc w:val="both"/>
        <w:ind w:left="660" w:right="679"/>
        <w:spacing w:after="0" w:line="265" w:lineRule="auto"/>
        <w:rPr>
          <w:sz w:val="20"/>
          <w:szCs w:val="20"/>
          <w:color w:val="auto"/>
        </w:rPr>
      </w:pPr>
      <w:r>
        <w:rPr>
          <w:rFonts w:ascii="Arial" w:cs="Arial" w:eastAsia="Arial" w:hAnsi="Arial"/>
          <w:sz w:val="14"/>
          <w:szCs w:val="14"/>
          <w:color w:val="auto"/>
        </w:rPr>
        <w:t>Company continues to have “deferred tax assets,” subject to limited exceptions as provided in the Articles of Incorporation. Also,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and the Bank Holding Company Act.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Preferred Stock</w:t>
      </w:r>
    </w:p>
    <w:p>
      <w:pPr>
        <w:spacing w:after="0" w:line="145" w:lineRule="exact"/>
        <w:rPr>
          <w:sz w:val="20"/>
          <w:szCs w:val="20"/>
          <w:color w:val="auto"/>
        </w:rPr>
      </w:pPr>
    </w:p>
    <w:p>
      <w:pPr>
        <w:jc w:val="both"/>
        <w:ind w:left="660" w:right="679" w:firstLine="256"/>
        <w:spacing w:after="0" w:line="262" w:lineRule="auto"/>
        <w:rPr>
          <w:sz w:val="20"/>
          <w:szCs w:val="20"/>
          <w:color w:val="auto"/>
        </w:rPr>
      </w:pPr>
      <w:r>
        <w:rPr>
          <w:rFonts w:ascii="Arial" w:cs="Arial" w:eastAsia="Arial" w:hAnsi="Arial"/>
          <w:sz w:val="14"/>
          <w:szCs w:val="14"/>
          <w:color w:val="auto"/>
        </w:rPr>
        <w:t>The Board is authorized, without shareholder approval and subject to any limitations prescribed by law, the Articles of Incorporation and the Bylaws, at any time or from time to time to (a) provide for the issuance of the shares of preferred stock in one or more classes or series, (b) determine the designation for any such classes or series of preferred stock, (c) establish the number of shares to be included in any such class or series, and (d) determine the terms, powers, preferences, qualifications, limitations, restrictions and relative, participating, optional or other special rights of the shares of such class or series of preferred stock, which include rights such as those with respect to dividends, liquidation preference, conversion, redemption, and/or voting.</w:t>
      </w:r>
    </w:p>
    <w:p>
      <w:pPr>
        <w:spacing w:after="0" w:line="103" w:lineRule="exact"/>
        <w:rPr>
          <w:sz w:val="20"/>
          <w:szCs w:val="20"/>
          <w:color w:val="auto"/>
        </w:rPr>
      </w:pPr>
    </w:p>
    <w:p>
      <w:pPr>
        <w:jc w:val="both"/>
        <w:ind w:left="660" w:right="679" w:firstLine="256"/>
        <w:spacing w:after="0" w:line="284" w:lineRule="auto"/>
        <w:rPr>
          <w:sz w:val="20"/>
          <w:szCs w:val="20"/>
          <w:color w:val="auto"/>
        </w:rPr>
      </w:pPr>
      <w:r>
        <w:rPr>
          <w:rFonts w:ascii="Arial" w:cs="Arial" w:eastAsia="Arial" w:hAnsi="Arial"/>
          <w:sz w:val="14"/>
          <w:szCs w:val="14"/>
          <w:color w:val="auto"/>
        </w:rPr>
        <w:t>Any issuance of preferred stock with voting rights or which is convertible into voting shares could adversely affect the voting power of the holders of Class A Common Stock. Any of aforementioned actions could have an anti-takeover effect.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Side Letter Agreement</w:t>
      </w:r>
    </w:p>
    <w:p>
      <w:pPr>
        <w:spacing w:after="0" w:line="145" w:lineRule="exact"/>
        <w:rPr>
          <w:sz w:val="20"/>
          <w:szCs w:val="20"/>
          <w:color w:val="auto"/>
        </w:rPr>
      </w:pPr>
    </w:p>
    <w:p>
      <w:pPr>
        <w:jc w:val="both"/>
        <w:ind w:left="660" w:right="679" w:firstLine="256"/>
        <w:spacing w:after="0" w:line="262" w:lineRule="auto"/>
        <w:rPr>
          <w:sz w:val="20"/>
          <w:szCs w:val="20"/>
          <w:color w:val="auto"/>
        </w:rPr>
      </w:pPr>
      <w:r>
        <w:rPr>
          <w:rFonts w:ascii="Arial" w:cs="Arial" w:eastAsia="Arial" w:hAnsi="Arial"/>
          <w:sz w:val="14"/>
          <w:szCs w:val="14"/>
          <w:color w:val="auto"/>
        </w:rPr>
        <w:t>Pursuant to the Side Letter Agreement between the Company, Priam Capital Fund II, LP (“Priam”), Patriot Financial Partners II, L.P. (“Patriot Financial”) and Patriot Financial Partners Parallel II, L.P. (“Patriot Financial Partners,” together with Patriot Financial and Priam, the “Large Investors”), the Company is required to maintain its Board at no less than five nor more than seven directors, and to cause one person nominated by each Large Investor to be elected or appointed to the Board, including filling any vacancy (the “Board Representative”), subject to satisfaction of all legal and governance requirements regarding such Board Representative’s service as a director. Such Board Representative rights last as long as each Large Investor beneficially owns shares of the Common Stock representing 50% or more of the common stock of the Bank (as defined below) purchased by the Large Investor in the recapitalization of U.S. Century Bank, the Company’s wholly-owned Florida state-chartered bank subsidiary (the “Bank”), in 2015 (the “2015 Recapitalization”), as adjusted from time to time as a result of changes in capitalization. Pursuant to the Side Letter Agreement, the Large Investors have the power to designate a Board observer to attend meetings in a nonvoting capacity in the event any applicable Board Representative is unable to attend such meetings or if the Large Investor does not have a Board Representative on the Board on the date of any meeting.</w:t>
      </w:r>
    </w:p>
    <w:p>
      <w:pPr>
        <w:spacing w:after="0" w:line="105" w:lineRule="exact"/>
        <w:rPr>
          <w:sz w:val="20"/>
          <w:szCs w:val="20"/>
          <w:color w:val="auto"/>
        </w:rPr>
      </w:pPr>
    </w:p>
    <w:p>
      <w:pPr>
        <w:jc w:val="both"/>
        <w:ind w:left="660" w:right="679" w:firstLine="256"/>
        <w:spacing w:after="0" w:line="264" w:lineRule="auto"/>
        <w:rPr>
          <w:sz w:val="20"/>
          <w:szCs w:val="20"/>
          <w:color w:val="auto"/>
        </w:rPr>
      </w:pPr>
      <w:r>
        <w:rPr>
          <w:rFonts w:ascii="Arial" w:cs="Arial" w:eastAsia="Arial" w:hAnsi="Arial"/>
          <w:sz w:val="14"/>
          <w:szCs w:val="14"/>
          <w:color w:val="auto"/>
        </w:rPr>
        <w:t>The Side Letter Agreement provides each Large Investor with matching stock rights for so long as each Large Investor beneficially owns shares of Common Stock representing 50% or more of the common stock of the Bank purchased by the Large Investor in the 2015 Recapitalization, as adjusted from time to time as a result of changes in capitalization. The matching stock rights permit each Large Investor to purchase new equity securities offered by the Company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the Large Investors.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Listing</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Class A common stock is listed on The Nasdaq Global Market under ticker symbol “USCB”.</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Transfer Agent and Registrar</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transfer agent and registrar for our Common Stock is Computershare Trust Company, N.A.</w:t>
      </w:r>
    </w:p>
    <w:p>
      <w:pPr>
        <w:sectPr>
          <w:pgSz w:w="11900" w:h="16838" w:orient="portrait"/>
          <w:cols w:equalWidth="0" w:num="1">
            <w:col w:w="9019"/>
          </w:cols>
          <w:pgMar w:left="1440" w:top="502" w:right="1440" w:bottom="1440" w:gutter="0" w:footer="0" w:header="0"/>
        </w:sectPr>
      </w:pPr>
    </w:p>
    <w:bookmarkStart w:id="112" w:name="page113"/>
    <w:bookmarkEnd w:id="112"/>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9"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Exhibit 10.2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03" w:lineRule="exact"/>
        <w:rPr>
          <w:sz w:val="20"/>
          <w:szCs w:val="20"/>
          <w:color w:val="auto"/>
        </w:rPr>
      </w:pPr>
    </w:p>
    <w:p>
      <w:pPr>
        <w:jc w:val="both"/>
        <w:ind w:left="1180" w:right="1179" w:firstLine="512"/>
        <w:spacing w:after="0" w:line="278" w:lineRule="auto"/>
        <w:rPr>
          <w:sz w:val="20"/>
          <w:szCs w:val="20"/>
          <w:color w:val="auto"/>
        </w:rPr>
      </w:pPr>
      <w:r>
        <w:rPr>
          <w:rFonts w:ascii="Arial" w:cs="Arial" w:eastAsia="Arial" w:hAnsi="Arial"/>
          <w:sz w:val="16"/>
          <w:szCs w:val="16"/>
          <w:color w:val="auto"/>
        </w:rPr>
        <w:t>This EMPLOYMENT AGREEMENT (this “Agreement”) is made and entered into as of the April 16, 2016 (the “Effective Date”), between U.S. Century Bank, a Florida-chartered commercial bank (the “Bank” or the “Employer”), and Luis de la Aguilera (the “Executive”).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p>
    <w:p>
      <w:pPr>
        <w:spacing w:after="0" w:line="203"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WHEREAS, the Bank desires to employ the Executive as Chief Executive Officer;</w:t>
      </w:r>
    </w:p>
    <w:p>
      <w:pPr>
        <w:spacing w:after="0" w:line="199" w:lineRule="exact"/>
        <w:rPr>
          <w:sz w:val="20"/>
          <w:szCs w:val="20"/>
          <w:color w:val="auto"/>
        </w:rPr>
      </w:pPr>
    </w:p>
    <w:p>
      <w:pPr>
        <w:jc w:val="both"/>
        <w:ind w:left="1180" w:right="1179" w:firstLine="512"/>
        <w:spacing w:after="0" w:line="274" w:lineRule="auto"/>
        <w:rPr>
          <w:sz w:val="20"/>
          <w:szCs w:val="20"/>
          <w:color w:val="auto"/>
        </w:rPr>
      </w:pPr>
      <w:r>
        <w:rPr>
          <w:rFonts w:ascii="Arial" w:cs="Arial" w:eastAsia="Arial" w:hAnsi="Arial"/>
          <w:sz w:val="17"/>
          <w:szCs w:val="17"/>
          <w:color w:val="auto"/>
        </w:rPr>
        <w:t>WHEREAS, the Employer desires to be ensured of the Executive’s active participation in the business of the Employer; and</w:t>
      </w:r>
    </w:p>
    <w:p>
      <w:pPr>
        <w:spacing w:after="0" w:line="140" w:lineRule="exact"/>
        <w:rPr>
          <w:sz w:val="20"/>
          <w:szCs w:val="20"/>
          <w:color w:val="auto"/>
        </w:rPr>
      </w:pPr>
    </w:p>
    <w:p>
      <w:pPr>
        <w:jc w:val="both"/>
        <w:ind w:left="1180" w:right="1179" w:firstLine="512"/>
        <w:spacing w:after="0" w:line="274" w:lineRule="auto"/>
        <w:rPr>
          <w:sz w:val="20"/>
          <w:szCs w:val="20"/>
          <w:color w:val="auto"/>
        </w:rPr>
      </w:pPr>
      <w:r>
        <w:rPr>
          <w:rFonts w:ascii="Arial" w:cs="Arial" w:eastAsia="Arial" w:hAnsi="Arial"/>
          <w:sz w:val="17"/>
          <w:szCs w:val="17"/>
          <w:color w:val="auto"/>
        </w:rPr>
        <w:t>WHEREAS, the Executive is willing to serve the Bank on the terms and conditions hereinafter set forth;</w:t>
      </w:r>
    </w:p>
    <w:p>
      <w:pPr>
        <w:spacing w:after="0" w:line="140" w:lineRule="exact"/>
        <w:rPr>
          <w:sz w:val="20"/>
          <w:szCs w:val="20"/>
          <w:color w:val="auto"/>
        </w:rPr>
      </w:pPr>
    </w:p>
    <w:p>
      <w:pPr>
        <w:jc w:val="both"/>
        <w:ind w:left="1180" w:right="1179" w:firstLine="512"/>
        <w:spacing w:after="0" w:line="255" w:lineRule="auto"/>
        <w:rPr>
          <w:sz w:val="20"/>
          <w:szCs w:val="20"/>
          <w:color w:val="auto"/>
        </w:rPr>
      </w:pPr>
      <w:r>
        <w:rPr>
          <w:rFonts w:ascii="Arial" w:cs="Arial" w:eastAsia="Arial" w:hAnsi="Arial"/>
          <w:sz w:val="17"/>
          <w:szCs w:val="17"/>
          <w:color w:val="auto"/>
        </w:rPr>
        <w:t>NOW THEREFORE, in consideration of the mutual agreements herein contained, and upon the other terms and conditions hereinafter provided, the Employer and the Executive hereby agree as follows:</w:t>
      </w:r>
    </w:p>
    <w:p>
      <w:pPr>
        <w:spacing w:after="0" w:line="162" w:lineRule="exact"/>
        <w:rPr>
          <w:sz w:val="20"/>
          <w:szCs w:val="20"/>
          <w:color w:val="auto"/>
        </w:rPr>
      </w:pPr>
    </w:p>
    <w:p>
      <w:pPr>
        <w:ind w:left="1180" w:right="1179" w:firstLine="507"/>
        <w:spacing w:after="0" w:line="266" w:lineRule="auto"/>
        <w:tabs>
          <w:tab w:leader="none" w:pos="2204"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The following words and terms shall have the meanings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below for the purposes of this Agreement:</w:t>
      </w:r>
    </w:p>
    <w:p>
      <w:pPr>
        <w:spacing w:after="0" w:line="154" w:lineRule="exact"/>
        <w:rPr>
          <w:sz w:val="20"/>
          <w:szCs w:val="20"/>
          <w:color w:val="auto"/>
        </w:rPr>
      </w:pPr>
    </w:p>
    <w:p>
      <w:pPr>
        <w:ind w:left="2200" w:hanging="513"/>
        <w:spacing w:after="0"/>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Base Salary. </w:t>
      </w:r>
      <w:r>
        <w:rPr>
          <w:rFonts w:ascii="Arial" w:cs="Arial" w:eastAsia="Arial" w:hAnsi="Arial"/>
          <w:sz w:val="15"/>
          <w:szCs w:val="15"/>
          <w:color w:val="auto"/>
        </w:rPr>
        <w:t>“Base Salary” shall have the meaning set forth in Section 3(a) hereof.</w:t>
      </w:r>
    </w:p>
    <w:p>
      <w:pPr>
        <w:spacing w:after="0" w:line="222" w:lineRule="exact"/>
        <w:rPr>
          <w:rFonts w:ascii="Arial" w:cs="Arial" w:eastAsia="Arial" w:hAnsi="Arial"/>
          <w:sz w:val="15"/>
          <w:szCs w:val="15"/>
          <w:color w:val="auto"/>
        </w:rPr>
      </w:pPr>
    </w:p>
    <w:p>
      <w:pPr>
        <w:jc w:val="both"/>
        <w:ind w:left="1180" w:right="1179" w:firstLine="507"/>
        <w:spacing w:after="0" w:line="276" w:lineRule="auto"/>
        <w:tabs>
          <w:tab w:leader="none" w:pos="2204"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Cause. </w:t>
      </w:r>
      <w:r>
        <w:rPr>
          <w:rFonts w:ascii="Arial" w:cs="Arial" w:eastAsia="Arial" w:hAnsi="Arial"/>
          <w:sz w:val="15"/>
          <w:szCs w:val="15"/>
          <w:color w:val="auto"/>
        </w:rPr>
        <w:t>Termination of the Executive’s employment for “Cause” shall mean</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because of (i) willful misconduct (including but not limited to misappropriation of a material Bank business opportunity, material violation of a confidentiality or non-competition obligation, or abuse of drugs or alcohol that results in the Executive being materially adversely affected in the performance of his duties), or fraud by the Executive; (ii) conviction of (including a plea of guilty or nolo contendere to) a felony which has a material effect on the Bank or the Executive’s performance hereunder; (iii) the failure to comply with any material obligation imposed upon the Executive pursuant to this Agreement, (iv) the failure to substantially meet by the end of the Initial Term the targets agreed to by the Executive and the Board set forth in Exhibit A hereto (as determined by the Board in good faith in its sole discretion); and (v) the entry into by the Bank with the Federal Deposit Insurance Corporation (the “FDIC”) and/or the Office of Financial Regulation of the State of Florida (the “OFR”) after December 31, 2016 of a new consent agreement, cease and desist order or written agreement if the consent order entered into as June 3, 2011 by the Bank with the FDIC and the OFR (the “Consent Order”) has been terminated; provided, however, that if such failure under clause (i) or (iii) above is susceptible of cure, “Cause” shall be deemed to exist only after the failure has remained uncured for thirty (30) days following receipt by the Executive of written notice from the Bank of the failure). Notwithstanding the foregoing, if the Executive disagrees with the good faith determination of the Bank that there is no cure after the 30-day cure period, the Executive may request that such determination be submitted to binding arbitration in accordance with Section 20 hereof (with each party responsible for its own fees and costs). If the Executive makes such a request for</w:t>
      </w:r>
    </w:p>
    <w:p>
      <w:pPr>
        <w:sectPr>
          <w:pgSz w:w="11900" w:h="16838" w:orient="portrait"/>
          <w:cols w:equalWidth="0" w:num="1">
            <w:col w:w="9019"/>
          </w:cols>
          <w:pgMar w:left="1440" w:top="491" w:right="1440" w:bottom="1440" w:gutter="0" w:footer="0" w:header="0"/>
        </w:sectPr>
      </w:pPr>
    </w:p>
    <w:bookmarkStart w:id="113" w:name="page114"/>
    <w:bookmarkEnd w:id="113"/>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77" w:lineRule="auto"/>
        <w:rPr>
          <w:sz w:val="20"/>
          <w:szCs w:val="20"/>
          <w:color w:val="auto"/>
        </w:rPr>
      </w:pPr>
      <w:r>
        <w:rPr>
          <w:rFonts w:ascii="Arial" w:cs="Arial" w:eastAsia="Arial" w:hAnsi="Arial"/>
          <w:sz w:val="15"/>
          <w:szCs w:val="15"/>
          <w:color w:val="auto"/>
        </w:rPr>
        <w:t>arbitration, the termination of the Executive shall not become effective unless and until it is upheld by a final decision issued through such arbitration process; provided, that the Bank shall have the right, in its sole discretion, to relieve the Executive of all or any portion of his duties during such arbitration period pending the arbitration decision so long as the Bank continues to pay and provide to the Executive on a timely basis the compensation and benefits that it would otherwise owe to the Executive during such period under this Agreement.</w:t>
      </w:r>
    </w:p>
    <w:p>
      <w:pPr>
        <w:spacing w:after="0" w:line="3" w:lineRule="exact"/>
        <w:rPr>
          <w:sz w:val="20"/>
          <w:szCs w:val="20"/>
          <w:color w:val="auto"/>
        </w:rPr>
      </w:pPr>
    </w:p>
    <w:p>
      <w:pPr>
        <w:ind w:left="1180" w:right="1179" w:firstLine="507"/>
        <w:spacing w:after="0" w:line="244" w:lineRule="auto"/>
        <w:tabs>
          <w:tab w:leader="none" w:pos="2204"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“Change in Control” shall mean (except as provided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the occurrence of an event described in (i), (ii), (iii) or (iv) below:</w:t>
      </w:r>
    </w:p>
    <w:p>
      <w:pPr>
        <w:spacing w:after="0" w:line="154" w:lineRule="exact"/>
        <w:rPr>
          <w:rFonts w:ascii="Arial" w:cs="Arial" w:eastAsia="Arial" w:hAnsi="Arial"/>
          <w:sz w:val="17"/>
          <w:szCs w:val="17"/>
          <w:color w:val="auto"/>
        </w:rPr>
      </w:pPr>
    </w:p>
    <w:p>
      <w:pPr>
        <w:jc w:val="both"/>
        <w:ind w:left="1240" w:right="1179" w:firstLine="959"/>
        <w:spacing w:after="0" w:line="280" w:lineRule="auto"/>
        <w:tabs>
          <w:tab w:leader="none" w:pos="2704" w:val="left"/>
        </w:tabs>
        <w:numPr>
          <w:ilvl w:val="2"/>
          <w:numId w:val="61"/>
        </w:numPr>
        <w:rPr>
          <w:rFonts w:ascii="Arial" w:cs="Arial" w:eastAsia="Arial" w:hAnsi="Arial"/>
          <w:sz w:val="15"/>
          <w:szCs w:val="15"/>
          <w:color w:val="auto"/>
        </w:rPr>
      </w:pPr>
      <w:r>
        <w:rPr>
          <w:rFonts w:ascii="Arial" w:cs="Arial" w:eastAsia="Arial" w:hAnsi="Arial"/>
          <w:sz w:val="15"/>
          <w:szCs w:val="15"/>
          <w:color w:val="auto"/>
        </w:rPr>
        <w:t>Any person or group (within the meaning of Sections 13(d) and 14(d) of the Securities Exchange Act of 1934, as amended (the “Exchange Act”)), other than the Bank, an affiliate of the Bank or a trustee or other fiduciary holding securities under an employee benefit plan of the Bank or a corporation owned directly or indirectly by the stockholders of the Bank in substantially the same proportions as their ownership of stock of the Bank, becomes the beneficial owner (within the meaning of Rule 13(d)(3) under the Exchange Act), directly or indirectly (which shall include securities issuable upon conversion, exchange or otherwise) of securities representing 50% or more of the combined voting power of the Bank’s then-outstanding securities entitled generally to vote for the election of directors;</w:t>
      </w:r>
    </w:p>
    <w:p>
      <w:pPr>
        <w:spacing w:after="0" w:line="120" w:lineRule="exact"/>
        <w:rPr>
          <w:rFonts w:ascii="Arial" w:cs="Arial" w:eastAsia="Arial" w:hAnsi="Arial"/>
          <w:sz w:val="15"/>
          <w:szCs w:val="15"/>
          <w:color w:val="auto"/>
        </w:rPr>
      </w:pPr>
    </w:p>
    <w:p>
      <w:pPr>
        <w:jc w:val="both"/>
        <w:ind w:left="1180" w:right="1179" w:firstLine="948"/>
        <w:spacing w:after="0" w:line="264" w:lineRule="auto"/>
        <w:tabs>
          <w:tab w:leader="none" w:pos="2716" w:val="left"/>
        </w:tabs>
        <w:numPr>
          <w:ilvl w:val="1"/>
          <w:numId w:val="61"/>
        </w:numPr>
        <w:rPr>
          <w:rFonts w:ascii="Arial" w:cs="Arial" w:eastAsia="Arial" w:hAnsi="Arial"/>
          <w:sz w:val="16"/>
          <w:szCs w:val="16"/>
          <w:color w:val="auto"/>
        </w:rPr>
      </w:pPr>
      <w:r>
        <w:rPr>
          <w:rFonts w:ascii="Arial" w:cs="Arial" w:eastAsia="Arial" w:hAnsi="Arial"/>
          <w:sz w:val="16"/>
          <w:szCs w:val="16"/>
          <w:color w:val="auto"/>
        </w:rPr>
        <w:t>Consummation of an agreement to merge or consolidate with another entity (other than a majority-controlled subsidiary of the Bank) unless the Bank’s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40" w:lineRule="exact"/>
        <w:rPr>
          <w:rFonts w:ascii="Arial" w:cs="Arial" w:eastAsia="Arial" w:hAnsi="Arial"/>
          <w:sz w:val="16"/>
          <w:szCs w:val="16"/>
          <w:color w:val="auto"/>
        </w:rPr>
      </w:pPr>
    </w:p>
    <w:p>
      <w:pPr>
        <w:jc w:val="both"/>
        <w:ind w:left="1240" w:right="1159" w:firstLine="959"/>
        <w:spacing w:after="0" w:line="255" w:lineRule="auto"/>
        <w:tabs>
          <w:tab w:leader="none" w:pos="2704" w:val="left"/>
        </w:tabs>
        <w:numPr>
          <w:ilvl w:val="2"/>
          <w:numId w:val="62"/>
        </w:numPr>
        <w:rPr>
          <w:rFonts w:ascii="Arial" w:cs="Arial" w:eastAsia="Arial" w:hAnsi="Arial"/>
          <w:sz w:val="17"/>
          <w:szCs w:val="17"/>
          <w:color w:val="auto"/>
        </w:rPr>
      </w:pPr>
      <w:r>
        <w:rPr>
          <w:rFonts w:ascii="Arial" w:cs="Arial" w:eastAsia="Arial" w:hAnsi="Arial"/>
          <w:sz w:val="17"/>
          <w:szCs w:val="17"/>
          <w:color w:val="auto"/>
        </w:rPr>
        <w:t>Consummation of an agreement (including, without limitation, an agreement of liquidation) to sell or otherwise dispose of all or substantially all of the business or assets of the Bank (or a subsidiary thereof); or</w:t>
      </w:r>
    </w:p>
    <w:p>
      <w:pPr>
        <w:spacing w:after="0" w:line="134" w:lineRule="exact"/>
        <w:rPr>
          <w:rFonts w:ascii="Arial" w:cs="Arial" w:eastAsia="Arial" w:hAnsi="Arial"/>
          <w:sz w:val="17"/>
          <w:szCs w:val="17"/>
          <w:color w:val="auto"/>
        </w:rPr>
      </w:pPr>
    </w:p>
    <w:p>
      <w:pPr>
        <w:jc w:val="both"/>
        <w:ind w:left="1240" w:right="1179" w:firstLine="959"/>
        <w:spacing w:after="0" w:line="264" w:lineRule="auto"/>
        <w:tabs>
          <w:tab w:leader="none" w:pos="2704" w:val="left"/>
        </w:tabs>
        <w:numPr>
          <w:ilvl w:val="2"/>
          <w:numId w:val="62"/>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Bank (the “Incumbent Board”) cease for any reason to constitute at least a majority of the Board, provided that any person becoming a director subsequent to the date hereof whose election or nomination for election by the stockholders is approved by a vote of at least a majority of directors then constituting the Incumbent Board shall be, for purposes of this Agreement, considered as though such person were a member of the Incumbent Board.</w:t>
      </w:r>
    </w:p>
    <w:p>
      <w:pPr>
        <w:spacing w:after="0" w:line="130" w:lineRule="exact"/>
        <w:rPr>
          <w:sz w:val="20"/>
          <w:szCs w:val="20"/>
          <w:color w:val="auto"/>
        </w:rPr>
      </w:pPr>
    </w:p>
    <w:p>
      <w:pPr>
        <w:ind w:left="1180" w:right="1179" w:firstLine="512"/>
        <w:spacing w:after="0" w:line="306" w:lineRule="auto"/>
        <w:rPr>
          <w:sz w:val="20"/>
          <w:szCs w:val="20"/>
          <w:color w:val="auto"/>
        </w:rPr>
      </w:pPr>
      <w:r>
        <w:rPr>
          <w:rFonts w:ascii="Arial" w:cs="Arial" w:eastAsia="Arial" w:hAnsi="Arial"/>
          <w:sz w:val="16"/>
          <w:szCs w:val="16"/>
          <w:color w:val="auto"/>
        </w:rPr>
        <w:t>Notwithstanding the foregoing, no event shall constitute a Change in Control unless such event shall also constitute a change in control as defined in Section 409A of the Code.</w:t>
      </w:r>
    </w:p>
    <w:p>
      <w:pPr>
        <w:spacing w:after="0" w:line="114" w:lineRule="exact"/>
        <w:rPr>
          <w:sz w:val="20"/>
          <w:szCs w:val="20"/>
          <w:color w:val="auto"/>
        </w:rPr>
      </w:pPr>
    </w:p>
    <w:p>
      <w:pPr>
        <w:ind w:left="2200" w:hanging="513"/>
        <w:spacing w:after="0"/>
        <w:tabs>
          <w:tab w:leader="none" w:pos="2200"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“Code” shall mean the Internal Revenue Code of 1986, as amended.</w:t>
      </w:r>
    </w:p>
    <w:p>
      <w:pPr>
        <w:spacing w:after="0" w:line="210" w:lineRule="exact"/>
        <w:rPr>
          <w:rFonts w:ascii="Arial" w:cs="Arial" w:eastAsia="Arial" w:hAnsi="Arial"/>
          <w:sz w:val="16"/>
          <w:szCs w:val="16"/>
          <w:color w:val="auto"/>
        </w:rPr>
      </w:pPr>
    </w:p>
    <w:p>
      <w:pPr>
        <w:jc w:val="both"/>
        <w:ind w:left="1180" w:right="1179" w:firstLine="507"/>
        <w:spacing w:after="0" w:line="287" w:lineRule="auto"/>
        <w:tabs>
          <w:tab w:leader="none" w:pos="2204" w:val="left"/>
        </w:tabs>
        <w:numPr>
          <w:ilvl w:val="1"/>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Date of Termination. </w:t>
      </w:r>
      <w:r>
        <w:rPr>
          <w:rFonts w:ascii="Arial" w:cs="Arial" w:eastAsia="Arial" w:hAnsi="Arial"/>
          <w:sz w:val="15"/>
          <w:szCs w:val="15"/>
          <w:color w:val="auto"/>
        </w:rPr>
        <w:t>“Date of Termination” shall mean (i) if the Executive’s</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is terminated for Cause, the date on which the Notice of Termination is given, and</w:t>
      </w:r>
    </w:p>
    <w:p>
      <w:pPr>
        <w:ind w:left="1180" w:right="1199" w:hanging="5"/>
        <w:spacing w:after="0" w:line="243" w:lineRule="auto"/>
        <w:tabs>
          <w:tab w:leader="none" w:pos="1431"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Executive’s employment is terminated for any other reason, the date specified in such Notice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491" w:right="1440" w:bottom="1440" w:gutter="0" w:footer="0" w:header="0"/>
        </w:sectPr>
      </w:pPr>
    </w:p>
    <w:bookmarkStart w:id="114" w:name="page115"/>
    <w:bookmarkEnd w:id="114"/>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jc w:val="both"/>
        <w:ind w:left="1180" w:right="1179" w:firstLine="507"/>
        <w:spacing w:after="0" w:line="277" w:lineRule="auto"/>
        <w:tabs>
          <w:tab w:leader="none" w:pos="2204" w:val="left"/>
        </w:tabs>
        <w:numPr>
          <w:ilvl w:val="1"/>
          <w:numId w:val="65"/>
        </w:numPr>
        <w:rPr>
          <w:rFonts w:ascii="Arial" w:cs="Arial" w:eastAsia="Arial" w:hAnsi="Arial"/>
          <w:sz w:val="15"/>
          <w:szCs w:val="15"/>
          <w:color w:val="auto"/>
        </w:rPr>
      </w:pPr>
      <w:r>
        <w:rPr>
          <w:rFonts w:ascii="Arial" w:cs="Arial" w:eastAsia="Arial" w:hAnsi="Arial"/>
          <w:sz w:val="15"/>
          <w:szCs w:val="15"/>
          <w:b w:val="1"/>
          <w:bCs w:val="1"/>
          <w:color w:val="auto"/>
        </w:rPr>
        <w:t xml:space="preserve">Disability. </w:t>
      </w:r>
      <w:r>
        <w:rPr>
          <w:rFonts w:ascii="Arial" w:cs="Arial" w:eastAsia="Arial" w:hAnsi="Arial"/>
          <w:sz w:val="15"/>
          <w:szCs w:val="15"/>
          <w:color w:val="auto"/>
        </w:rPr>
        <w:t>“Disability” shall mean the Executive (i) is unable to engage in any</w:t>
      </w:r>
      <w:r>
        <w:rPr>
          <w:rFonts w:ascii="Arial" w:cs="Arial" w:eastAsia="Arial" w:hAnsi="Arial"/>
          <w:sz w:val="15"/>
          <w:szCs w:val="15"/>
          <w:b w:val="1"/>
          <w:bCs w:val="1"/>
          <w:color w:val="auto"/>
        </w:rPr>
        <w:t xml:space="preserve"> </w:t>
      </w:r>
      <w:r>
        <w:rPr>
          <w:rFonts w:ascii="Arial" w:cs="Arial" w:eastAsia="Arial" w:hAnsi="Arial"/>
          <w:sz w:val="15"/>
          <w:szCs w:val="15"/>
          <w:color w:val="auto"/>
        </w:rPr>
        <w:t>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Employer.</w:t>
      </w:r>
    </w:p>
    <w:p>
      <w:pPr>
        <w:ind w:left="1180" w:right="1199" w:firstLine="507"/>
        <w:spacing w:after="0" w:line="257" w:lineRule="auto"/>
        <w:tabs>
          <w:tab w:leader="none" w:pos="2204" w:val="left"/>
        </w:tabs>
        <w:numPr>
          <w:ilvl w:val="1"/>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Good Reason. </w:t>
      </w:r>
      <w:r>
        <w:rPr>
          <w:rFonts w:ascii="Arial" w:cs="Arial" w:eastAsia="Arial" w:hAnsi="Arial"/>
          <w:sz w:val="17"/>
          <w:szCs w:val="17"/>
          <w:color w:val="auto"/>
        </w:rPr>
        <w:t>Termination by the Executive of the Executive’s employment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“Good Reason” shall mean termination by the Executive based on:</w:t>
      </w:r>
    </w:p>
    <w:p>
      <w:pPr>
        <w:spacing w:after="0" w:line="154" w:lineRule="exact"/>
        <w:rPr>
          <w:rFonts w:ascii="Arial" w:cs="Arial" w:eastAsia="Arial" w:hAnsi="Arial"/>
          <w:sz w:val="17"/>
          <w:szCs w:val="17"/>
          <w:color w:val="auto"/>
        </w:rPr>
      </w:pPr>
    </w:p>
    <w:p>
      <w:pPr>
        <w:jc w:val="both"/>
        <w:ind w:left="1180" w:right="1179" w:firstLine="1019"/>
        <w:spacing w:after="0" w:line="283" w:lineRule="auto"/>
        <w:tabs>
          <w:tab w:leader="none" w:pos="2716" w:val="left"/>
        </w:tabs>
        <w:numPr>
          <w:ilvl w:val="2"/>
          <w:numId w:val="65"/>
        </w:numPr>
        <w:rPr>
          <w:rFonts w:ascii="Arial" w:cs="Arial" w:eastAsia="Arial" w:hAnsi="Arial"/>
          <w:sz w:val="15"/>
          <w:szCs w:val="15"/>
          <w:color w:val="auto"/>
        </w:rPr>
      </w:pPr>
      <w:r>
        <w:rPr>
          <w:rFonts w:ascii="Arial" w:cs="Arial" w:eastAsia="Arial" w:hAnsi="Arial"/>
          <w:sz w:val="15"/>
          <w:szCs w:val="15"/>
          <w:color w:val="auto"/>
        </w:rPr>
        <w:t>any material breach of this Agreement by the Bank Employer, including without limitation any of the following: (A) a material diminution in the Executive’s base compensation, (B) a material diminution in the Executive’s authority, duties or responsibilities, or</w:t>
      </w:r>
    </w:p>
    <w:p>
      <w:pPr>
        <w:jc w:val="both"/>
        <w:ind w:left="1180" w:right="1179" w:hanging="5"/>
        <w:spacing w:after="0" w:line="243" w:lineRule="auto"/>
        <w:tabs>
          <w:tab w:leader="none" w:pos="1472"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requirement that the Executive report to a corporate officer or employee of the Bank instead of reporting directly to the Board of Directors, other than from time to time with respect to specified matters, a director of the Bank who is designated by a majority of the full Board of Directors of the Bank, or</w:t>
      </w:r>
    </w:p>
    <w:p>
      <w:pPr>
        <w:spacing w:after="0" w:line="176" w:lineRule="exact"/>
        <w:rPr>
          <w:rFonts w:ascii="Arial" w:cs="Arial" w:eastAsia="Arial" w:hAnsi="Arial"/>
          <w:sz w:val="17"/>
          <w:szCs w:val="17"/>
          <w:color w:val="auto"/>
        </w:rPr>
      </w:pPr>
    </w:p>
    <w:p>
      <w:pPr>
        <w:ind w:left="1180" w:right="1179" w:firstLine="1019"/>
        <w:spacing w:after="0" w:line="261" w:lineRule="auto"/>
        <w:tabs>
          <w:tab w:leader="none" w:pos="2717" w:val="left"/>
        </w:tabs>
        <w:numPr>
          <w:ilvl w:val="2"/>
          <w:numId w:val="66"/>
        </w:numPr>
        <w:rPr>
          <w:rFonts w:ascii="Arial" w:cs="Arial" w:eastAsia="Arial" w:hAnsi="Arial"/>
          <w:sz w:val="17"/>
          <w:szCs w:val="17"/>
          <w:color w:val="auto"/>
        </w:rPr>
      </w:pPr>
      <w:r>
        <w:rPr>
          <w:rFonts w:ascii="Arial" w:cs="Arial" w:eastAsia="Arial" w:hAnsi="Arial"/>
          <w:sz w:val="17"/>
          <w:szCs w:val="17"/>
          <w:color w:val="auto"/>
        </w:rPr>
        <w:t>change in excess of twenty-five (25) miles in the geographic location at which the Executive must perform his services under this Agreement;</w:t>
      </w:r>
    </w:p>
    <w:p>
      <w:pPr>
        <w:spacing w:after="0" w:line="162" w:lineRule="exact"/>
        <w:rPr>
          <w:sz w:val="20"/>
          <w:szCs w:val="20"/>
          <w:color w:val="auto"/>
        </w:rPr>
      </w:pPr>
    </w:p>
    <w:p>
      <w:pPr>
        <w:jc w:val="both"/>
        <w:ind w:left="1180" w:right="1179"/>
        <w:spacing w:after="0" w:line="260" w:lineRule="auto"/>
        <w:rPr>
          <w:sz w:val="20"/>
          <w:szCs w:val="20"/>
          <w:color w:val="auto"/>
        </w:rPr>
      </w:pPr>
      <w:r>
        <w:rPr>
          <w:rFonts w:ascii="Arial" w:cs="Arial" w:eastAsia="Arial" w:hAnsi="Arial"/>
          <w:sz w:val="16"/>
          <w:szCs w:val="16"/>
          <w:color w:val="auto"/>
        </w:rPr>
        <w:t>provided, however, that prior to any termination of employment for Good Reason, the Executive must first provide written notice to the Bank within ninety (90) days of the initial existence of the condition, describing the existence of such condition, and the Bank shall thereafter have the right to remedy the condition within thirty (30) days of the date the Bank received the written notice from the Executive. If the Bank remedies the condition within such thirty (30) day cure period, then no Good Reason shall be deemed to exist with respect to such condition. If the Bank does not remedy the condition within such thirty (30) day cure period, then the Executive may deliver a Notice of Termination for Good Reason at any time within sixty (60) days following the expiration of such cure period.</w:t>
      </w:r>
    </w:p>
    <w:p>
      <w:pPr>
        <w:spacing w:after="0" w:line="165" w:lineRule="exact"/>
        <w:rPr>
          <w:sz w:val="20"/>
          <w:szCs w:val="20"/>
          <w:color w:val="auto"/>
        </w:rPr>
      </w:pPr>
    </w:p>
    <w:p>
      <w:pPr>
        <w:jc w:val="both"/>
        <w:ind w:left="1180" w:right="1179" w:firstLine="507"/>
        <w:spacing w:after="0" w:line="259" w:lineRule="auto"/>
        <w:tabs>
          <w:tab w:leader="none" w:pos="2204"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Notice of Termination. </w:t>
      </w:r>
      <w:r>
        <w:rPr>
          <w:rFonts w:ascii="Arial" w:cs="Arial" w:eastAsia="Arial" w:hAnsi="Arial"/>
          <w:sz w:val="16"/>
          <w:szCs w:val="16"/>
          <w:color w:val="auto"/>
        </w:rPr>
        <w:t>Any purported termination of the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by the Employer for any reason, including without limitation for Cause, Disability or Retirement, or by the Executive for any reason, including without limitation for Good Reason, shall be communicated by a written “Notice of Termination” to the other party hereto. For purposes of this Agreement, a “Notice of Termination ” shall mean a dated notice which (i) indicates the specific termination provision in this Agreement relied upon, (ii) sets forth in reasonable detail the facts and circumstances claimed to provide a basis for termination of the Executive’s employment under the provision so indicated, (iii) specifies a Date of Termination, which shall be not less than thirty (30) nor more than ninety (90) days after such Notice of Termination is given, except in the case of the termination of the Executive’s employment for Cause, which shall be effective immediately, and (iv) is given in the manner specified in Section 11 hereof.</w:t>
      </w:r>
    </w:p>
    <w:p>
      <w:pPr>
        <w:spacing w:after="0" w:line="167" w:lineRule="exact"/>
        <w:rPr>
          <w:rFonts w:ascii="Arial" w:cs="Arial" w:eastAsia="Arial" w:hAnsi="Arial"/>
          <w:sz w:val="16"/>
          <w:szCs w:val="16"/>
          <w:color w:val="auto"/>
        </w:rPr>
      </w:pPr>
    </w:p>
    <w:p>
      <w:pPr>
        <w:jc w:val="both"/>
        <w:ind w:left="1180" w:right="1179" w:firstLine="507"/>
        <w:spacing w:after="0" w:line="257" w:lineRule="auto"/>
        <w:tabs>
          <w:tab w:leader="none" w:pos="2204"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“Retirement” shall mean the Executive’s voluntary or involuntary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 as applicable, upon reaching at least age 65, but shall not include an involuntary termination for Cause.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491" w:right="1440" w:bottom="1440" w:gutter="0" w:footer="0" w:header="0"/>
        </w:sectPr>
      </w:pPr>
    </w:p>
    <w:bookmarkStart w:id="115" w:name="page116"/>
    <w:bookmarkEnd w:id="115"/>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ind w:left="2200" w:hanging="513"/>
        <w:spacing w:after="0"/>
        <w:tabs>
          <w:tab w:leader="none" w:pos="220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Term of Employment.</w:t>
      </w:r>
    </w:p>
    <w:p>
      <w:pPr>
        <w:spacing w:after="0" w:line="203" w:lineRule="exact"/>
        <w:rPr>
          <w:sz w:val="20"/>
          <w:szCs w:val="20"/>
          <w:color w:val="auto"/>
        </w:rPr>
      </w:pPr>
    </w:p>
    <w:p>
      <w:pPr>
        <w:jc w:val="both"/>
        <w:ind w:left="1180" w:right="1179" w:firstLine="507"/>
        <w:spacing w:after="0" w:line="276" w:lineRule="auto"/>
        <w:tabs>
          <w:tab w:leader="none" w:pos="2204"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Bank hereby employs the Executive as Chief Executive Officer and the Executive hereby accepts said employment and agrees to render such services to the Employer on the terms and conditions set forth in this Agreement. The term of employment under this Agreement shall be for three years beginning on the Effective Date (the “Initial Term”). Prior to the second annual anniversary of the Effective Date and each annual anniversary thereafter, the Board of Directors of the Bank shall consider and review (with appropriate corporate documentation thereof, and after taking into account all relevant factors, including the Executive’s performance hereunder) a one-year extension of the term of this Agreement. If the Board of Directors approves such an extension, then the term of this Agreement shall be so extended as of the relevant annual anniversary of the Effective Date unless the Executive gives written notice to the Employer of the Executive’s election not to extend the term, with such written notice to be given not less than thirty (30) days prior to any such relevant annual anniversary of the Effective Date; provided, however, that if the Bank is deemed to be in “troubled condition” as defined in 12 C.F.R. 303.101(c) (or any successor thereto) as of the applicable annual anniversary of the Effective Date, then the term of this Agreement shall not be extended unless and until the Employer shall have received all requisite regulatory approvals, non-objections or consents to such renewal pursuant to the provisions of 12 C.F.R. Part 359. If the Board of Directors elects not to extend the term, it shall give written notice of such decision to the Executive not less than thirty (30) days prior to any such annual anniversary of the Effective Date. If any party gives timely notice that the term will not be extended as of any annual anniversary of the Effective Date, then this Agreement and the rights and obligations provided herein shall terminate at the conclusion of its remaining term, except to the extent set forth in Section 7. References herein to the term of this Agreement shall refer both to the Initial Term and successive terms.</w:t>
      </w:r>
    </w:p>
    <w:p>
      <w:pPr>
        <w:spacing w:after="0" w:line="153" w:lineRule="exact"/>
        <w:rPr>
          <w:rFonts w:ascii="Arial" w:cs="Arial" w:eastAsia="Arial" w:hAnsi="Arial"/>
          <w:sz w:val="15"/>
          <w:szCs w:val="15"/>
          <w:color w:val="auto"/>
        </w:rPr>
      </w:pPr>
    </w:p>
    <w:p>
      <w:pPr>
        <w:jc w:val="both"/>
        <w:ind w:left="1180" w:right="1179" w:firstLine="507"/>
        <w:spacing w:after="0" w:line="255" w:lineRule="auto"/>
        <w:tabs>
          <w:tab w:leader="none" w:pos="22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During the term of this Agreement, the Executive shall perform such executive services for the Bank as may be consistent with his titles and from time to time assigned to him by the Bank’s Board of Directors.</w:t>
      </w:r>
    </w:p>
    <w:p>
      <w:pPr>
        <w:spacing w:after="0" w:line="155" w:lineRule="exact"/>
        <w:rPr>
          <w:rFonts w:ascii="Arial" w:cs="Arial" w:eastAsia="Arial" w:hAnsi="Arial"/>
          <w:sz w:val="17"/>
          <w:szCs w:val="17"/>
          <w:color w:val="auto"/>
        </w:rPr>
      </w:pPr>
    </w:p>
    <w:p>
      <w:pPr>
        <w:jc w:val="both"/>
        <w:ind w:left="1180" w:right="1179" w:firstLine="507"/>
        <w:spacing w:after="0" w:line="246" w:lineRule="auto"/>
        <w:tabs>
          <w:tab w:leader="none" w:pos="22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Executive represents and warrants that his entering into this Agreement, and his performance of his duties as Chief Executive Officer of the Bank, will not breach or give rise to any cause of action against the Executive or the Bank under the terms of any agreements between the Executive and any prior employer (a “Prior Agreement”). The Executive shall comply with any surviving terms of any Prior Agreement, including terms concerning competition, non-solicitation and confidentiality.</w:t>
      </w:r>
    </w:p>
    <w:p>
      <w:pPr>
        <w:spacing w:after="0" w:line="170" w:lineRule="exact"/>
        <w:rPr>
          <w:sz w:val="20"/>
          <w:szCs w:val="20"/>
          <w:color w:val="auto"/>
        </w:rPr>
      </w:pPr>
    </w:p>
    <w:p>
      <w:pPr>
        <w:ind w:left="2200" w:hanging="513"/>
        <w:spacing w:after="0"/>
        <w:tabs>
          <w:tab w:leader="none" w:pos="220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and Benefits.</w:t>
      </w:r>
    </w:p>
    <w:p>
      <w:pPr>
        <w:spacing w:after="0" w:line="203" w:lineRule="exact"/>
        <w:rPr>
          <w:sz w:val="20"/>
          <w:szCs w:val="20"/>
          <w:color w:val="auto"/>
        </w:rPr>
      </w:pPr>
    </w:p>
    <w:p>
      <w:pPr>
        <w:jc w:val="both"/>
        <w:ind w:left="1180" w:right="1179" w:firstLine="507"/>
        <w:spacing w:after="0" w:line="248" w:lineRule="auto"/>
        <w:tabs>
          <w:tab w:leader="none" w:pos="220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Employer shall compensate and pay the Executive for his services during the term of this Agreement at a minimum base salary of $350,000 per year (“Base Salary”), which may be increased from time to time in such amounts as may be determined by the Board of Directors of the Employer and may not be decreased without the Executive’s express written consent.</w:t>
      </w:r>
    </w:p>
    <w:p>
      <w:pPr>
        <w:spacing w:after="0" w:line="78" w:lineRule="exact"/>
        <w:rPr>
          <w:rFonts w:ascii="Arial" w:cs="Arial" w:eastAsia="Arial" w:hAnsi="Arial"/>
          <w:sz w:val="17"/>
          <w:szCs w:val="17"/>
          <w:color w:val="auto"/>
        </w:rPr>
      </w:pPr>
    </w:p>
    <w:p>
      <w:pPr>
        <w:jc w:val="both"/>
        <w:ind w:left="1180" w:right="1179" w:firstLine="507"/>
        <w:spacing w:after="0" w:line="297" w:lineRule="auto"/>
        <w:tabs>
          <w:tab w:leader="none" w:pos="2204" w:val="left"/>
        </w:tabs>
        <w:numPr>
          <w:ilvl w:val="0"/>
          <w:numId w:val="71"/>
        </w:numPr>
        <w:rPr>
          <w:rFonts w:ascii="Arial" w:cs="Arial" w:eastAsia="Arial" w:hAnsi="Arial"/>
          <w:sz w:val="15"/>
          <w:szCs w:val="15"/>
          <w:color w:val="auto"/>
        </w:rPr>
      </w:pPr>
      <w:r>
        <w:rPr>
          <w:rFonts w:ascii="Arial" w:cs="Arial" w:eastAsia="Arial" w:hAnsi="Arial"/>
          <w:sz w:val="15"/>
          <w:szCs w:val="15"/>
          <w:color w:val="auto"/>
        </w:rPr>
        <w:t>For any calendar year, the Executive may earn a bonus of fifty percent (50%) of the Executive’s Base Salary (upon achievement of target performance levels) for such calendar year (“Annual Bonus”), depending on the satisfaction of performance criteria for such calendar year,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491" w:right="1440" w:bottom="1440" w:gutter="0" w:footer="0" w:header="0"/>
        </w:sectPr>
      </w:pPr>
    </w:p>
    <w:bookmarkStart w:id="116" w:name="page117"/>
    <w:bookmarkEnd w:id="116"/>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37" w:lineRule="auto"/>
        <w:rPr>
          <w:sz w:val="20"/>
          <w:szCs w:val="20"/>
          <w:color w:val="auto"/>
        </w:rPr>
      </w:pPr>
      <w:r>
        <w:rPr>
          <w:rFonts w:ascii="Arial" w:cs="Arial" w:eastAsia="Arial" w:hAnsi="Arial"/>
          <w:sz w:val="16"/>
          <w:szCs w:val="16"/>
          <w:color w:val="auto"/>
        </w:rPr>
        <w:t>which shall be determined as follows. No later than February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each calendar year, the Executive shall submit to the Bank’s Board of Directors proposed performance goals for the calendar year. No later than March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each calendar year, the Board of Directors shall approve performance goals for the calendar year (either as presented by the Executive, or with reasonable modifications desired by the Board). Such approved performance goals shall indicate the manner in which the Executive’s Annual Bonus (if any) will be determined upon partial satisfaction or excess satisfaction of one or more of the goals. </w:t>
      </w:r>
      <w:r>
        <w:rPr>
          <w:rFonts w:ascii="Arial" w:cs="Arial" w:eastAsia="Arial" w:hAnsi="Arial"/>
          <w:sz w:val="16"/>
          <w:szCs w:val="16"/>
          <w:b w:val="1"/>
          <w:bCs w:val="1"/>
          <w:color w:val="auto"/>
        </w:rPr>
        <w:t>Notwithstanding anything to</w:t>
      </w:r>
      <w:r>
        <w:rPr>
          <w:rFonts w:ascii="Arial" w:cs="Arial" w:eastAsia="Arial" w:hAnsi="Arial"/>
          <w:sz w:val="16"/>
          <w:szCs w:val="16"/>
          <w:color w:val="auto"/>
        </w:rPr>
        <w:t xml:space="preserve"> </w:t>
      </w:r>
      <w:r>
        <w:rPr>
          <w:rFonts w:ascii="Arial" w:cs="Arial" w:eastAsia="Arial" w:hAnsi="Arial"/>
          <w:sz w:val="16"/>
          <w:szCs w:val="16"/>
          <w:b w:val="1"/>
          <w:bCs w:val="1"/>
          <w:color w:val="auto"/>
        </w:rPr>
        <w:t>the contrary within this Agreement, it is acknowledged and agreed that no bonuses may be paid under this paragraph unless all legal prohibitions from the making of such payments are lifted or the Employer receives approval for the making of such payments from the FDIC and the OFR.</w:t>
      </w:r>
    </w:p>
    <w:p>
      <w:pPr>
        <w:spacing w:after="0" w:line="171" w:lineRule="exact"/>
        <w:rPr>
          <w:sz w:val="20"/>
          <w:szCs w:val="20"/>
          <w:color w:val="auto"/>
        </w:rPr>
      </w:pPr>
    </w:p>
    <w:p>
      <w:pPr>
        <w:jc w:val="both"/>
        <w:ind w:left="1180" w:right="1179" w:firstLine="507"/>
        <w:spacing w:after="0" w:line="279" w:lineRule="auto"/>
        <w:tabs>
          <w:tab w:leader="none" w:pos="2204" w:val="left"/>
        </w:tabs>
        <w:numPr>
          <w:ilvl w:val="0"/>
          <w:numId w:val="72"/>
        </w:numPr>
        <w:rPr>
          <w:rFonts w:ascii="Arial" w:cs="Arial" w:eastAsia="Arial" w:hAnsi="Arial"/>
          <w:sz w:val="15"/>
          <w:szCs w:val="15"/>
          <w:color w:val="auto"/>
        </w:rPr>
      </w:pPr>
      <w:r>
        <w:rPr>
          <w:rFonts w:ascii="Arial" w:cs="Arial" w:eastAsia="Arial" w:hAnsi="Arial"/>
          <w:sz w:val="15"/>
          <w:szCs w:val="15"/>
          <w:color w:val="auto"/>
        </w:rPr>
        <w:t>During the term of this Agreement, the Executive shall be entitled to participate in and receive the benefits of any pension or other retirement benefit plan, profit sharing, stock incentive, or other plans, benefits and privileges given to employees and executives of the Employer, to the extent commensurate with his then duties and responsibilities, as fixed by the Board of Directors of the Bank. The Bank shall not make any changes in such plans, benefits or privileges which would adversely affect the Executive’s rights or benefits thereunder, unless such change occurs pursuant to a program applicable to all executive officers of the Employer and does not result in a proportionately greater adverse change in the rights of or benefits to the Executive as compared with any other executive officer of the Employer. Nothing paid to the Executive under any plan or arrangement presently in effect or made available in the future shall be deemed to be in lieu of the salary payable to the Executive pursuant to Section 3(a) hereof.</w:t>
      </w:r>
    </w:p>
    <w:p>
      <w:pPr>
        <w:spacing w:after="0" w:line="152" w:lineRule="exact"/>
        <w:rPr>
          <w:rFonts w:ascii="Arial" w:cs="Arial" w:eastAsia="Arial" w:hAnsi="Arial"/>
          <w:sz w:val="15"/>
          <w:szCs w:val="15"/>
          <w:color w:val="auto"/>
        </w:rPr>
      </w:pPr>
    </w:p>
    <w:p>
      <w:pPr>
        <w:jc w:val="both"/>
        <w:ind w:left="1180" w:right="1179" w:firstLine="507"/>
        <w:spacing w:after="0" w:line="264" w:lineRule="auto"/>
        <w:tabs>
          <w:tab w:leader="none" w:pos="2204" w:val="left"/>
        </w:tabs>
        <w:numPr>
          <w:ilvl w:val="0"/>
          <w:numId w:val="72"/>
        </w:numPr>
        <w:rPr>
          <w:rFonts w:ascii="Arial" w:cs="Arial" w:eastAsia="Arial" w:hAnsi="Arial"/>
          <w:sz w:val="16"/>
          <w:szCs w:val="16"/>
          <w:color w:val="auto"/>
        </w:rPr>
      </w:pPr>
      <w:r>
        <w:rPr>
          <w:rFonts w:ascii="Arial" w:cs="Arial" w:eastAsia="Arial" w:hAnsi="Arial"/>
          <w:sz w:val="16"/>
          <w:szCs w:val="16"/>
          <w:color w:val="auto"/>
        </w:rPr>
        <w:t>During the term of this Agreement, the Executive shall be entitled to four (4) weeks of paid annual vacation, on a calendar basis, to be taken at such time or times agreed upon by the Executive and the Chairman of the Board. The Executive shall not be entitled to receive any additional compensation from the Employer for failure to take a vacation, nor shall the Executive be able to accumulate unused vacation time from one year to the next, except to the extent authorized by the Board of Directors of the Bank.</w:t>
      </w:r>
    </w:p>
    <w:p>
      <w:pPr>
        <w:spacing w:after="0" w:line="162" w:lineRule="exact"/>
        <w:rPr>
          <w:rFonts w:ascii="Arial" w:cs="Arial" w:eastAsia="Arial" w:hAnsi="Arial"/>
          <w:sz w:val="16"/>
          <w:szCs w:val="16"/>
          <w:color w:val="auto"/>
        </w:rPr>
      </w:pPr>
    </w:p>
    <w:p>
      <w:pPr>
        <w:jc w:val="both"/>
        <w:ind w:left="1180" w:right="1179" w:firstLine="507"/>
        <w:spacing w:after="0" w:line="276" w:lineRule="auto"/>
        <w:tabs>
          <w:tab w:leader="none" w:pos="2204" w:val="left"/>
        </w:tabs>
        <w:numPr>
          <w:ilvl w:val="0"/>
          <w:numId w:val="72"/>
        </w:numPr>
        <w:rPr>
          <w:rFonts w:ascii="Arial" w:cs="Arial" w:eastAsia="Arial" w:hAnsi="Arial"/>
          <w:sz w:val="15"/>
          <w:szCs w:val="15"/>
          <w:color w:val="auto"/>
        </w:rPr>
      </w:pPr>
      <w:r>
        <w:rPr>
          <w:rFonts w:ascii="Arial" w:cs="Arial" w:eastAsia="Arial" w:hAnsi="Arial"/>
          <w:sz w:val="15"/>
          <w:szCs w:val="15"/>
          <w:color w:val="auto"/>
        </w:rPr>
        <w:t>Subject to receipt of any required prior regulatory approval, the Board of Directors will grant to the Executive (pursuant to a written grant agreement) nonqualified options to purchase two hundred thousand (200,000) shares of common stock of the Bank, with an exercise price of one dollar and fifty cents ($1.50) per share (which is the current fair market value per share) (the “Option Grant”), such options to be designed in a manner to cause them to be exempt from Section 409A of the Internal Revenue Code under Section 1.409A-1(b)(5)(i)(A) of the United States Department of the Treasury Regulations. This grant shall be 25% vested after the first anniversary of the grant, and an additional 25% vested after each following anniversary of grant (until fully vested on the fourth anniversary of grant). Options may be exercised once they are vested, provided such exercise does not constitute an “ownership change” for the Bank within the meaning of Section 382 of the Code. In addition to the other vesting dates/events set forth in such grant, such Option Grant shall provide for accelerated vesting upon a Change in Control, provided that no accelerated vesting upon a Change in Control shall occur if at the time of the Change in Control any of the following is applicable: (i) the Bank is still subject to the Consent Order, as such order may be amended from time to time, or (ii) the Bank is deemed to be in “troubled condition” as defined in 12 C.F.R. §303.101(c) (or any successor thereto), unless prior to or in connection with the change in control, the Bank has received all requisite regulatory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491" w:right="1440" w:bottom="1440" w:gutter="0" w:footer="0" w:header="0"/>
        </w:sectPr>
      </w:pPr>
    </w:p>
    <w:bookmarkStart w:id="117" w:name="page118"/>
    <w:bookmarkEnd w:id="117"/>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99"/>
        <w:spacing w:after="0" w:line="255" w:lineRule="auto"/>
        <w:rPr>
          <w:sz w:val="20"/>
          <w:szCs w:val="20"/>
          <w:color w:val="auto"/>
        </w:rPr>
      </w:pPr>
      <w:r>
        <w:rPr>
          <w:rFonts w:ascii="Arial" w:cs="Arial" w:eastAsia="Arial" w:hAnsi="Arial"/>
          <w:sz w:val="17"/>
          <w:szCs w:val="17"/>
          <w:color w:val="auto"/>
        </w:rPr>
        <w:t>approvals, non-objections or consents to such acceleration pursuant to the provisions of 12 C.F.R. Part 359. The other terms of the Option Grant award shall comply with the Bank’s 2015 Equity Incentive Plan.</w:t>
      </w:r>
    </w:p>
    <w:p>
      <w:pPr>
        <w:spacing w:after="0" w:line="166" w:lineRule="exact"/>
        <w:rPr>
          <w:sz w:val="20"/>
          <w:szCs w:val="20"/>
          <w:color w:val="auto"/>
        </w:rPr>
      </w:pPr>
    </w:p>
    <w:p>
      <w:pPr>
        <w:jc w:val="both"/>
        <w:ind w:left="1180" w:right="1179" w:firstLine="507"/>
        <w:spacing w:after="0" w:line="248" w:lineRule="auto"/>
        <w:tabs>
          <w:tab w:leader="none" w:pos="2204"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Executive shall receive an automobile allowance at the rate of $750 per month during the term of this Agreement. This transportation allowance will serve to cover all transportation expenses of Executive in the South Florida area including, but not limited to, transportation, gas and car maintenance.</w:t>
      </w:r>
    </w:p>
    <w:p>
      <w:pPr>
        <w:spacing w:after="0" w:line="170" w:lineRule="exact"/>
        <w:rPr>
          <w:sz w:val="20"/>
          <w:szCs w:val="20"/>
          <w:color w:val="auto"/>
        </w:rPr>
      </w:pPr>
    </w:p>
    <w:p>
      <w:pPr>
        <w:jc w:val="both"/>
        <w:ind w:left="1180" w:right="1179" w:firstLine="507"/>
        <w:spacing w:after="0" w:line="273" w:lineRule="auto"/>
        <w:tabs>
          <w:tab w:leader="none" w:pos="2204"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Expenses. </w:t>
      </w:r>
      <w:r>
        <w:rPr>
          <w:rFonts w:ascii="Arial" w:cs="Arial" w:eastAsia="Arial" w:hAnsi="Arial"/>
          <w:sz w:val="15"/>
          <w:szCs w:val="15"/>
          <w:color w:val="auto"/>
        </w:rPr>
        <w:t>The Employer shall reimburse the Executive or otherwise provide for</w:t>
      </w:r>
      <w:r>
        <w:rPr>
          <w:rFonts w:ascii="Arial" w:cs="Arial" w:eastAsia="Arial" w:hAnsi="Arial"/>
          <w:sz w:val="15"/>
          <w:szCs w:val="15"/>
          <w:b w:val="1"/>
          <w:bCs w:val="1"/>
          <w:color w:val="auto"/>
        </w:rPr>
        <w:t xml:space="preserve"> </w:t>
      </w:r>
      <w:r>
        <w:rPr>
          <w:rFonts w:ascii="Arial" w:cs="Arial" w:eastAsia="Arial" w:hAnsi="Arial"/>
          <w:sz w:val="15"/>
          <w:szCs w:val="15"/>
          <w:color w:val="auto"/>
        </w:rPr>
        <w:t>or pay for all reasonable expenses incurred by the Executive in furtherance of or in connection with the business of the Employer, including, but not by way of limitation, traveling expenses, and all reasonable entertainment expenses, subject to such reasonable documentation and other limitations as may be established by the Board of Directors of the Bank. If such expenses are paid in the first instance by the Executive, the Employer shall reimburse the Executive therefor. Such reimbursement shall be paid promptly by the Bank and in any event no later than March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of the year immediately following the year in which such expenses were incurred.</w:t>
      </w:r>
    </w:p>
    <w:p>
      <w:pPr>
        <w:spacing w:after="0" w:line="149" w:lineRule="exact"/>
        <w:rPr>
          <w:rFonts w:ascii="Arial" w:cs="Arial" w:eastAsia="Arial" w:hAnsi="Arial"/>
          <w:sz w:val="15"/>
          <w:szCs w:val="15"/>
          <w:b w:val="1"/>
          <w:bCs w:val="1"/>
          <w:color w:val="auto"/>
        </w:rPr>
      </w:pPr>
    </w:p>
    <w:p>
      <w:pPr>
        <w:ind w:left="2200" w:hanging="513"/>
        <w:spacing w:after="0"/>
        <w:tabs>
          <w:tab w:leader="none" w:pos="220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03" w:lineRule="exact"/>
        <w:rPr>
          <w:sz w:val="20"/>
          <w:szCs w:val="20"/>
          <w:color w:val="auto"/>
        </w:rPr>
      </w:pPr>
    </w:p>
    <w:p>
      <w:pPr>
        <w:jc w:val="both"/>
        <w:ind w:left="1180" w:right="1179" w:firstLine="507"/>
        <w:spacing w:after="0" w:line="292" w:lineRule="auto"/>
        <w:tabs>
          <w:tab w:leader="none" w:pos="2204"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Employer shall have the right, at any time upon prior Notice of Termination, to terminate the Executive’s employment hereunder for any reason, including, without limitation, termination for Cause, Disability or Retirement, and the Executive shall have the right, upon prior Notice of Termination, to terminate his employment hereunder for any reason.</w:t>
      </w:r>
    </w:p>
    <w:p>
      <w:pPr>
        <w:spacing w:after="0" w:line="142" w:lineRule="exact"/>
        <w:rPr>
          <w:rFonts w:ascii="Arial" w:cs="Arial" w:eastAsia="Arial" w:hAnsi="Arial"/>
          <w:sz w:val="15"/>
          <w:szCs w:val="15"/>
          <w:color w:val="auto"/>
        </w:rPr>
      </w:pPr>
    </w:p>
    <w:p>
      <w:pPr>
        <w:jc w:val="both"/>
        <w:ind w:left="1180" w:right="1179" w:firstLine="507"/>
        <w:spacing w:after="0" w:line="292" w:lineRule="auto"/>
        <w:tabs>
          <w:tab w:leader="none" w:pos="2204"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 the event that (i) the Executive’s employment is terminated by the Employer for Cause or (ii) the Executive terminates his employment hereunder other than for Disability, Retirement, death or Good Reason, the Executive shall have no right pursuant to this Agreement to compensation or other benefits for any period after the applicable Date of Termination.</w:t>
      </w:r>
    </w:p>
    <w:p>
      <w:pPr>
        <w:spacing w:after="0" w:line="142" w:lineRule="exact"/>
        <w:rPr>
          <w:rFonts w:ascii="Arial" w:cs="Arial" w:eastAsia="Arial" w:hAnsi="Arial"/>
          <w:sz w:val="15"/>
          <w:szCs w:val="15"/>
          <w:color w:val="auto"/>
        </w:rPr>
      </w:pPr>
    </w:p>
    <w:p>
      <w:pPr>
        <w:jc w:val="both"/>
        <w:ind w:left="1180" w:right="1179" w:firstLine="507"/>
        <w:spacing w:after="0" w:line="255" w:lineRule="auto"/>
        <w:tabs>
          <w:tab w:leader="none" w:pos="22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as a result of Disability or Retirement, the Executive shall have no right pursuant to this Agreement to compensation or other benefits for any period after the applicable Date of Termination.</w:t>
      </w:r>
    </w:p>
    <w:p>
      <w:pPr>
        <w:spacing w:after="0" w:line="166" w:lineRule="exact"/>
        <w:rPr>
          <w:rFonts w:ascii="Arial" w:cs="Arial" w:eastAsia="Arial" w:hAnsi="Arial"/>
          <w:sz w:val="17"/>
          <w:szCs w:val="17"/>
          <w:color w:val="auto"/>
        </w:rPr>
      </w:pPr>
    </w:p>
    <w:p>
      <w:pPr>
        <w:jc w:val="both"/>
        <w:ind w:left="1180" w:right="1179" w:firstLine="507"/>
        <w:spacing w:after="0" w:line="260" w:lineRule="auto"/>
        <w:tabs>
          <w:tab w:leader="none" w:pos="22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event that the Executive’s employment is terminated due to death during the term of this Agreement, the Executive shall have no right pursuant to this Agreement for compensation or other benefits for any period after the applicable Date of Termination except to pay to the Executive’s designated beneficiary (or estate or his personal representative, as the case may be, if no beneficiary has been designated) (i) that portion, if any, of the Base Salary that remains unpaid for the period prior to the date of his death, and (ii) a lump sum cash payment equal to one-half (1/2) of the Executive’s Base Salary, plus continuation of medical and dental benefits for his then spouse and/or dependents at the Bank’s expense for a period of six (6) months after the date of his death. Upon the Executive’s death, he shall vest in any outstanding unvested options granted under the Option Award pursuant to Section 4(e) (and the terms of the awards granted under Section 4(e) shall so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491" w:right="1440" w:bottom="1440" w:gutter="0" w:footer="0" w:header="0"/>
        </w:sectPr>
      </w:pPr>
    </w:p>
    <w:bookmarkStart w:id="118" w:name="page119"/>
    <w:bookmarkEnd w:id="118"/>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firstLine="507"/>
        <w:spacing w:after="0" w:line="273" w:lineRule="auto"/>
        <w:tabs>
          <w:tab w:leader="none" w:pos="2204"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 the event that prior to a Change in Control the Executive’s employment is terminated by (i) the Employer for other than Cause, Disability, Retirement or the Executive’s death during the term of this Agreement or (ii) the Executive for Good Reason during the term of this Agreement, then the Employer shall, in consideration of the Executive’s agreements in Section 7 below and subject to the provisions of Sections 5(g), 5(h), 6, 18 and 19 hereof, if applicable, pay to the Executive a cash severance amount equal to the aggregate of (A) one (1) times the Executive’s then current annual Base Salary and (B) the amount accrued with respect to the Annual Bonus for the year in which the termination occurs (the “Severance Payment”). The Severance Payment shall be paid in two installments. The first payment consisting of 50% of the Severance Payment will be paid in a lump sum thirty (30) days following the later of the Date of Termination or the expiration of the revocation period provided for in the general release to be executed by the Executive pursuant to Section 5(g) below with the remaining 50% of the Severance Payment to be paid in a lump sum within ten (10) days after the expiration of the Restricted Period as set forth in Section 7 hereof. In addition, the Executive shall receive continued medical and dental benefits as provided by the Bank from time to time for its employees, at the Bank’s expense, for the period of time equal to the shorter of one (1) year or the maximum period of COBRA continuation coverage provided under Section 4980B(f) of the Code (with such coverage to be treated as COBRA coverage). With respect to the Bank’s payment of Executive’s COBRA expenses, the Bank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such COBRA payments. Such payment shall be made on or before March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following the close of the calendar year in which the COBRA payments were made. Except as provided herein, the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 The Executive’s right to severance under this Section 5(e) shall be subject to the prior receipt of any required regulatory approval or non-objection if, as of the date of termination of the Executive’s employment, the Bank is deemed to be in “troubled condition” as defined in 12 C.F.R. 303.101(c) (or any successor thereto).</w:t>
      </w:r>
    </w:p>
    <w:p>
      <w:pPr>
        <w:spacing w:after="0" w:line="352" w:lineRule="exact"/>
        <w:rPr>
          <w:rFonts w:ascii="Arial" w:cs="Arial" w:eastAsia="Arial" w:hAnsi="Arial"/>
          <w:sz w:val="15"/>
          <w:szCs w:val="15"/>
          <w:color w:val="auto"/>
        </w:rPr>
      </w:pPr>
    </w:p>
    <w:p>
      <w:pPr>
        <w:jc w:val="both"/>
        <w:ind w:left="1180" w:right="1179" w:firstLine="507"/>
        <w:spacing w:after="0" w:line="276" w:lineRule="auto"/>
        <w:tabs>
          <w:tab w:leader="none" w:pos="2204"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 the event that concurrently with or within twelve (12) months subsequent to a Change in Control the Executive’s employment is terminated by (i) the Employer for other than Cause, Disability, Retirement or the Executive’s death during the term of this Agreement or (ii) the Executive for Good Reason during the term of this Agreement, then the Employer shall, in consideration of the Executive’s agreements in Section 7 below and subject to the provisions of Sections 5(g), 5(h), 6, 18 and 19 hereof, if applicable, pay to the Executive a cash severance amount equal to the aggregate of (A) 1.99 times the Executive’s then current annual Base Salary and (B) the amount accrued with respect to the Annual Bonus for the year in which the termination occurs (the “Enhanced Severance Payment”). The 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 expiration of the Restricted Period as set forth in Section 7 hereof. In addition, the Executive shall receive continued medical and dental benefits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491" w:right="1440" w:bottom="1440" w:gutter="0" w:footer="0" w:header="0"/>
        </w:sectPr>
      </w:pPr>
    </w:p>
    <w:bookmarkStart w:id="119" w:name="page120"/>
    <w:bookmarkEnd w:id="119"/>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54" w:lineRule="auto"/>
        <w:rPr>
          <w:sz w:val="20"/>
          <w:szCs w:val="20"/>
          <w:color w:val="auto"/>
        </w:rPr>
      </w:pPr>
      <w:r>
        <w:rPr>
          <w:rFonts w:ascii="Arial" w:cs="Arial" w:eastAsia="Arial" w:hAnsi="Arial"/>
          <w:sz w:val="16"/>
          <w:szCs w:val="16"/>
          <w:color w:val="auto"/>
        </w:rPr>
        <w:t>as provided by the Bank from time to time for its employees, at the Bank’s expense, for the period of time equal to the shorter of eighteen (18) months or the maximum period of COBRA continuation coverage provided under Section 4980B(f) of the Code (with such coverage to be treated as COBRA coverage). With respect to the Bank’s payment of Executive’s COBRA expenses, the Bank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such COBRA payments. Such payment shall be made on or before March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following the close of the calendar year in which the COBRA payments were made. Except as provided herein, the Enhanced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 The Executive’s right to severance under this Section 5(f) shall be subject to the prior receipt of any required regulatory approval or non-objection if, as of the date of termination of the Executive’s employment, the Bank is deemed to be in “troubled condition” as defined in 12 C.F.R. 303.101(c) (or any successor thereto).</w:t>
      </w:r>
    </w:p>
    <w:p>
      <w:pPr>
        <w:spacing w:after="0" w:line="168" w:lineRule="exact"/>
        <w:rPr>
          <w:sz w:val="20"/>
          <w:szCs w:val="20"/>
          <w:color w:val="auto"/>
        </w:rPr>
      </w:pPr>
    </w:p>
    <w:p>
      <w:pPr>
        <w:jc w:val="both"/>
        <w:ind w:left="1180" w:right="1179" w:firstLine="507"/>
        <w:spacing w:after="0" w:line="280" w:lineRule="auto"/>
        <w:tabs>
          <w:tab w:leader="none" w:pos="2204"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Executive’s right to receive the severance benefits set forth in Sections 5(e) and 5(f) above shall be conditioned upon the Executive’s execution of a general release which releases the Employer and their directors, officers and employees from any claims that the Executive may have under various laws and regulations and the expiration of any right the Executive may have to revoke such general release, with such revocation right not being exercised. If either the time period for paying the severance set forth in Sections 5(e) or 5(f), as applicable, or the time period that the Executive has to consider the terms of the general release (including any revocation period under such release) commences in one calendar year and ends in the succeeding calendar year, then the severance payment set forth in Sections 5(e) or 5(f), as applicable, above shall not be paid until the succeeding calendar year.</w:t>
      </w:r>
    </w:p>
    <w:p>
      <w:pPr>
        <w:spacing w:after="0" w:line="142" w:lineRule="exact"/>
        <w:rPr>
          <w:rFonts w:ascii="Arial" w:cs="Arial" w:eastAsia="Arial" w:hAnsi="Arial"/>
          <w:sz w:val="15"/>
          <w:szCs w:val="15"/>
          <w:color w:val="auto"/>
        </w:rPr>
      </w:pPr>
    </w:p>
    <w:p>
      <w:pPr>
        <w:jc w:val="both"/>
        <w:ind w:left="1180" w:right="1179" w:firstLine="507"/>
        <w:spacing w:after="0" w:line="276" w:lineRule="auto"/>
        <w:tabs>
          <w:tab w:leader="none" w:pos="2204"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prior to the Executive’s receipt of the Severance Payment or the Enhanced Severance Payment set forth in Sections 5(e) or 5(f), as applicable, respectively, above due to his termination of employment (including termination for Good Reason) while the Bank is (i) still subject to the Consent Order, as such order may be amended from time to time , or (ii) is deemed to be in “troubled condition” as defined in 12 C.F.R. §303.101(c) it is determined that the Executive (i) committed any fraudulent act or omission, breach of trust or fiduciary duty, or insider abuse with regard to the Employer that has had or is likely to have a material adverse effect on the Employer, (ii) is substantially responsible for the insolvency of, the appointment of a conservator or receiver for, or the troubled condition, as defined by applicable regulations of the appropriate federal banking agency, of the Employer, (iii) has materially violated any applicable federal or state banking law or regulation that has had or is likely to have a material adverse effect on the Employer, or (iv) has violated or conspired to violate Sections 215, 656, 657, 1005, 1006, 1007, 1014, 1302 or 1344 of Title 18 of the United State Code, or Sections 1341 or 1343 of Title 18 affecting the Bank, then the Severance Payment or the Enhanced Severance Payment, as applicable, shall not be provided to the Executive. If it is determined after the Executive receives the Severance Payment or the Enhanced Severance Payment, as applicable, that any of the matters set forth in clauses (i) through (iv) of this Section 5(h) are applicable to the Executive, then the Executive shall promptly (and in any event within ten (10) business days following written notice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491" w:right="1440" w:bottom="1440" w:gutter="0" w:footer="0" w:header="0"/>
        </w:sectPr>
      </w:pPr>
    </w:p>
    <w:bookmarkStart w:id="120" w:name="page121"/>
    <w:bookmarkEnd w:id="120"/>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ind w:left="1180" w:right="1179"/>
        <w:spacing w:after="0" w:line="274" w:lineRule="auto"/>
        <w:rPr>
          <w:sz w:val="20"/>
          <w:szCs w:val="20"/>
          <w:color w:val="auto"/>
        </w:rPr>
      </w:pPr>
      <w:r>
        <w:rPr>
          <w:rFonts w:ascii="Arial" w:cs="Arial" w:eastAsia="Arial" w:hAnsi="Arial"/>
          <w:sz w:val="17"/>
          <w:szCs w:val="17"/>
          <w:color w:val="auto"/>
        </w:rPr>
        <w:t>to the Executive) return an amount equal to the Severance Payment or the Enhanced Severance Payment, as applicable, to the Employer in immediately available funds.</w:t>
      </w:r>
    </w:p>
    <w:p>
      <w:pPr>
        <w:spacing w:after="0" w:line="147" w:lineRule="exact"/>
        <w:rPr>
          <w:sz w:val="20"/>
          <w:szCs w:val="20"/>
          <w:color w:val="auto"/>
        </w:rPr>
      </w:pPr>
    </w:p>
    <w:p>
      <w:pPr>
        <w:jc w:val="both"/>
        <w:ind w:left="1180" w:right="1179" w:firstLine="507"/>
        <w:spacing w:after="0" w:line="277" w:lineRule="auto"/>
        <w:tabs>
          <w:tab w:leader="none" w:pos="2204"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Limitation of Benefits under Certain Circumstances. </w:t>
      </w:r>
      <w:r>
        <w:rPr>
          <w:rFonts w:ascii="Arial" w:cs="Arial" w:eastAsia="Arial" w:hAnsi="Arial"/>
          <w:sz w:val="15"/>
          <w:szCs w:val="15"/>
          <w:color w:val="auto"/>
        </w:rPr>
        <w:t>If the payment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to Section 5(f) hereof, either alone or together with other payments and benefits which the Executive has the right to receive from the Employer, would constitute a “parachute payment” under Section 280G of the Code, then the amount payable by the Employer pursuant to Section 5(d) hereof shall be reduced by the minimum amount necessary to result in no portion of the amount payable by the Employer under Section 5(f) being non-deductible to the Employer pursuant to Section 280G of the Code and subject to the excise tax imposed under Section 4999 of the Code. The determination of any reduction in the amount payable pursuant to Section 5(d) shall be based upon the opinion of independent tax counsel selected by the Employer and paid for by the Employer. Such counsel shall promptly prepare the foregoing opinion, but in no event later than ten (10) days from the Date of Termination, and may use such actuaries as such counsel deems necessary or advisable for the purpose. Nothing contained herein shall result in a reduction of any payments or benefits to which the Executive may be entitled upon termination of employment under any circumstances other than as specified in this Section 6, or a reduction in the payment specified in Section 5(f) below zero.</w:t>
      </w:r>
    </w:p>
    <w:p>
      <w:pPr>
        <w:spacing w:after="0" w:line="349" w:lineRule="exact"/>
        <w:rPr>
          <w:rFonts w:ascii="Arial" w:cs="Arial" w:eastAsia="Arial" w:hAnsi="Arial"/>
          <w:sz w:val="15"/>
          <w:szCs w:val="15"/>
          <w:b w:val="1"/>
          <w:bCs w:val="1"/>
          <w:color w:val="auto"/>
        </w:rPr>
      </w:pPr>
    </w:p>
    <w:p>
      <w:pPr>
        <w:ind w:left="2200" w:hanging="513"/>
        <w:spacing w:after="0"/>
        <w:tabs>
          <w:tab w:leader="none" w:pos="220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Restrictive Covenants</w:t>
      </w:r>
    </w:p>
    <w:p>
      <w:pPr>
        <w:spacing w:after="0" w:line="199" w:lineRule="exact"/>
        <w:rPr>
          <w:sz w:val="20"/>
          <w:szCs w:val="20"/>
          <w:color w:val="auto"/>
        </w:rPr>
      </w:pPr>
    </w:p>
    <w:p>
      <w:pPr>
        <w:jc w:val="both"/>
        <w:ind w:left="1180" w:right="1179" w:firstLine="507"/>
        <w:spacing w:after="0" w:line="275" w:lineRule="auto"/>
        <w:tabs>
          <w:tab w:leader="none" w:pos="2204"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Trade Secrets</w:t>
      </w:r>
      <w:r>
        <w:rPr>
          <w:rFonts w:ascii="Arial" w:cs="Arial" w:eastAsia="Arial" w:hAnsi="Arial"/>
          <w:sz w:val="15"/>
          <w:szCs w:val="15"/>
          <w:color w:val="auto"/>
        </w:rPr>
        <w:t>. The Executive acknowledges that he has had, and will have, access</w:t>
      </w:r>
      <w:r>
        <w:rPr>
          <w:rFonts w:ascii="Arial" w:cs="Arial" w:eastAsia="Arial" w:hAnsi="Arial"/>
          <w:sz w:val="15"/>
          <w:szCs w:val="15"/>
          <w:b w:val="1"/>
          <w:bCs w:val="1"/>
          <w:color w:val="auto"/>
        </w:rPr>
        <w:t xml:space="preserve"> </w:t>
      </w:r>
      <w:r>
        <w:rPr>
          <w:rFonts w:ascii="Arial" w:cs="Arial" w:eastAsia="Arial" w:hAnsi="Arial"/>
          <w:sz w:val="15"/>
          <w:szCs w:val="15"/>
          <w:color w:val="auto"/>
        </w:rPr>
        <w:t>to confidential information of the Bank (including, but not limited to, current and prospective confidential know-how, customer lists, marketing plans, business plans, financial and pricing information, and information regarding acquisitions, mergers and/or joint ventures) concerning the business, customers, contacts, prospects, and assets of the Bank that is unique, valuable and not generally known outside the Bank , and that was obtained from the Bank or which was learned as a result of the performance of services by the Executive on behalf of the Bank (“Trade Secrets”). Trade Secrets shall not include any information that: (i) is now, or hereafter becomes, through no act or failure to act on the part of the Executive that constitutes a breach of this Section 7, generally known or available to the public; (ii) is known to the Executive at the time such information was obtained from the Bank; (iii) is hereafter furnished without restriction on disclosure to the Executive by a third party, other than an employee or agent of the Bank, who is not under any obligation of confidentiality to the Bank or an Affiliate; (iv) is disclosed with the written approval of the Bank; or (v) is required to be disclosed or provided by law, court order, order of any regulatory agency having jurisdiction or similar compulsion, including pursuant to or in connection with any legal proceeding involving the parties hereto; provided however, that such disclosure shall be limited to the extent so required or compelled; and provided further, however, that if the Executive is required to disclose such confidential information, he shall give the Bank notice of such disclosure and cooperate in seeking suitable protections. Other than in the course of performing services for the Bank, the Executive will not, at any time, directly or indirectly use, divulge, furnish or make accessible to any person any Trade Secrets, but instead will keep all Trade Secrets strictly and absolutely confidential. The Executive will deliver promptly to the Bank , at the termination of his employment or at any other time at the request of the Employer, without retaining any copies, all documents and other materials in his possession relating, directly or indirectly, to any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491" w:right="1440" w:bottom="1440" w:gutter="0" w:footer="0" w:header="0"/>
        </w:sectPr>
      </w:pPr>
    </w:p>
    <w:bookmarkStart w:id="121" w:name="page122"/>
    <w:bookmarkEnd w:id="121"/>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jc w:val="both"/>
        <w:ind w:left="1180" w:right="1179" w:firstLine="507"/>
        <w:spacing w:after="0" w:line="276" w:lineRule="auto"/>
        <w:tabs>
          <w:tab w:leader="none" w:pos="2204" w:val="left"/>
        </w:tabs>
        <w:numPr>
          <w:ilvl w:val="0"/>
          <w:numId w:val="80"/>
        </w:numPr>
        <w:rPr>
          <w:rFonts w:ascii="Arial" w:cs="Arial" w:eastAsia="Arial" w:hAnsi="Arial"/>
          <w:sz w:val="15"/>
          <w:szCs w:val="15"/>
          <w:color w:val="auto"/>
        </w:rPr>
      </w:pPr>
      <w:r>
        <w:rPr>
          <w:rFonts w:ascii="Arial" w:cs="Arial" w:eastAsia="Arial" w:hAnsi="Arial"/>
          <w:sz w:val="15"/>
          <w:szCs w:val="15"/>
          <w:b w:val="1"/>
          <w:bCs w:val="1"/>
          <w:color w:val="auto"/>
        </w:rPr>
        <w:t>Non-Competition</w:t>
      </w:r>
      <w:r>
        <w:rPr>
          <w:rFonts w:ascii="Arial" w:cs="Arial" w:eastAsia="Arial" w:hAnsi="Arial"/>
          <w:sz w:val="15"/>
          <w:szCs w:val="15"/>
          <w:color w:val="auto"/>
        </w:rPr>
        <w:t>. If the Executive’s employment is terminated during the term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for Cause or without Cause, before or after a Change in Control, or the Executive terminates his employment hereunder other than for Disability during the term of the Agreement, then for a period of twelve (12) months after termination of employment (the “Restricted Period”), the Executive will not, directly or indirectly, (i) become a director, officer, employee, principal, agent, shareholder, consultant or independent contractor of any insured depository institution, trust company or parent holding company of any such institution or company or other entity engaging in the banking business which has an office in the State of Florida (“Competing Business”); (ii) as agent or principal, carrying on or engaging in any activities or negotiations with respect to the acquisition or disposition of a Competing Business; (iii) extending credit for the purpose of establishing or operating a Competing Business; (iv) lending or allowing the Executive’s name or reputation to be used in a Competing Business; and (v) otherwise allowing the Executive’s skill, knowledge or experience to be used in a Competing Business. Notwithstanding the foregoing, nothing in this Agreement shall prevent the Executive from owning for passive investment purposes not intended to circumvent this Agreement, less than five percent (5%) of the publicly traded voting securities of any company engaged in the banking, financial services or other business similar to or competitive with the Employer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w:t>
      </w:r>
    </w:p>
    <w:p>
      <w:pPr>
        <w:spacing w:after="0" w:line="358" w:lineRule="exact"/>
        <w:rPr>
          <w:rFonts w:ascii="Arial" w:cs="Arial" w:eastAsia="Arial" w:hAnsi="Arial"/>
          <w:sz w:val="15"/>
          <w:szCs w:val="15"/>
          <w:color w:val="auto"/>
        </w:rPr>
      </w:pPr>
    </w:p>
    <w:p>
      <w:pPr>
        <w:jc w:val="both"/>
        <w:ind w:left="1180" w:right="1179" w:firstLine="507"/>
        <w:spacing w:after="0" w:line="286" w:lineRule="auto"/>
        <w:tabs>
          <w:tab w:leader="none" w:pos="2204" w:val="left"/>
        </w:tabs>
        <w:numPr>
          <w:ilvl w:val="0"/>
          <w:numId w:val="80"/>
        </w:numPr>
        <w:rPr>
          <w:rFonts w:ascii="Arial" w:cs="Arial" w:eastAsia="Arial" w:hAnsi="Arial"/>
          <w:sz w:val="15"/>
          <w:szCs w:val="15"/>
          <w:color w:val="auto"/>
        </w:rPr>
      </w:pPr>
      <w:r>
        <w:rPr>
          <w:rFonts w:ascii="Arial" w:cs="Arial" w:eastAsia="Arial" w:hAnsi="Arial"/>
          <w:sz w:val="15"/>
          <w:szCs w:val="15"/>
          <w:b w:val="1"/>
          <w:bCs w:val="1"/>
          <w:color w:val="auto"/>
        </w:rPr>
        <w:t xml:space="preserve">Non-Solicitation of Employees. </w:t>
      </w:r>
      <w:r>
        <w:rPr>
          <w:rFonts w:ascii="Arial" w:cs="Arial" w:eastAsia="Arial" w:hAnsi="Arial"/>
          <w:sz w:val="15"/>
          <w:szCs w:val="15"/>
          <w:color w:val="auto"/>
        </w:rPr>
        <w:t>During the Restricted Period, without the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the Bank, the Executive shall not, directly or indirectly, solicit, induce or hire, or attempt to solicit, induce or hire, any current employee of the Employer, or any individual who becomes an employee during the Restricted Period, to leave his or her employment with the Employer or join or become affiliated with any other business or entity, or in any way interfere with the employment relationship between any employee and the Employer.</w:t>
      </w:r>
    </w:p>
    <w:p>
      <w:pPr>
        <w:spacing w:after="0" w:line="132" w:lineRule="exact"/>
        <w:rPr>
          <w:rFonts w:ascii="Arial" w:cs="Arial" w:eastAsia="Arial" w:hAnsi="Arial"/>
          <w:sz w:val="15"/>
          <w:szCs w:val="15"/>
          <w:color w:val="auto"/>
        </w:rPr>
      </w:pPr>
    </w:p>
    <w:p>
      <w:pPr>
        <w:jc w:val="both"/>
        <w:ind w:left="1180" w:right="1179" w:firstLine="507"/>
        <w:spacing w:after="0" w:line="283" w:lineRule="auto"/>
        <w:tabs>
          <w:tab w:leader="none" w:pos="2204" w:val="left"/>
        </w:tabs>
        <w:numPr>
          <w:ilvl w:val="0"/>
          <w:numId w:val="80"/>
        </w:numPr>
        <w:rPr>
          <w:rFonts w:ascii="Arial" w:cs="Arial" w:eastAsia="Arial" w:hAnsi="Arial"/>
          <w:sz w:val="15"/>
          <w:szCs w:val="15"/>
          <w:color w:val="auto"/>
        </w:rPr>
      </w:pPr>
      <w:r>
        <w:rPr>
          <w:rFonts w:ascii="Arial" w:cs="Arial" w:eastAsia="Arial" w:hAnsi="Arial"/>
          <w:sz w:val="15"/>
          <w:szCs w:val="15"/>
          <w:b w:val="1"/>
          <w:bCs w:val="1"/>
          <w:color w:val="auto"/>
        </w:rPr>
        <w:t>Non-Solicitation of Customers</w:t>
      </w:r>
      <w:r>
        <w:rPr>
          <w:rFonts w:ascii="Arial" w:cs="Arial" w:eastAsia="Arial" w:hAnsi="Arial"/>
          <w:sz w:val="15"/>
          <w:szCs w:val="15"/>
          <w:color w:val="auto"/>
        </w:rPr>
        <w:t>. During the Restricted Period, without the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the Bank, the Executive shall not, directly or indirectly, solicit or induce, or attempt to solicit or induce, any customer, any person being then solicited by the Bank to be a customer, lender, supplier, licensee, licensor or other business relation of the Employer to terminate its relationship or contract with the Employer, to cease doing business with the Employer, or in any way interfere with the relationship between any such customer, lender, supplier, licensee or business relation and the Employer (including making any negative or derogatory statements or communications concerning the Employer or its directors, officers or employees).</w:t>
      </w:r>
    </w:p>
    <w:p>
      <w:pPr>
        <w:spacing w:after="0" w:line="143" w:lineRule="exact"/>
        <w:rPr>
          <w:rFonts w:ascii="Arial" w:cs="Arial" w:eastAsia="Arial" w:hAnsi="Arial"/>
          <w:sz w:val="15"/>
          <w:szCs w:val="15"/>
          <w:color w:val="auto"/>
        </w:rPr>
      </w:pPr>
    </w:p>
    <w:p>
      <w:pPr>
        <w:jc w:val="both"/>
        <w:ind w:left="1180" w:right="1179" w:firstLine="507"/>
        <w:spacing w:after="0" w:line="285" w:lineRule="auto"/>
        <w:tabs>
          <w:tab w:leader="none" w:pos="2204" w:val="left"/>
        </w:tabs>
        <w:numPr>
          <w:ilvl w:val="0"/>
          <w:numId w:val="80"/>
        </w:numPr>
        <w:rPr>
          <w:rFonts w:ascii="Arial" w:cs="Arial" w:eastAsia="Arial" w:hAnsi="Arial"/>
          <w:sz w:val="15"/>
          <w:szCs w:val="15"/>
          <w:color w:val="auto"/>
        </w:rPr>
      </w:pPr>
      <w:r>
        <w:rPr>
          <w:rFonts w:ascii="Arial" w:cs="Arial" w:eastAsia="Arial" w:hAnsi="Arial"/>
          <w:sz w:val="15"/>
          <w:szCs w:val="15"/>
          <w:b w:val="1"/>
          <w:bCs w:val="1"/>
          <w:color w:val="auto"/>
        </w:rPr>
        <w:t>Intellectual Property</w:t>
      </w:r>
      <w:r>
        <w:rPr>
          <w:rFonts w:ascii="Arial" w:cs="Arial" w:eastAsia="Arial" w:hAnsi="Arial"/>
          <w:sz w:val="15"/>
          <w:szCs w:val="15"/>
          <w:color w:val="auto"/>
        </w:rPr>
        <w:t>. Employee will disclose to Employer all work, products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ideas, inventions, literary property, music, lyrics, scripts, themes, slogans, titles, copy, art and any other relevant material which could reasonably be used by Employer or any of its clients (herein collectively called "Intellectual Property") which he may create any time during the term of employment, whether created during or after working hours. Employer and Employee agree that all Intellectual Property shall be deemed to be "works made for hire" and the sole property of Employer. Employee agrees to execute and deliver all documents which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019"/>
          </w:cols>
          <w:pgMar w:left="1440" w:top="491" w:right="1440" w:bottom="1440" w:gutter="0" w:footer="0" w:header="0"/>
        </w:sectPr>
      </w:pPr>
    </w:p>
    <w:bookmarkStart w:id="122" w:name="page123"/>
    <w:bookmarkEnd w:id="122"/>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342" w:lineRule="auto"/>
        <w:rPr>
          <w:sz w:val="20"/>
          <w:szCs w:val="20"/>
          <w:color w:val="auto"/>
        </w:rPr>
      </w:pPr>
      <w:r>
        <w:rPr>
          <w:rFonts w:ascii="Arial" w:cs="Arial" w:eastAsia="Arial" w:hAnsi="Arial"/>
          <w:sz w:val="15"/>
          <w:szCs w:val="15"/>
          <w:color w:val="auto"/>
        </w:rPr>
        <w:t>may deem necessary or advisable in order to confirm such ownership or to register Intellectual Property in the name of Employer or any of its clients in the United States and all foreign countries.</w:t>
      </w:r>
    </w:p>
    <w:p>
      <w:pPr>
        <w:spacing w:after="0" w:line="102" w:lineRule="exact"/>
        <w:rPr>
          <w:sz w:val="20"/>
          <w:szCs w:val="20"/>
          <w:color w:val="auto"/>
        </w:rPr>
      </w:pPr>
    </w:p>
    <w:p>
      <w:pPr>
        <w:jc w:val="both"/>
        <w:ind w:left="1180" w:right="1179" w:firstLine="507"/>
        <w:spacing w:after="0" w:line="261" w:lineRule="auto"/>
        <w:tabs>
          <w:tab w:leader="none" w:pos="2204"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The Executive agrees that he shall not make,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any disparaging or critical remarks, comments or statements about or against the Bank or its subsidiaries or affiliates or any director, officer, employee or customer of any such entities at any time in the future, except for any statements by him made pursuant to lawful subpoena or legal process. Executive acknowledges that the Employer’s reputation and image in the market is one of its principal assets and that Employer has expended substantial time, effort and money in building this reputation and image and that, accordingly, any action or comment by the Executive which is damaging to or in any way diminishes such image or reputation will cause Employer irreparable injury.</w:t>
      </w:r>
    </w:p>
    <w:p>
      <w:pPr>
        <w:spacing w:after="0" w:line="162" w:lineRule="exact"/>
        <w:rPr>
          <w:rFonts w:ascii="Arial" w:cs="Arial" w:eastAsia="Arial" w:hAnsi="Arial"/>
          <w:sz w:val="16"/>
          <w:szCs w:val="16"/>
          <w:color w:val="auto"/>
        </w:rPr>
      </w:pPr>
    </w:p>
    <w:p>
      <w:pPr>
        <w:jc w:val="both"/>
        <w:ind w:left="1180" w:right="1179" w:firstLine="507"/>
        <w:spacing w:after="0" w:line="279" w:lineRule="auto"/>
        <w:tabs>
          <w:tab w:leader="none" w:pos="2204"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Irreparable Harm</w:t>
      </w:r>
      <w:r>
        <w:rPr>
          <w:rFonts w:ascii="Arial" w:cs="Arial" w:eastAsia="Arial" w:hAnsi="Arial"/>
          <w:sz w:val="15"/>
          <w:szCs w:val="15"/>
          <w:color w:val="auto"/>
        </w:rPr>
        <w:t>. The Executive acknowledges that: (i) the Executive’s</w:t>
      </w:r>
      <w:r>
        <w:rPr>
          <w:rFonts w:ascii="Arial" w:cs="Arial" w:eastAsia="Arial" w:hAnsi="Arial"/>
          <w:sz w:val="15"/>
          <w:szCs w:val="15"/>
          <w:b w:val="1"/>
          <w:bCs w:val="1"/>
          <w:color w:val="auto"/>
        </w:rPr>
        <w:t xml:space="preserve"> </w:t>
      </w:r>
      <w:r>
        <w:rPr>
          <w:rFonts w:ascii="Arial" w:cs="Arial" w:eastAsia="Arial" w:hAnsi="Arial"/>
          <w:sz w:val="15"/>
          <w:szCs w:val="15"/>
          <w:color w:val="auto"/>
        </w:rPr>
        <w:t>compliance with Section 7 of this Agreement is necessary to preserve and protect the proprietary rights, Trade Secrets, and the goodwill of the Employer as a going concern, and (ii) any failure by the Executive to comply with the provisions of this Agreement will result in irreparable and continuing injury for which there will be no adequate remedy at law. In the event that the Executive fails to comply with the terms and conditions of this Agreement, the obligations of the Employer to pay the severance benefits set forth in Section 5 shall cease, and the Employer will be entitled, in addition to other relief that may be proper, to all types of equitable relief (including, but not limited to, the issuance of an injunction and/or temporary restraining order and the recoupment of any severance previously paid) that may be necessary to cause the Executive to comply with this Agreement, to restore to the Employer their property, and to make the Employer whole.</w:t>
      </w:r>
    </w:p>
    <w:p>
      <w:pPr>
        <w:spacing w:after="0" w:line="152" w:lineRule="exact"/>
        <w:rPr>
          <w:rFonts w:ascii="Arial" w:cs="Arial" w:eastAsia="Arial" w:hAnsi="Arial"/>
          <w:sz w:val="15"/>
          <w:szCs w:val="15"/>
          <w:color w:val="auto"/>
        </w:rPr>
      </w:pPr>
    </w:p>
    <w:p>
      <w:pPr>
        <w:ind w:left="2200" w:hanging="513"/>
        <w:spacing w:after="0"/>
        <w:tabs>
          <w:tab w:leader="none" w:pos="2200"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 xml:space="preserve">Survival. </w:t>
      </w:r>
      <w:r>
        <w:rPr>
          <w:rFonts w:ascii="Arial" w:cs="Arial" w:eastAsia="Arial" w:hAnsi="Arial"/>
          <w:sz w:val="15"/>
          <w:szCs w:val="15"/>
          <w:color w:val="auto"/>
        </w:rPr>
        <w:t>The provisions set forth in this Section 7 shall survive termination of this</w:t>
      </w:r>
    </w:p>
    <w:p>
      <w:pPr>
        <w:spacing w:after="0" w:line="37"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7"/>
          <w:szCs w:val="17"/>
          <w:color w:val="auto"/>
        </w:rPr>
        <w:t>Agreement.</w:t>
      </w:r>
    </w:p>
    <w:p>
      <w:pPr>
        <w:spacing w:after="0" w:line="181" w:lineRule="exact"/>
        <w:rPr>
          <w:rFonts w:ascii="Arial" w:cs="Arial" w:eastAsia="Arial" w:hAnsi="Arial"/>
          <w:sz w:val="15"/>
          <w:szCs w:val="15"/>
          <w:color w:val="auto"/>
        </w:rPr>
      </w:pPr>
    </w:p>
    <w:p>
      <w:pPr>
        <w:jc w:val="both"/>
        <w:ind w:left="1180" w:right="1179" w:firstLine="507"/>
        <w:spacing w:after="0" w:line="287" w:lineRule="auto"/>
        <w:tabs>
          <w:tab w:leader="none" w:pos="2204" w:val="left"/>
        </w:tabs>
        <w:numPr>
          <w:ilvl w:val="0"/>
          <w:numId w:val="81"/>
        </w:numPr>
        <w:rPr>
          <w:rFonts w:ascii="Arial" w:cs="Arial" w:eastAsia="Arial" w:hAnsi="Arial"/>
          <w:sz w:val="15"/>
          <w:szCs w:val="15"/>
          <w:color w:val="auto"/>
        </w:rPr>
      </w:pPr>
      <w:r>
        <w:rPr>
          <w:rFonts w:ascii="Arial" w:cs="Arial" w:eastAsia="Arial" w:hAnsi="Arial"/>
          <w:sz w:val="15"/>
          <w:szCs w:val="15"/>
          <w:b w:val="1"/>
          <w:bCs w:val="1"/>
          <w:color w:val="auto"/>
        </w:rPr>
        <w:t>Scope Limitations</w:t>
      </w:r>
      <w:r>
        <w:rPr>
          <w:rFonts w:ascii="Arial" w:cs="Arial" w:eastAsia="Arial" w:hAnsi="Arial"/>
          <w:sz w:val="15"/>
          <w:szCs w:val="15"/>
          <w:color w:val="auto"/>
        </w:rPr>
        <w:t>. If the scope, period of time or area of restriction specified in</w:t>
      </w:r>
      <w:r>
        <w:rPr>
          <w:rFonts w:ascii="Arial" w:cs="Arial" w:eastAsia="Arial" w:hAnsi="Arial"/>
          <w:sz w:val="15"/>
          <w:szCs w:val="15"/>
          <w:b w:val="1"/>
          <w:bCs w:val="1"/>
          <w:color w:val="auto"/>
        </w:rPr>
        <w:t xml:space="preserve"> </w:t>
      </w:r>
      <w:r>
        <w:rPr>
          <w:rFonts w:ascii="Arial" w:cs="Arial" w:eastAsia="Arial" w:hAnsi="Arial"/>
          <w:sz w:val="15"/>
          <w:szCs w:val="15"/>
          <w:color w:val="auto"/>
        </w:rPr>
        <w:t>this Section 7 are or would be judged to be unreasonable in any court proceeding, then the period of time, scope or area of restriction will be reduced or limited in the manner and to the extent necessary to make the restriction reasonable, so that the restriction may be enforced in those areas, during the period of time and in the scope that are or would be judged to be reasonable.</w:t>
      </w:r>
    </w:p>
    <w:p>
      <w:pPr>
        <w:spacing w:after="0" w:line="142" w:lineRule="exact"/>
        <w:rPr>
          <w:sz w:val="20"/>
          <w:szCs w:val="20"/>
          <w:color w:val="auto"/>
        </w:rPr>
      </w:pPr>
    </w:p>
    <w:p>
      <w:pPr>
        <w:ind w:left="2200" w:hanging="513"/>
        <w:spacing w:after="0"/>
        <w:tabs>
          <w:tab w:leader="none" w:pos="220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Mitigation; Exclusivity of Benefits.</w:t>
      </w:r>
    </w:p>
    <w:p>
      <w:pPr>
        <w:spacing w:after="0" w:line="203" w:lineRule="exact"/>
        <w:rPr>
          <w:sz w:val="20"/>
          <w:szCs w:val="20"/>
          <w:color w:val="auto"/>
        </w:rPr>
      </w:pPr>
    </w:p>
    <w:p>
      <w:pPr>
        <w:jc w:val="both"/>
        <w:ind w:left="1180" w:right="1179" w:firstLine="507"/>
        <w:spacing w:after="0" w:line="248" w:lineRule="auto"/>
        <w:tabs>
          <w:tab w:leader="none" w:pos="220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Executive shall not be required to mitigate the amount of any benefits hereunder by seeking other employment or otherwise, nor shall the amount of any such benefits be reduced by any compensation earned by the Executive as a result of employment by another employer after the Date of Termination or otherwise.</w:t>
      </w:r>
    </w:p>
    <w:p>
      <w:pPr>
        <w:spacing w:after="0" w:line="173" w:lineRule="exact"/>
        <w:rPr>
          <w:rFonts w:ascii="Arial" w:cs="Arial" w:eastAsia="Arial" w:hAnsi="Arial"/>
          <w:sz w:val="17"/>
          <w:szCs w:val="17"/>
          <w:color w:val="auto"/>
        </w:rPr>
      </w:pPr>
    </w:p>
    <w:p>
      <w:pPr>
        <w:jc w:val="both"/>
        <w:ind w:left="1180" w:right="1179" w:firstLine="507"/>
        <w:spacing w:after="0" w:line="278" w:lineRule="auto"/>
        <w:tabs>
          <w:tab w:leader="none" w:pos="2204"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specific arrangements referred to herein are not intended to exclude any other benefits which may be available to the Executive upon a termination of employment with the Employer pursuant to employee benefit plans of the Employer or otherwise.</w:t>
      </w:r>
    </w:p>
    <w:p>
      <w:pPr>
        <w:spacing w:after="0" w:line="146" w:lineRule="exact"/>
        <w:rPr>
          <w:sz w:val="20"/>
          <w:szCs w:val="20"/>
          <w:color w:val="auto"/>
        </w:rPr>
      </w:pPr>
    </w:p>
    <w:p>
      <w:pPr>
        <w:jc w:val="both"/>
        <w:ind w:left="1180" w:right="1179" w:firstLine="507"/>
        <w:spacing w:after="0" w:line="333" w:lineRule="auto"/>
        <w:tabs>
          <w:tab w:leader="none" w:pos="2204"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Withholding. </w:t>
      </w:r>
      <w:r>
        <w:rPr>
          <w:rFonts w:ascii="Arial" w:cs="Arial" w:eastAsia="Arial" w:hAnsi="Arial"/>
          <w:sz w:val="15"/>
          <w:szCs w:val="15"/>
          <w:color w:val="auto"/>
        </w:rPr>
        <w:t>All payments required to be made by the Employer hereunder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shall be subject to the withholding of such amounts, if any, relating to tax and other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019"/>
          </w:cols>
          <w:pgMar w:left="1440" w:top="491" w:right="1440" w:bottom="1440" w:gutter="0" w:footer="0" w:header="0"/>
        </w:sectPr>
      </w:pPr>
    </w:p>
    <w:bookmarkStart w:id="123" w:name="page124"/>
    <w:bookmarkEnd w:id="123"/>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ind w:left="1180" w:right="1179"/>
        <w:spacing w:after="0" w:line="274" w:lineRule="auto"/>
        <w:rPr>
          <w:sz w:val="20"/>
          <w:szCs w:val="20"/>
          <w:color w:val="auto"/>
        </w:rPr>
      </w:pPr>
      <w:r>
        <w:rPr>
          <w:rFonts w:ascii="Arial" w:cs="Arial" w:eastAsia="Arial" w:hAnsi="Arial"/>
          <w:sz w:val="17"/>
          <w:szCs w:val="17"/>
          <w:color w:val="auto"/>
        </w:rPr>
        <w:t>payroll deductions as the Employer may reasonably determine should be withheld pursuant to any applicable law or regulation.</w:t>
      </w:r>
    </w:p>
    <w:p>
      <w:pPr>
        <w:spacing w:after="0" w:line="147" w:lineRule="exact"/>
        <w:rPr>
          <w:sz w:val="20"/>
          <w:szCs w:val="20"/>
          <w:color w:val="auto"/>
        </w:rPr>
      </w:pPr>
    </w:p>
    <w:p>
      <w:pPr>
        <w:jc w:val="both"/>
        <w:ind w:left="1180" w:right="1179" w:firstLine="507"/>
        <w:spacing w:after="0" w:line="261" w:lineRule="auto"/>
        <w:tabs>
          <w:tab w:leader="none" w:pos="2204"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Assignability. </w:t>
      </w:r>
      <w:r>
        <w:rPr>
          <w:rFonts w:ascii="Arial" w:cs="Arial" w:eastAsia="Arial" w:hAnsi="Arial"/>
          <w:sz w:val="16"/>
          <w:szCs w:val="16"/>
          <w:color w:val="auto"/>
        </w:rPr>
        <w:t>The Bank may assign this Agreement and its rights and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in whole, but not in part, to any corporation, bank or other entity with or into which the Bank may hereafter merge or consolidate or to which the Bank may transfer all or substantially all of its respective assets, if in any such case said corporation, bank or other entity shall by operation of law or expressly in writing assume all obligations of the Employer hereunder as fully as if it had been originally made a party hereto, but may not otherwise assign this Agreement or their rights and obligations hereunder. The Executive may not assign or transfer this Agreement or any rights or obligations hereunder.</w:t>
      </w:r>
    </w:p>
    <w:p>
      <w:pPr>
        <w:spacing w:after="0" w:line="159" w:lineRule="exact"/>
        <w:rPr>
          <w:rFonts w:ascii="Arial" w:cs="Arial" w:eastAsia="Arial" w:hAnsi="Arial"/>
          <w:sz w:val="16"/>
          <w:szCs w:val="16"/>
          <w:b w:val="1"/>
          <w:bCs w:val="1"/>
          <w:color w:val="auto"/>
        </w:rPr>
      </w:pPr>
    </w:p>
    <w:p>
      <w:pPr>
        <w:jc w:val="both"/>
        <w:ind w:left="1180" w:right="1179" w:firstLine="507"/>
        <w:spacing w:after="0" w:line="270" w:lineRule="auto"/>
        <w:tabs>
          <w:tab w:leader="none" w:pos="2204"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For the purposes of this Agreement, notices and all other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this Agreement shall be in writing and shall be deemed to have been duly given when delivered or mailed by certified or registered mail, return receipt requested, postage prepaid, addressed to the respective addresses set forth below:</w:t>
      </w:r>
    </w:p>
    <w:p>
      <w:pPr>
        <w:sectPr>
          <w:pgSz w:w="11900" w:h="16838" w:orient="portrait"/>
          <w:cols w:equalWidth="0" w:num="1">
            <w:col w:w="9019"/>
          </w:cols>
          <w:pgMar w:left="1440" w:top="491" w:right="1440" w:bottom="1440" w:gutter="0" w:footer="0" w:header="0"/>
        </w:sectPr>
      </w:pPr>
    </w:p>
    <w:p>
      <w:pPr>
        <w:spacing w:after="0" w:line="158"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To the Bank: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U.S. Century Bank</w:t>
      </w:r>
    </w:p>
    <w:p>
      <w:pPr>
        <w:spacing w:after="0"/>
        <w:rPr>
          <w:sz w:val="20"/>
          <w:szCs w:val="20"/>
          <w:color w:val="auto"/>
        </w:rPr>
      </w:pPr>
      <w:r>
        <w:rPr>
          <w:rFonts w:ascii="Arial" w:cs="Arial" w:eastAsia="Arial" w:hAnsi="Arial"/>
          <w:sz w:val="15"/>
          <w:szCs w:val="15"/>
          <w:color w:val="auto"/>
        </w:rPr>
        <w:t>2301 N.W. 87</w:t>
      </w:r>
      <w:r>
        <w:rPr>
          <w:rFonts w:ascii="Arial" w:cs="Arial" w:eastAsia="Arial" w:hAnsi="Arial"/>
          <w:sz w:val="10"/>
          <w:szCs w:val="10"/>
          <w:color w:val="auto"/>
        </w:rPr>
        <w:t>th</w:t>
      </w:r>
      <w:r>
        <w:rPr>
          <w:rFonts w:ascii="Arial" w:cs="Arial" w:eastAsia="Arial" w:hAnsi="Arial"/>
          <w:sz w:val="15"/>
          <w:szCs w:val="15"/>
          <w:color w:val="auto"/>
        </w:rPr>
        <w:t xml:space="preserve"> Avenue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Doral, Florida 33172</w:t>
      </w:r>
    </w:p>
    <w:p>
      <w:pPr>
        <w:spacing w:after="0" w:line="185" w:lineRule="exact"/>
        <w:rPr>
          <w:sz w:val="20"/>
          <w:szCs w:val="20"/>
          <w:color w:val="auto"/>
        </w:rPr>
      </w:pPr>
    </w:p>
    <w:p>
      <w:pPr>
        <w:sectPr>
          <w:pgSz w:w="11900" w:h="16838" w:orient="portrait"/>
          <w:cols w:equalWidth="0" w:num="2">
            <w:col w:w="2560" w:space="660"/>
            <w:col w:w="5799"/>
          </w:cols>
          <w:pgMar w:left="1440" w:top="491" w:right="1440" w:bottom="1440" w:gutter="0" w:footer="0" w:header="0"/>
          <w:type w:val="continuous"/>
        </w:sectPr>
      </w:pPr>
    </w:p>
    <w:p>
      <w:pPr>
        <w:ind w:left="1680"/>
        <w:spacing w:after="0"/>
        <w:rPr>
          <w:sz w:val="20"/>
          <w:szCs w:val="20"/>
          <w:color w:val="auto"/>
        </w:rPr>
      </w:pPr>
      <w:r>
        <w:rPr>
          <w:rFonts w:ascii="Arial" w:cs="Arial" w:eastAsia="Arial" w:hAnsi="Arial"/>
          <w:sz w:val="15"/>
          <w:szCs w:val="15"/>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Luis de la Aguilera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At the address last appearing on</w:t>
      </w:r>
    </w:p>
    <w:p>
      <w:pPr>
        <w:spacing w:after="0"/>
        <w:rPr>
          <w:sz w:val="20"/>
          <w:szCs w:val="20"/>
          <w:color w:val="auto"/>
        </w:rPr>
      </w:pPr>
      <w:r>
        <w:rPr>
          <w:rFonts w:ascii="Arial" w:cs="Arial" w:eastAsia="Arial" w:hAnsi="Arial"/>
          <w:sz w:val="15"/>
          <w:szCs w:val="15"/>
          <w:color w:val="auto"/>
        </w:rPr>
        <w:t>the personnel records of the Employer</w:t>
      </w:r>
    </w:p>
    <w:p>
      <w:pPr>
        <w:spacing w:after="0" w:line="200" w:lineRule="exact"/>
        <w:rPr>
          <w:sz w:val="20"/>
          <w:szCs w:val="20"/>
          <w:color w:val="auto"/>
        </w:rPr>
      </w:pPr>
    </w:p>
    <w:p>
      <w:pPr>
        <w:sectPr>
          <w:pgSz w:w="11900" w:h="16838" w:orient="portrait"/>
          <w:cols w:equalWidth="0" w:num="2">
            <w:col w:w="2880" w:space="340"/>
            <w:col w:w="5799"/>
          </w:cols>
          <w:pgMar w:left="1440" w:top="491" w:right="1440" w:bottom="1440" w:gutter="0" w:footer="0" w:header="0"/>
          <w:type w:val="continuous"/>
        </w:sectPr>
      </w:pPr>
    </w:p>
    <w:p>
      <w:pPr>
        <w:spacing w:after="0" w:line="4" w:lineRule="exact"/>
        <w:rPr>
          <w:sz w:val="20"/>
          <w:szCs w:val="20"/>
          <w:color w:val="auto"/>
        </w:rPr>
      </w:pPr>
    </w:p>
    <w:p>
      <w:pPr>
        <w:jc w:val="both"/>
        <w:ind w:left="1180" w:right="1179" w:firstLine="530"/>
        <w:spacing w:after="0" w:line="263" w:lineRule="auto"/>
        <w:tabs>
          <w:tab w:leader="none" w:pos="2204" w:val="left"/>
        </w:tabs>
        <w:numPr>
          <w:ilvl w:val="1"/>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Waiver. </w:t>
      </w:r>
      <w:r>
        <w:rPr>
          <w:rFonts w:ascii="Arial" w:cs="Arial" w:eastAsia="Arial" w:hAnsi="Arial"/>
          <w:sz w:val="16"/>
          <w:szCs w:val="16"/>
          <w:color w:val="auto"/>
        </w:rPr>
        <w:t>No provisions of this Agreement may be modified, waived</w:t>
      </w:r>
      <w:r>
        <w:rPr>
          <w:rFonts w:ascii="Arial" w:cs="Arial" w:eastAsia="Arial" w:hAnsi="Arial"/>
          <w:sz w:val="16"/>
          <w:szCs w:val="16"/>
          <w:b w:val="1"/>
          <w:bCs w:val="1"/>
          <w:color w:val="auto"/>
        </w:rPr>
        <w:t xml:space="preserve"> </w:t>
      </w:r>
      <w:r>
        <w:rPr>
          <w:rFonts w:ascii="Arial" w:cs="Arial" w:eastAsia="Arial" w:hAnsi="Arial"/>
          <w:sz w:val="16"/>
          <w:szCs w:val="16"/>
          <w:color w:val="auto"/>
        </w:rPr>
        <w:t>or discharged unless such waiver, modification or discharge is agreed to in writing signed by the Executive and such officer or officers as may be specifically designated by the Board of Directors of the Employer to sign on their behalf. No waiver by any party hereto at any time of any breach by any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57" w:lineRule="exact"/>
        <w:rPr>
          <w:rFonts w:ascii="Arial" w:cs="Arial" w:eastAsia="Arial" w:hAnsi="Arial"/>
          <w:sz w:val="16"/>
          <w:szCs w:val="16"/>
          <w:b w:val="1"/>
          <w:bCs w:val="1"/>
          <w:color w:val="auto"/>
        </w:rPr>
      </w:pPr>
    </w:p>
    <w:p>
      <w:pPr>
        <w:jc w:val="both"/>
        <w:ind w:left="1180" w:right="1179" w:firstLine="507"/>
        <w:spacing w:after="0" w:line="257" w:lineRule="auto"/>
        <w:tabs>
          <w:tab w:leader="none" w:pos="2204"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validity, interpretation, construction and performance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governed by the laws of the United States where applicable and otherwise by the substantive laws of the State of Florida.</w:t>
      </w:r>
    </w:p>
    <w:p>
      <w:pPr>
        <w:spacing w:after="0" w:line="161" w:lineRule="exact"/>
        <w:rPr>
          <w:rFonts w:ascii="Arial" w:cs="Arial" w:eastAsia="Arial" w:hAnsi="Arial"/>
          <w:sz w:val="17"/>
          <w:szCs w:val="17"/>
          <w:b w:val="1"/>
          <w:bCs w:val="1"/>
          <w:color w:val="auto"/>
        </w:rPr>
      </w:pPr>
    </w:p>
    <w:p>
      <w:pPr>
        <w:jc w:val="both"/>
        <w:ind w:left="1180" w:right="1179" w:firstLine="507"/>
        <w:spacing w:after="0" w:line="294" w:lineRule="auto"/>
        <w:tabs>
          <w:tab w:leader="none" w:pos="2204"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Nature of Obligations. </w:t>
      </w:r>
      <w:r>
        <w:rPr>
          <w:rFonts w:ascii="Arial" w:cs="Arial" w:eastAsia="Arial" w:hAnsi="Arial"/>
          <w:sz w:val="15"/>
          <w:szCs w:val="15"/>
          <w:color w:val="auto"/>
        </w:rPr>
        <w:t>Nothing contained herein shall create or require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Employer to create a trust of any kind to fund any benefits which may be payable hereunder, and to the extent that the Executive acquires a right to receive benefits from the Employer hereunder, such right shall be no greater than the right of any unsecured general creditor of the Employer.</w:t>
      </w:r>
    </w:p>
    <w:p>
      <w:pPr>
        <w:spacing w:after="0" w:line="136" w:lineRule="exact"/>
        <w:rPr>
          <w:rFonts w:ascii="Arial" w:cs="Arial" w:eastAsia="Arial" w:hAnsi="Arial"/>
          <w:sz w:val="15"/>
          <w:szCs w:val="15"/>
          <w:b w:val="1"/>
          <w:bCs w:val="1"/>
          <w:color w:val="auto"/>
        </w:rPr>
      </w:pPr>
    </w:p>
    <w:p>
      <w:pPr>
        <w:ind w:left="1180" w:right="1179" w:firstLine="507"/>
        <w:spacing w:after="0" w:line="297" w:lineRule="auto"/>
        <w:tabs>
          <w:tab w:leader="none" w:pos="2204"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The section headings contained in this Agreement are for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only and shall not affect in any way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019"/>
          </w:cols>
          <w:pgMar w:left="1440" w:top="491" w:right="1440" w:bottom="1440" w:gutter="0" w:footer="0" w:header="0"/>
          <w:type w:val="continuous"/>
        </w:sectPr>
      </w:pPr>
    </w:p>
    <w:bookmarkStart w:id="124" w:name="page125"/>
    <w:bookmarkEnd w:id="124"/>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jc w:val="both"/>
        <w:ind w:left="1180" w:right="1179" w:firstLine="507"/>
        <w:spacing w:after="0" w:line="257" w:lineRule="auto"/>
        <w:tabs>
          <w:tab w:leader="none" w:pos="2204"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Validity. </w:t>
      </w:r>
      <w:r>
        <w:rPr>
          <w:rFonts w:ascii="Arial" w:cs="Arial" w:eastAsia="Arial" w:hAnsi="Arial"/>
          <w:sz w:val="17"/>
          <w:szCs w:val="17"/>
          <w:color w:val="auto"/>
        </w:rPr>
        <w:t>The invalidity or unenforceability of any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affect the validity or enforceability of any other provisions of this Agreement, which shall remain in full force and effect.</w:t>
      </w:r>
    </w:p>
    <w:p>
      <w:pPr>
        <w:spacing w:after="0" w:line="161" w:lineRule="exact"/>
        <w:rPr>
          <w:rFonts w:ascii="Arial" w:cs="Arial" w:eastAsia="Arial" w:hAnsi="Arial"/>
          <w:sz w:val="17"/>
          <w:szCs w:val="17"/>
          <w:b w:val="1"/>
          <w:bCs w:val="1"/>
          <w:color w:val="auto"/>
        </w:rPr>
      </w:pPr>
    </w:p>
    <w:p>
      <w:pPr>
        <w:jc w:val="both"/>
        <w:ind w:left="1180" w:right="1179" w:firstLine="507"/>
        <w:spacing w:after="0" w:line="257" w:lineRule="auto"/>
        <w:tabs>
          <w:tab w:leader="none" w:pos="2204"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one or more counterparts,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shall be deemed to be an original but all of which together will constitute one and the same instrument.</w:t>
      </w:r>
    </w:p>
    <w:p>
      <w:pPr>
        <w:spacing w:after="0" w:line="161" w:lineRule="exact"/>
        <w:rPr>
          <w:rFonts w:ascii="Arial" w:cs="Arial" w:eastAsia="Arial" w:hAnsi="Arial"/>
          <w:sz w:val="17"/>
          <w:szCs w:val="17"/>
          <w:b w:val="1"/>
          <w:bCs w:val="1"/>
          <w:color w:val="auto"/>
        </w:rPr>
      </w:pPr>
    </w:p>
    <w:p>
      <w:pPr>
        <w:jc w:val="both"/>
        <w:ind w:left="1180" w:right="1179" w:firstLine="507"/>
        <w:spacing w:after="0" w:line="250" w:lineRule="auto"/>
        <w:tabs>
          <w:tab w:leader="none" w:pos="2204"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Actions. </w:t>
      </w:r>
      <w:r>
        <w:rPr>
          <w:rFonts w:ascii="Arial" w:cs="Arial" w:eastAsia="Arial" w:hAnsi="Arial"/>
          <w:sz w:val="17"/>
          <w:szCs w:val="17"/>
          <w:color w:val="auto"/>
        </w:rPr>
        <w:t>The following provisions shall be applicable to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or any successor thereto, and shall be controlling in the event of a conflict with any other provision of this Agreement, including without limitation Section 5 hereof.</w:t>
      </w:r>
    </w:p>
    <w:p>
      <w:pPr>
        <w:spacing w:after="0" w:line="172" w:lineRule="exact"/>
        <w:rPr>
          <w:sz w:val="20"/>
          <w:szCs w:val="20"/>
          <w:color w:val="auto"/>
        </w:rPr>
      </w:pPr>
    </w:p>
    <w:p>
      <w:pPr>
        <w:jc w:val="both"/>
        <w:ind w:left="1180" w:right="1179" w:firstLine="507"/>
        <w:spacing w:after="0" w:line="245" w:lineRule="auto"/>
        <w:tabs>
          <w:tab w:leader="none" w:pos="2204"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Executive is suspended from office and/or temporarily prohibited from participating in the conduct of the Bank’s affairs pursuant to notice served under Section 8(e)(3) or Section 8(g)(1) of the Federal Deposit Insurance Act (“FDIA”)(12 U.S.C. §§1818(e)(3) and 1818(g)(1)), the Bank’s obligations under this Agreement shall be suspended as of the date of service, unless stayed by appropriate proceedings. If the charges in the notice are dismissed, the Bank will: (i) pay the Executive all or part of the compensation withheld while its obligations under this Agreement were suspended, and (ii) reinstate (in whole or in part) any of its obligations which were suspended.</w:t>
      </w:r>
    </w:p>
    <w:p>
      <w:pPr>
        <w:spacing w:after="0" w:line="174" w:lineRule="exact"/>
        <w:rPr>
          <w:rFonts w:ascii="Arial" w:cs="Arial" w:eastAsia="Arial" w:hAnsi="Arial"/>
          <w:sz w:val="17"/>
          <w:szCs w:val="17"/>
          <w:color w:val="auto"/>
        </w:rPr>
      </w:pPr>
    </w:p>
    <w:p>
      <w:pPr>
        <w:jc w:val="both"/>
        <w:ind w:left="1180" w:right="1179" w:firstLine="507"/>
        <w:spacing w:after="0" w:line="264" w:lineRule="auto"/>
        <w:tabs>
          <w:tab w:leader="none" w:pos="22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the Executive is removed from office and/or permanently prohibited from participating in the conduct of the Bank’s affairs by an order issued under Section 8(e)(4) or Section 8(g)(1) of the FDIA (12 U.S.C. §§1818(e)(4) and (g)(1)), all obligations of the Bank under this Agreement shall terminate as of the effective date of the order, but vested rights of the Executive and the Bank as of the date of termination shall not be affected.</w:t>
      </w:r>
    </w:p>
    <w:p>
      <w:pPr>
        <w:spacing w:after="0" w:line="161" w:lineRule="exact"/>
        <w:rPr>
          <w:rFonts w:ascii="Arial" w:cs="Arial" w:eastAsia="Arial" w:hAnsi="Arial"/>
          <w:sz w:val="16"/>
          <w:szCs w:val="16"/>
          <w:color w:val="auto"/>
        </w:rPr>
      </w:pPr>
    </w:p>
    <w:p>
      <w:pPr>
        <w:jc w:val="both"/>
        <w:ind w:left="1180" w:right="1179" w:firstLine="507"/>
        <w:spacing w:after="0" w:line="278" w:lineRule="auto"/>
        <w:tabs>
          <w:tab w:leader="none" w:pos="22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the Bank is in default, as defined in Section 3(x)(1) of the FDIA (12 U.S.C. §1813(x)(1)), all obligations under this Agreement shall terminate as of the date of default, but vested rights of the Executive and the Bank as of the date of termination shall not be affected.</w:t>
      </w:r>
    </w:p>
    <w:p>
      <w:pPr>
        <w:spacing w:after="0" w:line="146" w:lineRule="exact"/>
        <w:rPr>
          <w:sz w:val="20"/>
          <w:szCs w:val="20"/>
          <w:color w:val="auto"/>
        </w:rPr>
      </w:pPr>
    </w:p>
    <w:p>
      <w:pPr>
        <w:jc w:val="both"/>
        <w:ind w:left="1180" w:right="1179" w:firstLine="507"/>
        <w:spacing w:after="0" w:line="250" w:lineRule="auto"/>
        <w:tabs>
          <w:tab w:leader="none" w:pos="2204"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Prohibition. </w:t>
      </w:r>
      <w:r>
        <w:rPr>
          <w:rFonts w:ascii="Arial" w:cs="Arial" w:eastAsia="Arial" w:hAnsi="Arial"/>
          <w:sz w:val="17"/>
          <w:szCs w:val="17"/>
          <w:color w:val="auto"/>
        </w:rPr>
        <w:t>Notwithstanding any other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contrary, any payments made to the Executive pursuant to this Agreement, or otherwise, are subject to and conditioned upon their compliance with Section 18(k) of the FDIA (12 U.S.C. §1828(k)) and 12 C.F.R. Part 359.</w:t>
      </w:r>
    </w:p>
    <w:p>
      <w:pPr>
        <w:spacing w:after="0" w:line="167" w:lineRule="exact"/>
        <w:rPr>
          <w:rFonts w:ascii="Arial" w:cs="Arial" w:eastAsia="Arial" w:hAnsi="Arial"/>
          <w:sz w:val="17"/>
          <w:szCs w:val="17"/>
          <w:b w:val="1"/>
          <w:bCs w:val="1"/>
          <w:color w:val="auto"/>
        </w:rPr>
      </w:pPr>
    </w:p>
    <w:p>
      <w:pPr>
        <w:jc w:val="both"/>
        <w:ind w:left="1180" w:right="1179" w:firstLine="507"/>
        <w:spacing w:after="0" w:line="283" w:lineRule="auto"/>
        <w:tabs>
          <w:tab w:leader="none" w:pos="2204"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Arbitration. </w:t>
      </w:r>
      <w:r>
        <w:rPr>
          <w:rFonts w:ascii="Arial" w:cs="Arial" w:eastAsia="Arial" w:hAnsi="Arial"/>
          <w:sz w:val="15"/>
          <w:szCs w:val="15"/>
          <w:color w:val="auto"/>
        </w:rPr>
        <w:t>Any controversy or claim arising out of or relating to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or the breach thereof, shall be settled by arbitration before a single arbitrator in accordance with the rules then existing under the Employment Dispute Resolution Rules of the American Arbitration Association (“AAA”) conducted at the district office of the AAA located nearest to the home office of the Bank, and judgment upon the award rendered may be entered in any court having jurisdiction thereof, except to the extent that the parties may otherwise reach a mutual settlement of such issue. Each party to the arbitration shall bear its own expenses.</w:t>
      </w:r>
    </w:p>
    <w:p>
      <w:pPr>
        <w:spacing w:after="0" w:line="144" w:lineRule="exact"/>
        <w:rPr>
          <w:rFonts w:ascii="Arial" w:cs="Arial" w:eastAsia="Arial" w:hAnsi="Arial"/>
          <w:sz w:val="15"/>
          <w:szCs w:val="15"/>
          <w:b w:val="1"/>
          <w:bCs w:val="1"/>
          <w:color w:val="auto"/>
        </w:rPr>
      </w:pPr>
    </w:p>
    <w:p>
      <w:pPr>
        <w:jc w:val="both"/>
        <w:ind w:left="1180" w:right="1179" w:firstLine="507"/>
        <w:spacing w:after="0" w:line="250" w:lineRule="auto"/>
        <w:tabs>
          <w:tab w:leader="none" w:pos="2204"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embodies the entire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and the Executive with respect to the matters agreed to herein. All prior agreements between the Employer and the Executive with respect to the matters agreed to herein are hereby superseded and shall have no force or effect.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019"/>
          </w:cols>
          <w:pgMar w:left="1440" w:top="491" w:right="1440" w:bottom="1440" w:gutter="0" w:footer="0" w:header="0"/>
        </w:sectPr>
      </w:pPr>
    </w:p>
    <w:bookmarkStart w:id="125" w:name="page126"/>
    <w:bookmarkEnd w:id="125"/>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IN WITNESS WHEREOF, this Agreement has been executed as of the date first written</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above.</w:t>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U.S. CENTURY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EXECUTIVE</w:t>
      </w:r>
    </w:p>
    <w:p>
      <w:pPr>
        <w:spacing w:after="0" w:line="200" w:lineRule="exact"/>
        <w:rPr>
          <w:sz w:val="20"/>
          <w:szCs w:val="20"/>
          <w:color w:val="auto"/>
        </w:rPr>
      </w:pP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By:</w:t>
      </w:r>
      <w:r>
        <w:rPr>
          <w:sz w:val="1"/>
          <w:szCs w:val="1"/>
          <w:color w:val="auto"/>
        </w:rPr>
        <w:drawing>
          <wp:inline distT="0" distB="0" distL="0" distR="0">
            <wp:extent cx="2154555" cy="62992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2154555" cy="62992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019"/>
          </w:cols>
          <w:pgMar w:left="1440" w:top="491" w:right="1440" w:bottom="1440" w:gutter="0" w:footer="0" w:header="0"/>
        </w:sectPr>
      </w:pPr>
    </w:p>
    <w:bookmarkStart w:id="126" w:name="page127"/>
    <w:bookmarkEnd w:id="126"/>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Exhibit A</w:t>
      </w:r>
    </w:p>
    <w:p>
      <w:pPr>
        <w:spacing w:after="0" w:line="19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financial targets constituting “Cause” under Section 1(b)(iv):</w:t>
      </w:r>
    </w:p>
    <w:p>
      <w:pPr>
        <w:spacing w:after="0" w:line="199" w:lineRule="exact"/>
        <w:rPr>
          <w:sz w:val="20"/>
          <w:szCs w:val="20"/>
          <w:color w:val="auto"/>
        </w:rPr>
      </w:pPr>
    </w:p>
    <w:p>
      <w:pPr>
        <w:ind w:left="1680" w:right="1179" w:hanging="249"/>
        <w:spacing w:after="0" w:line="250" w:lineRule="auto"/>
        <w:tabs>
          <w:tab w:leader="none" w:pos="1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For the fiscal year ended December 31, 2017 and each fiscal year thereafter, the Bank fails to earn an annual return on average assets of in excess of .50%;</w:t>
      </w:r>
    </w:p>
    <w:p>
      <w:pPr>
        <w:jc w:val="both"/>
        <w:ind w:left="1680" w:right="1179" w:hanging="249"/>
        <w:spacing w:after="0" w:line="260" w:lineRule="auto"/>
        <w:tabs>
          <w:tab w:leader="none" w:pos="1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 of December 31, 2017 and each quarter thereafter, the Bank’s total nonperforming assets exceeds an average of 2.0% of total assets. For purposes of the calculation of the ratio of nonperforming assets, the Bank shall calculate the nonperforming asset ratio on a trailing nine-month basis using the nonperforming assets and total asset amounts for the quarter in question and the two prior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019"/>
          </w:cols>
          <w:pgMar w:left="1440" w:top="491" w:right="1440" w:bottom="1440" w:gutter="0" w:footer="0" w:header="0"/>
        </w:sectPr>
      </w:pPr>
    </w:p>
    <w:bookmarkStart w:id="127" w:name="page128"/>
    <w:bookmarkEnd w:id="127"/>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200" w:lineRule="exact"/>
        <w:rPr>
          <w:sz w:val="20"/>
          <w:szCs w:val="20"/>
          <w:color w:val="auto"/>
        </w:rPr>
      </w:pPr>
    </w:p>
    <w:p>
      <w:pPr>
        <w:spacing w:after="0" w:line="379" w:lineRule="exact"/>
        <w:rPr>
          <w:sz w:val="20"/>
          <w:szCs w:val="20"/>
          <w:color w:val="auto"/>
        </w:rPr>
      </w:pPr>
    </w:p>
    <w:p>
      <w:pPr>
        <w:jc w:val="right"/>
        <w:ind w:right="1079"/>
        <w:spacing w:after="0"/>
        <w:rPr>
          <w:sz w:val="20"/>
          <w:szCs w:val="20"/>
          <w:color w:val="auto"/>
        </w:rPr>
      </w:pPr>
      <w:r>
        <w:rPr>
          <w:rFonts w:ascii="Arial" w:cs="Arial" w:eastAsia="Arial" w:hAnsi="Arial"/>
          <w:sz w:val="14"/>
          <w:szCs w:val="14"/>
          <w:b w:val="1"/>
          <w:bCs w:val="1"/>
          <w:color w:val="auto"/>
        </w:rPr>
        <w:t>Exhibit 10.3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FIRST AMENDMENT TO EMPLOYMENT AGREEMENT</w:t>
      </w:r>
    </w:p>
    <w:p>
      <w:pPr>
        <w:spacing w:after="0" w:line="199" w:lineRule="exact"/>
        <w:rPr>
          <w:sz w:val="20"/>
          <w:szCs w:val="20"/>
          <w:color w:val="auto"/>
        </w:rPr>
      </w:pPr>
    </w:p>
    <w:p>
      <w:pPr>
        <w:jc w:val="both"/>
        <w:ind w:left="1180" w:right="1179" w:firstLine="512"/>
        <w:spacing w:after="0" w:line="250" w:lineRule="auto"/>
        <w:rPr>
          <w:sz w:val="20"/>
          <w:szCs w:val="20"/>
          <w:color w:val="auto"/>
        </w:rPr>
      </w:pPr>
      <w:r>
        <w:rPr>
          <w:rFonts w:ascii="Arial" w:cs="Arial" w:eastAsia="Arial" w:hAnsi="Arial"/>
          <w:sz w:val="17"/>
          <w:szCs w:val="17"/>
          <w:b w:val="1"/>
          <w:bCs w:val="1"/>
          <w:color w:val="auto"/>
        </w:rPr>
        <w:t xml:space="preserve">This First Amendment to Employment Agreement </w:t>
      </w:r>
      <w:r>
        <w:rPr>
          <w:rFonts w:ascii="Arial" w:cs="Arial" w:eastAsia="Arial" w:hAnsi="Arial"/>
          <w:sz w:val="17"/>
          <w:szCs w:val="17"/>
          <w:color w:val="auto"/>
        </w:rPr>
        <w:t>(“Amendment”) is made by and</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Luis de la Aguilera (“EMPLOYEE”) and U.S. Century Bank (“EMPLOYER”), as follows. EMPLOYEE and EMPLOYER are referred to collectively in this Amendment as the “Parties.”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71" w:lineRule="exact"/>
        <w:rPr>
          <w:sz w:val="20"/>
          <w:szCs w:val="20"/>
          <w:color w:val="auto"/>
        </w:rPr>
      </w:pPr>
    </w:p>
    <w:p>
      <w:pPr>
        <w:jc w:val="both"/>
        <w:ind w:left="1180" w:right="1179" w:firstLine="261"/>
        <w:spacing w:after="0" w:line="191" w:lineRule="auto"/>
        <w:rPr>
          <w:sz w:val="20"/>
          <w:szCs w:val="20"/>
          <w:color w:val="auto"/>
        </w:rPr>
      </w:pPr>
      <w:r>
        <w:rPr>
          <w:rFonts w:ascii="Arial" w:cs="Arial" w:eastAsia="Arial" w:hAnsi="Arial"/>
          <w:sz w:val="32"/>
          <w:szCs w:val="32"/>
          <w:color w:val="auto"/>
          <w:vertAlign w:val="superscript"/>
        </w:rPr>
        <w:t>A.</w:t>
      </w:r>
      <w:r>
        <w:rPr>
          <w:rFonts w:ascii="Arial" w:cs="Arial" w:eastAsia="Arial" w:hAnsi="Arial"/>
          <w:sz w:val="16"/>
          <w:szCs w:val="16"/>
          <w:color w:val="auto"/>
        </w:rPr>
        <w:t xml:space="preserve"> On April 16, 2016, EMPLOYEE and EMPLOYER entered into an Employment Agreement (the “Employment Agreement”) in connection with EMPLOYEE’s employment with</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EMPLOYER.</w:t>
      </w:r>
    </w:p>
    <w:p>
      <w:pPr>
        <w:spacing w:after="0" w:line="153" w:lineRule="exact"/>
        <w:rPr>
          <w:sz w:val="20"/>
          <w:szCs w:val="20"/>
          <w:color w:val="auto"/>
        </w:rPr>
      </w:pPr>
    </w:p>
    <w:p>
      <w:pPr>
        <w:jc w:val="both"/>
        <w:ind w:left="1180" w:right="1179" w:firstLine="261"/>
        <w:spacing w:after="0" w:line="209" w:lineRule="auto"/>
        <w:rPr>
          <w:sz w:val="20"/>
          <w:szCs w:val="20"/>
          <w:color w:val="auto"/>
        </w:rPr>
      </w:pPr>
      <w:r>
        <w:rPr>
          <w:rFonts w:ascii="Arial" w:cs="Arial" w:eastAsia="Arial" w:hAnsi="Arial"/>
          <w:sz w:val="32"/>
          <w:szCs w:val="32"/>
          <w:color w:val="auto"/>
          <w:vertAlign w:val="superscript"/>
        </w:rPr>
        <w:t>B.</w:t>
      </w:r>
      <w:r>
        <w:rPr>
          <w:rFonts w:ascii="Arial" w:cs="Arial" w:eastAsia="Arial" w:hAnsi="Arial"/>
          <w:sz w:val="16"/>
          <w:szCs w:val="16"/>
          <w:color w:val="auto"/>
        </w:rPr>
        <w:t xml:space="preserve"> Paragraph 2(a) of the Employment Agreement provides that the Initial Term of the Agreement is for three years, or from April 16, 2016 through and including April 16, 2019 (“Initial Term Expiration Date”), unless extended in accordance with said Paragraph 2(a).</w:t>
      </w:r>
    </w:p>
    <w:p>
      <w:pPr>
        <w:spacing w:after="0" w:line="138" w:lineRule="exact"/>
        <w:rPr>
          <w:sz w:val="20"/>
          <w:szCs w:val="20"/>
          <w:color w:val="auto"/>
        </w:rPr>
      </w:pPr>
    </w:p>
    <w:p>
      <w:pPr>
        <w:ind w:left="1440"/>
        <w:spacing w:after="0"/>
        <w:rPr>
          <w:sz w:val="20"/>
          <w:szCs w:val="20"/>
          <w:color w:val="auto"/>
        </w:rPr>
      </w:pPr>
      <w:r>
        <w:rPr>
          <w:rFonts w:ascii="Arial" w:cs="Arial" w:eastAsia="Arial" w:hAnsi="Arial"/>
          <w:sz w:val="33"/>
          <w:szCs w:val="33"/>
          <w:color w:val="auto"/>
          <w:vertAlign w:val="superscript"/>
        </w:rPr>
        <w:t>C.</w:t>
      </w:r>
      <w:r>
        <w:rPr>
          <w:rFonts w:ascii="Arial" w:cs="Arial" w:eastAsia="Arial" w:hAnsi="Arial"/>
          <w:sz w:val="17"/>
          <w:szCs w:val="17"/>
          <w:color w:val="auto"/>
        </w:rPr>
        <w:t xml:space="preserve"> EMPLOYER and EMPLOYEE would like to extend the Initial Term Expiration Date.</w:t>
      </w:r>
    </w:p>
    <w:p>
      <w:pPr>
        <w:spacing w:after="0" w:line="61" w:lineRule="exact"/>
        <w:rPr>
          <w:sz w:val="20"/>
          <w:szCs w:val="20"/>
          <w:color w:val="auto"/>
        </w:rPr>
      </w:pPr>
    </w:p>
    <w:p>
      <w:pPr>
        <w:jc w:val="both"/>
        <w:ind w:left="1180" w:right="1179" w:firstLine="256"/>
        <w:spacing w:after="0" w:line="246"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in this Amendment, and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acknowledged, the Parties Hereby Agree as Follows:</w:t>
      </w:r>
    </w:p>
    <w:p>
      <w:pPr>
        <w:spacing w:after="0" w:line="170" w:lineRule="exact"/>
        <w:rPr>
          <w:sz w:val="20"/>
          <w:szCs w:val="20"/>
          <w:color w:val="auto"/>
        </w:rPr>
      </w:pPr>
    </w:p>
    <w:p>
      <w:pPr>
        <w:ind w:left="1180" w:right="1199" w:firstLine="251"/>
        <w:spacing w:after="0" w:line="266" w:lineRule="auto"/>
        <w:tabs>
          <w:tab w:leader="none" w:pos="1692"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Initial Term Expiration Date. </w:t>
      </w:r>
      <w:r>
        <w:rPr>
          <w:rFonts w:ascii="Arial" w:cs="Arial" w:eastAsia="Arial" w:hAnsi="Arial"/>
          <w:sz w:val="17"/>
          <w:szCs w:val="17"/>
          <w:color w:val="auto"/>
        </w:rPr>
        <w:t>The Parties agree that the Initial Term</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Date is extended to June 1, 2019.</w:t>
      </w:r>
    </w:p>
    <w:p>
      <w:pPr>
        <w:spacing w:after="0" w:line="153" w:lineRule="exact"/>
        <w:rPr>
          <w:rFonts w:ascii="Arial" w:cs="Arial" w:eastAsia="Arial" w:hAnsi="Arial"/>
          <w:sz w:val="17"/>
          <w:szCs w:val="17"/>
          <w:b w:val="1"/>
          <w:bCs w:val="1"/>
          <w:color w:val="auto"/>
        </w:rPr>
      </w:pPr>
    </w:p>
    <w:p>
      <w:pPr>
        <w:ind w:left="1180" w:right="1199" w:firstLine="251"/>
        <w:spacing w:after="0" w:line="266" w:lineRule="auto"/>
        <w:tabs>
          <w:tab w:leader="none" w:pos="1692"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 Remains Effective. </w:t>
      </w:r>
      <w:r>
        <w:rPr>
          <w:rFonts w:ascii="Arial" w:cs="Arial" w:eastAsia="Arial" w:hAnsi="Arial"/>
          <w:sz w:val="17"/>
          <w:szCs w:val="17"/>
          <w:color w:val="auto"/>
        </w:rPr>
        <w:t>The Agreement remains in full force and effect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modified by this Amendment only as stated expressly in this Amendment.</w:t>
      </w:r>
    </w:p>
    <w:p>
      <w:pPr>
        <w:spacing w:after="0" w:line="153" w:lineRule="exact"/>
        <w:rPr>
          <w:rFonts w:ascii="Arial" w:cs="Arial" w:eastAsia="Arial" w:hAnsi="Arial"/>
          <w:sz w:val="17"/>
          <w:szCs w:val="17"/>
          <w:b w:val="1"/>
          <w:bCs w:val="1"/>
          <w:color w:val="auto"/>
        </w:rPr>
      </w:pPr>
    </w:p>
    <w:p>
      <w:pPr>
        <w:jc w:val="both"/>
        <w:ind w:left="1180" w:right="1179" w:firstLine="251"/>
        <w:spacing w:after="0" w:line="250" w:lineRule="auto"/>
        <w:tabs>
          <w:tab w:leader="none" w:pos="1692"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 Date and Counterparts. </w:t>
      </w:r>
      <w:r>
        <w:rPr>
          <w:rFonts w:ascii="Arial" w:cs="Arial" w:eastAsia="Arial" w:hAnsi="Arial"/>
          <w:sz w:val="17"/>
          <w:szCs w:val="17"/>
          <w:color w:val="auto"/>
        </w:rPr>
        <w:t>This Agreement may be made effective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and delivery, personally or by email, of separate identical counterpart documents, each of which shall be deemed to be an original and which, taken together, shall constitute one and the same instrument.</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Foregoing is Agreed to and Accepted By:</w:t>
      </w:r>
    </w:p>
    <w:p>
      <w:pPr>
        <w:sectPr>
          <w:pgSz w:w="11900" w:h="16838" w:orient="portrait"/>
          <w:cols w:equalWidth="0" w:num="1">
            <w:col w:w="9019"/>
          </w:cols>
          <w:pgMar w:left="1440" w:top="491" w:right="1440" w:bottom="1440" w:gutter="0" w:footer="0" w:header="0"/>
        </w:sectPr>
      </w:pPr>
    </w:p>
    <w:bookmarkStart w:id="128" w:name="page129"/>
    <w:bookmarkEnd w:id="128"/>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9"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Exhibit 10.4</w:t>
      </w:r>
    </w:p>
    <w:p>
      <w:pPr>
        <w:spacing w:after="0" w:line="199"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AMENDMENT NO. 2</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TO THE</w:t>
      </w:r>
    </w:p>
    <w:p>
      <w:pPr>
        <w:jc w:val="center"/>
        <w:ind w:right="19"/>
        <w:spacing w:after="0" w:line="235" w:lineRule="auto"/>
        <w:rPr>
          <w:sz w:val="20"/>
          <w:szCs w:val="20"/>
          <w:color w:val="auto"/>
        </w:rPr>
      </w:pPr>
      <w:r>
        <w:rPr>
          <w:rFonts w:ascii="Arial" w:cs="Arial" w:eastAsia="Arial" w:hAnsi="Arial"/>
          <w:sz w:val="17"/>
          <w:szCs w:val="17"/>
          <w:b w:val="1"/>
          <w:bCs w:val="1"/>
          <w:color w:val="auto"/>
        </w:rPr>
        <w:t>U.S. CENTURY BANK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 AGREEMENT</w:t>
      </w:r>
    </w:p>
    <w:p>
      <w:pPr>
        <w:spacing w:after="0" w:line="181" w:lineRule="exact"/>
        <w:rPr>
          <w:sz w:val="20"/>
          <w:szCs w:val="20"/>
          <w:color w:val="auto"/>
        </w:rPr>
      </w:pPr>
    </w:p>
    <w:p>
      <w:pPr>
        <w:jc w:val="both"/>
        <w:ind w:left="1180" w:right="1179" w:firstLine="512"/>
        <w:spacing w:after="0" w:line="250" w:lineRule="auto"/>
        <w:rPr>
          <w:sz w:val="20"/>
          <w:szCs w:val="20"/>
          <w:color w:val="auto"/>
        </w:rPr>
      </w:pPr>
      <w:r>
        <w:rPr>
          <w:rFonts w:ascii="Arial" w:cs="Arial" w:eastAsia="Arial" w:hAnsi="Arial"/>
          <w:sz w:val="17"/>
          <w:szCs w:val="17"/>
          <w:b w:val="1"/>
          <w:bCs w:val="1"/>
          <w:color w:val="auto"/>
        </w:rPr>
        <w:t xml:space="preserve">THIS AMENDMENT NO.2 </w:t>
      </w:r>
      <w:r>
        <w:rPr>
          <w:rFonts w:ascii="Arial" w:cs="Arial" w:eastAsia="Arial" w:hAnsi="Arial"/>
          <w:sz w:val="17"/>
          <w:szCs w:val="17"/>
          <w:color w:val="auto"/>
        </w:rPr>
        <w:t>(the “Amendment”) to the Employment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U.S. Century Bank, a Florida-chartered commercial bank (the “Bank” or the “Employer”), and Luis de la Aguilera (the “Executive”) dated April 16, 2016 (the “Agreement”), is hereby effective as of April 30, 2019 (“Amendment Effective Date”).</w:t>
      </w:r>
    </w:p>
    <w:p>
      <w:pPr>
        <w:spacing w:after="0" w:line="16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Executive is presently employed as the Chief Executive Officer of the</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Bank;</w:t>
      </w:r>
    </w:p>
    <w:p>
      <w:pPr>
        <w:spacing w:after="0" w:line="171" w:lineRule="exact"/>
        <w:rPr>
          <w:sz w:val="20"/>
          <w:szCs w:val="20"/>
          <w:color w:val="auto"/>
        </w:rPr>
      </w:pPr>
    </w:p>
    <w:p>
      <w:pPr>
        <w:jc w:val="both"/>
        <w:ind w:left="1180" w:right="1179" w:firstLine="512"/>
        <w:spacing w:after="0" w:line="34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Bank and the Executive previously entered into the Agreement, as</w:t>
      </w:r>
      <w:r>
        <w:rPr>
          <w:rFonts w:ascii="Arial" w:cs="Arial" w:eastAsia="Arial" w:hAnsi="Arial"/>
          <w:sz w:val="15"/>
          <w:szCs w:val="15"/>
          <w:b w:val="1"/>
          <w:bCs w:val="1"/>
          <w:color w:val="auto"/>
        </w:rPr>
        <w:t xml:space="preserve"> </w:t>
      </w:r>
      <w:r>
        <w:rPr>
          <w:rFonts w:ascii="Arial" w:cs="Arial" w:eastAsia="Arial" w:hAnsi="Arial"/>
          <w:sz w:val="15"/>
          <w:szCs w:val="15"/>
          <w:color w:val="auto"/>
        </w:rPr>
        <w:t>amended pursuant to the terms of the First Amendment to the Agreement dated as of April 4, 2019;</w:t>
      </w:r>
    </w:p>
    <w:p>
      <w:pPr>
        <w:spacing w:after="0" w:line="97" w:lineRule="exact"/>
        <w:rPr>
          <w:sz w:val="20"/>
          <w:szCs w:val="20"/>
          <w:color w:val="auto"/>
        </w:rPr>
      </w:pPr>
    </w:p>
    <w:p>
      <w:pPr>
        <w:jc w:val="both"/>
        <w:ind w:left="1180" w:right="1199" w:firstLine="512"/>
        <w:spacing w:after="0" w:line="26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upon consideration, the Bank and the Executive wish to adopt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mutually agreed revisions to the Agreement;</w:t>
      </w:r>
    </w:p>
    <w:p>
      <w:pPr>
        <w:spacing w:after="0" w:line="154" w:lineRule="exact"/>
        <w:rPr>
          <w:sz w:val="20"/>
          <w:szCs w:val="20"/>
          <w:color w:val="auto"/>
        </w:rPr>
      </w:pPr>
    </w:p>
    <w:p>
      <w:pPr>
        <w:jc w:val="both"/>
        <w:ind w:left="1180" w:right="1179" w:firstLine="512"/>
        <w:spacing w:after="0" w:line="26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Bank desires to be ensured of the Executive’s continued active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business of the Employer under such revised terms; and</w:t>
      </w:r>
    </w:p>
    <w:p>
      <w:pPr>
        <w:spacing w:after="0" w:line="154" w:lineRule="exact"/>
        <w:rPr>
          <w:sz w:val="20"/>
          <w:szCs w:val="20"/>
          <w:color w:val="auto"/>
        </w:rPr>
      </w:pPr>
    </w:p>
    <w:p>
      <w:pPr>
        <w:jc w:val="both"/>
        <w:ind w:left="1180" w:right="1179" w:firstLine="512"/>
        <w:spacing w:after="0" w:line="26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Executive is willing to serve the Employer on the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the Agreement, as amended by this Amendment.</w:t>
      </w:r>
    </w:p>
    <w:p>
      <w:pPr>
        <w:spacing w:after="0" w:line="154" w:lineRule="exact"/>
        <w:rPr>
          <w:sz w:val="20"/>
          <w:szCs w:val="20"/>
          <w:color w:val="auto"/>
        </w:rPr>
      </w:pPr>
    </w:p>
    <w:p>
      <w:pPr>
        <w:jc w:val="both"/>
        <w:ind w:left="1180" w:right="1179" w:firstLine="512"/>
        <w:spacing w:after="0" w:line="348"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premises and the mutual agreements herein</w:t>
      </w:r>
      <w:r>
        <w:rPr>
          <w:rFonts w:ascii="Arial" w:cs="Arial" w:eastAsia="Arial" w:hAnsi="Arial"/>
          <w:sz w:val="15"/>
          <w:szCs w:val="15"/>
          <w:b w:val="1"/>
          <w:bCs w:val="1"/>
          <w:color w:val="auto"/>
        </w:rPr>
        <w:t xml:space="preserve"> </w:t>
      </w:r>
      <w:r>
        <w:rPr>
          <w:rFonts w:ascii="Arial" w:cs="Arial" w:eastAsia="Arial" w:hAnsi="Arial"/>
          <w:sz w:val="15"/>
          <w:szCs w:val="15"/>
          <w:color w:val="auto"/>
        </w:rPr>
        <w:t>contained, the Employer and the Executive do hereby agree to amend the Agreement as follows:</w:t>
      </w:r>
    </w:p>
    <w:p>
      <w:pPr>
        <w:spacing w:after="0" w:line="91" w:lineRule="exact"/>
        <w:rPr>
          <w:sz w:val="20"/>
          <w:szCs w:val="20"/>
          <w:color w:val="auto"/>
        </w:rPr>
      </w:pPr>
    </w:p>
    <w:p>
      <w:pPr>
        <w:ind w:left="2200" w:right="1179" w:hanging="513"/>
        <w:spacing w:after="0" w:line="274" w:lineRule="auto"/>
        <w:tabs>
          <w:tab w:leader="none" w:pos="22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Section 2(a) of the Agreement be and hereby is rescinded and deleted and replaced in its entirety by the following:</w:t>
      </w:r>
    </w:p>
    <w:p>
      <w:pPr>
        <w:spacing w:after="0" w:line="151" w:lineRule="exact"/>
        <w:rPr>
          <w:rFonts w:ascii="Arial" w:cs="Arial" w:eastAsia="Arial" w:hAnsi="Arial"/>
          <w:sz w:val="17"/>
          <w:szCs w:val="17"/>
          <w:color w:val="auto"/>
        </w:rPr>
      </w:pPr>
    </w:p>
    <w:p>
      <w:pPr>
        <w:jc w:val="both"/>
        <w:ind w:left="2200" w:right="1179"/>
        <w:spacing w:after="0" w:line="276" w:lineRule="auto"/>
        <w:rPr>
          <w:rFonts w:ascii="Arial" w:cs="Arial" w:eastAsia="Arial" w:hAnsi="Arial"/>
          <w:sz w:val="17"/>
          <w:szCs w:val="17"/>
          <w:color w:val="auto"/>
        </w:rPr>
      </w:pPr>
      <w:r>
        <w:rPr>
          <w:rFonts w:ascii="Arial" w:cs="Arial" w:eastAsia="Arial" w:hAnsi="Arial"/>
          <w:sz w:val="15"/>
          <w:szCs w:val="15"/>
          <w:color w:val="auto"/>
        </w:rPr>
        <w:t>(a) The Bank hereby employs the Executive as Chief Executive Officer and the Executive hereby accepts said employment and agrees to render such services to the Employer on the terms and conditions set forth in this Agreement. The term of employment under this Agreement shall be for a term ending April 30, 2022 (the “Initial Amended Term”). Prior to April 30, 2021 (the “Extension Anniversary Date”) and each annual anniversary thereafter of the Extension Anniversary Date, the Board of Directors of the Bank shall consider and review (with appropriate corporate documentation thereof, and after taking into account all relevant factors, including the Executive’s performance hereunder) a one-year extension of the term of this Agreement. If the Board of Directors approves such extension, then the term of this Agreement shall be so extended as of the relevant annual anniversary of the Extension Anniversary Date unless the Executive gives written notice to the Employer of the Executive’s election not to extend the term, with such written notice to be given not less than thirty (30) days prior to any such relevant annual anniversary of the Extension Anniversary Date. If the Board of Directors elects not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019"/>
          </w:cols>
          <w:pgMar w:left="1440" w:top="491" w:right="1440" w:bottom="1440" w:gutter="0" w:footer="0" w:header="0"/>
        </w:sectPr>
      </w:pPr>
    </w:p>
    <w:bookmarkStart w:id="129" w:name="page130"/>
    <w:bookmarkEnd w:id="129"/>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2200" w:right="1179"/>
        <w:spacing w:after="0" w:line="262" w:lineRule="auto"/>
        <w:rPr>
          <w:sz w:val="20"/>
          <w:szCs w:val="20"/>
          <w:color w:val="auto"/>
        </w:rPr>
      </w:pPr>
      <w:r>
        <w:rPr>
          <w:rFonts w:ascii="Arial" w:cs="Arial" w:eastAsia="Arial" w:hAnsi="Arial"/>
          <w:sz w:val="16"/>
          <w:szCs w:val="16"/>
          <w:color w:val="auto"/>
        </w:rPr>
        <w:t>to extend the term, it shall give written notice of such decision to the Executive not less than thirty (30) days prior to any such annual anniversary of the Extension Anniversary Date. If any party gives timely notice that the term will not be extended as of any annual anniversary of the Extension Anniversary Date, then this Agreement and the rights and obligations provided herein shall terminate at the conclusion of its remaining term, except to the extent set forth in Section 7. References herein to the term of this Agreement shall refer both to the Initial Amended Term and successive terms as the term of this Agreement is extended in accordance with the terms hereof.</w:t>
      </w:r>
    </w:p>
    <w:p>
      <w:pPr>
        <w:spacing w:after="0" w:line="155" w:lineRule="exact"/>
        <w:rPr>
          <w:sz w:val="20"/>
          <w:szCs w:val="20"/>
          <w:color w:val="auto"/>
        </w:rPr>
      </w:pPr>
    </w:p>
    <w:p>
      <w:pPr>
        <w:ind w:left="2200" w:right="1199" w:hanging="513"/>
        <w:spacing w:after="0" w:line="274" w:lineRule="auto"/>
        <w:tabs>
          <w:tab w:leader="none" w:pos="22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Section 3(a) be and hereby is amended to delete the reference to “$350,000” and replace such reference with “$450,000”.</w:t>
      </w:r>
    </w:p>
    <w:p>
      <w:pPr>
        <w:spacing w:after="0" w:line="151" w:lineRule="exact"/>
        <w:rPr>
          <w:rFonts w:ascii="Arial" w:cs="Arial" w:eastAsia="Arial" w:hAnsi="Arial"/>
          <w:sz w:val="17"/>
          <w:szCs w:val="17"/>
          <w:color w:val="auto"/>
        </w:rPr>
      </w:pPr>
    </w:p>
    <w:p>
      <w:pPr>
        <w:ind w:left="2200" w:hanging="513"/>
        <w:spacing w:after="0"/>
        <w:tabs>
          <w:tab w:leader="none" w:pos="22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new Section 3(g) is added which reads in its entirety as follows:</w:t>
      </w:r>
    </w:p>
    <w:p>
      <w:pPr>
        <w:spacing w:after="0" w:line="188" w:lineRule="exact"/>
        <w:rPr>
          <w:rFonts w:ascii="Arial" w:cs="Arial" w:eastAsia="Arial" w:hAnsi="Arial"/>
          <w:sz w:val="17"/>
          <w:szCs w:val="17"/>
          <w:color w:val="auto"/>
        </w:rPr>
      </w:pPr>
    </w:p>
    <w:p>
      <w:pPr>
        <w:jc w:val="both"/>
        <w:ind w:left="2200" w:right="1179" w:hanging="1"/>
        <w:spacing w:after="0" w:line="277" w:lineRule="auto"/>
        <w:tabs>
          <w:tab w:leader="none" w:pos="2483"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Board of Directors will grant to the Executive (pursuant to a written grant agreement) nonqualified stock options to purchase two hundred thousand (200,000) shares of common stock of the Bank, with an exercise price of two dollars and twenty-seven cents ($2.27) per share (which is the fair market value per share) (the “Option Grant”), with such options to be designed in a manner to cause them to be exempt from Section 409A of the Internal Revenue Code under Section 1.409A-1(b)(5)(i)(A) of the United States Department of the Treasury Regulations. This grant shall vest as follows: options covering 66,666 shares of common stock of the Bank shall vest on April 1, 2021; and options covering 66,667 shares of common stock of the Bank shall vest on April 1, 2022. Options may be exercised after they become vested and prior to the expiration of the options, provided such exercise does not constitute an “ownership change” for the Bank within the meaning of Section 382 of the Code. In addition to the other vesting dates/events set forth in such grant, such Option Grant shall provide for accelerated vesting upon a Change in Control. The other terms of the Option Grant award shall comply with the Bank’s 2015 Equity Incentive Plan.</w:t>
      </w:r>
    </w:p>
    <w:p>
      <w:pPr>
        <w:spacing w:after="0" w:line="154" w:lineRule="exact"/>
        <w:rPr>
          <w:rFonts w:ascii="Arial" w:cs="Arial" w:eastAsia="Arial" w:hAnsi="Arial"/>
          <w:sz w:val="15"/>
          <w:szCs w:val="15"/>
          <w:color w:val="auto"/>
        </w:rPr>
      </w:pPr>
    </w:p>
    <w:p>
      <w:pPr>
        <w:ind w:left="2200" w:right="1179" w:hanging="513"/>
        <w:spacing w:after="0" w:line="274" w:lineRule="auto"/>
        <w:tabs>
          <w:tab w:leader="none" w:pos="22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Section 5(f) be and hereby is rescinded and deleted and is replaced in its entirety by the following:</w:t>
      </w:r>
    </w:p>
    <w:p>
      <w:pPr>
        <w:spacing w:after="0" w:line="140" w:lineRule="exact"/>
        <w:rPr>
          <w:rFonts w:ascii="Arial" w:cs="Arial" w:eastAsia="Arial" w:hAnsi="Arial"/>
          <w:sz w:val="17"/>
          <w:szCs w:val="17"/>
          <w:color w:val="auto"/>
        </w:rPr>
      </w:pPr>
    </w:p>
    <w:p>
      <w:pPr>
        <w:jc w:val="both"/>
        <w:ind w:left="2200" w:right="1179" w:hanging="1"/>
        <w:spacing w:after="0" w:line="278" w:lineRule="auto"/>
        <w:tabs>
          <w:tab w:leader="none" w:pos="2413" w:val="left"/>
        </w:tabs>
        <w:numPr>
          <w:ilvl w:val="1"/>
          <w:numId w:val="95"/>
        </w:numPr>
        <w:rPr>
          <w:rFonts w:ascii="Arial" w:cs="Arial" w:eastAsia="Arial" w:hAnsi="Arial"/>
          <w:sz w:val="15"/>
          <w:szCs w:val="15"/>
          <w:color w:val="auto"/>
        </w:rPr>
      </w:pPr>
      <w:r>
        <w:rPr>
          <w:rFonts w:ascii="Arial" w:cs="Arial" w:eastAsia="Arial" w:hAnsi="Arial"/>
          <w:sz w:val="15"/>
          <w:szCs w:val="15"/>
          <w:color w:val="auto"/>
        </w:rPr>
        <w:t>In the event that concurrently with or within twelve (12) months subsequent to a Change in Control the Executive's employment is terminated by (i) the Employer for other than Cause, Disability, Retirement or the Executive's death during the term of this Agreement or (ii) the Executive for Good Reason during the term of this Agreement, then the Employer shall, in consideration of the Executive's agreements in Section 7 below and subject to the provisions of Sections 5(g), 5(h), 6, 18 and 19 hereof, if applicable, pay to the Executive a Cash severance amount (the "Enhanced Severance Payment") equal to 2.99 times the Executive's "Highest Annual Compensation" (as such term is defined herein). For purposes hereof, "Highest Annual Compensation" shall mean the highest aggregate amount of Base Salary and cash bonus received by the Executive in a given calendar year from the Bank (excluding any deferred amounts) during the most recent three calendar years immediately preceding the year in which the Date of Termination occurs. The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9019"/>
          </w:cols>
          <w:pgMar w:left="1440" w:top="491" w:right="1440" w:bottom="1440" w:gutter="0" w:footer="0" w:header="0"/>
        </w:sectPr>
      </w:pPr>
    </w:p>
    <w:bookmarkStart w:id="130" w:name="page131"/>
    <w:bookmarkEnd w:id="130"/>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2200" w:right="1179"/>
        <w:spacing w:after="0" w:line="275" w:lineRule="auto"/>
        <w:rPr>
          <w:sz w:val="20"/>
          <w:szCs w:val="20"/>
          <w:color w:val="auto"/>
        </w:rPr>
      </w:pPr>
      <w:r>
        <w:rPr>
          <w:rFonts w:ascii="Arial" w:cs="Arial" w:eastAsia="Arial" w:hAnsi="Arial"/>
          <w:sz w:val="15"/>
          <w:szCs w:val="15"/>
          <w:color w:val="auto"/>
        </w:rPr>
        <w:t>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 expiration of the Restricted Period as set forth in Section 7 hereof. In addition, the Executive shall receive continued medical and dental benefits as provided by the Bank from time to time for its employees, with the Bank paying 100% of the premiums for such coverage, for the period of time equal to the shorter of eighteen</w:t>
      </w:r>
    </w:p>
    <w:p>
      <w:pPr>
        <w:spacing w:after="0" w:line="1" w:lineRule="exact"/>
        <w:rPr>
          <w:sz w:val="20"/>
          <w:szCs w:val="20"/>
          <w:color w:val="auto"/>
        </w:rPr>
      </w:pPr>
    </w:p>
    <w:p>
      <w:pPr>
        <w:jc w:val="both"/>
        <w:ind w:left="2200" w:right="1179"/>
        <w:spacing w:after="0" w:line="257" w:lineRule="auto"/>
        <w:rPr>
          <w:sz w:val="20"/>
          <w:szCs w:val="20"/>
          <w:color w:val="auto"/>
        </w:rPr>
      </w:pPr>
      <w:r>
        <w:rPr>
          <w:rFonts w:ascii="Arial" w:cs="Arial" w:eastAsia="Arial" w:hAnsi="Arial"/>
          <w:sz w:val="16"/>
          <w:szCs w:val="16"/>
          <w:color w:val="auto"/>
        </w:rPr>
        <w:t>(18) months or the maximum period of COBRA continuation coverage provided under Section 4980B(f) of the Code (with such coverage to be treated as COBRA coverage). If the Bank's payment of COBRA premiums on behalf of the Executive is taxable to the Executive, then the Bank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15th following the close of the calendar year in which the COBRA premiums were paid. Except as provided herein, the Enhanced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173" w:lineRule="exact"/>
        <w:rPr>
          <w:sz w:val="20"/>
          <w:szCs w:val="20"/>
          <w:color w:val="auto"/>
        </w:rPr>
      </w:pPr>
    </w:p>
    <w:p>
      <w:pPr>
        <w:ind w:left="2200" w:right="1199" w:hanging="513"/>
        <w:spacing w:after="0" w:line="274" w:lineRule="auto"/>
        <w:tabs>
          <w:tab w:leader="none" w:pos="22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All other sections and provisions in the Agreement shall continue in full force and effect and are not affected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9019"/>
          </w:cols>
          <w:pgMar w:left="1440" w:top="491" w:right="1440" w:bottom="1440" w:gutter="0" w:footer="0" w:header="0"/>
        </w:sectPr>
      </w:pPr>
    </w:p>
    <w:bookmarkStart w:id="131" w:name="page132"/>
    <w:bookmarkEnd w:id="131"/>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ind w:left="1180" w:right="1179" w:firstLine="512"/>
        <w:spacing w:after="0" w:line="279"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Amendment No. 2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9019"/>
          </w:cols>
          <w:pgMar w:left="1440" w:top="491" w:right="1440" w:bottom="1440" w:gutter="0" w:footer="0" w:header="0"/>
        </w:sectPr>
      </w:pPr>
    </w:p>
    <w:bookmarkStart w:id="132" w:name="page133"/>
    <w:bookmarkEnd w:id="132"/>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ind w:left="6960"/>
        <w:spacing w:after="0"/>
        <w:rPr>
          <w:sz w:val="20"/>
          <w:szCs w:val="20"/>
          <w:color w:val="auto"/>
        </w:rPr>
      </w:pPr>
      <w:r>
        <w:rPr>
          <w:rFonts w:ascii="Arial" w:cs="Arial" w:eastAsia="Arial" w:hAnsi="Arial"/>
          <w:sz w:val="15"/>
          <w:szCs w:val="15"/>
          <w:b w:val="1"/>
          <w:bCs w:val="1"/>
          <w:color w:val="auto"/>
        </w:rPr>
        <w:t>Exhibit 10.5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03" w:lineRule="exact"/>
        <w:rPr>
          <w:sz w:val="20"/>
          <w:szCs w:val="20"/>
          <w:color w:val="auto"/>
        </w:rPr>
      </w:pPr>
    </w:p>
    <w:p>
      <w:pPr>
        <w:jc w:val="both"/>
        <w:ind w:left="1180" w:right="1179" w:firstLine="512"/>
        <w:spacing w:after="0" w:line="278" w:lineRule="auto"/>
        <w:rPr>
          <w:sz w:val="20"/>
          <w:szCs w:val="20"/>
          <w:color w:val="auto"/>
        </w:rPr>
      </w:pPr>
      <w:r>
        <w:rPr>
          <w:rFonts w:ascii="Arial" w:cs="Arial" w:eastAsia="Arial" w:hAnsi="Arial"/>
          <w:sz w:val="16"/>
          <w:szCs w:val="16"/>
          <w:color w:val="auto"/>
        </w:rPr>
        <w:t>This EMPLOYMENT AGREEMENT (this “Agreement”) is made and entered into as of September 11, 2020 (the “Effective Date”), between U.S. Century Bank, a Florida-chartered commercial bank (the “Bank” or the “Employer”), and Robert Anderson (the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p>
    <w:p>
      <w:pPr>
        <w:spacing w:after="0" w:line="193" w:lineRule="exact"/>
        <w:rPr>
          <w:sz w:val="20"/>
          <w:szCs w:val="20"/>
          <w:color w:val="auto"/>
        </w:rPr>
      </w:pPr>
    </w:p>
    <w:p>
      <w:pPr>
        <w:jc w:val="both"/>
        <w:ind w:left="1180" w:right="1199" w:firstLine="512"/>
        <w:spacing w:after="0" w:line="274" w:lineRule="auto"/>
        <w:rPr>
          <w:sz w:val="20"/>
          <w:szCs w:val="20"/>
          <w:color w:val="auto"/>
        </w:rPr>
      </w:pPr>
      <w:r>
        <w:rPr>
          <w:rFonts w:ascii="Arial" w:cs="Arial" w:eastAsia="Arial" w:hAnsi="Arial"/>
          <w:sz w:val="17"/>
          <w:szCs w:val="17"/>
          <w:color w:val="auto"/>
        </w:rPr>
        <w:t>WHEREAS, the Bank desires to employ the Executive as Executive Vice President and Chief Financial Officer;</w:t>
      </w:r>
    </w:p>
    <w:p>
      <w:pPr>
        <w:spacing w:after="0" w:line="151" w:lineRule="exact"/>
        <w:rPr>
          <w:sz w:val="20"/>
          <w:szCs w:val="20"/>
          <w:color w:val="auto"/>
        </w:rPr>
      </w:pPr>
    </w:p>
    <w:p>
      <w:pPr>
        <w:jc w:val="both"/>
        <w:ind w:left="1180" w:right="1179" w:firstLine="512"/>
        <w:spacing w:after="0" w:line="261" w:lineRule="auto"/>
        <w:rPr>
          <w:sz w:val="20"/>
          <w:szCs w:val="20"/>
          <w:color w:val="auto"/>
        </w:rPr>
      </w:pPr>
      <w:r>
        <w:rPr>
          <w:rFonts w:ascii="Arial" w:cs="Arial" w:eastAsia="Arial" w:hAnsi="Arial"/>
          <w:sz w:val="17"/>
          <w:szCs w:val="17"/>
          <w:color w:val="auto"/>
        </w:rPr>
        <w:t>WHEREAS, the Employer desires to be ensured of the Executive’s active participation in the business of the Employer; and</w:t>
      </w:r>
    </w:p>
    <w:p>
      <w:pPr>
        <w:spacing w:after="0" w:line="162" w:lineRule="exact"/>
        <w:rPr>
          <w:sz w:val="20"/>
          <w:szCs w:val="20"/>
          <w:color w:val="auto"/>
        </w:rPr>
      </w:pPr>
    </w:p>
    <w:p>
      <w:pPr>
        <w:jc w:val="both"/>
        <w:ind w:left="1180" w:right="1179" w:firstLine="512"/>
        <w:spacing w:after="0" w:line="261" w:lineRule="auto"/>
        <w:rPr>
          <w:sz w:val="20"/>
          <w:szCs w:val="20"/>
          <w:color w:val="auto"/>
        </w:rPr>
      </w:pPr>
      <w:r>
        <w:rPr>
          <w:rFonts w:ascii="Arial" w:cs="Arial" w:eastAsia="Arial" w:hAnsi="Arial"/>
          <w:sz w:val="17"/>
          <w:szCs w:val="17"/>
          <w:color w:val="auto"/>
        </w:rPr>
        <w:t>WHEREAS, the Executive is willing to serve the Bank on the terms and conditions hereinafter set forth.</w:t>
      </w:r>
    </w:p>
    <w:p>
      <w:pPr>
        <w:spacing w:after="0" w:line="162" w:lineRule="exact"/>
        <w:rPr>
          <w:sz w:val="20"/>
          <w:szCs w:val="20"/>
          <w:color w:val="auto"/>
        </w:rPr>
      </w:pPr>
    </w:p>
    <w:p>
      <w:pPr>
        <w:jc w:val="both"/>
        <w:ind w:left="1180" w:right="1179" w:firstLine="512"/>
        <w:spacing w:after="0" w:line="255" w:lineRule="auto"/>
        <w:rPr>
          <w:sz w:val="20"/>
          <w:szCs w:val="20"/>
          <w:color w:val="auto"/>
        </w:rPr>
      </w:pPr>
      <w:r>
        <w:rPr>
          <w:rFonts w:ascii="Arial" w:cs="Arial" w:eastAsia="Arial" w:hAnsi="Arial"/>
          <w:sz w:val="17"/>
          <w:szCs w:val="17"/>
          <w:color w:val="auto"/>
        </w:rPr>
        <w:t>NOW THEREFORE, in consideration of the mutual agreements herein contained, and upon the other terms and conditions hereinafter provided, the Employer and the Executive hereby agree as follows:</w:t>
      </w:r>
    </w:p>
    <w:p>
      <w:pPr>
        <w:spacing w:after="0" w:line="162" w:lineRule="exact"/>
        <w:rPr>
          <w:sz w:val="20"/>
          <w:szCs w:val="20"/>
          <w:color w:val="auto"/>
        </w:rPr>
      </w:pPr>
    </w:p>
    <w:p>
      <w:pPr>
        <w:ind w:left="1180" w:right="1179" w:firstLine="507"/>
        <w:spacing w:after="0" w:line="266" w:lineRule="auto"/>
        <w:tabs>
          <w:tab w:leader="none" w:pos="2204"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The following words and terms shall have the meanings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below for the purposes of this Agreement:</w:t>
      </w:r>
    </w:p>
    <w:p>
      <w:pPr>
        <w:spacing w:after="0" w:line="154" w:lineRule="exact"/>
        <w:rPr>
          <w:sz w:val="20"/>
          <w:szCs w:val="20"/>
          <w:color w:val="auto"/>
        </w:rPr>
      </w:pPr>
    </w:p>
    <w:p>
      <w:pPr>
        <w:ind w:left="2200" w:hanging="513"/>
        <w:spacing w:after="0"/>
        <w:tabs>
          <w:tab w:leader="none" w:pos="2200" w:val="left"/>
        </w:tabs>
        <w:numPr>
          <w:ilvl w:val="0"/>
          <w:numId w:val="98"/>
        </w:numPr>
        <w:rPr>
          <w:rFonts w:ascii="Arial" w:cs="Arial" w:eastAsia="Arial" w:hAnsi="Arial"/>
          <w:sz w:val="15"/>
          <w:szCs w:val="15"/>
          <w:color w:val="auto"/>
        </w:rPr>
      </w:pPr>
      <w:r>
        <w:rPr>
          <w:rFonts w:ascii="Arial" w:cs="Arial" w:eastAsia="Arial" w:hAnsi="Arial"/>
          <w:sz w:val="15"/>
          <w:szCs w:val="15"/>
          <w:b w:val="1"/>
          <w:bCs w:val="1"/>
          <w:color w:val="auto"/>
        </w:rPr>
        <w:t xml:space="preserve">Base Salary. </w:t>
      </w:r>
      <w:r>
        <w:rPr>
          <w:rFonts w:ascii="Arial" w:cs="Arial" w:eastAsia="Arial" w:hAnsi="Arial"/>
          <w:sz w:val="15"/>
          <w:szCs w:val="15"/>
          <w:color w:val="auto"/>
        </w:rPr>
        <w:t>“Base Salary” shall have the meaning set forth in Section 3(a) hereof.</w:t>
      </w:r>
    </w:p>
    <w:p>
      <w:pPr>
        <w:spacing w:after="0" w:line="222" w:lineRule="exact"/>
        <w:rPr>
          <w:rFonts w:ascii="Arial" w:cs="Arial" w:eastAsia="Arial" w:hAnsi="Arial"/>
          <w:sz w:val="15"/>
          <w:szCs w:val="15"/>
          <w:color w:val="auto"/>
        </w:rPr>
      </w:pPr>
    </w:p>
    <w:p>
      <w:pPr>
        <w:jc w:val="both"/>
        <w:ind w:left="1180" w:right="1179" w:firstLine="507"/>
        <w:spacing w:after="0" w:line="276" w:lineRule="auto"/>
        <w:tabs>
          <w:tab w:leader="none" w:pos="2204" w:val="left"/>
        </w:tabs>
        <w:numPr>
          <w:ilvl w:val="0"/>
          <w:numId w:val="98"/>
        </w:numPr>
        <w:rPr>
          <w:rFonts w:ascii="Arial" w:cs="Arial" w:eastAsia="Arial" w:hAnsi="Arial"/>
          <w:sz w:val="15"/>
          <w:szCs w:val="15"/>
          <w:color w:val="auto"/>
        </w:rPr>
      </w:pPr>
      <w:r>
        <w:rPr>
          <w:rFonts w:ascii="Arial" w:cs="Arial" w:eastAsia="Arial" w:hAnsi="Arial"/>
          <w:sz w:val="15"/>
          <w:szCs w:val="15"/>
          <w:b w:val="1"/>
          <w:bCs w:val="1"/>
          <w:color w:val="auto"/>
        </w:rPr>
        <w:t xml:space="preserve">Cause. </w:t>
      </w:r>
      <w:r>
        <w:rPr>
          <w:rFonts w:ascii="Arial" w:cs="Arial" w:eastAsia="Arial" w:hAnsi="Arial"/>
          <w:sz w:val="15"/>
          <w:szCs w:val="15"/>
          <w:color w:val="auto"/>
        </w:rPr>
        <w:t>Termination of the Executive’s employment for “Cause” shall mean</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because of (i) willful misconduct (including but not limited to misappropriation of a material Bank business opportunity, material violation of a confidentiality or non-competition obligation, or abuse of drugs or alcohol that results in the Executive being materially adversely affected in the performance of his duties), or fraud by the Executive; (ii) conviction of (including a plea of guilty or nolo contendere to) a felony which has a material effect on the Bank or the Executive’s performance hereunder; and (iii) the failure to comply with any material obligation imposed upon the Executive pursuant to this Agreement; provided, however, that if such failure under clause (i) or (iii) above is susceptible of cure, “Cause” shall be deemed to exist only after the failure has remained uncured for thirty (30) days following receipt by the Executive of written notice from the Bank of the failure. Notwithstanding the foregoing, if the Executive disagrees with the good faith determination of the Bank that there is no cure after the 30-day cure period, the Executive may request that such determination be submitted to binding arbitration in accordance with Section 20 hereof (with each party responsible for its own fees and costs). If the Executive makes such a request for arbitration, the termination of the Executive shall not become effective unless and until it is upheld by a final decision issued through such arbitration process; provided, that the Bank shall have the right, in its sole discretion, to relieve the Executive of all or any portion of his duties during such arbitration period pending the arbitration decision so long as the Bank continues to pay and provide to the Executive on a timely basis the</w:t>
      </w:r>
    </w:p>
    <w:p>
      <w:pPr>
        <w:sectPr>
          <w:pgSz w:w="11900" w:h="16838" w:orient="portrait"/>
          <w:cols w:equalWidth="0" w:num="1">
            <w:col w:w="9019"/>
          </w:cols>
          <w:pgMar w:left="1440" w:top="491" w:right="1440" w:bottom="1440" w:gutter="0" w:footer="0" w:header="0"/>
        </w:sectPr>
      </w:pPr>
    </w:p>
    <w:bookmarkStart w:id="133" w:name="page134"/>
    <w:bookmarkEnd w:id="133"/>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ind w:left="1180" w:right="1179"/>
        <w:spacing w:after="0" w:line="274" w:lineRule="auto"/>
        <w:rPr>
          <w:sz w:val="20"/>
          <w:szCs w:val="20"/>
          <w:color w:val="auto"/>
        </w:rPr>
      </w:pPr>
      <w:r>
        <w:rPr>
          <w:rFonts w:ascii="Arial" w:cs="Arial" w:eastAsia="Arial" w:hAnsi="Arial"/>
          <w:sz w:val="17"/>
          <w:szCs w:val="17"/>
          <w:color w:val="auto"/>
        </w:rPr>
        <w:t>compensation and benefits that it would otherwise owe to the Executive during such period under this Agreement.</w:t>
      </w:r>
    </w:p>
    <w:p>
      <w:pPr>
        <w:spacing w:after="0" w:line="147" w:lineRule="exact"/>
        <w:rPr>
          <w:sz w:val="20"/>
          <w:szCs w:val="20"/>
          <w:color w:val="auto"/>
        </w:rPr>
      </w:pPr>
    </w:p>
    <w:p>
      <w:pPr>
        <w:ind w:left="1180" w:right="1179" w:firstLine="507"/>
        <w:spacing w:after="0" w:line="266" w:lineRule="auto"/>
        <w:tabs>
          <w:tab w:leader="none" w:pos="2204"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“Change in Control” shall mean (except as provided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the occurrence of an event described in (i), (ii), (iii) or (iv) below:</w:t>
      </w:r>
    </w:p>
    <w:p>
      <w:pPr>
        <w:spacing w:after="0" w:line="136" w:lineRule="exact"/>
        <w:rPr>
          <w:rFonts w:ascii="Arial" w:cs="Arial" w:eastAsia="Arial" w:hAnsi="Arial"/>
          <w:sz w:val="17"/>
          <w:szCs w:val="17"/>
          <w:color w:val="auto"/>
        </w:rPr>
      </w:pPr>
    </w:p>
    <w:p>
      <w:pPr>
        <w:jc w:val="both"/>
        <w:ind w:left="1240" w:right="1179" w:firstLine="959"/>
        <w:spacing w:after="0" w:line="280" w:lineRule="auto"/>
        <w:tabs>
          <w:tab w:leader="none" w:pos="2704" w:val="left"/>
        </w:tabs>
        <w:numPr>
          <w:ilvl w:val="2"/>
          <w:numId w:val="99"/>
        </w:numPr>
        <w:rPr>
          <w:rFonts w:ascii="Arial" w:cs="Arial" w:eastAsia="Arial" w:hAnsi="Arial"/>
          <w:sz w:val="15"/>
          <w:szCs w:val="15"/>
          <w:color w:val="auto"/>
        </w:rPr>
      </w:pPr>
      <w:r>
        <w:rPr>
          <w:rFonts w:ascii="Arial" w:cs="Arial" w:eastAsia="Arial" w:hAnsi="Arial"/>
          <w:sz w:val="15"/>
          <w:szCs w:val="15"/>
          <w:color w:val="auto"/>
        </w:rPr>
        <w:t>Any person or group (within the meaning of Sections 13(d) and 14(d) of the Securities Exchange Act of 1934, as amended (the “Exchange Act”)), other than the Bank, an affiliate of the Bank or a trustee or other fiduciary holding securities under an employee benefit plan of the Bank or a corporation owned directly or indirectly by the stockholders of the Bank in substantially the same proportions as their ownership of stock of the Bank, becomes the beneficial owner (within the meaning of Rule 13(d)(3) under the Exchange Act), directly or indirectly (which shall include securities issuable upon conversion, exchange or otherwise) of securities representing 50% or more of the combined voting power of the Bank’s then-outstanding securities entitled generally to vote for the election of directors;</w:t>
      </w:r>
    </w:p>
    <w:p>
      <w:pPr>
        <w:spacing w:after="0" w:line="120" w:lineRule="exact"/>
        <w:rPr>
          <w:rFonts w:ascii="Arial" w:cs="Arial" w:eastAsia="Arial" w:hAnsi="Arial"/>
          <w:sz w:val="15"/>
          <w:szCs w:val="15"/>
          <w:color w:val="auto"/>
        </w:rPr>
      </w:pPr>
    </w:p>
    <w:p>
      <w:pPr>
        <w:jc w:val="both"/>
        <w:ind w:left="1180" w:right="1179" w:firstLine="948"/>
        <w:spacing w:after="0" w:line="264" w:lineRule="auto"/>
        <w:tabs>
          <w:tab w:leader="none" w:pos="2716" w:val="left"/>
        </w:tabs>
        <w:numPr>
          <w:ilvl w:val="1"/>
          <w:numId w:val="99"/>
        </w:numPr>
        <w:rPr>
          <w:rFonts w:ascii="Arial" w:cs="Arial" w:eastAsia="Arial" w:hAnsi="Arial"/>
          <w:sz w:val="16"/>
          <w:szCs w:val="16"/>
          <w:color w:val="auto"/>
        </w:rPr>
      </w:pPr>
      <w:r>
        <w:rPr>
          <w:rFonts w:ascii="Arial" w:cs="Arial" w:eastAsia="Arial" w:hAnsi="Arial"/>
          <w:sz w:val="16"/>
          <w:szCs w:val="16"/>
          <w:color w:val="auto"/>
        </w:rPr>
        <w:t>Consummation of an agreement to merge or consolidate with another entity (other than a majority-controlled subsidiary of the Bank) unless the Bank’s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40" w:lineRule="exact"/>
        <w:rPr>
          <w:rFonts w:ascii="Arial" w:cs="Arial" w:eastAsia="Arial" w:hAnsi="Arial"/>
          <w:sz w:val="16"/>
          <w:szCs w:val="16"/>
          <w:color w:val="auto"/>
        </w:rPr>
      </w:pPr>
    </w:p>
    <w:p>
      <w:pPr>
        <w:jc w:val="both"/>
        <w:ind w:left="1240" w:right="1159" w:firstLine="959"/>
        <w:spacing w:after="0" w:line="248" w:lineRule="auto"/>
        <w:tabs>
          <w:tab w:leader="none" w:pos="2704" w:val="left"/>
        </w:tabs>
        <w:numPr>
          <w:ilvl w:val="2"/>
          <w:numId w:val="100"/>
        </w:numPr>
        <w:rPr>
          <w:rFonts w:ascii="Arial" w:cs="Arial" w:eastAsia="Arial" w:hAnsi="Arial"/>
          <w:sz w:val="17"/>
          <w:szCs w:val="17"/>
          <w:color w:val="auto"/>
        </w:rPr>
      </w:pPr>
      <w:r>
        <w:rPr>
          <w:rFonts w:ascii="Arial" w:cs="Arial" w:eastAsia="Arial" w:hAnsi="Arial"/>
          <w:sz w:val="17"/>
          <w:szCs w:val="17"/>
          <w:color w:val="auto"/>
        </w:rPr>
        <w:t>Consummation of an agreement (including, without limitation, an agreement of liquidation) to sell or otherwise dispose of all or substantially all of the business or assets of the Bank (or a subsidiary thereof); or</w:t>
      </w:r>
    </w:p>
    <w:p>
      <w:pPr>
        <w:spacing w:after="0" w:line="151" w:lineRule="exact"/>
        <w:rPr>
          <w:rFonts w:ascii="Arial" w:cs="Arial" w:eastAsia="Arial" w:hAnsi="Arial"/>
          <w:sz w:val="17"/>
          <w:szCs w:val="17"/>
          <w:color w:val="auto"/>
        </w:rPr>
      </w:pPr>
    </w:p>
    <w:p>
      <w:pPr>
        <w:jc w:val="both"/>
        <w:ind w:left="1240" w:right="1179" w:firstLine="959"/>
        <w:spacing w:after="0" w:line="264" w:lineRule="auto"/>
        <w:tabs>
          <w:tab w:leader="none" w:pos="2704" w:val="left"/>
        </w:tabs>
        <w:numPr>
          <w:ilvl w:val="2"/>
          <w:numId w:val="100"/>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Bank (the “Incumbent Board”) cease for any reason to constitute at least a majority of the Board, provided that any person becoming a director subsequent to the date hereof whose election or nomination for election by the stockholders is approved by a vote of at least a majority of directors then constituting the Incumbent Board shall be, for purposes of this Agreement, considered as though such person were a member of the Incumbent Board.</w:t>
      </w:r>
    </w:p>
    <w:p>
      <w:pPr>
        <w:spacing w:after="0" w:line="130" w:lineRule="exact"/>
        <w:rPr>
          <w:sz w:val="20"/>
          <w:szCs w:val="20"/>
          <w:color w:val="auto"/>
        </w:rPr>
      </w:pPr>
    </w:p>
    <w:p>
      <w:pPr>
        <w:jc w:val="both"/>
        <w:ind w:left="1180" w:right="1179" w:firstLine="512"/>
        <w:spacing w:after="0" w:line="255" w:lineRule="auto"/>
        <w:rPr>
          <w:sz w:val="20"/>
          <w:szCs w:val="20"/>
          <w:color w:val="auto"/>
        </w:rPr>
      </w:pPr>
      <w:r>
        <w:rPr>
          <w:rFonts w:ascii="Arial" w:cs="Arial" w:eastAsia="Arial" w:hAnsi="Arial"/>
          <w:sz w:val="17"/>
          <w:szCs w:val="17"/>
          <w:color w:val="auto"/>
        </w:rPr>
        <w:t>Notwithstanding the foregoing, no event shall constitute a Change in Control unless such event shall also constitute a change in control as defined in Section 409A of the Code, as such term is hereinafter defined.</w:t>
      </w:r>
    </w:p>
    <w:p>
      <w:pPr>
        <w:spacing w:after="0" w:line="162" w:lineRule="exact"/>
        <w:rPr>
          <w:sz w:val="20"/>
          <w:szCs w:val="20"/>
          <w:color w:val="auto"/>
        </w:rPr>
      </w:pPr>
    </w:p>
    <w:p>
      <w:pPr>
        <w:ind w:left="2200" w:hanging="513"/>
        <w:spacing w:after="0"/>
        <w:tabs>
          <w:tab w:leader="none" w:pos="2200" w:val="left"/>
        </w:tabs>
        <w:numPr>
          <w:ilvl w:val="1"/>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“Code” shall mean the Internal Revenue Code of 1986, as amended.</w:t>
      </w:r>
    </w:p>
    <w:p>
      <w:pPr>
        <w:spacing w:after="0" w:line="200" w:lineRule="exact"/>
        <w:rPr>
          <w:rFonts w:ascii="Arial" w:cs="Arial" w:eastAsia="Arial" w:hAnsi="Arial"/>
          <w:sz w:val="16"/>
          <w:szCs w:val="16"/>
          <w:color w:val="auto"/>
        </w:rPr>
      </w:pPr>
    </w:p>
    <w:p>
      <w:pPr>
        <w:jc w:val="both"/>
        <w:ind w:left="1180" w:right="1179" w:firstLine="507"/>
        <w:spacing w:after="0" w:line="287" w:lineRule="auto"/>
        <w:tabs>
          <w:tab w:leader="none" w:pos="2204" w:val="left"/>
        </w:tabs>
        <w:numPr>
          <w:ilvl w:val="1"/>
          <w:numId w:val="101"/>
        </w:numPr>
        <w:rPr>
          <w:rFonts w:ascii="Arial" w:cs="Arial" w:eastAsia="Arial" w:hAnsi="Arial"/>
          <w:sz w:val="15"/>
          <w:szCs w:val="15"/>
          <w:color w:val="auto"/>
        </w:rPr>
      </w:pPr>
      <w:r>
        <w:rPr>
          <w:rFonts w:ascii="Arial" w:cs="Arial" w:eastAsia="Arial" w:hAnsi="Arial"/>
          <w:sz w:val="15"/>
          <w:szCs w:val="15"/>
          <w:b w:val="1"/>
          <w:bCs w:val="1"/>
          <w:color w:val="auto"/>
        </w:rPr>
        <w:t xml:space="preserve">Date of Termination. </w:t>
      </w:r>
      <w:r>
        <w:rPr>
          <w:rFonts w:ascii="Arial" w:cs="Arial" w:eastAsia="Arial" w:hAnsi="Arial"/>
          <w:sz w:val="15"/>
          <w:szCs w:val="15"/>
          <w:color w:val="auto"/>
        </w:rPr>
        <w:t>“Date of Termination” shall mean (i) if the Executive’s</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is terminated for Cause, the date on which the Notice of Termination is given, and</w:t>
      </w:r>
    </w:p>
    <w:p>
      <w:pPr>
        <w:ind w:left="1420" w:hanging="245"/>
        <w:spacing w:after="0"/>
        <w:tabs>
          <w:tab w:leader="none" w:pos="14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if the Executive’s employment is terminated for any other reason, the date specified in such</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Notice of Termination.</w:t>
      </w:r>
    </w:p>
    <w:p>
      <w:pPr>
        <w:spacing w:after="0" w:line="171" w:lineRule="exact"/>
        <w:rPr>
          <w:sz w:val="20"/>
          <w:szCs w:val="20"/>
          <w:color w:val="auto"/>
        </w:rPr>
      </w:pPr>
    </w:p>
    <w:p>
      <w:pPr>
        <w:jc w:val="both"/>
        <w:ind w:left="1180" w:right="1179" w:firstLine="507"/>
        <w:spacing w:after="0" w:line="307" w:lineRule="auto"/>
        <w:tabs>
          <w:tab w:leader="none" w:pos="2204"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 xml:space="preserve">Disability. </w:t>
      </w:r>
      <w:r>
        <w:rPr>
          <w:rFonts w:ascii="Arial" w:cs="Arial" w:eastAsia="Arial" w:hAnsi="Arial"/>
          <w:sz w:val="15"/>
          <w:szCs w:val="15"/>
          <w:color w:val="auto"/>
        </w:rPr>
        <w:t>“Disability” shall mean the Executive (i) is unable to engage in any</w:t>
      </w:r>
      <w:r>
        <w:rPr>
          <w:rFonts w:ascii="Arial" w:cs="Arial" w:eastAsia="Arial" w:hAnsi="Arial"/>
          <w:sz w:val="15"/>
          <w:szCs w:val="15"/>
          <w:b w:val="1"/>
          <w:bCs w:val="1"/>
          <w:color w:val="auto"/>
        </w:rPr>
        <w:t xml:space="preserve"> </w:t>
      </w:r>
      <w:r>
        <w:rPr>
          <w:rFonts w:ascii="Arial" w:cs="Arial" w:eastAsia="Arial" w:hAnsi="Arial"/>
          <w:sz w:val="15"/>
          <w:szCs w:val="15"/>
          <w:color w:val="auto"/>
        </w:rPr>
        <w:t>substantial gainful activity by reason of any medically determinable physical or mental impairment which can be expected to result in death or can be expected to last for a continuous period of not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491" w:right="1440" w:bottom="1440" w:gutter="0" w:footer="0" w:header="0"/>
        </w:sectPr>
      </w:pPr>
    </w:p>
    <w:bookmarkStart w:id="134" w:name="page135"/>
    <w:bookmarkEnd w:id="134"/>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97" w:lineRule="auto"/>
        <w:rPr>
          <w:sz w:val="20"/>
          <w:szCs w:val="20"/>
          <w:color w:val="auto"/>
        </w:rPr>
      </w:pPr>
      <w:r>
        <w:rPr>
          <w:rFonts w:ascii="Arial" w:cs="Arial" w:eastAsia="Arial" w:hAnsi="Arial"/>
          <w:sz w:val="15"/>
          <w:szCs w:val="15"/>
          <w:color w:val="auto"/>
        </w:rPr>
        <w:t>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Employer.</w:t>
      </w:r>
    </w:p>
    <w:p>
      <w:pPr>
        <w:spacing w:after="0" w:line="124" w:lineRule="exact"/>
        <w:rPr>
          <w:sz w:val="20"/>
          <w:szCs w:val="20"/>
          <w:color w:val="auto"/>
        </w:rPr>
      </w:pPr>
    </w:p>
    <w:p>
      <w:pPr>
        <w:ind w:left="1180" w:right="1199" w:firstLine="507"/>
        <w:spacing w:after="0" w:line="279" w:lineRule="auto"/>
        <w:tabs>
          <w:tab w:leader="none" w:pos="2204" w:val="left"/>
        </w:tabs>
        <w:numPr>
          <w:ilvl w:val="1"/>
          <w:numId w:val="104"/>
        </w:numPr>
        <w:rPr>
          <w:rFonts w:ascii="Arial" w:cs="Arial" w:eastAsia="Arial" w:hAnsi="Arial"/>
          <w:sz w:val="17"/>
          <w:szCs w:val="17"/>
          <w:color w:val="auto"/>
        </w:rPr>
      </w:pPr>
      <w:r>
        <w:rPr>
          <w:rFonts w:ascii="Arial" w:cs="Arial" w:eastAsia="Arial" w:hAnsi="Arial"/>
          <w:sz w:val="17"/>
          <w:szCs w:val="17"/>
          <w:b w:val="1"/>
          <w:bCs w:val="1"/>
          <w:color w:val="auto"/>
        </w:rPr>
        <w:t xml:space="preserve">Good Reason. </w:t>
      </w:r>
      <w:r>
        <w:rPr>
          <w:rFonts w:ascii="Arial" w:cs="Arial" w:eastAsia="Arial" w:hAnsi="Arial"/>
          <w:sz w:val="17"/>
          <w:szCs w:val="17"/>
          <w:color w:val="auto"/>
        </w:rPr>
        <w:t>Termination by the Executive of the Executive’s employment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“Good Reason” shall mean termination by the Executive based on:</w:t>
      </w:r>
    </w:p>
    <w:p>
      <w:pPr>
        <w:spacing w:after="0" w:line="146" w:lineRule="exact"/>
        <w:rPr>
          <w:rFonts w:ascii="Arial" w:cs="Arial" w:eastAsia="Arial" w:hAnsi="Arial"/>
          <w:sz w:val="17"/>
          <w:szCs w:val="17"/>
          <w:color w:val="auto"/>
        </w:rPr>
      </w:pPr>
    </w:p>
    <w:p>
      <w:pPr>
        <w:jc w:val="both"/>
        <w:ind w:left="1180" w:right="1179" w:firstLine="1019"/>
        <w:spacing w:after="0" w:line="276" w:lineRule="auto"/>
        <w:tabs>
          <w:tab w:leader="none" w:pos="2716" w:val="left"/>
        </w:tabs>
        <w:numPr>
          <w:ilvl w:val="2"/>
          <w:numId w:val="104"/>
        </w:numPr>
        <w:rPr>
          <w:rFonts w:ascii="Arial" w:cs="Arial" w:eastAsia="Arial" w:hAnsi="Arial"/>
          <w:sz w:val="15"/>
          <w:szCs w:val="15"/>
          <w:color w:val="auto"/>
        </w:rPr>
      </w:pPr>
      <w:r>
        <w:rPr>
          <w:rFonts w:ascii="Arial" w:cs="Arial" w:eastAsia="Arial" w:hAnsi="Arial"/>
          <w:sz w:val="15"/>
          <w:szCs w:val="15"/>
          <w:color w:val="auto"/>
        </w:rPr>
        <w:t>any material breach of this Agreement by the Employer, including without limitation any of the following: (A) a material diminution in the Executive’s base compensation,</w:t>
      </w:r>
    </w:p>
    <w:p>
      <w:pPr>
        <w:spacing w:after="0" w:line="1" w:lineRule="exact"/>
        <w:rPr>
          <w:rFonts w:ascii="Arial" w:cs="Arial" w:eastAsia="Arial" w:hAnsi="Arial"/>
          <w:sz w:val="15"/>
          <w:szCs w:val="15"/>
          <w:color w:val="auto"/>
        </w:rPr>
      </w:pPr>
    </w:p>
    <w:p>
      <w:pPr>
        <w:ind w:left="1480" w:hanging="305"/>
        <w:spacing w:after="0"/>
        <w:tabs>
          <w:tab w:leader="none" w:pos="14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material diminution in the Executive’s authority, duties or responsibilities, or (C) any</w:t>
      </w:r>
    </w:p>
    <w:p>
      <w:pPr>
        <w:spacing w:after="0" w:line="18" w:lineRule="exact"/>
        <w:rPr>
          <w:sz w:val="20"/>
          <w:szCs w:val="20"/>
          <w:color w:val="auto"/>
        </w:rPr>
      </w:pPr>
    </w:p>
    <w:p>
      <w:pPr>
        <w:jc w:val="both"/>
        <w:ind w:left="1180" w:right="1179"/>
        <w:spacing w:after="0" w:line="246" w:lineRule="auto"/>
        <w:rPr>
          <w:sz w:val="20"/>
          <w:szCs w:val="20"/>
          <w:color w:val="auto"/>
        </w:rPr>
      </w:pPr>
      <w:r>
        <w:rPr>
          <w:rFonts w:ascii="Arial" w:cs="Arial" w:eastAsia="Arial" w:hAnsi="Arial"/>
          <w:sz w:val="17"/>
          <w:szCs w:val="17"/>
          <w:color w:val="auto"/>
        </w:rPr>
        <w:t>requirement that the Executive report to a corporate officer or employee of the Bank instead of reporting directly to the President and Chief Executive Officer, other than from time to time with respect to specified matters, or</w:t>
      </w:r>
    </w:p>
    <w:p>
      <w:pPr>
        <w:spacing w:after="0" w:line="164" w:lineRule="exact"/>
        <w:rPr>
          <w:sz w:val="20"/>
          <w:szCs w:val="20"/>
          <w:color w:val="auto"/>
        </w:rPr>
      </w:pPr>
    </w:p>
    <w:p>
      <w:pPr>
        <w:ind w:left="1180" w:right="1179" w:firstLine="1019"/>
        <w:spacing w:after="0" w:line="274" w:lineRule="auto"/>
        <w:tabs>
          <w:tab w:leader="none" w:pos="271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change in excess of twenty-five (25) miles in the geographic location at which the Executive must perform his services under this Agreement;</w:t>
      </w:r>
    </w:p>
    <w:p>
      <w:pPr>
        <w:spacing w:after="0" w:line="151" w:lineRule="exact"/>
        <w:rPr>
          <w:sz w:val="20"/>
          <w:szCs w:val="20"/>
          <w:color w:val="auto"/>
        </w:rPr>
      </w:pPr>
    </w:p>
    <w:p>
      <w:pPr>
        <w:jc w:val="both"/>
        <w:ind w:left="1180" w:right="1179"/>
        <w:spacing w:after="0" w:line="260"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prior to any termination of employment for Good Reason,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must first provide written notice to the Bank within ninety (90) days of the initial existence of the condition, describing the existence of such condition, and the Bank shall thereafter have the right to remedy the condition within thirty (30) days of the date the Bank received the written notice from the Executive. If the Bank remedies the condition within such thirty (30) day cure period, then no Good Reason shall be deemed to exist with respect to such condition. If the Bank does not remedy the condition within such thirty (30) day cure period, then the Executive may deliver a Notice of Termination for Good Reason at any time within sixty (60) days following the expiration of such cure period.</w:t>
      </w:r>
    </w:p>
    <w:p>
      <w:pPr>
        <w:spacing w:after="0" w:line="165" w:lineRule="exact"/>
        <w:rPr>
          <w:sz w:val="20"/>
          <w:szCs w:val="20"/>
          <w:color w:val="auto"/>
        </w:rPr>
      </w:pPr>
    </w:p>
    <w:p>
      <w:pPr>
        <w:jc w:val="both"/>
        <w:ind w:left="1180" w:right="1179" w:firstLine="507"/>
        <w:spacing w:after="0" w:line="259" w:lineRule="auto"/>
        <w:tabs>
          <w:tab w:leader="none" w:pos="2204"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Notice of Termination. </w:t>
      </w:r>
      <w:r>
        <w:rPr>
          <w:rFonts w:ascii="Arial" w:cs="Arial" w:eastAsia="Arial" w:hAnsi="Arial"/>
          <w:sz w:val="16"/>
          <w:szCs w:val="16"/>
          <w:color w:val="auto"/>
        </w:rPr>
        <w:t>Any purported termination of the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by the Employer for any reason, including without limitation for Cause, Disability or Retirement, or by the Executive for any reason, including without limitation for Good Reason, shall be communicated by a written “Notice of Termination” to the other party hereto. For purposes of this Agreement, a “Notice of Termination ” shall mean a dated notice which (i) indicates the specific termination provision in this Agreement relied upon, (ii) sets forth in reasonable detail the facts and circumstances claimed to provide a basis for termination of the Executive’s employment under the provision so indicated, (iii) specifies a Date of Termination, which shall be not less than thirty (30) nor more than ninety (90) days after such Notice of Termination is given, except in the case of the termination of the Executive’s employment for Cause, which shall be effective immediately, and (iv) is given in the manner specified in Section 11 hereof.</w:t>
      </w:r>
    </w:p>
    <w:p>
      <w:pPr>
        <w:spacing w:after="0" w:line="167" w:lineRule="exact"/>
        <w:rPr>
          <w:rFonts w:ascii="Arial" w:cs="Arial" w:eastAsia="Arial" w:hAnsi="Arial"/>
          <w:sz w:val="16"/>
          <w:szCs w:val="16"/>
          <w:color w:val="auto"/>
        </w:rPr>
      </w:pPr>
    </w:p>
    <w:p>
      <w:pPr>
        <w:jc w:val="both"/>
        <w:ind w:left="1180" w:right="1179" w:firstLine="507"/>
        <w:spacing w:after="0" w:line="257" w:lineRule="auto"/>
        <w:tabs>
          <w:tab w:leader="none" w:pos="2204"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“Retirement” shall mean the Executive’s voluntary or involuntary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 as applicable, upon reaching at least age 65, but shall not include an involuntary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491" w:right="1440" w:bottom="1440" w:gutter="0" w:footer="0" w:header="0"/>
        </w:sectPr>
      </w:pPr>
    </w:p>
    <w:bookmarkStart w:id="135" w:name="page136"/>
    <w:bookmarkEnd w:id="135"/>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ind w:left="2200" w:hanging="513"/>
        <w:spacing w:after="0"/>
        <w:tabs>
          <w:tab w:leader="none" w:pos="220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Term of Employment.</w:t>
      </w:r>
    </w:p>
    <w:p>
      <w:pPr>
        <w:spacing w:after="0" w:line="203" w:lineRule="exact"/>
        <w:rPr>
          <w:sz w:val="20"/>
          <w:szCs w:val="20"/>
          <w:color w:val="auto"/>
        </w:rPr>
      </w:pPr>
    </w:p>
    <w:p>
      <w:pPr>
        <w:jc w:val="both"/>
        <w:ind w:left="1180" w:right="1179" w:firstLine="507"/>
        <w:spacing w:after="0" w:line="258" w:lineRule="auto"/>
        <w:tabs>
          <w:tab w:leader="none" w:pos="220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Bank hereby employs the Executive as Executive Vice President and Chief Financial Officer and the Executive hereby accepts said employment and agrees to render such services to the Employer on the terms and conditions set forth in this Agreement. The term of employment under this Agreement shall be for three years beginning on the Effective Date (the “Initial Term”). Not less than sixty (60) days prior to the second annual anniversary of the Effective Date and each annual anniversary thereafter, the Board of Directors of the Bank shall consider and review (with appropriate corporate documentation thereof, and after taking into account all relevant factors, including the Executive’s performance hereunder) a one-year extension of the term of this Agreement. If the Board of Directors approves such an extension, then the term of this Agreement shall be so extended as of the relevant annual anniversary of the Effective Date unless the Executive gives written notice to the Employer of the Executive’s election not to extend the term, with such written notice to be given not less than sixty (60) days prior to any such relevant annual anniversary of the Effective Date. If the Board of Directors elects not to extend the term, it shall give written notice of such decision to the Executive as soon as the decision is made but in no case no less than sixty (60) days prior to any such annual anniversary of the Effective Date. If any party gives timely notice that the term will not be extended as of any annual anniversary of the Effective Date, then this Agreement and the rights and obligations provided herein shall terminate at the conclusion of its remaining term, except to the extent set forth in Section 7. References herein to the term of this Agreement shall refer both to the Initial Term and successive terms.</w:t>
      </w:r>
    </w:p>
    <w:p>
      <w:pPr>
        <w:spacing w:after="0" w:line="173" w:lineRule="exact"/>
        <w:rPr>
          <w:rFonts w:ascii="Arial" w:cs="Arial" w:eastAsia="Arial" w:hAnsi="Arial"/>
          <w:sz w:val="16"/>
          <w:szCs w:val="16"/>
          <w:color w:val="auto"/>
        </w:rPr>
      </w:pPr>
    </w:p>
    <w:p>
      <w:pPr>
        <w:jc w:val="both"/>
        <w:ind w:left="1180" w:right="1179" w:firstLine="507"/>
        <w:spacing w:after="0" w:line="271" w:lineRule="auto"/>
        <w:tabs>
          <w:tab w:leader="none" w:pos="220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During the term of this Agreement, the Executive shall perform such executive services for the Bank as may be consistent with his titles and from time to time assigned to him by the Bank’s Board of Directors and/or the President and Chief Executive Officer.</w:t>
      </w:r>
    </w:p>
    <w:p>
      <w:pPr>
        <w:spacing w:after="0" w:line="155" w:lineRule="exact"/>
        <w:rPr>
          <w:rFonts w:ascii="Arial" w:cs="Arial" w:eastAsia="Arial" w:hAnsi="Arial"/>
          <w:sz w:val="16"/>
          <w:szCs w:val="16"/>
          <w:color w:val="auto"/>
        </w:rPr>
      </w:pPr>
    </w:p>
    <w:p>
      <w:pPr>
        <w:jc w:val="both"/>
        <w:ind w:left="1180" w:right="1179" w:firstLine="507"/>
        <w:spacing w:after="0" w:line="264" w:lineRule="auto"/>
        <w:tabs>
          <w:tab w:leader="none" w:pos="220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Executive represents and warrants that his entering into this Agreement, and his performance of his duties as Executive Vice President and Chief Executive Officer of the Bank, will not breach or give rise to any cause of action against the Executive or the Bank under the terms of any agreements between the Executive and any prior employer (a “Prior Agreement”). The Executive shall comply with any surviving terms of any Prior Agreement, including terms concerning competition, non-solicitation and confidentiality.</w:t>
      </w:r>
    </w:p>
    <w:p>
      <w:pPr>
        <w:spacing w:after="0" w:line="158" w:lineRule="exact"/>
        <w:rPr>
          <w:sz w:val="20"/>
          <w:szCs w:val="20"/>
          <w:color w:val="auto"/>
        </w:rPr>
      </w:pPr>
    </w:p>
    <w:p>
      <w:pPr>
        <w:ind w:left="2200" w:hanging="513"/>
        <w:spacing w:after="0"/>
        <w:tabs>
          <w:tab w:leader="none" w:pos="220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and Benefits.</w:t>
      </w:r>
    </w:p>
    <w:p>
      <w:pPr>
        <w:spacing w:after="0" w:line="203" w:lineRule="exact"/>
        <w:rPr>
          <w:sz w:val="20"/>
          <w:szCs w:val="20"/>
          <w:color w:val="auto"/>
        </w:rPr>
      </w:pPr>
    </w:p>
    <w:p>
      <w:pPr>
        <w:jc w:val="both"/>
        <w:ind w:left="1180" w:right="1179" w:firstLine="507"/>
        <w:spacing w:after="0" w:line="245" w:lineRule="auto"/>
        <w:tabs>
          <w:tab w:leader="none" w:pos="220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Employer shall compensate and pay the Executive for his services during the term of this Agreement at a minimum base salary of $325,000 per year (“Base Salary”), which may be increased from time to time in such amounts as may be determined by the Board of Directors of the Employer and may not be decreased without the Executive’s express written consent.</w:t>
      </w:r>
    </w:p>
    <w:p>
      <w:pPr>
        <w:spacing w:after="0" w:line="293" w:lineRule="exact"/>
        <w:rPr>
          <w:sz w:val="20"/>
          <w:szCs w:val="20"/>
          <w:color w:val="auto"/>
        </w:rPr>
      </w:pPr>
    </w:p>
    <w:p>
      <w:pPr>
        <w:jc w:val="both"/>
        <w:ind w:left="1180" w:right="1179" w:firstLine="512"/>
        <w:spacing w:after="0" w:line="278" w:lineRule="auto"/>
        <w:rPr>
          <w:sz w:val="20"/>
          <w:szCs w:val="20"/>
          <w:color w:val="auto"/>
        </w:rPr>
      </w:pPr>
      <w:r>
        <w:rPr>
          <w:rFonts w:ascii="Arial" w:cs="Arial" w:eastAsia="Arial" w:hAnsi="Arial"/>
          <w:sz w:val="15"/>
          <w:szCs w:val="15"/>
          <w:color w:val="auto"/>
        </w:rPr>
        <w:t xml:space="preserve">(b) The Bank shall pay Executive a sign-on bonus (the “Sign-OnBonus”) in the amount of $100,000 in the first payroll period following the Effective Date;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that Executive resigns Executive’s employment with the Bank without Good Reason or is terminated by the Bank for Cause within one (1) year following the Effective Date, Executive shall repay to the Bank within ten (10) days following Executive’s final day of work the Sign-On Bonus,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491" w:right="1440" w:bottom="1440" w:gutter="0" w:footer="0" w:header="0"/>
        </w:sectPr>
      </w:pPr>
    </w:p>
    <w:bookmarkStart w:id="136" w:name="page137"/>
    <w:bookmarkEnd w:id="136"/>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56" w:lineRule="auto"/>
        <w:rPr>
          <w:sz w:val="20"/>
          <w:szCs w:val="20"/>
          <w:color w:val="auto"/>
        </w:rPr>
      </w:pPr>
      <w:r>
        <w:rPr>
          <w:rFonts w:ascii="Arial" w:cs="Arial" w:eastAsia="Arial" w:hAnsi="Arial"/>
          <w:sz w:val="16"/>
          <w:szCs w:val="16"/>
          <w:color w:val="auto"/>
        </w:rPr>
        <w:t>pro-rated based on the number of calendar months remaining between the date that Executive’s employment is terminated and the one (1) year anniversary of the Effective Date. For purposes of clarity, and by way of example only, if Executive resigns without Good Reason three months after the Effective Date, he shall be obligated to repay to the Bank $75,000 (i.e., seventy-five percent (75%)) of the Sign-On Bonus). The Bank shall deduct from the Sign-On Bonus all amounts required to be deducted or withheld under applicable law.</w:t>
      </w:r>
    </w:p>
    <w:p>
      <w:pPr>
        <w:spacing w:after="0" w:line="81" w:lineRule="exact"/>
        <w:rPr>
          <w:sz w:val="20"/>
          <w:szCs w:val="20"/>
          <w:color w:val="auto"/>
        </w:rPr>
      </w:pPr>
    </w:p>
    <w:p>
      <w:pPr>
        <w:jc w:val="both"/>
        <w:ind w:left="1180" w:right="1179" w:firstLine="507"/>
        <w:spacing w:after="0" w:line="257" w:lineRule="auto"/>
        <w:tabs>
          <w:tab w:leader="none" w:pos="220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addition to his Base Salary, the Executive shall be entitled to receive during the term of this Agreement such bonus payments (“Bonus”) as may be determined by the Board of Directors of the Employer. Notwithstanding anything to the contrary herein, for calendar year 2021, the Executive may earn a Bonus of up to fifty percent (50%) of the Executive’s Base Salary, as outlined in the Bank’s Management Annual Incentive Plan.</w:t>
      </w:r>
    </w:p>
    <w:p>
      <w:pPr>
        <w:spacing w:after="0" w:line="71" w:lineRule="exact"/>
        <w:rPr>
          <w:rFonts w:ascii="Arial" w:cs="Arial" w:eastAsia="Arial" w:hAnsi="Arial"/>
          <w:sz w:val="16"/>
          <w:szCs w:val="16"/>
          <w:color w:val="auto"/>
        </w:rPr>
      </w:pPr>
    </w:p>
    <w:p>
      <w:pPr>
        <w:jc w:val="both"/>
        <w:ind w:left="1180" w:right="1179" w:firstLine="507"/>
        <w:spacing w:after="0" w:line="270" w:lineRule="auto"/>
        <w:tabs>
          <w:tab w:leader="none" w:pos="2204" w:val="left"/>
        </w:tabs>
        <w:numPr>
          <w:ilvl w:val="0"/>
          <w:numId w:val="112"/>
        </w:numPr>
        <w:rPr>
          <w:rFonts w:ascii="Arial" w:cs="Arial" w:eastAsia="Arial" w:hAnsi="Arial"/>
          <w:sz w:val="15"/>
          <w:szCs w:val="15"/>
          <w:color w:val="auto"/>
        </w:rPr>
      </w:pPr>
      <w:r>
        <w:rPr>
          <w:rFonts w:ascii="Arial" w:cs="Arial" w:eastAsia="Arial" w:hAnsi="Arial"/>
          <w:sz w:val="15"/>
          <w:szCs w:val="15"/>
          <w:color w:val="auto"/>
        </w:rPr>
        <w:t>During the term of this Agreement, the Executive shall be entitled to participate in and receive the benefits of any pension or other retirement benefit plan, profit sharing, stock incentive, or other plans, benefits and privileges given to employees and executives of the Employer, to the extent commensurate with his then duties and responsibilities, as fixed by the Board of Directors of the Bank. The Bank shall not make any changes in such plans, benefits or privileges which would adversely affect the Executive’s rights or benefits thereunder, unless such change occurs pursuant to a program applicable to all executive officers of the Employer and does not result in a proportionately greater adverse change in the rights of or benefits to the Executive as compared with any other executive officer of the Employer. Nothing paid to the Executive under any plan or arrangement presently in effect or made available in the future shall be deemed to be in lieu of the salary payable to the Executive pursuant to Section 3(a) hereof.</w:t>
      </w:r>
    </w:p>
    <w:p>
      <w:pPr>
        <w:spacing w:after="0" w:line="74" w:lineRule="exact"/>
        <w:rPr>
          <w:rFonts w:ascii="Arial" w:cs="Arial" w:eastAsia="Arial" w:hAnsi="Arial"/>
          <w:sz w:val="15"/>
          <w:szCs w:val="15"/>
          <w:color w:val="auto"/>
        </w:rPr>
      </w:pPr>
    </w:p>
    <w:p>
      <w:pPr>
        <w:jc w:val="both"/>
        <w:ind w:left="1180" w:right="1179" w:firstLine="507"/>
        <w:spacing w:after="0" w:line="252" w:lineRule="auto"/>
        <w:tabs>
          <w:tab w:leader="none" w:pos="220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During the term of this Agreement and beginning in the year of 2021, the Executive shall be entitled to four (4) weeks of paid annual vacation, on a calendar basis, to be taken at such time or times agreed upon by the Executive and the President and Chief Executive Officer. In addition, Executive shall be entitled to six (6) days of personal/sick leave per calendar year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for calendar 2020, Executive shall be entitled to two (2) days for personal/sick</w:t>
      </w:r>
      <w:r>
        <w:rPr>
          <w:rFonts w:ascii="Arial" w:cs="Arial" w:eastAsia="Arial" w:hAnsi="Arial"/>
          <w:sz w:val="16"/>
          <w:szCs w:val="16"/>
          <w:i w:val="1"/>
          <w:iCs w:val="1"/>
          <w:color w:val="auto"/>
        </w:rPr>
        <w:t xml:space="preserve"> </w:t>
      </w:r>
      <w:r>
        <w:rPr>
          <w:rFonts w:ascii="Arial" w:cs="Arial" w:eastAsia="Arial" w:hAnsi="Arial"/>
          <w:sz w:val="16"/>
          <w:szCs w:val="16"/>
          <w:color w:val="auto"/>
        </w:rPr>
        <w:t>leave for the remainder of such calendar year. The Executive shall not be entitled to receive any additional compensation from the Employer for failure to take a vacation or use his personal/sick leave, nor shall the Executive be able to accumulate unused vacation time or unused personal/sick leave from one year to the next, except to the extent authorized by the President and Chief Executive Officer.</w:t>
      </w:r>
    </w:p>
    <w:p>
      <w:pPr>
        <w:spacing w:after="0" w:line="84" w:lineRule="exact"/>
        <w:rPr>
          <w:rFonts w:ascii="Arial" w:cs="Arial" w:eastAsia="Arial" w:hAnsi="Arial"/>
          <w:sz w:val="16"/>
          <w:szCs w:val="16"/>
          <w:color w:val="auto"/>
        </w:rPr>
      </w:pPr>
    </w:p>
    <w:p>
      <w:pPr>
        <w:jc w:val="both"/>
        <w:ind w:left="1180" w:right="1179" w:firstLine="507"/>
        <w:spacing w:after="0" w:line="268" w:lineRule="auto"/>
        <w:tabs>
          <w:tab w:leader="none" w:pos="2204"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Board of Directors will grant to the Executive (pursuant to a written grant agreement) non-qualified stock options to purchase one hundred and fifty thousand (150,000) shares of common stock of the Bank (the “Option Grant”), with an exercise price per share equal to the Fair Market Value, as such term is defined in the Bank’s Amended and Restated 2015 Equity Incentive Plan (the “2015 Equity Incentive Plan”), with such options to be designed in a manner to cause them to be exempt from Section 409A of the Internal Revenue Code under Section 1.409A-1(b)(5)(i)(A) of the United States Department of the Treasury Regulations. This grant shall vest as follows: options covering 50,000 shares of common stock of the Bank shall vest on the first anniversary of the Effective Date; options covering 50,000 shares of common stock of the Bank shall vest on the second anniversary of the Effective Date; and options covering 50,000 shares of common stock of the Bank shall vest on the third anniversary of the Effective Date. Options may be exercised after they become vested and prior to the expiration of the term of the options, provided such exercise does not constitute an “ownership change” for the Bank within the meaning of Section 382 of the Code. In addition to the other vesting dates/events set forth in such grant, such Option Grant shall provide for accelerated vesting upon a Change in Control. The other terms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491" w:right="1440" w:bottom="1440" w:gutter="0" w:footer="0" w:header="0"/>
        </w:sectPr>
      </w:pPr>
    </w:p>
    <w:bookmarkStart w:id="137" w:name="page138"/>
    <w:bookmarkEnd w:id="137"/>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of the Option Grant award shall comply with the Bank’s 2015 Equity Incentive Plan.</w:t>
      </w:r>
    </w:p>
    <w:p>
      <w:pPr>
        <w:spacing w:after="0" w:line="114" w:lineRule="exact"/>
        <w:rPr>
          <w:sz w:val="20"/>
          <w:szCs w:val="20"/>
          <w:color w:val="auto"/>
        </w:rPr>
      </w:pPr>
    </w:p>
    <w:p>
      <w:pPr>
        <w:jc w:val="both"/>
        <w:ind w:left="1180" w:right="1179" w:firstLine="507"/>
        <w:spacing w:after="0" w:line="239" w:lineRule="auto"/>
        <w:tabs>
          <w:tab w:leader="none" w:pos="220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Executive shall receive an automobile allowance at the rate of $750 per month during the term of this Agreement. This transportation allowance will serve to cover all transportation expenses of Executive in the South Florida area including, but not limited to, transportation, gas and car maintenance.</w:t>
      </w:r>
    </w:p>
    <w:p>
      <w:pPr>
        <w:spacing w:after="0" w:line="96" w:lineRule="exact"/>
        <w:rPr>
          <w:rFonts w:ascii="Arial" w:cs="Arial" w:eastAsia="Arial" w:hAnsi="Arial"/>
          <w:sz w:val="17"/>
          <w:szCs w:val="17"/>
          <w:color w:val="auto"/>
        </w:rPr>
      </w:pPr>
    </w:p>
    <w:p>
      <w:pPr>
        <w:jc w:val="both"/>
        <w:ind w:left="1180" w:right="1179" w:firstLine="507"/>
        <w:spacing w:after="0" w:line="271" w:lineRule="auto"/>
        <w:tabs>
          <w:tab w:leader="none" w:pos="220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 xml:space="preserve">Executive shall be reimbursed up to a maximum of $50,000 (the “Moving Allowance”) for all reasonable and necessary out-of-pocket travel and other expenses incurred by the Executive moving to the Miami, Florida metropolitan area;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that Executive resigns Executive’s employment with the Bank without Good Reason or is terminated by the Bank for Cause within one (1) year following the Effective Date, Executive shall repay to the Bank within ten (10) days following Executive’sfinal day of work the full amount of the Moving Allowance. At the Executive’s option, the Executive may be reimbursed for such expenses or may cause the provider of such services to bill the Bank directly.</w:t>
      </w:r>
    </w:p>
    <w:p>
      <w:pPr>
        <w:spacing w:after="0" w:line="156" w:lineRule="exact"/>
        <w:rPr>
          <w:sz w:val="20"/>
          <w:szCs w:val="20"/>
          <w:color w:val="auto"/>
        </w:rPr>
      </w:pPr>
    </w:p>
    <w:p>
      <w:pPr>
        <w:jc w:val="both"/>
        <w:ind w:left="1180" w:right="1179" w:firstLine="507"/>
        <w:spacing w:after="0" w:line="273" w:lineRule="auto"/>
        <w:tabs>
          <w:tab w:leader="none" w:pos="2204"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Expenses. </w:t>
      </w:r>
      <w:r>
        <w:rPr>
          <w:rFonts w:ascii="Arial" w:cs="Arial" w:eastAsia="Arial" w:hAnsi="Arial"/>
          <w:sz w:val="15"/>
          <w:szCs w:val="15"/>
          <w:color w:val="auto"/>
        </w:rPr>
        <w:t>The Employer shall reimburse the Executive or otherwise provide for</w:t>
      </w:r>
      <w:r>
        <w:rPr>
          <w:rFonts w:ascii="Arial" w:cs="Arial" w:eastAsia="Arial" w:hAnsi="Arial"/>
          <w:sz w:val="15"/>
          <w:szCs w:val="15"/>
          <w:b w:val="1"/>
          <w:bCs w:val="1"/>
          <w:color w:val="auto"/>
        </w:rPr>
        <w:t xml:space="preserve"> </w:t>
      </w:r>
      <w:r>
        <w:rPr>
          <w:rFonts w:ascii="Arial" w:cs="Arial" w:eastAsia="Arial" w:hAnsi="Arial"/>
          <w:sz w:val="15"/>
          <w:szCs w:val="15"/>
          <w:color w:val="auto"/>
        </w:rPr>
        <w:t>or pay for all reasonable expenses incurred by the Executive in furtherance of or in connection with the business of the Employer, including, but not by way of limitation, travel expenses, and all reasonable entertainment expenses, subject to such reasonable documentation and other limitations as may be established by the Board of Directors of the Bank. If such expenses are paid in the first instance by the Executive, the Employer shall reimburse the Executive therefor. Such reimbursement shall be paid promptly by the Bank and in any event no later than March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of the year immediately following the year in which such expenses were incurred.</w:t>
      </w:r>
    </w:p>
    <w:p>
      <w:pPr>
        <w:spacing w:after="0" w:line="149" w:lineRule="exact"/>
        <w:rPr>
          <w:rFonts w:ascii="Arial" w:cs="Arial" w:eastAsia="Arial" w:hAnsi="Arial"/>
          <w:sz w:val="15"/>
          <w:szCs w:val="15"/>
          <w:b w:val="1"/>
          <w:bCs w:val="1"/>
          <w:color w:val="auto"/>
        </w:rPr>
      </w:pPr>
    </w:p>
    <w:p>
      <w:pPr>
        <w:ind w:left="2200" w:hanging="513"/>
        <w:spacing w:after="0"/>
        <w:tabs>
          <w:tab w:leader="none" w:pos="220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193" w:lineRule="exact"/>
        <w:rPr>
          <w:sz w:val="20"/>
          <w:szCs w:val="20"/>
          <w:color w:val="auto"/>
        </w:rPr>
      </w:pPr>
    </w:p>
    <w:p>
      <w:pPr>
        <w:jc w:val="both"/>
        <w:ind w:left="1180" w:right="1159" w:firstLine="507"/>
        <w:spacing w:after="0" w:line="273" w:lineRule="auto"/>
        <w:tabs>
          <w:tab w:leader="none" w:pos="220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Employer shall have the right, at any time upon prior Notice of Termination, to terminate the Executive’s employment hereunder for any reason, including, without limitation, termination for Cause, Disability or Retirement, and the Executive shall have the right, upon prior Notice of Termination, to terminate his employment hereunder for any reason.</w:t>
      </w:r>
    </w:p>
    <w:p>
      <w:pPr>
        <w:spacing w:after="0" w:line="144" w:lineRule="exact"/>
        <w:rPr>
          <w:rFonts w:ascii="Arial" w:cs="Arial" w:eastAsia="Arial" w:hAnsi="Arial"/>
          <w:sz w:val="16"/>
          <w:szCs w:val="16"/>
          <w:color w:val="auto"/>
        </w:rPr>
      </w:pPr>
    </w:p>
    <w:p>
      <w:pPr>
        <w:jc w:val="both"/>
        <w:ind w:left="1180" w:right="1179" w:firstLine="507"/>
        <w:spacing w:after="0" w:line="297" w:lineRule="auto"/>
        <w:tabs>
          <w:tab w:leader="none" w:pos="2204"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In the event that (i) the Executive’s employment is terminated by the Employer for Cause or (ii) the Executive terminates his employment hereunder other than for Disability, Retirement, death or Good Reason, the Executive shall have no right pursuant to this Agreement to compensation or other benefits for any period after the applicable Date of Termination.</w:t>
      </w:r>
    </w:p>
    <w:p>
      <w:pPr>
        <w:spacing w:after="0" w:line="127" w:lineRule="exact"/>
        <w:rPr>
          <w:rFonts w:ascii="Arial" w:cs="Arial" w:eastAsia="Arial" w:hAnsi="Arial"/>
          <w:sz w:val="15"/>
          <w:szCs w:val="15"/>
          <w:color w:val="auto"/>
        </w:rPr>
      </w:pPr>
    </w:p>
    <w:p>
      <w:pPr>
        <w:jc w:val="both"/>
        <w:ind w:left="1180" w:right="1179" w:firstLine="507"/>
        <w:spacing w:after="0" w:line="255" w:lineRule="auto"/>
        <w:tabs>
          <w:tab w:leader="none" w:pos="220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as a result of Disability or Retirement, the Executive shall have no right pursuant to this Agreement to compensation or other benefits for any period after the applicable Date of Termination.</w:t>
      </w:r>
    </w:p>
    <w:p>
      <w:pPr>
        <w:spacing w:after="0" w:line="166" w:lineRule="exact"/>
        <w:rPr>
          <w:rFonts w:ascii="Arial" w:cs="Arial" w:eastAsia="Arial" w:hAnsi="Arial"/>
          <w:sz w:val="17"/>
          <w:szCs w:val="17"/>
          <w:color w:val="auto"/>
        </w:rPr>
      </w:pPr>
    </w:p>
    <w:p>
      <w:pPr>
        <w:jc w:val="both"/>
        <w:ind w:left="1180" w:right="1179" w:firstLine="507"/>
        <w:spacing w:after="0" w:line="282" w:lineRule="auto"/>
        <w:tabs>
          <w:tab w:leader="none" w:pos="2204"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In the event that the Executive’s employment is terminated due to death during the term of this Agreement, the Executive shall have no right pursuant to this Agreement for compensation or other benefits for any period after the applicable Date of Termination except to pay to the Executive’s designated beneficiary (or estate or his personal representative, as the case may be, if no beneficiary has been designated) (i) that portion, if any, of the Base Salary that remains unpaid for the period prior to the date of his death, and (ii) a lump sum cash payment equal to one-half (1/2) of the Executive’s Base Salary, plus the continuation of medical and dental benefits for his then spouse and/or dependents at the Bank’s expense for a period of six (6) months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491" w:right="1440" w:bottom="1440" w:gutter="0" w:footer="0" w:header="0"/>
        </w:sectPr>
      </w:pPr>
    </w:p>
    <w:bookmarkStart w:id="138" w:name="page139"/>
    <w:bookmarkEnd w:id="138"/>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55" w:lineRule="auto"/>
        <w:rPr>
          <w:sz w:val="20"/>
          <w:szCs w:val="20"/>
          <w:color w:val="auto"/>
        </w:rPr>
      </w:pPr>
      <w:r>
        <w:rPr>
          <w:rFonts w:ascii="Arial" w:cs="Arial" w:eastAsia="Arial" w:hAnsi="Arial"/>
          <w:sz w:val="17"/>
          <w:szCs w:val="17"/>
          <w:color w:val="auto"/>
        </w:rPr>
        <w:t>after the date of his death. Upon the Executive’s death, he shall vest in any outstanding unvested options granted under the Option Award pursuant to Section 3(f) (and the terms of the awards granted under Section 3(f) shall so provide).</w:t>
      </w:r>
    </w:p>
    <w:p>
      <w:pPr>
        <w:spacing w:after="0" w:line="166" w:lineRule="exact"/>
        <w:rPr>
          <w:sz w:val="20"/>
          <w:szCs w:val="20"/>
          <w:color w:val="auto"/>
        </w:rPr>
      </w:pPr>
    </w:p>
    <w:p>
      <w:pPr>
        <w:jc w:val="both"/>
        <w:ind w:left="1180" w:right="1179" w:firstLine="507"/>
        <w:spacing w:after="0" w:line="272" w:lineRule="auto"/>
        <w:tabs>
          <w:tab w:leader="none" w:pos="2204"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 the event that prior to a Change in Control the Executive’s employment is terminated by (i) the Employer for other than Cause, Disability, Retirement or the Executive’s death during the term of this Agreement or (ii) the Executive for Good Reason during the term of this Agreement, then the Employer shall, in consideration of the Executive’s agreements in Section 7 below and subject to the provisions of Sections 5(g), 5(h), 6, 18 and 19 hereof, if applicable, pay to the Executive a cash severance amount equal to the aggregate of (A) one (1) times the Executive’s then current annual Base Salary and (B) the amount accrued with respect to the Bonus for the year in which the termination occurs (the “Severance Payment”). The Severance Payment shall be paid in two installments. The first payment consisting of 50% of the Severance Payment will be paid in a lump sum thirty (30) days following the later of the Date of Termination or the expiration of the revocation period provided for in the general release to be executed by the Executive pursuant to Section 5(g) below with the remaining 50% of the Severance Payment to be paid in a lump sum within ten (10) days after the expiration of the Restricted Period as set forth in Section 7 hereof. In addition, the Executive shall receive continued medical and dental benefits as provided by the Bank from time to time for its employees, at the Bank’s expense, for the period of time equal to the shorter of one (1) year or the maximum period of COBRA continuation coverage provided under Section 4980B(f) of the Code (with such coverage to be treated as COBRA coverage). With respect to the Bank’s payment of Executive’s COBRA expenses, the Bank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such COBRA payments. Such payment shall be made on or before March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following the close of the calendar year in which the COBRA payments were made. Except as provided herein, the Severance Payment shall be in lieu of, and not in addition to, any Base Salary or other compensation or benefits that would have been paid under Sections 3(a), 3(b), 3(c), 3(d) and 3(e) above in the absence of a termination of employment, and the Executive shall have no rights pursuant to this Agreement to any Base Salary or other benefits for any period after the applicable Date of Termination.</w:t>
      </w:r>
    </w:p>
    <w:p>
      <w:pPr>
        <w:spacing w:after="0" w:line="171" w:lineRule="exact"/>
        <w:rPr>
          <w:rFonts w:ascii="Arial" w:cs="Arial" w:eastAsia="Arial" w:hAnsi="Arial"/>
          <w:sz w:val="15"/>
          <w:szCs w:val="15"/>
          <w:color w:val="auto"/>
        </w:rPr>
      </w:pPr>
    </w:p>
    <w:p>
      <w:pPr>
        <w:jc w:val="both"/>
        <w:ind w:left="1180" w:right="1179" w:firstLine="507"/>
        <w:spacing w:after="0" w:line="276" w:lineRule="auto"/>
        <w:tabs>
          <w:tab w:leader="none" w:pos="2204"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 the event that concurrently with or within twelve (12) months subsequent to a Change in Control the Executive’s employment is terminated by (i) the Employer for other than Cause, Disability, Retirement or the Executive’s death during the term of this Agreement or (ii) the Executive for Good Reason during the term of this Agreement, then the Employer shall, in consideration of the Executive’s agreements in Section 7 below and subject to the provisions of Sections 5(g), 5(h), 6, 18 and 19 hereof, if applicable, pay to the Executive a cash severance amount equal to two (2) times the Executive’s then current annual Base Salary (the “Enhanced Severance Payment”). The 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 expiration of the Restricted Period as set forth in Section 7 hereof. In addition, the Executive shall receive continued medical and dental benefits as provided by the Bank from time to time for its employees, at the Bank’s expense, for the period of time equal to the shorter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491" w:right="1440" w:bottom="1440" w:gutter="0" w:footer="0" w:header="0"/>
        </w:sectPr>
      </w:pPr>
    </w:p>
    <w:bookmarkStart w:id="139" w:name="page140"/>
    <w:bookmarkEnd w:id="139"/>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72" w:lineRule="auto"/>
        <w:rPr>
          <w:sz w:val="20"/>
          <w:szCs w:val="20"/>
          <w:color w:val="auto"/>
        </w:rPr>
      </w:pPr>
      <w:r>
        <w:rPr>
          <w:rFonts w:ascii="Arial" w:cs="Arial" w:eastAsia="Arial" w:hAnsi="Arial"/>
          <w:sz w:val="15"/>
          <w:szCs w:val="15"/>
          <w:color w:val="auto"/>
        </w:rPr>
        <w:t>of eighteen (18) months or the maximum period of COBRA continuation coverage provided under Section 4980B(f) of the Code (with such coverage to be treated as COBRA coverage). With respect to the Bank’s payment of Executive’s COBRA expenses, the Bank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such COBRA payments. Such payment shall be made on or before March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following the close of the calendar year in which the COBRA payments were made. Except as provided herein, the Enhanced Severance Payment shall be in lieu of, and not in addition to, any Base Salary or other compensation or benefits that would have been paid under Sections 3(a), 3(b), 3(c), 3(d) and 3(e) above in the absence of a termination of employment, and the Executive shall have no rights pursuant to this Agreement to any Base Salary or other benefits for any period after the applicable Date of Termination.</w:t>
      </w:r>
    </w:p>
    <w:p>
      <w:pPr>
        <w:spacing w:after="0" w:line="159" w:lineRule="exact"/>
        <w:rPr>
          <w:sz w:val="20"/>
          <w:szCs w:val="20"/>
          <w:color w:val="auto"/>
        </w:rPr>
      </w:pPr>
    </w:p>
    <w:p>
      <w:pPr>
        <w:jc w:val="both"/>
        <w:ind w:left="1180" w:right="1179" w:firstLine="507"/>
        <w:spacing w:after="0" w:line="280" w:lineRule="auto"/>
        <w:tabs>
          <w:tab w:leader="none" w:pos="2204"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Executive’s right to receive the severance benefits set forth in Sections 5(e) and 5(f) above shall be conditioned upon the Executive’s execution of a general release which releases the Employer and their directors, officers and employees from any claims that the Executive may have under various laws and regulations and the expiration of any right the Executive may have to revoke such general release, with such revocation right not being exercised. If either the time period for paying the severance set forth in Sections 5(e) or 5(f), as applicable, or the time period that the Executive has to consider the terms of the general release (including any revocation period under such release) commences in one calendar year and ends in the succeeding calendar year, then the severance payment set forth in Sections 5(e) or 5(f), as applicable, above shall not be paid until the succeeding calendar year.</w:t>
      </w:r>
    </w:p>
    <w:p>
      <w:pPr>
        <w:spacing w:after="0" w:line="142" w:lineRule="exact"/>
        <w:rPr>
          <w:rFonts w:ascii="Arial" w:cs="Arial" w:eastAsia="Arial" w:hAnsi="Arial"/>
          <w:sz w:val="15"/>
          <w:szCs w:val="15"/>
          <w:color w:val="auto"/>
        </w:rPr>
      </w:pPr>
    </w:p>
    <w:p>
      <w:pPr>
        <w:jc w:val="both"/>
        <w:ind w:left="1180" w:right="1179" w:firstLine="507"/>
        <w:spacing w:after="0" w:line="277" w:lineRule="auto"/>
        <w:tabs>
          <w:tab w:leader="none" w:pos="2204"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If, prior to the Executive’s receipt of the Severance Payment or the Enhanced Severance Payment set forth in Sections 5(e) or 5(f), as applicable, respectively, above due to his termination of employment (including termination for Good Reason) and at such time the Bank is deemed to be in “troubled condition” as defined in 12 C.F.R. §303.101(c), it is determined that the Executive (i) committed any fraudulent act or omission, breach of trust or fiduciary duty, or insider abuse with regard to the Employer that has had or is likely to have a material adverse effect on the Employer, (ii) is substantially responsible for the insolvency of, the appointment of a conservator or receiver for, or the troubled condition, as defined by applicable regulations of the appropriate federal banking agency, of the Employer, (iii) has materially violated any applicable federal or state banking law or regulation that has had or is likely to have a material adverse effect on the Employer, or (iv) has violated or conspired to violate Sections 215, 656, 657, 1005, 1006, 1007, 1014, 1302 or 1344 of Title 18 of the United State Code, or Sections 1341 or 1343 of Title 18 affecting the Bank, then the Severance Payment or the Enhanced Severance Payment, as applicable, shall not be provided to the Executive. If it is determined after the Executive receives the Severance Payment or the Enhanced Severance Payment, as applicable, that any of the matters set forth in clauses (i) through (iv) of this Section 5(h) are applicable to the Executive, then the Executive shall promptly (and in any event within ten (10) business days following written notice to the Executive) return an amount equal to the Severance Payment or the Enhanced Severance Payment, as applicable, to the Employer in immediately available funds.</w:t>
      </w:r>
    </w:p>
    <w:p>
      <w:pPr>
        <w:spacing w:after="0" w:line="140" w:lineRule="exact"/>
        <w:rPr>
          <w:sz w:val="20"/>
          <w:szCs w:val="20"/>
          <w:color w:val="auto"/>
        </w:rPr>
      </w:pPr>
    </w:p>
    <w:p>
      <w:pPr>
        <w:jc w:val="both"/>
        <w:ind w:left="1180" w:right="1179" w:firstLine="507"/>
        <w:spacing w:after="0" w:line="307" w:lineRule="auto"/>
        <w:tabs>
          <w:tab w:leader="none" w:pos="2204"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Limitation of Benefits under Certain Circumstances. </w:t>
      </w:r>
      <w:r>
        <w:rPr>
          <w:rFonts w:ascii="Arial" w:cs="Arial" w:eastAsia="Arial" w:hAnsi="Arial"/>
          <w:sz w:val="15"/>
          <w:szCs w:val="15"/>
          <w:color w:val="auto"/>
        </w:rPr>
        <w:t>If the payment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to Section 5(f) hereof, either alone or together with other payments and benefits which the Executive has the right to receive from the Employer, would constitute a “parachute payment”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491" w:right="1440" w:bottom="1440" w:gutter="0" w:footer="0" w:header="0"/>
        </w:sectPr>
      </w:pPr>
    </w:p>
    <w:bookmarkStart w:id="140" w:name="page141"/>
    <w:bookmarkEnd w:id="140"/>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60" w:lineRule="auto"/>
        <w:rPr>
          <w:sz w:val="20"/>
          <w:szCs w:val="20"/>
          <w:color w:val="auto"/>
        </w:rPr>
      </w:pPr>
      <w:r>
        <w:rPr>
          <w:rFonts w:ascii="Arial" w:cs="Arial" w:eastAsia="Arial" w:hAnsi="Arial"/>
          <w:sz w:val="16"/>
          <w:szCs w:val="16"/>
          <w:color w:val="auto"/>
        </w:rPr>
        <w:t>under Section 280G of the Code, then the amount payable by the Employer pursuant to Section 5(d) hereof shall be reduced by the minimum amount necessary to result in no portion of the amount payable by the Employer under Section 5(f) being non-deductible to the Employer pursuant to Section 280G of the Code and subject to the excise tax imposed under Section 4999 of the Code. The determination of any reduction in the amount payable pursuant to Section 5(d) shall be based upon the opinion of independent tax counsel selected by the Employer and paid for by the Employer. Such counsel shall promptly prepare the foregoing opinion, but in no event later than ten (10) days from the Date of Termination, and may use such actuaries as such counsel deems necessary or advisable for the purpose. Nothing contained herein shall result in a reduction of any payments or benefits to which the Executive may be entitled upon termination of employment under any circumstances other than as specified in this Section 6, or a reduction in the payment specified in Section 5(f) below zero.</w:t>
      </w:r>
    </w:p>
    <w:p>
      <w:pPr>
        <w:spacing w:after="0" w:line="165" w:lineRule="exact"/>
        <w:rPr>
          <w:sz w:val="20"/>
          <w:szCs w:val="20"/>
          <w:color w:val="auto"/>
        </w:rPr>
      </w:pPr>
    </w:p>
    <w:p>
      <w:pPr>
        <w:ind w:left="2200" w:hanging="513"/>
        <w:spacing w:after="0"/>
        <w:tabs>
          <w:tab w:leader="none" w:pos="220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Restrictive Covenants</w:t>
      </w:r>
    </w:p>
    <w:p>
      <w:pPr>
        <w:spacing w:after="0" w:line="189" w:lineRule="exact"/>
        <w:rPr>
          <w:sz w:val="20"/>
          <w:szCs w:val="20"/>
          <w:color w:val="auto"/>
        </w:rPr>
      </w:pPr>
    </w:p>
    <w:p>
      <w:pPr>
        <w:jc w:val="both"/>
        <w:ind w:left="1180" w:right="1179" w:firstLine="507"/>
        <w:spacing w:after="0" w:line="276" w:lineRule="auto"/>
        <w:tabs>
          <w:tab w:leader="none" w:pos="2204"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Trade Secrets</w:t>
      </w:r>
      <w:r>
        <w:rPr>
          <w:rFonts w:ascii="Arial" w:cs="Arial" w:eastAsia="Arial" w:hAnsi="Arial"/>
          <w:sz w:val="15"/>
          <w:szCs w:val="15"/>
          <w:color w:val="auto"/>
        </w:rPr>
        <w:t>. The Executive acknowledges that he has had, and will have, access</w:t>
      </w:r>
      <w:r>
        <w:rPr>
          <w:rFonts w:ascii="Arial" w:cs="Arial" w:eastAsia="Arial" w:hAnsi="Arial"/>
          <w:sz w:val="15"/>
          <w:szCs w:val="15"/>
          <w:b w:val="1"/>
          <w:bCs w:val="1"/>
          <w:color w:val="auto"/>
        </w:rPr>
        <w:t xml:space="preserve"> </w:t>
      </w:r>
      <w:r>
        <w:rPr>
          <w:rFonts w:ascii="Arial" w:cs="Arial" w:eastAsia="Arial" w:hAnsi="Arial"/>
          <w:sz w:val="15"/>
          <w:szCs w:val="15"/>
          <w:color w:val="auto"/>
        </w:rPr>
        <w:t>to confidential information of the Bank (including, but not limited to, current and prospective confidential know-how, customer lists, marketing plans, business plans, financial and pricing information, and information regarding acquisitions, mergers and/or joint ventures) concerning the business, customers, contacts, prospects, and assets of the Bank that is unique, valuable and not generally known outside the Bank, and that was obtained from the Bank or which was learned as a result of the performance of services by the Executive on behalf of the Bank (“Trade Secrets”). Trade Secrets shall not include any information that: (i) is now, or hereafter becomes, through no act or failure to act on the part of the Executive that constitutes a breach of this Section 7, generally known or available to the public; (ii) is known to the Executive at the time such information was obtained from the Bank; (iii) is hereafter furnished without restriction on disclosure to the Executive by a third party, other than an employee or agent of the Bank, who is not under any obligation of confidentiality to the Bank or an Affiliate; (iv) is disclosed with the written approval of the Bank; or (v) is required to be disclosed or provided by law, court order, order of any regulatory agency having jurisdiction or similar compulsion, including pursuant to or in connection with any legal proceeding involving the parties hereto; provided however, that such disclosure shall be limited to the extent so required or compelled; and provided further, however, that if the Executive is required to disclose such confidential information, he shall give the Bank notice of such disclosure and cooperate in seeking suitable protections. Other than in the course of performing services for the Bank, the Executive will not, at any time, directly or indirectly use, divulge, furnish or make accessible to any person any Trade Secrets, but instead will keep all Trade Secrets strictly and absolutely confidential. The Executive will deliver promptly to the Bank , at the termination of his employment or at any other time at the request of the Employer, without retaining any copies, all documents and other materials in his possession relating, directly or indirectly, to any Trad e Secrets.</w:t>
      </w:r>
    </w:p>
    <w:p>
      <w:pPr>
        <w:spacing w:after="0" w:line="349" w:lineRule="exact"/>
        <w:rPr>
          <w:rFonts w:ascii="Arial" w:cs="Arial" w:eastAsia="Arial" w:hAnsi="Arial"/>
          <w:sz w:val="15"/>
          <w:szCs w:val="15"/>
          <w:color w:val="auto"/>
        </w:rPr>
      </w:pPr>
    </w:p>
    <w:p>
      <w:pPr>
        <w:jc w:val="both"/>
        <w:ind w:left="1180" w:right="1179" w:firstLine="507"/>
        <w:spacing w:after="0" w:line="283" w:lineRule="auto"/>
        <w:tabs>
          <w:tab w:leader="none" w:pos="2204"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Non-Competition</w:t>
      </w:r>
      <w:r>
        <w:rPr>
          <w:rFonts w:ascii="Arial" w:cs="Arial" w:eastAsia="Arial" w:hAnsi="Arial"/>
          <w:sz w:val="15"/>
          <w:szCs w:val="15"/>
          <w:color w:val="auto"/>
        </w:rPr>
        <w:t>. If the Executive’s employment is terminated during the term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for Cause or without Cause, before or after a Change in Control, or the Executive terminates his employment hereunder other than for Disability during the term of the Agreement, then for a period of twelve (12) months after termination of employment (the “Restricted Period”), the Executive will not, directly or indirectly, (i) become a director, officer, employee, principal, agent, shareholder, consultant or independent contractor of any insured depository institution, trust company or parent holding company of any such institution or company or other entity engaging</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491" w:right="1440" w:bottom="1440" w:gutter="0" w:footer="0" w:header="0"/>
        </w:sectPr>
      </w:pPr>
    </w:p>
    <w:bookmarkStart w:id="141" w:name="page142"/>
    <w:bookmarkEnd w:id="141"/>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59" w:lineRule="auto"/>
        <w:rPr>
          <w:sz w:val="20"/>
          <w:szCs w:val="20"/>
          <w:color w:val="auto"/>
        </w:rPr>
      </w:pPr>
      <w:r>
        <w:rPr>
          <w:rFonts w:ascii="Arial" w:cs="Arial" w:eastAsia="Arial" w:hAnsi="Arial"/>
          <w:sz w:val="16"/>
          <w:szCs w:val="16"/>
          <w:color w:val="auto"/>
        </w:rPr>
        <w:t>in the banking business which has an office in the State of Florida (“Competing Business”); (ii) as agent or principal, carrying on or engaging in any activities or negotiations with respect to the acquisition or disposition of a Competing Business; (iii) extending credit for the purpose of establishing or operating a Competing Business; (iv) lending or allowing the Executive’s name or reputation to be used in a Competing Business; and (v) otherwise allowing the Executive’s skill, knowledge or experience to be used in a Competing Business. Notwithstanding the foregoing, nothing in this Agreement shall prevent the Executive from owning for passive investment purposes not intended to circumvent this Agreement, less than five percent (5%) of the publicly traded voting securities of any company engaged in the banking, financial services or other business similar to or competitive with the Employer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w:t>
      </w:r>
    </w:p>
    <w:p>
      <w:pPr>
        <w:spacing w:after="0" w:line="165" w:lineRule="exact"/>
        <w:rPr>
          <w:sz w:val="20"/>
          <w:szCs w:val="20"/>
          <w:color w:val="auto"/>
        </w:rPr>
      </w:pPr>
    </w:p>
    <w:p>
      <w:pPr>
        <w:jc w:val="both"/>
        <w:ind w:left="1180" w:right="1179" w:firstLine="507"/>
        <w:spacing w:after="0" w:line="286" w:lineRule="auto"/>
        <w:tabs>
          <w:tab w:leader="none" w:pos="2204"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Non-Solicitation of Employees. </w:t>
      </w:r>
      <w:r>
        <w:rPr>
          <w:rFonts w:ascii="Arial" w:cs="Arial" w:eastAsia="Arial" w:hAnsi="Arial"/>
          <w:sz w:val="15"/>
          <w:szCs w:val="15"/>
          <w:color w:val="auto"/>
        </w:rPr>
        <w:t>During the Restricted Period, without the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the Bank, the Executive shall not, directly or indirectly, solicit, induce or hire, or attempt to solicit, induce or hire, any current employee of the Employer, or any individual who becomes an employee during the Restricted Period, to leave his or her employment with the Employer or join or become affiliated with any other business or entity, or in any way interfere with the employment relationship between any employee and the Employer.</w:t>
      </w:r>
    </w:p>
    <w:p>
      <w:pPr>
        <w:spacing w:after="0" w:line="143" w:lineRule="exact"/>
        <w:rPr>
          <w:rFonts w:ascii="Arial" w:cs="Arial" w:eastAsia="Arial" w:hAnsi="Arial"/>
          <w:sz w:val="15"/>
          <w:szCs w:val="15"/>
          <w:color w:val="auto"/>
        </w:rPr>
      </w:pPr>
    </w:p>
    <w:p>
      <w:pPr>
        <w:jc w:val="both"/>
        <w:ind w:left="1180" w:right="1179" w:firstLine="507"/>
        <w:spacing w:after="0" w:line="280" w:lineRule="auto"/>
        <w:tabs>
          <w:tab w:leader="none" w:pos="2204"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Non-Solicitation of Customers</w:t>
      </w:r>
      <w:r>
        <w:rPr>
          <w:rFonts w:ascii="Arial" w:cs="Arial" w:eastAsia="Arial" w:hAnsi="Arial"/>
          <w:sz w:val="15"/>
          <w:szCs w:val="15"/>
          <w:color w:val="auto"/>
        </w:rPr>
        <w:t>. During the Restricted Period, without the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the Bank, the Executive shall not, directly or indirectly, solicit or induce, or attempt to solicit or induce, any customer, any person being then solicited by the Bank to be a customer, lender, supplier, licensee, licensor or other business relation of the Employer to terminate its relationship or contract with the Employer, to cease doing business with the Employer, or in any way interfere with the relationship between any such customer, lender, supplier, licensee or business relation and the Employer (including making any negative or derogatory statements or communications concerning the Employer or its directors, officers or employees).</w:t>
      </w:r>
    </w:p>
    <w:p>
      <w:pPr>
        <w:spacing w:after="0" w:line="150" w:lineRule="exact"/>
        <w:rPr>
          <w:rFonts w:ascii="Arial" w:cs="Arial" w:eastAsia="Arial" w:hAnsi="Arial"/>
          <w:sz w:val="15"/>
          <w:szCs w:val="15"/>
          <w:color w:val="auto"/>
        </w:rPr>
      </w:pPr>
    </w:p>
    <w:p>
      <w:pPr>
        <w:jc w:val="both"/>
        <w:ind w:left="1180" w:right="1179" w:firstLine="507"/>
        <w:spacing w:after="0" w:line="282" w:lineRule="auto"/>
        <w:tabs>
          <w:tab w:leader="none" w:pos="2204"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Intellectual Property</w:t>
      </w:r>
      <w:r>
        <w:rPr>
          <w:rFonts w:ascii="Arial" w:cs="Arial" w:eastAsia="Arial" w:hAnsi="Arial"/>
          <w:sz w:val="15"/>
          <w:szCs w:val="15"/>
          <w:color w:val="auto"/>
        </w:rPr>
        <w:t>. Executive will disclose to Employer all work, products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ideas, inventions, literary property, music, lyrics, scripts, themes, slogans, titles, copy, art and any other relevant material which could reasonably be used by Employer or any of its clients (herein collectively called “Intellectual Property”) which he may create any time during the term of employment, whether created during or after working hours. Employer and Executive agree that all Intellectual Property shall be deemed to be "works made for hire" and the sole property of Employer. Executive agrees to execute and deliver all documents which Employer may deem necessary or advisable in order to confirm such ownership or to register Intellectual Property in the name of Employer or any of its clients in the United States and all foreign countries.</w:t>
      </w:r>
    </w:p>
    <w:p>
      <w:pPr>
        <w:spacing w:after="0" w:line="149" w:lineRule="exact"/>
        <w:rPr>
          <w:rFonts w:ascii="Arial" w:cs="Arial" w:eastAsia="Arial" w:hAnsi="Arial"/>
          <w:sz w:val="15"/>
          <w:szCs w:val="15"/>
          <w:color w:val="auto"/>
        </w:rPr>
      </w:pPr>
    </w:p>
    <w:p>
      <w:pPr>
        <w:jc w:val="both"/>
        <w:ind w:left="1180" w:right="1179" w:firstLine="507"/>
        <w:spacing w:after="0" w:line="287" w:lineRule="auto"/>
        <w:tabs>
          <w:tab w:leader="none" w:pos="2204"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Non-Disparagement. </w:t>
      </w:r>
      <w:r>
        <w:rPr>
          <w:rFonts w:ascii="Arial" w:cs="Arial" w:eastAsia="Arial" w:hAnsi="Arial"/>
          <w:sz w:val="15"/>
          <w:szCs w:val="15"/>
          <w:color w:val="auto"/>
        </w:rPr>
        <w:t>The Executive agrees that he shall not make, or cause to be</w:t>
      </w:r>
      <w:r>
        <w:rPr>
          <w:rFonts w:ascii="Arial" w:cs="Arial" w:eastAsia="Arial" w:hAnsi="Arial"/>
          <w:sz w:val="15"/>
          <w:szCs w:val="15"/>
          <w:b w:val="1"/>
          <w:bCs w:val="1"/>
          <w:color w:val="auto"/>
        </w:rPr>
        <w:t xml:space="preserve"> </w:t>
      </w:r>
      <w:r>
        <w:rPr>
          <w:rFonts w:ascii="Arial" w:cs="Arial" w:eastAsia="Arial" w:hAnsi="Arial"/>
          <w:sz w:val="15"/>
          <w:szCs w:val="15"/>
          <w:color w:val="auto"/>
        </w:rPr>
        <w:t>made, any disparaging or critical remarks, comments or statements about or against the Bank or its subsidiaries or affiliates or any director, officer, employee or customer of any such entities at any time in the future, except for any statements by him made pursuant to lawful subpoena or legal process. Executive acknowledges that the Employer’s reputation and image in the market is one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019"/>
          </w:cols>
          <w:pgMar w:left="1440" w:top="491" w:right="1440" w:bottom="1440" w:gutter="0" w:footer="0" w:header="0"/>
        </w:sectPr>
      </w:pPr>
    </w:p>
    <w:bookmarkStart w:id="142" w:name="page143"/>
    <w:bookmarkEnd w:id="142"/>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spacing w:after="0" w:line="252" w:lineRule="auto"/>
        <w:rPr>
          <w:sz w:val="20"/>
          <w:szCs w:val="20"/>
          <w:color w:val="auto"/>
        </w:rPr>
      </w:pPr>
      <w:r>
        <w:rPr>
          <w:rFonts w:ascii="Arial" w:cs="Arial" w:eastAsia="Arial" w:hAnsi="Arial"/>
          <w:sz w:val="17"/>
          <w:szCs w:val="17"/>
          <w:color w:val="auto"/>
        </w:rPr>
        <w:t>of its principal assets and that Employer has expended substantial time, effort and money in building this reputation and image and that, accordingly, any action or comment by the Executive which is damaging to or in any way diminishes such image or reputation will cause Employer irreparable injury.</w:t>
      </w:r>
    </w:p>
    <w:p>
      <w:pPr>
        <w:spacing w:after="0" w:line="157" w:lineRule="exact"/>
        <w:rPr>
          <w:sz w:val="20"/>
          <w:szCs w:val="20"/>
          <w:color w:val="auto"/>
        </w:rPr>
      </w:pPr>
    </w:p>
    <w:p>
      <w:pPr>
        <w:jc w:val="both"/>
        <w:ind w:left="1180" w:right="1179" w:firstLine="507"/>
        <w:spacing w:after="0" w:line="279" w:lineRule="auto"/>
        <w:tabs>
          <w:tab w:leader="none" w:pos="2204"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Irreparable Harm</w:t>
      </w:r>
      <w:r>
        <w:rPr>
          <w:rFonts w:ascii="Arial" w:cs="Arial" w:eastAsia="Arial" w:hAnsi="Arial"/>
          <w:sz w:val="15"/>
          <w:szCs w:val="15"/>
          <w:color w:val="auto"/>
        </w:rPr>
        <w:t>. The Executive acknowledges that: (i) the Executive’s</w:t>
      </w:r>
      <w:r>
        <w:rPr>
          <w:rFonts w:ascii="Arial" w:cs="Arial" w:eastAsia="Arial" w:hAnsi="Arial"/>
          <w:sz w:val="15"/>
          <w:szCs w:val="15"/>
          <w:b w:val="1"/>
          <w:bCs w:val="1"/>
          <w:color w:val="auto"/>
        </w:rPr>
        <w:t xml:space="preserve"> </w:t>
      </w:r>
      <w:r>
        <w:rPr>
          <w:rFonts w:ascii="Arial" w:cs="Arial" w:eastAsia="Arial" w:hAnsi="Arial"/>
          <w:sz w:val="15"/>
          <w:szCs w:val="15"/>
          <w:color w:val="auto"/>
        </w:rPr>
        <w:t>compliance with Section 7 of this Agreement is necessary to preserve and protect the proprietary rights, Trade Secrets, and the goodwill of the Employer as a going concern, and (ii) any failure by the Executive to comply with the provisions of this Agreement will result in irreparable and continuing injury for which there will be no adequate remedy at law. In the event that the Executive fails to comply with the terms and conditions of this Agreement, the obligations of the Employer to pay the severance benefits set forth in Section 5 shall cease, and the Employer will be entitled, in addition to other relief that may be proper, to all types of equitable relief (including, but not limited to, the issuance of an injunction and/or temporary restraining order and the recoupment of any severance previously paid) that may be necessary to cause the Executive to comply with this Agreement, to restore to the Employer their property, and to make the Employer whole.</w:t>
      </w:r>
    </w:p>
    <w:p>
      <w:pPr>
        <w:spacing w:after="0" w:line="152" w:lineRule="exact"/>
        <w:rPr>
          <w:rFonts w:ascii="Arial" w:cs="Arial" w:eastAsia="Arial" w:hAnsi="Arial"/>
          <w:sz w:val="15"/>
          <w:szCs w:val="15"/>
          <w:color w:val="auto"/>
        </w:rPr>
      </w:pPr>
    </w:p>
    <w:p>
      <w:pPr>
        <w:ind w:left="1180" w:right="1179" w:firstLine="507"/>
        <w:spacing w:after="0" w:line="279" w:lineRule="auto"/>
        <w:tabs>
          <w:tab w:leader="none" w:pos="2204"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Survival. </w:t>
      </w:r>
      <w:r>
        <w:rPr>
          <w:rFonts w:ascii="Arial" w:cs="Arial" w:eastAsia="Arial" w:hAnsi="Arial"/>
          <w:sz w:val="17"/>
          <w:szCs w:val="17"/>
          <w:color w:val="auto"/>
        </w:rPr>
        <w:t>The provisions set forth in this Section 7 shall survive the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w:t>
      </w:r>
    </w:p>
    <w:p>
      <w:pPr>
        <w:spacing w:after="0" w:line="132" w:lineRule="exact"/>
        <w:rPr>
          <w:rFonts w:ascii="Arial" w:cs="Arial" w:eastAsia="Arial" w:hAnsi="Arial"/>
          <w:sz w:val="17"/>
          <w:szCs w:val="17"/>
          <w:color w:val="auto"/>
        </w:rPr>
      </w:pPr>
    </w:p>
    <w:p>
      <w:pPr>
        <w:jc w:val="both"/>
        <w:ind w:left="1180" w:right="1179" w:firstLine="507"/>
        <w:spacing w:after="0" w:line="291" w:lineRule="auto"/>
        <w:tabs>
          <w:tab w:leader="none" w:pos="2204"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Scope Limitations</w:t>
      </w:r>
      <w:r>
        <w:rPr>
          <w:rFonts w:ascii="Arial" w:cs="Arial" w:eastAsia="Arial" w:hAnsi="Arial"/>
          <w:sz w:val="15"/>
          <w:szCs w:val="15"/>
          <w:color w:val="auto"/>
        </w:rPr>
        <w:t>. If the scope, period of time or area of restriction specified in</w:t>
      </w:r>
      <w:r>
        <w:rPr>
          <w:rFonts w:ascii="Arial" w:cs="Arial" w:eastAsia="Arial" w:hAnsi="Arial"/>
          <w:sz w:val="15"/>
          <w:szCs w:val="15"/>
          <w:b w:val="1"/>
          <w:bCs w:val="1"/>
          <w:color w:val="auto"/>
        </w:rPr>
        <w:t xml:space="preserve"> </w:t>
      </w:r>
      <w:r>
        <w:rPr>
          <w:rFonts w:ascii="Arial" w:cs="Arial" w:eastAsia="Arial" w:hAnsi="Arial"/>
          <w:sz w:val="15"/>
          <w:szCs w:val="15"/>
          <w:color w:val="auto"/>
        </w:rPr>
        <w:t>this Section 7 are or would be judged to be unreasonable in any court proceeding, then the period of time, scope or area of restriction will be reduced or limited in the manner and to the extent necessary to make the restriction reasonable, so that the restriction may be enforced in those areas, during the period of time and in the scope that are or would be judged to be reasonable.</w:t>
      </w:r>
    </w:p>
    <w:p>
      <w:pPr>
        <w:spacing w:after="0" w:line="139" w:lineRule="exact"/>
        <w:rPr>
          <w:sz w:val="20"/>
          <w:szCs w:val="20"/>
          <w:color w:val="auto"/>
        </w:rPr>
      </w:pPr>
    </w:p>
    <w:p>
      <w:pPr>
        <w:ind w:left="2200" w:hanging="513"/>
        <w:spacing w:after="0"/>
        <w:tabs>
          <w:tab w:leader="none" w:pos="220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Mitigation; Exclusivity of Benefits.</w:t>
      </w:r>
    </w:p>
    <w:p>
      <w:pPr>
        <w:spacing w:after="0" w:line="203" w:lineRule="exact"/>
        <w:rPr>
          <w:sz w:val="20"/>
          <w:szCs w:val="20"/>
          <w:color w:val="auto"/>
        </w:rPr>
      </w:pPr>
    </w:p>
    <w:p>
      <w:pPr>
        <w:jc w:val="both"/>
        <w:ind w:left="1180" w:right="1179" w:firstLine="507"/>
        <w:spacing w:after="0" w:line="248" w:lineRule="auto"/>
        <w:tabs>
          <w:tab w:leader="none" w:pos="220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Executive shall not be required to mitigate the amount of any benefits hereunder by seeking other employment or otherwise, nor shall the amount of any such benefits be reduced by any compensation earned by the Executive as a result of employment by another employer after the Date of Termination or otherwise.</w:t>
      </w:r>
    </w:p>
    <w:p>
      <w:pPr>
        <w:spacing w:after="0" w:line="173" w:lineRule="exact"/>
        <w:rPr>
          <w:rFonts w:ascii="Arial" w:cs="Arial" w:eastAsia="Arial" w:hAnsi="Arial"/>
          <w:sz w:val="17"/>
          <w:szCs w:val="17"/>
          <w:color w:val="auto"/>
        </w:rPr>
      </w:pPr>
    </w:p>
    <w:p>
      <w:pPr>
        <w:jc w:val="both"/>
        <w:ind w:left="1180" w:right="1179" w:firstLine="507"/>
        <w:spacing w:after="0" w:line="271" w:lineRule="auto"/>
        <w:tabs>
          <w:tab w:leader="none" w:pos="220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specific arrangements referred to herein are not intended to exclude any other benefits which may be available to the Executive upon a termination of employment with the Employer pursuant to employee benefit plans of the Employer or otherwise.</w:t>
      </w:r>
    </w:p>
    <w:p>
      <w:pPr>
        <w:spacing w:after="0" w:line="152" w:lineRule="exact"/>
        <w:rPr>
          <w:sz w:val="20"/>
          <w:szCs w:val="20"/>
          <w:color w:val="auto"/>
        </w:rPr>
      </w:pPr>
    </w:p>
    <w:p>
      <w:pPr>
        <w:jc w:val="both"/>
        <w:ind w:left="1180" w:right="1179" w:firstLine="507"/>
        <w:spacing w:after="0" w:line="250" w:lineRule="auto"/>
        <w:tabs>
          <w:tab w:leader="none" w:pos="2204"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All payments required to be made by the Employer hereunder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shall be subject to the withholding of such amounts, if any, relating to tax and other payroll deductions as the Employer may reasonably determine should be withheld pursuant to any applicable law or regulation.</w:t>
      </w:r>
    </w:p>
    <w:p>
      <w:pPr>
        <w:spacing w:after="0" w:line="167" w:lineRule="exact"/>
        <w:rPr>
          <w:rFonts w:ascii="Arial" w:cs="Arial" w:eastAsia="Arial" w:hAnsi="Arial"/>
          <w:sz w:val="17"/>
          <w:szCs w:val="17"/>
          <w:b w:val="1"/>
          <w:bCs w:val="1"/>
          <w:color w:val="auto"/>
        </w:rPr>
      </w:pPr>
    </w:p>
    <w:p>
      <w:pPr>
        <w:jc w:val="both"/>
        <w:ind w:left="1180" w:right="1179" w:firstLine="507"/>
        <w:spacing w:after="0" w:line="286" w:lineRule="auto"/>
        <w:tabs>
          <w:tab w:leader="none" w:pos="2204" w:val="left"/>
        </w:tabs>
        <w:numPr>
          <w:ilvl w:val="0"/>
          <w:numId w:val="1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Assignability. </w:t>
      </w:r>
      <w:r>
        <w:rPr>
          <w:rFonts w:ascii="Arial" w:cs="Arial" w:eastAsia="Arial" w:hAnsi="Arial"/>
          <w:sz w:val="15"/>
          <w:szCs w:val="15"/>
          <w:color w:val="auto"/>
        </w:rPr>
        <w:t>The Bank may assign this Agreement and its rights and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in whole, but not in part, to any corporation, bank or other entity with or into which the Bank may hereafter merge or consolidate or to which the Bank may transfer all or substantially all of its assets, if in any such case said corporation, bank or other entity shall by operation of law or expressly in writing assume all obligations of the Employer hereunder as fully as if it had been originally made a party hereto, but may not otherwise assign this Agreement or their rights and</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019"/>
          </w:cols>
          <w:pgMar w:left="1440" w:top="491" w:right="1440" w:bottom="1440" w:gutter="0" w:footer="0" w:header="0"/>
        </w:sectPr>
      </w:pPr>
    </w:p>
    <w:bookmarkStart w:id="143" w:name="page144"/>
    <w:bookmarkEnd w:id="143"/>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ind w:left="1180" w:right="1179"/>
        <w:spacing w:after="0" w:line="274" w:lineRule="auto"/>
        <w:rPr>
          <w:sz w:val="20"/>
          <w:szCs w:val="20"/>
          <w:color w:val="auto"/>
        </w:rPr>
      </w:pPr>
      <w:r>
        <w:rPr>
          <w:rFonts w:ascii="Arial" w:cs="Arial" w:eastAsia="Arial" w:hAnsi="Arial"/>
          <w:sz w:val="17"/>
          <w:szCs w:val="17"/>
          <w:color w:val="auto"/>
        </w:rPr>
        <w:t>obligations hereunder. The Executive may not assign or transfer this Agreement or any rights or obligations hereunder.</w:t>
      </w:r>
    </w:p>
    <w:p>
      <w:pPr>
        <w:spacing w:after="0" w:line="147" w:lineRule="exact"/>
        <w:rPr>
          <w:sz w:val="20"/>
          <w:szCs w:val="20"/>
          <w:color w:val="auto"/>
        </w:rPr>
      </w:pPr>
    </w:p>
    <w:p>
      <w:pPr>
        <w:jc w:val="both"/>
        <w:ind w:left="1180" w:right="1179" w:firstLine="507"/>
        <w:spacing w:after="0" w:line="270" w:lineRule="auto"/>
        <w:tabs>
          <w:tab w:leader="none" w:pos="2204"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For the purposes of this Agreement, notices and all other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this Agreement shall be in writing and shall be deemed to have been duly given when delivered or mailed by certified or registered mail, return receipt requested, postage prepaid, addressed to the respective addresses set forth below:</w:t>
      </w:r>
    </w:p>
    <w:p>
      <w:pPr>
        <w:sectPr>
          <w:pgSz w:w="11900" w:h="16838" w:orient="portrait"/>
          <w:cols w:equalWidth="0" w:num="1">
            <w:col w:w="9019"/>
          </w:cols>
          <w:pgMar w:left="1440" w:top="491" w:right="1440" w:bottom="1440" w:gutter="0" w:footer="0" w:header="0"/>
        </w:sectPr>
      </w:pPr>
    </w:p>
    <w:p>
      <w:pPr>
        <w:spacing w:after="0" w:line="158"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To the Bank: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U.S. Century Bank</w:t>
      </w:r>
    </w:p>
    <w:p>
      <w:pPr>
        <w:spacing w:after="0"/>
        <w:rPr>
          <w:sz w:val="20"/>
          <w:szCs w:val="20"/>
          <w:color w:val="auto"/>
        </w:rPr>
      </w:pPr>
      <w:r>
        <w:rPr>
          <w:rFonts w:ascii="Arial" w:cs="Arial" w:eastAsia="Arial" w:hAnsi="Arial"/>
          <w:sz w:val="17"/>
          <w:szCs w:val="17"/>
          <w:color w:val="auto"/>
        </w:rPr>
        <w:t>2301 N.W. 87</w:t>
      </w:r>
      <w:r>
        <w:rPr>
          <w:rFonts w:ascii="Arial" w:cs="Arial" w:eastAsia="Arial" w:hAnsi="Arial"/>
          <w:sz w:val="11"/>
          <w:szCs w:val="11"/>
          <w:color w:val="auto"/>
        </w:rPr>
        <w:t>th</w:t>
      </w:r>
      <w:r>
        <w:rPr>
          <w:rFonts w:ascii="Arial" w:cs="Arial" w:eastAsia="Arial" w:hAnsi="Arial"/>
          <w:sz w:val="17"/>
          <w:szCs w:val="17"/>
          <w:color w:val="auto"/>
        </w:rPr>
        <w:t xml:space="preserve"> Avenue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Doral, Florida 33172</w:t>
      </w:r>
    </w:p>
    <w:p>
      <w:pPr>
        <w:spacing w:after="0" w:line="186" w:lineRule="exact"/>
        <w:rPr>
          <w:sz w:val="20"/>
          <w:szCs w:val="20"/>
          <w:color w:val="auto"/>
        </w:rPr>
      </w:pPr>
    </w:p>
    <w:p>
      <w:pPr>
        <w:sectPr>
          <w:pgSz w:w="11900" w:h="16838" w:orient="portrait"/>
          <w:cols w:equalWidth="0" w:num="2">
            <w:col w:w="2560" w:space="660"/>
            <w:col w:w="5799"/>
          </w:cols>
          <w:pgMar w:left="1440" w:top="491" w:right="1440" w:bottom="1440" w:gutter="0" w:footer="0" w:header="0"/>
          <w:type w:val="continuous"/>
        </w:sectPr>
      </w:pPr>
    </w:p>
    <w:p>
      <w:pPr>
        <w:ind w:left="1680"/>
        <w:spacing w:after="0"/>
        <w:rPr>
          <w:sz w:val="20"/>
          <w:szCs w:val="20"/>
          <w:color w:val="auto"/>
        </w:rPr>
      </w:pPr>
      <w:r>
        <w:rPr>
          <w:rFonts w:ascii="Arial" w:cs="Arial" w:eastAsia="Arial" w:hAnsi="Arial"/>
          <w:sz w:val="15"/>
          <w:szCs w:val="15"/>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Robert Anderson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 the address last appearing on</w:t>
      </w:r>
    </w:p>
    <w:p>
      <w:pPr>
        <w:spacing w:after="0"/>
        <w:rPr>
          <w:sz w:val="20"/>
          <w:szCs w:val="20"/>
          <w:color w:val="auto"/>
        </w:rPr>
      </w:pPr>
      <w:r>
        <w:rPr>
          <w:rFonts w:ascii="Arial" w:cs="Arial" w:eastAsia="Arial" w:hAnsi="Arial"/>
          <w:sz w:val="15"/>
          <w:szCs w:val="15"/>
          <w:color w:val="auto"/>
        </w:rPr>
        <w:t>the personnel records of the Employer</w:t>
      </w:r>
    </w:p>
    <w:p>
      <w:pPr>
        <w:spacing w:after="0" w:line="200" w:lineRule="exact"/>
        <w:rPr>
          <w:sz w:val="20"/>
          <w:szCs w:val="20"/>
          <w:color w:val="auto"/>
        </w:rPr>
      </w:pPr>
    </w:p>
    <w:p>
      <w:pPr>
        <w:sectPr>
          <w:pgSz w:w="11900" w:h="16838" w:orient="portrait"/>
          <w:cols w:equalWidth="0" w:num="2">
            <w:col w:w="2880" w:space="340"/>
            <w:col w:w="5799"/>
          </w:cols>
          <w:pgMar w:left="1440" w:top="491" w:right="1440" w:bottom="1440" w:gutter="0" w:footer="0" w:header="0"/>
          <w:type w:val="continuous"/>
        </w:sectPr>
      </w:pPr>
    </w:p>
    <w:p>
      <w:pPr>
        <w:spacing w:after="0" w:line="4" w:lineRule="exact"/>
        <w:rPr>
          <w:sz w:val="20"/>
          <w:szCs w:val="20"/>
          <w:color w:val="auto"/>
        </w:rPr>
      </w:pPr>
    </w:p>
    <w:p>
      <w:pPr>
        <w:jc w:val="both"/>
        <w:ind w:left="1180" w:right="1179" w:firstLine="530"/>
        <w:spacing w:after="0" w:line="265" w:lineRule="auto"/>
        <w:tabs>
          <w:tab w:leader="none" w:pos="2204" w:val="left"/>
        </w:tabs>
        <w:numPr>
          <w:ilvl w:val="1"/>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Waiver. </w:t>
      </w:r>
      <w:r>
        <w:rPr>
          <w:rFonts w:ascii="Arial" w:cs="Arial" w:eastAsia="Arial" w:hAnsi="Arial"/>
          <w:sz w:val="16"/>
          <w:szCs w:val="16"/>
          <w:color w:val="auto"/>
        </w:rPr>
        <w:t>No provisions of this Agreement may be modified, waived</w:t>
      </w:r>
      <w:r>
        <w:rPr>
          <w:rFonts w:ascii="Arial" w:cs="Arial" w:eastAsia="Arial" w:hAnsi="Arial"/>
          <w:sz w:val="16"/>
          <w:szCs w:val="16"/>
          <w:b w:val="1"/>
          <w:bCs w:val="1"/>
          <w:color w:val="auto"/>
        </w:rPr>
        <w:t xml:space="preserve"> </w:t>
      </w:r>
      <w:r>
        <w:rPr>
          <w:rFonts w:ascii="Arial" w:cs="Arial" w:eastAsia="Arial" w:hAnsi="Arial"/>
          <w:sz w:val="16"/>
          <w:szCs w:val="16"/>
          <w:color w:val="auto"/>
        </w:rPr>
        <w:t>or discharged unless such waiver, modification or discharge is agreed to in writing signed by the Executive and such officer or officers as may be specifically designated by the Board of Directors of the Employer to sign on their behalf. No waiver by any party hereto at any time of any breach by any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46" w:lineRule="exact"/>
        <w:rPr>
          <w:rFonts w:ascii="Arial" w:cs="Arial" w:eastAsia="Arial" w:hAnsi="Arial"/>
          <w:sz w:val="16"/>
          <w:szCs w:val="16"/>
          <w:b w:val="1"/>
          <w:bCs w:val="1"/>
          <w:color w:val="auto"/>
        </w:rPr>
      </w:pPr>
    </w:p>
    <w:p>
      <w:pPr>
        <w:jc w:val="both"/>
        <w:ind w:left="1180" w:right="1179" w:firstLine="507"/>
        <w:spacing w:after="0" w:line="257" w:lineRule="auto"/>
        <w:tabs>
          <w:tab w:leader="none" w:pos="2204"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validity, interpretation, construction and performance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governed by the laws of the United States where applicable and otherwise by the substantive laws of the State of Florida.</w:t>
      </w:r>
    </w:p>
    <w:p>
      <w:pPr>
        <w:spacing w:after="0" w:line="161" w:lineRule="exact"/>
        <w:rPr>
          <w:rFonts w:ascii="Arial" w:cs="Arial" w:eastAsia="Arial" w:hAnsi="Arial"/>
          <w:sz w:val="17"/>
          <w:szCs w:val="17"/>
          <w:b w:val="1"/>
          <w:bCs w:val="1"/>
          <w:color w:val="auto"/>
        </w:rPr>
      </w:pPr>
    </w:p>
    <w:p>
      <w:pPr>
        <w:jc w:val="both"/>
        <w:ind w:left="1180" w:right="1179" w:firstLine="507"/>
        <w:spacing w:after="0" w:line="294" w:lineRule="auto"/>
        <w:tabs>
          <w:tab w:leader="none" w:pos="2204"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Nature of Obligations. </w:t>
      </w:r>
      <w:r>
        <w:rPr>
          <w:rFonts w:ascii="Arial" w:cs="Arial" w:eastAsia="Arial" w:hAnsi="Arial"/>
          <w:sz w:val="15"/>
          <w:szCs w:val="15"/>
          <w:color w:val="auto"/>
        </w:rPr>
        <w:t>Nothing contained herein shall create or require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Employer to create a trust of any kind to fund any benefits which may be payable hereunder, and to the extent that the Executive acquires a right to receive benefits from the Employer hereunder, such right shall be no greater than the right of any unsecured general creditor of the Employer.</w:t>
      </w:r>
    </w:p>
    <w:p>
      <w:pPr>
        <w:spacing w:after="0" w:line="136" w:lineRule="exact"/>
        <w:rPr>
          <w:rFonts w:ascii="Arial" w:cs="Arial" w:eastAsia="Arial" w:hAnsi="Arial"/>
          <w:sz w:val="15"/>
          <w:szCs w:val="15"/>
          <w:b w:val="1"/>
          <w:bCs w:val="1"/>
          <w:color w:val="auto"/>
        </w:rPr>
      </w:pPr>
    </w:p>
    <w:p>
      <w:pPr>
        <w:ind w:left="1180" w:right="1179" w:firstLine="507"/>
        <w:spacing w:after="0" w:line="297" w:lineRule="auto"/>
        <w:tabs>
          <w:tab w:leader="none" w:pos="2204"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The section headings contained in this Agreement are for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only and shall not affect in any way the meaning or interpretation of this Agreement.</w:t>
      </w:r>
    </w:p>
    <w:p>
      <w:pPr>
        <w:spacing w:after="0" w:line="131" w:lineRule="exact"/>
        <w:rPr>
          <w:rFonts w:ascii="Arial" w:cs="Arial" w:eastAsia="Arial" w:hAnsi="Arial"/>
          <w:sz w:val="16"/>
          <w:szCs w:val="16"/>
          <w:b w:val="1"/>
          <w:bCs w:val="1"/>
          <w:color w:val="auto"/>
        </w:rPr>
      </w:pPr>
    </w:p>
    <w:p>
      <w:pPr>
        <w:jc w:val="both"/>
        <w:ind w:left="1180" w:right="1179" w:firstLine="507"/>
        <w:spacing w:after="0" w:line="257" w:lineRule="auto"/>
        <w:tabs>
          <w:tab w:leader="none" w:pos="2204"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Validity. </w:t>
      </w:r>
      <w:r>
        <w:rPr>
          <w:rFonts w:ascii="Arial" w:cs="Arial" w:eastAsia="Arial" w:hAnsi="Arial"/>
          <w:sz w:val="17"/>
          <w:szCs w:val="17"/>
          <w:color w:val="auto"/>
        </w:rPr>
        <w:t>The invalidity or unenforceability of any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affect the validity or enforceability of any other provisions of this Agreement, which shall remain in full force and effect.</w:t>
      </w:r>
    </w:p>
    <w:p>
      <w:pPr>
        <w:spacing w:after="0" w:line="161" w:lineRule="exact"/>
        <w:rPr>
          <w:rFonts w:ascii="Arial" w:cs="Arial" w:eastAsia="Arial" w:hAnsi="Arial"/>
          <w:sz w:val="17"/>
          <w:szCs w:val="17"/>
          <w:b w:val="1"/>
          <w:bCs w:val="1"/>
          <w:color w:val="auto"/>
        </w:rPr>
      </w:pPr>
    </w:p>
    <w:p>
      <w:pPr>
        <w:jc w:val="both"/>
        <w:ind w:left="1180" w:right="1179" w:firstLine="507"/>
        <w:spacing w:after="0" w:line="257" w:lineRule="auto"/>
        <w:tabs>
          <w:tab w:leader="none" w:pos="2204"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one or more counterparts,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shall be deemed to be an original but all of which together will constitute one and the same instrument.</w:t>
      </w:r>
    </w:p>
    <w:p>
      <w:pPr>
        <w:spacing w:after="0" w:line="150" w:lineRule="exact"/>
        <w:rPr>
          <w:rFonts w:ascii="Arial" w:cs="Arial" w:eastAsia="Arial" w:hAnsi="Arial"/>
          <w:sz w:val="17"/>
          <w:szCs w:val="17"/>
          <w:b w:val="1"/>
          <w:bCs w:val="1"/>
          <w:color w:val="auto"/>
        </w:rPr>
      </w:pPr>
    </w:p>
    <w:p>
      <w:pPr>
        <w:jc w:val="both"/>
        <w:ind w:left="1180" w:right="1179" w:firstLine="507"/>
        <w:spacing w:after="0" w:line="257" w:lineRule="auto"/>
        <w:tabs>
          <w:tab w:leader="none" w:pos="2204"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Actions. </w:t>
      </w:r>
      <w:r>
        <w:rPr>
          <w:rFonts w:ascii="Arial" w:cs="Arial" w:eastAsia="Arial" w:hAnsi="Arial"/>
          <w:sz w:val="17"/>
          <w:szCs w:val="17"/>
          <w:color w:val="auto"/>
        </w:rPr>
        <w:t>The following provisions shall be applicable to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or any successor thereto, and shall be controlling in the event of a conflict with any other provision of this Agreement, including without limitation Section 5 hereof.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019"/>
          </w:cols>
          <w:pgMar w:left="1440" w:top="491" w:right="1440" w:bottom="1440" w:gutter="0" w:footer="0" w:header="0"/>
          <w:type w:val="continuous"/>
        </w:sectPr>
      </w:pPr>
    </w:p>
    <w:bookmarkStart w:id="144" w:name="page145"/>
    <w:bookmarkEnd w:id="144"/>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180" w:right="1179" w:firstLine="507"/>
        <w:spacing w:after="0" w:line="245" w:lineRule="auto"/>
        <w:tabs>
          <w:tab w:leader="none" w:pos="220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Executive is suspended from office and/or temporarily prohibited from participating in the conduct of the Bank’s affairs pursuant to notice served under Section 8(e)(3) or Section 8(g)(1) of the Federal Deposit Insurance Act (“FDIA”)(12 U.S.C. §§1818(e)(3) and 1818(g)(1)), the Bank’s obligations under this Agreement shall be suspended as of the date of service, unless stayed by appropriate proceedings. If the charges in the notice are dismissed, the Bank will: (i) pay the Executive all or part of the compensation withheld while its obligations under this Agreement were suspended, and (ii) reinstate (in whole or in part) any of its obligations which were suspended.</w:t>
      </w:r>
    </w:p>
    <w:p>
      <w:pPr>
        <w:spacing w:after="0" w:line="164" w:lineRule="exact"/>
        <w:rPr>
          <w:rFonts w:ascii="Arial" w:cs="Arial" w:eastAsia="Arial" w:hAnsi="Arial"/>
          <w:sz w:val="17"/>
          <w:szCs w:val="17"/>
          <w:color w:val="auto"/>
        </w:rPr>
      </w:pPr>
    </w:p>
    <w:p>
      <w:pPr>
        <w:jc w:val="both"/>
        <w:ind w:left="1180" w:right="1179" w:firstLine="507"/>
        <w:spacing w:after="0" w:line="267" w:lineRule="auto"/>
        <w:tabs>
          <w:tab w:leader="none" w:pos="220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Executive is removed from office and/or permanently prohibited from participating in the conduct of the Bank’s affairs by an order issued under Section 8(e)(4) or Section 8(g)(1) of the FDIA (12 U.S.C. §§1818(e)(4) and (g)(1)), all obligations of the Bank under this Agreement shall terminate as of the effective date of the order, but vested rights of the Executive and the Bank as of the date of termination shall not be affected.</w:t>
      </w:r>
    </w:p>
    <w:p>
      <w:pPr>
        <w:spacing w:after="0" w:line="160" w:lineRule="exact"/>
        <w:rPr>
          <w:rFonts w:ascii="Arial" w:cs="Arial" w:eastAsia="Arial" w:hAnsi="Arial"/>
          <w:sz w:val="16"/>
          <w:szCs w:val="16"/>
          <w:color w:val="auto"/>
        </w:rPr>
      </w:pPr>
    </w:p>
    <w:p>
      <w:pPr>
        <w:jc w:val="both"/>
        <w:ind w:left="1180" w:right="1179" w:firstLine="507"/>
        <w:spacing w:after="0" w:line="278" w:lineRule="auto"/>
        <w:tabs>
          <w:tab w:leader="none" w:pos="220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Bank is in default, as defined in Section 3(x)(1) of the FDIA (12 U.S.C. §1813(x)(1)), all obligations under this Agreement shall terminate as of the date of default, but vested rights of the Executive and the Bank as of the date of termination shall not be affected.</w:t>
      </w:r>
    </w:p>
    <w:p>
      <w:pPr>
        <w:spacing w:after="0" w:line="135" w:lineRule="exact"/>
        <w:rPr>
          <w:sz w:val="20"/>
          <w:szCs w:val="20"/>
          <w:color w:val="auto"/>
        </w:rPr>
      </w:pPr>
    </w:p>
    <w:p>
      <w:pPr>
        <w:jc w:val="both"/>
        <w:ind w:left="1180" w:right="1179" w:firstLine="507"/>
        <w:spacing w:after="0" w:line="254" w:lineRule="auto"/>
        <w:tabs>
          <w:tab w:leader="none" w:pos="2204"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Prohibition. </w:t>
      </w:r>
      <w:r>
        <w:rPr>
          <w:rFonts w:ascii="Arial" w:cs="Arial" w:eastAsia="Arial" w:hAnsi="Arial"/>
          <w:sz w:val="17"/>
          <w:szCs w:val="17"/>
          <w:color w:val="auto"/>
        </w:rPr>
        <w:t>Notwithstanding any other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contrary, any payments made to the Executive pursuant to this Agreement, or otherwise, are subject to and conditioned upon their compliance with Section 18(k) of the FDIA (12 U.S.C. §1828(k)) and 12 C.F.R. Part 359.</w:t>
      </w:r>
    </w:p>
    <w:p>
      <w:pPr>
        <w:spacing w:after="0" w:line="154" w:lineRule="exact"/>
        <w:rPr>
          <w:rFonts w:ascii="Arial" w:cs="Arial" w:eastAsia="Arial" w:hAnsi="Arial"/>
          <w:sz w:val="17"/>
          <w:szCs w:val="17"/>
          <w:b w:val="1"/>
          <w:bCs w:val="1"/>
          <w:color w:val="auto"/>
        </w:rPr>
      </w:pPr>
    </w:p>
    <w:p>
      <w:pPr>
        <w:jc w:val="both"/>
        <w:ind w:left="1180" w:right="1179" w:firstLine="507"/>
        <w:spacing w:after="0" w:line="285" w:lineRule="auto"/>
        <w:tabs>
          <w:tab w:leader="none" w:pos="2204"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Arbitration. </w:t>
      </w:r>
      <w:r>
        <w:rPr>
          <w:rFonts w:ascii="Arial" w:cs="Arial" w:eastAsia="Arial" w:hAnsi="Arial"/>
          <w:sz w:val="15"/>
          <w:szCs w:val="15"/>
          <w:color w:val="auto"/>
        </w:rPr>
        <w:t>Any controversy or claim arising out of or relating to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or the breach thereof, shall be settled by arbitration before a single arbitrator in accordance with the rules then existing under the Employment Dispute Resolution Rules of the American Arbitration Association (“AAA”) conducted at the district office of the AAA located nearest to the home office of the Bank, and judgment upon the award rendered may be entered in any court having jurisdiction thereof, except to the extent that the parties may otherwise reach a mutual settlement of such issue. Each party to the arbitration shall bear its own expenses.</w:t>
      </w:r>
    </w:p>
    <w:p>
      <w:pPr>
        <w:spacing w:after="0" w:line="145" w:lineRule="exact"/>
        <w:rPr>
          <w:rFonts w:ascii="Arial" w:cs="Arial" w:eastAsia="Arial" w:hAnsi="Arial"/>
          <w:sz w:val="15"/>
          <w:szCs w:val="15"/>
          <w:b w:val="1"/>
          <w:bCs w:val="1"/>
          <w:color w:val="auto"/>
        </w:rPr>
      </w:pPr>
    </w:p>
    <w:p>
      <w:pPr>
        <w:jc w:val="both"/>
        <w:ind w:left="1180" w:right="1199" w:firstLine="507"/>
        <w:spacing w:after="0" w:line="250" w:lineRule="auto"/>
        <w:tabs>
          <w:tab w:leader="none" w:pos="2204"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embodies the entire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and the Executive with respect to the matters agreed to herein. All prior agreements between the Employer and the Executive with respect to the matters agreed to herein are hereby superseded and shall have no force or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019"/>
          </w:cols>
          <w:pgMar w:left="1440" w:top="491" w:right="1440" w:bottom="1440" w:gutter="0" w:footer="0" w:header="0"/>
        </w:sectPr>
      </w:pPr>
    </w:p>
    <w:bookmarkStart w:id="145" w:name="page146"/>
    <w:bookmarkEnd w:id="145"/>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IN WITNESS WHEREOF, this Agreement has been executed as of the date first written</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019"/>
          </w:cols>
          <w:pgMar w:left="1440" w:top="491" w:right="1440" w:bottom="1440" w:gutter="0" w:footer="0" w:header="0"/>
        </w:sectPr>
      </w:pPr>
    </w:p>
    <w:bookmarkStart w:id="146" w:name="page147"/>
    <w:bookmarkEnd w:id="146"/>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9"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Exhibit 10.6</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CONTROL AGREEMENT</w:t>
      </w:r>
    </w:p>
    <w:p>
      <w:pPr>
        <w:spacing w:after="0" w:line="252" w:lineRule="exact"/>
        <w:rPr>
          <w:sz w:val="20"/>
          <w:szCs w:val="20"/>
          <w:color w:val="auto"/>
        </w:rPr>
      </w:pPr>
    </w:p>
    <w:p>
      <w:pPr>
        <w:jc w:val="both"/>
        <w:ind w:left="1180" w:right="1179" w:firstLine="512"/>
        <w:spacing w:after="0" w:line="243" w:lineRule="auto"/>
        <w:rPr>
          <w:sz w:val="20"/>
          <w:szCs w:val="20"/>
          <w:color w:val="auto"/>
        </w:rPr>
      </w:pPr>
      <w:r>
        <w:rPr>
          <w:rFonts w:ascii="Arial" w:cs="Arial" w:eastAsia="Arial" w:hAnsi="Arial"/>
          <w:sz w:val="16"/>
          <w:szCs w:val="16"/>
          <w:color w:val="auto"/>
        </w:rPr>
        <w:t>THIS CHANGE IN CONTROL AGREEMENT (“CIC Agreement”) is made by and between U.S. Century Bank, with Corporate Offices located at 2301 NW 87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 Doral, FL 33172 (hereinafter called the “Bank” or the “Company”), its subsidiaries, divisions and associated and affiliated entities (“Affiliates”) and Benigno Pazos (“Executive”).</w:t>
      </w:r>
    </w:p>
    <w:p>
      <w:pPr>
        <w:spacing w:after="0" w:line="174"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as consideration for Executive’s continued employment with the Bank as</w:t>
      </w:r>
    </w:p>
    <w:p>
      <w:pPr>
        <w:spacing w:after="0" w:line="5" w:lineRule="exact"/>
        <w:rPr>
          <w:sz w:val="20"/>
          <w:szCs w:val="20"/>
          <w:color w:val="auto"/>
        </w:rPr>
      </w:pPr>
    </w:p>
    <w:p>
      <w:pPr>
        <w:jc w:val="both"/>
        <w:ind w:left="1180" w:right="1179" w:hanging="4"/>
        <w:spacing w:after="0" w:line="204" w:lineRule="auto"/>
        <w:rPr>
          <w:sz w:val="20"/>
          <w:szCs w:val="20"/>
          <w:color w:val="auto"/>
        </w:rPr>
      </w:pPr>
      <w:r>
        <w:rPr>
          <w:rFonts w:ascii="Arial" w:cs="Arial" w:eastAsia="Arial" w:hAnsi="Arial"/>
          <w:sz w:val="15"/>
          <w:szCs w:val="15"/>
          <w:color w:val="auto"/>
        </w:rPr>
        <w:t xml:space="preserve">Chief Credit Officer, which is incorporated by reference in this Agreement), </w:t>
      </w:r>
      <w:r>
        <w:rPr>
          <w:rFonts w:ascii="Arial" w:cs="Arial" w:eastAsia="Arial" w:hAnsi="Arial"/>
          <w:sz w:val="29"/>
          <w:szCs w:val="29"/>
          <w:color w:val="auto"/>
          <w:vertAlign w:val="superscript"/>
        </w:rPr>
        <w:t>the parties hereto,</w:t>
      </w:r>
      <w:r>
        <w:rPr>
          <w:rFonts w:ascii="Arial" w:cs="Arial" w:eastAsia="Arial" w:hAnsi="Arial"/>
          <w:sz w:val="15"/>
          <w:szCs w:val="15"/>
          <w:color w:val="auto"/>
        </w:rPr>
        <w:t xml:space="preserve"> intending to be legally bound, agree as follows:</w:t>
      </w:r>
    </w:p>
    <w:p>
      <w:pPr>
        <w:spacing w:after="0" w:line="143" w:lineRule="exact"/>
        <w:rPr>
          <w:sz w:val="20"/>
          <w:szCs w:val="20"/>
          <w:color w:val="auto"/>
        </w:rPr>
      </w:pPr>
    </w:p>
    <w:p>
      <w:pPr>
        <w:jc w:val="both"/>
        <w:ind w:left="1180" w:right="1179" w:firstLine="507"/>
        <w:spacing w:after="0" w:line="284" w:lineRule="auto"/>
        <w:tabs>
          <w:tab w:leader="none" w:pos="2204"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Payment Upon Change in Control.</w:t>
      </w:r>
      <w:r>
        <w:rPr>
          <w:rFonts w:ascii="Arial" w:cs="Arial" w:eastAsia="Arial" w:hAnsi="Arial"/>
          <w:sz w:val="15"/>
          <w:szCs w:val="15"/>
          <w:color w:val="auto"/>
        </w:rPr>
        <w:t xml:space="preserve"> In the event of a Change in Control (as defined herein) for the remaining term of Executive’s employment with the Bank, the Company agrees to issue payment to Executive in the total amount of 1.5 times the Base Annual Salary of the Executive applicable for the one (1) year period prior to the Change in Control, to be paid within thirty (30) days of the consummation of the Change in Control. Bank’s provision of this benefit to Executive is made without regard to whether, or for how long, Executive remains employed with the surviving company subsequent to the Change in Control.</w:t>
      </w:r>
    </w:p>
    <w:p>
      <w:pPr>
        <w:spacing w:after="0" w:line="118" w:lineRule="exact"/>
        <w:rPr>
          <w:rFonts w:ascii="Arial" w:cs="Arial" w:eastAsia="Arial" w:hAnsi="Arial"/>
          <w:sz w:val="15"/>
          <w:szCs w:val="15"/>
          <w:color w:val="auto"/>
        </w:rPr>
      </w:pPr>
    </w:p>
    <w:p>
      <w:pPr>
        <w:ind w:left="1180" w:right="1179" w:firstLine="507"/>
        <w:spacing w:after="0" w:line="274" w:lineRule="auto"/>
        <w:tabs>
          <w:tab w:leader="none" w:pos="2204"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“Change in Control shall mean the occurrence of an event described in (i), (ii), (iii), or (iv) below:</w:t>
      </w:r>
    </w:p>
    <w:p>
      <w:pPr>
        <w:spacing w:after="0" w:line="119" w:lineRule="exact"/>
        <w:rPr>
          <w:rFonts w:ascii="Arial" w:cs="Arial" w:eastAsia="Arial" w:hAnsi="Arial"/>
          <w:sz w:val="17"/>
          <w:szCs w:val="17"/>
          <w:color w:val="auto"/>
        </w:rPr>
      </w:pPr>
    </w:p>
    <w:p>
      <w:pPr>
        <w:ind w:left="2200" w:right="1259" w:hanging="1"/>
        <w:spacing w:after="0" w:line="280" w:lineRule="auto"/>
        <w:tabs>
          <w:tab w:leader="none" w:pos="2404" w:val="left"/>
        </w:tabs>
        <w:numPr>
          <w:ilvl w:val="1"/>
          <w:numId w:val="131"/>
        </w:numPr>
        <w:rPr>
          <w:rFonts w:ascii="Arial" w:cs="Arial" w:eastAsia="Arial" w:hAnsi="Arial"/>
          <w:sz w:val="15"/>
          <w:szCs w:val="15"/>
          <w:color w:val="auto"/>
        </w:rPr>
      </w:pPr>
      <w:r>
        <w:rPr>
          <w:rFonts w:ascii="Arial" w:cs="Arial" w:eastAsia="Arial" w:hAnsi="Arial"/>
          <w:sz w:val="15"/>
          <w:szCs w:val="15"/>
          <w:color w:val="auto"/>
        </w:rPr>
        <w:t>Any person or group (within the meaning of Sections 13(d) and 14(d) of the Securities Exchange Act of 1934, as amended (the “Exchange Act”)), other than the Bank, an affiliate of the Bank or a trustee or other fiduciary holding securities under an employee benefit plan of the Bank or a corporation owned directly or indirectly by the stockholders of Bank in substantially the same proportions as their ownership of stock of the Bank, becomes the beneficial owner (within the meaning of Rule 13(d)(3) under the Exchange Act, directly or indirectly (which shall include securities issuable upon conversion, exchange or otherwise) or securities representing 50% or more of the combined voting power of the Bank’s then-outstanding securities entitled to vote for the election of directors.</w:t>
      </w:r>
    </w:p>
    <w:p>
      <w:pPr>
        <w:spacing w:after="0" w:line="121" w:lineRule="exact"/>
        <w:rPr>
          <w:rFonts w:ascii="Arial" w:cs="Arial" w:eastAsia="Arial" w:hAnsi="Arial"/>
          <w:sz w:val="15"/>
          <w:szCs w:val="15"/>
          <w:color w:val="auto"/>
        </w:rPr>
      </w:pPr>
    </w:p>
    <w:p>
      <w:pPr>
        <w:jc w:val="both"/>
        <w:ind w:left="2200" w:right="1179" w:hanging="1"/>
        <w:spacing w:after="0" w:line="262" w:lineRule="auto"/>
        <w:tabs>
          <w:tab w:leader="none" w:pos="247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Consummation of an agreement to merge or consolidate with another entity (other than a majority-controlled subsidiary of the Bank) unless the Bank’s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41" w:lineRule="exact"/>
        <w:rPr>
          <w:rFonts w:ascii="Arial" w:cs="Arial" w:eastAsia="Arial" w:hAnsi="Arial"/>
          <w:sz w:val="16"/>
          <w:szCs w:val="16"/>
          <w:color w:val="auto"/>
        </w:rPr>
      </w:pPr>
    </w:p>
    <w:p>
      <w:pPr>
        <w:jc w:val="both"/>
        <w:ind w:left="2200" w:right="1179" w:hanging="1"/>
        <w:spacing w:after="0" w:line="255" w:lineRule="auto"/>
        <w:tabs>
          <w:tab w:leader="none" w:pos="2499" w:val="left"/>
        </w:tabs>
        <w:numPr>
          <w:ilvl w:val="1"/>
          <w:numId w:val="131"/>
        </w:numPr>
        <w:rPr>
          <w:rFonts w:ascii="Arial" w:cs="Arial" w:eastAsia="Arial" w:hAnsi="Arial"/>
          <w:sz w:val="17"/>
          <w:szCs w:val="17"/>
          <w:color w:val="auto"/>
        </w:rPr>
      </w:pPr>
      <w:r>
        <w:rPr>
          <w:rFonts w:ascii="Arial" w:cs="Arial" w:eastAsia="Arial" w:hAnsi="Arial"/>
          <w:sz w:val="17"/>
          <w:szCs w:val="17"/>
          <w:color w:val="auto"/>
        </w:rPr>
        <w:t>Consummation of an agreement (including, without limitation, an agreement of liquidation) to sell or otherwise dispose of all or substantially all of the business or assets of the Bank (or a subsidiary thereof); or</w:t>
      </w:r>
    </w:p>
    <w:p>
      <w:pPr>
        <w:sectPr>
          <w:pgSz w:w="11900" w:h="16838" w:orient="portrait"/>
          <w:cols w:equalWidth="0" w:num="1">
            <w:col w:w="9019"/>
          </w:cols>
          <w:pgMar w:left="1440" w:top="491" w:right="1440" w:bottom="1440" w:gutter="0" w:footer="0" w:header="0"/>
        </w:sectPr>
      </w:pPr>
    </w:p>
    <w:bookmarkStart w:id="147" w:name="page148"/>
    <w:bookmarkEnd w:id="147"/>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ind w:left="2200" w:right="1179"/>
        <w:spacing w:after="0" w:line="264" w:lineRule="auto"/>
        <w:rPr>
          <w:sz w:val="20"/>
          <w:szCs w:val="20"/>
          <w:color w:val="auto"/>
        </w:rPr>
      </w:pPr>
      <w:r>
        <w:rPr>
          <w:rFonts w:ascii="Arial" w:cs="Arial" w:eastAsia="Arial" w:hAnsi="Arial"/>
          <w:sz w:val="16"/>
          <w:szCs w:val="16"/>
          <w:color w:val="auto"/>
        </w:rPr>
        <w:t>(iv) Individuals who, as of the date hereof, constitute the Board of Directors of the Bank (the “Incumbent Board”) cease for any reason to constitute at least a majority of the Board, provided that any person becoming a director subsequent to the date hereof whose election or nomination for election by the stockholders is approved by a vote of at least a majority of directors then constituting the Incumbent Board shall be, for purposes of this Agreement, considered as though such person were a member of the Incumbent Board.</w:t>
      </w:r>
    </w:p>
    <w:p>
      <w:pPr>
        <w:spacing w:after="0" w:line="130" w:lineRule="exact"/>
        <w:rPr>
          <w:sz w:val="20"/>
          <w:szCs w:val="20"/>
          <w:color w:val="auto"/>
        </w:rPr>
      </w:pPr>
    </w:p>
    <w:p>
      <w:pPr>
        <w:jc w:val="both"/>
        <w:ind w:left="1940" w:right="1179"/>
        <w:spacing w:after="0" w:line="255" w:lineRule="auto"/>
        <w:rPr>
          <w:sz w:val="20"/>
          <w:szCs w:val="20"/>
          <w:color w:val="auto"/>
        </w:rPr>
      </w:pPr>
      <w:r>
        <w:rPr>
          <w:rFonts w:ascii="Arial" w:cs="Arial" w:eastAsia="Arial" w:hAnsi="Arial"/>
          <w:sz w:val="17"/>
          <w:szCs w:val="17"/>
          <w:color w:val="auto"/>
        </w:rPr>
        <w:t>Notwithstanding the foregoing, no event shall constitute a Change in Control unless such event shall also constitute a change in control as defined in Section 409A of the Code.</w:t>
      </w:r>
    </w:p>
    <w:p>
      <w:pPr>
        <w:spacing w:after="0" w:line="166" w:lineRule="exact"/>
        <w:rPr>
          <w:sz w:val="20"/>
          <w:szCs w:val="20"/>
          <w:color w:val="auto"/>
        </w:rPr>
      </w:pPr>
    </w:p>
    <w:p>
      <w:pPr>
        <w:jc w:val="both"/>
        <w:ind w:left="1180" w:right="1179" w:firstLine="507"/>
        <w:spacing w:after="0" w:line="292" w:lineRule="auto"/>
        <w:tabs>
          <w:tab w:leader="none" w:pos="2204"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Should any provision of this Agreement be declared or determined by any court of competent jurisdiction to be unenforceable or invalid for any reason, the validity of the remaining parts, terms or provisions of this Agreement shall not be affected thereby and the invalid or unenforceable part, term or provision shall be deemed not to be a part of this Agreement.</w:t>
      </w:r>
    </w:p>
    <w:p>
      <w:pPr>
        <w:spacing w:after="0" w:line="110" w:lineRule="exact"/>
        <w:rPr>
          <w:rFonts w:ascii="Arial" w:cs="Arial" w:eastAsia="Arial" w:hAnsi="Arial"/>
          <w:sz w:val="15"/>
          <w:szCs w:val="15"/>
          <w:color w:val="auto"/>
        </w:rPr>
      </w:pPr>
    </w:p>
    <w:p>
      <w:pPr>
        <w:jc w:val="both"/>
        <w:ind w:left="1180" w:right="1179" w:firstLine="507"/>
        <w:spacing w:after="0" w:line="264" w:lineRule="auto"/>
        <w:tabs>
          <w:tab w:leader="none" w:pos="22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Applicable Law/Forum</w:t>
      </w:r>
      <w:r>
        <w:rPr>
          <w:rFonts w:ascii="Arial" w:cs="Arial" w:eastAsia="Arial" w:hAnsi="Arial"/>
          <w:sz w:val="16"/>
          <w:szCs w:val="16"/>
          <w:color w:val="auto"/>
        </w:rPr>
        <w:t>. This Agreement has been entered into in and shall be governed by and construed under the internal laws of the State of Florida, without regard to conflicts of laws principals. All suits, proceedings and other actions relating to, arising out of or in connection with this Agreement will be submitted solely to the in personam jurisdiction of the United States District Court for the Southern District of Florida (“Federal Court”) or to the Circuit Court in Broward County or Miami-Dade County. Executive hereby waives any claims against or objections to such in personam jurisdiction and venue.</w:t>
      </w:r>
    </w:p>
    <w:p>
      <w:pPr>
        <w:spacing w:after="0" w:line="130" w:lineRule="exact"/>
        <w:rPr>
          <w:rFonts w:ascii="Arial" w:cs="Arial" w:eastAsia="Arial" w:hAnsi="Arial"/>
          <w:sz w:val="16"/>
          <w:szCs w:val="16"/>
          <w:color w:val="auto"/>
        </w:rPr>
      </w:pPr>
    </w:p>
    <w:p>
      <w:pPr>
        <w:jc w:val="both"/>
        <w:ind w:left="1180" w:right="1179" w:firstLine="507"/>
        <w:spacing w:after="0" w:line="284" w:lineRule="auto"/>
        <w:tabs>
          <w:tab w:leader="none" w:pos="2204"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All notices and other communications hereunder shall be in writing and shall be deemed to have been given only if and when personally delivered or three (3) business days after mailing, postage prepaid, registered or certified mail, or when delivered (and receipted for) by an express delivery service, addressed in each case. As to notices provided to Bank, notices shall be sent to the Human Resources Department at the address of the Bank listed in the introductory paragraph of this Agreement. As to notices to Executive, notices shall be sent to address provided below. Executive and Bank may change the address for the giving of notices.</w:t>
      </w:r>
    </w:p>
    <w:p>
      <w:pPr>
        <w:spacing w:after="0" w:line="118" w:lineRule="exact"/>
        <w:rPr>
          <w:rFonts w:ascii="Arial" w:cs="Arial" w:eastAsia="Arial" w:hAnsi="Arial"/>
          <w:sz w:val="15"/>
          <w:szCs w:val="15"/>
          <w:color w:val="auto"/>
        </w:rPr>
      </w:pPr>
    </w:p>
    <w:p>
      <w:pPr>
        <w:jc w:val="both"/>
        <w:ind w:left="1180" w:right="1179" w:firstLine="507"/>
        <w:spacing w:after="0" w:line="264" w:lineRule="auto"/>
        <w:tabs>
          <w:tab w:leader="none" w:pos="22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represents the complete agreement between Executive and Bank regarding the subject matter of this Agreement. This Agreement is in no way dependent upon the performance of any other contract or agreement that may have been or may be entered into between Executive and Bank, and remains in effect during the pendency of this Agreement. As such, the breach or alleged breach of any other contract or agreement is no defense to enforcement of this Agreement.</w:t>
      </w:r>
    </w:p>
    <w:p>
      <w:pPr>
        <w:spacing w:after="0" w:line="130" w:lineRule="exact"/>
        <w:rPr>
          <w:rFonts w:ascii="Arial" w:cs="Arial" w:eastAsia="Arial" w:hAnsi="Arial"/>
          <w:sz w:val="16"/>
          <w:szCs w:val="16"/>
          <w:color w:val="auto"/>
        </w:rPr>
      </w:pPr>
    </w:p>
    <w:p>
      <w:pPr>
        <w:jc w:val="both"/>
        <w:ind w:left="1180" w:right="1179" w:firstLine="507"/>
        <w:spacing w:after="0" w:line="264" w:lineRule="auto"/>
        <w:tabs>
          <w:tab w:leader="none" w:pos="220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Amendments in Writing</w:t>
      </w:r>
      <w:r>
        <w:rPr>
          <w:rFonts w:ascii="Arial" w:cs="Arial" w:eastAsia="Arial" w:hAnsi="Arial"/>
          <w:sz w:val="16"/>
          <w:szCs w:val="16"/>
          <w:color w:val="auto"/>
        </w:rPr>
        <w:t>. No amendment, modification, waiver, or other change to this Agreement, shall in any event be effective unless the same shall be in writing, specifically identifying this Agreement and the provision intended to be changed and signed by Bank and Executive, and each such change shall be effective only in the specific instance and for the specific purpose for which it is given. No provision of this Agreement shall be varied, contradicted or explained by any oral agreement, course of dealing or performance or any other matter not set forth in an agreement in writing and signed by Bank and Bank.</w:t>
      </w:r>
    </w:p>
    <w:p>
      <w:pPr>
        <w:sectPr>
          <w:pgSz w:w="11900" w:h="16838" w:orient="portrait"/>
          <w:cols w:equalWidth="0" w:num="1">
            <w:col w:w="9019"/>
          </w:cols>
          <w:pgMar w:left="1440" w:top="491" w:right="1440" w:bottom="1440" w:gutter="0" w:footer="0" w:header="0"/>
        </w:sectPr>
      </w:pPr>
    </w:p>
    <w:bookmarkStart w:id="148" w:name="page149"/>
    <w:bookmarkEnd w:id="148"/>
    <w:p>
      <w:pPr>
        <w:ind w:left="11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200" w:lineRule="exact"/>
        <w:rPr>
          <w:sz w:val="20"/>
          <w:szCs w:val="20"/>
          <w:color w:val="auto"/>
        </w:rPr>
      </w:pPr>
    </w:p>
    <w:p>
      <w:pPr>
        <w:spacing w:after="0" w:line="380" w:lineRule="exact"/>
        <w:rPr>
          <w:sz w:val="20"/>
          <w:szCs w:val="20"/>
          <w:color w:val="auto"/>
        </w:rPr>
      </w:pPr>
    </w:p>
    <w:p>
      <w:pPr>
        <w:jc w:val="both"/>
        <w:ind w:left="1180" w:right="1179" w:firstLine="507"/>
        <w:spacing w:after="0" w:line="273" w:lineRule="auto"/>
        <w:tabs>
          <w:tab w:leader="none" w:pos="2204"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Executive acknowledges that Executive has read this Agreement in full and completely understands all of its terms and obligations and enters into this Agreement freely and voluntarily, and after having the opportunity to consult with representatives of Executive’s own choosing and that Executive’s agreement is freely given.</w:t>
      </w:r>
    </w:p>
    <w:p>
      <w:pPr>
        <w:spacing w:after="0" w:line="123" w:lineRule="exact"/>
        <w:rPr>
          <w:sz w:val="20"/>
          <w:szCs w:val="20"/>
          <w:color w:val="auto"/>
        </w:rPr>
      </w:pPr>
    </w:p>
    <w:p>
      <w:pPr>
        <w:ind w:left="1180" w:right="1199" w:firstLine="512"/>
        <w:spacing w:after="0" w:line="261" w:lineRule="auto"/>
        <w:rPr>
          <w:sz w:val="20"/>
          <w:szCs w:val="20"/>
          <w:color w:val="auto"/>
        </w:rPr>
      </w:pPr>
      <w:r>
        <w:rPr>
          <w:rFonts w:ascii="Arial" w:cs="Arial" w:eastAsia="Arial" w:hAnsi="Arial"/>
          <w:sz w:val="17"/>
          <w:szCs w:val="17"/>
          <w:color w:val="auto"/>
        </w:rPr>
        <w:t>IN WITNESS WHEREOF, the parties hereto have duly executed this Agreement on the date first above mentioned.</w:t>
      </w:r>
    </w:p>
    <w:p>
      <w:pPr>
        <w:sectPr>
          <w:pgSz w:w="11900" w:h="16838" w:orient="portrait"/>
          <w:cols w:equalWidth="0" w:num="1">
            <w:col w:w="9019"/>
          </w:cols>
          <w:pgMar w:left="1440" w:top="491" w:right="1440" w:bottom="1440" w:gutter="0" w:footer="0" w:header="0"/>
        </w:sectPr>
      </w:pPr>
    </w:p>
    <w:bookmarkStart w:id="149" w:name="page150"/>
    <w:bookmarkEnd w:id="1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4"/>
          <w:szCs w:val="14"/>
          <w:b w:val="1"/>
          <w:bCs w:val="1"/>
          <w:color w:val="auto"/>
        </w:rPr>
        <w:t>Exhibit 21.1</w:t>
      </w:r>
    </w:p>
    <w:p>
      <w:pPr>
        <w:spacing w:after="0" w:line="127"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SUBSIDIARY LIST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U.S. Century Bank, a Florida chartered banking corporation.</w:t>
      </w:r>
    </w:p>
    <w:p>
      <w:pPr>
        <w:sectPr>
          <w:pgSz w:w="11900" w:h="16838" w:orient="portrait"/>
          <w:cols w:equalWidth="0" w:num="1">
            <w:col w:w="9019"/>
          </w:cols>
          <w:pgMar w:left="1440" w:top="502" w:right="1440" w:bottom="1440" w:gutter="0" w:footer="0" w:header="0"/>
        </w:sectPr>
      </w:pPr>
    </w:p>
    <w:bookmarkStart w:id="150" w:name="page151"/>
    <w:bookmarkEnd w:id="1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Exhibit 23.1</w:t>
      </w:r>
    </w:p>
    <w:p>
      <w:pPr>
        <w:spacing w:after="0" w:line="170"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Shareholders and the Board of Directors of USCB Financial Holdings, Inc.</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Doral, Florida</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8" w:lineRule="exact"/>
        <w:rPr>
          <w:sz w:val="20"/>
          <w:szCs w:val="20"/>
          <w:color w:val="auto"/>
        </w:rPr>
      </w:pPr>
    </w:p>
    <w:p>
      <w:pPr>
        <w:jc w:val="both"/>
        <w:ind w:left="660" w:right="679"/>
        <w:spacing w:after="0" w:line="247" w:lineRule="auto"/>
        <w:rPr>
          <w:sz w:val="20"/>
          <w:szCs w:val="20"/>
          <w:color w:val="auto"/>
        </w:rPr>
      </w:pPr>
      <w:r>
        <w:rPr>
          <w:rFonts w:ascii="Arial" w:cs="Arial" w:eastAsia="Arial" w:hAnsi="Arial"/>
          <w:sz w:val="14"/>
          <w:szCs w:val="14"/>
          <w:color w:val="auto"/>
        </w:rPr>
        <w:t>We have audited the accompanying consolidated balance sheets of USCB Financial Holdings, Inc. (the "Company") as of December 31, 2021 and 2020, the related consolidated statements of operations, comprehensive income,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Explanatory Paragraph – Financial Statement Consistency</w:t>
      </w:r>
    </w:p>
    <w:p>
      <w:pPr>
        <w:spacing w:after="0" w:line="188"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As discussed in Note 1 to the consolidated financial statements, the stockholders of U.S. Century Bank exchanged their Class A common shares of U.S. Century Bank for shares of USCB Financial Holdings, Inc. on a 1 share for 1 share basis during the year ended December 31, 2021. Stockholders of U.S. Century Bank became stockholders of USCB Financial Holdings, Inc., and USCB Financial Holdings, Inc. became the sole stockholder of U.S. Century Bank. The consolidated financial statements as of and for the year ended December 31, 2020, do not include USCB Financial Holdings, Inc. The 2020 financial statements of U.S. Century Bank are presented with the 2021 consolidated financial statements of USCB Financial Holdings, Inc. since U.S. Century Bank’s assets, liabilities, and operations comprise substantially all of the consolidated assets, liabilities, and operations. Our opinion is not modified with respect to this matter.</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Basis for Opinion</w:t>
      </w:r>
    </w:p>
    <w:p>
      <w:pPr>
        <w:spacing w:after="0" w:line="188"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left="660" w:right="679"/>
        <w:spacing w:after="0" w:line="268"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4"/>
          <w:szCs w:val="14"/>
          <w:i w:val="1"/>
          <w:iCs w:val="1"/>
          <w:color w:val="auto"/>
        </w:rPr>
        <w:t>/s/ Crowe LLP</w:t>
      </w:r>
    </w:p>
    <w:p>
      <w:pPr>
        <w:spacing w:after="0" w:line="24"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Crowe LLP</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We have served as the Company's auditor since 2017.</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Fort Lauderdale, Florida</w:t>
      </w:r>
    </w:p>
    <w:p>
      <w:pPr>
        <w:ind w:left="660"/>
        <w:spacing w:after="0"/>
        <w:rPr>
          <w:sz w:val="20"/>
          <w:szCs w:val="20"/>
          <w:color w:val="auto"/>
        </w:rPr>
      </w:pPr>
      <w:r>
        <w:rPr>
          <w:rFonts w:ascii="Arial" w:cs="Arial" w:eastAsia="Arial" w:hAnsi="Arial"/>
          <w:sz w:val="14"/>
          <w:szCs w:val="14"/>
          <w:color w:val="auto"/>
        </w:rPr>
        <w:t>March 24, 2022</w:t>
      </w:r>
    </w:p>
    <w:p>
      <w:pPr>
        <w:sectPr>
          <w:pgSz w:w="11900" w:h="16838" w:orient="portrait"/>
          <w:cols w:equalWidth="0" w:num="1">
            <w:col w:w="9019"/>
          </w:cols>
          <w:pgMar w:left="1440" w:top="491" w:right="1440" w:bottom="1440" w:gutter="0" w:footer="0" w:header="0"/>
        </w:sectPr>
      </w:pPr>
    </w:p>
    <w:bookmarkStart w:id="151" w:name="page152"/>
    <w:bookmarkEnd w:id="1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4"/>
          <w:szCs w:val="14"/>
          <w:b w:val="1"/>
          <w:bCs w:val="1"/>
          <w:color w:val="auto"/>
        </w:rPr>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59" w:lineRule="exact"/>
        <w:rPr>
          <w:sz w:val="20"/>
          <w:szCs w:val="20"/>
          <w:color w:val="auto"/>
        </w:rPr>
      </w:pPr>
    </w:p>
    <w:p>
      <w:pPr>
        <w:ind w:left="640" w:hanging="233"/>
        <w:spacing w:after="0"/>
        <w:tabs>
          <w:tab w:leader="none" w:pos="6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6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13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1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13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Arial" w:cs="Arial" w:eastAsia="Arial" w:hAnsi="Arial"/>
          <w:sz w:val="14"/>
          <w:szCs w:val="14"/>
          <w:color w:val="auto"/>
        </w:rPr>
      </w:pPr>
    </w:p>
    <w:p>
      <w:pPr>
        <w:jc w:val="both"/>
        <w:ind w:left="660" w:right="679" w:hanging="253"/>
        <w:spacing w:after="0" w:line="253" w:lineRule="auto"/>
        <w:tabs>
          <w:tab w:leader="none" w:pos="63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jc w:val="both"/>
        <w:ind w:left="1180" w:right="679" w:hanging="261"/>
        <w:spacing w:after="0" w:line="245" w:lineRule="auto"/>
        <w:tabs>
          <w:tab w:leader="none" w:pos="1168" w:val="left"/>
        </w:tabs>
        <w:numPr>
          <w:ilvl w:val="1"/>
          <w:numId w:val="13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4"/>
          <w:szCs w:val="14"/>
          <w:color w:val="auto"/>
        </w:rPr>
      </w:pPr>
    </w:p>
    <w:p>
      <w:pPr>
        <w:ind w:left="1180" w:right="679" w:hanging="261"/>
        <w:spacing w:after="0" w:line="252" w:lineRule="auto"/>
        <w:tabs>
          <w:tab w:leader="none" w:pos="1180" w:val="left"/>
        </w:tabs>
        <w:numPr>
          <w:ilvl w:val="1"/>
          <w:numId w:val="13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March 24, 2022</w:t>
      </w:r>
    </w:p>
    <w:p>
      <w:pPr>
        <w:sectPr>
          <w:pgSz w:w="11900" w:h="16838" w:orient="portrait"/>
          <w:cols w:equalWidth="0" w:num="1">
            <w:col w:w="9019"/>
          </w:cols>
          <w:pgMar w:left="1440" w:top="491" w:right="1440" w:bottom="1440" w:gutter="0" w:footer="0" w:header="0"/>
        </w:sectPr>
      </w:pPr>
    </w:p>
    <w:bookmarkStart w:id="152" w:name="page153"/>
    <w:bookmarkEnd w:id="1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4"/>
          <w:szCs w:val="14"/>
          <w:b w:val="1"/>
          <w:bCs w:val="1"/>
          <w:color w:val="auto"/>
        </w:rPr>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59" w:lineRule="exact"/>
        <w:rPr>
          <w:sz w:val="20"/>
          <w:szCs w:val="20"/>
          <w:color w:val="auto"/>
        </w:rPr>
      </w:pPr>
    </w:p>
    <w:p>
      <w:pPr>
        <w:ind w:left="640" w:hanging="233"/>
        <w:spacing w:after="0"/>
        <w:tabs>
          <w:tab w:leader="none" w:pos="6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6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13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Arial" w:cs="Arial" w:eastAsia="Arial" w:hAnsi="Arial"/>
          <w:sz w:val="14"/>
          <w:szCs w:val="14"/>
          <w:color w:val="auto"/>
        </w:rPr>
      </w:pPr>
    </w:p>
    <w:p>
      <w:pPr>
        <w:jc w:val="both"/>
        <w:ind w:left="660" w:right="679" w:hanging="253"/>
        <w:spacing w:after="0" w:line="253" w:lineRule="auto"/>
        <w:tabs>
          <w:tab w:leader="none" w:pos="639"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jc w:val="both"/>
        <w:ind w:left="1180" w:right="679" w:hanging="261"/>
        <w:spacing w:after="0" w:line="245" w:lineRule="auto"/>
        <w:tabs>
          <w:tab w:leader="none" w:pos="1168" w:val="left"/>
        </w:tabs>
        <w:numPr>
          <w:ilvl w:val="1"/>
          <w:numId w:val="13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4"/>
          <w:szCs w:val="14"/>
          <w:color w:val="auto"/>
        </w:rPr>
      </w:pPr>
    </w:p>
    <w:p>
      <w:pPr>
        <w:ind w:left="1180" w:right="679" w:hanging="261"/>
        <w:spacing w:after="0" w:line="252" w:lineRule="auto"/>
        <w:tabs>
          <w:tab w:leader="none" w:pos="1168" w:val="left"/>
        </w:tabs>
        <w:numPr>
          <w:ilvl w:val="1"/>
          <w:numId w:val="13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March 24, 2022</w:t>
      </w:r>
    </w:p>
    <w:p>
      <w:pPr>
        <w:sectPr>
          <w:pgSz w:w="11900" w:h="16838" w:orient="portrait"/>
          <w:cols w:equalWidth="0" w:num="1">
            <w:col w:w="9019"/>
          </w:cols>
          <w:pgMar w:left="1440" w:top="491" w:right="1440" w:bottom="1440" w:gutter="0" w:footer="0" w:header="0"/>
        </w:sectPr>
      </w:pPr>
    </w:p>
    <w:bookmarkStart w:id="153" w:name="page154"/>
    <w:bookmarkEnd w:id="1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70"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2021, as filed with the Securities and Exchange Commission on the date hereof (the “Report”), I, Luis de la Aguilera, as President and Chief Executive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59" w:lineRule="exact"/>
        <w:rPr>
          <w:sz w:val="20"/>
          <w:szCs w:val="20"/>
          <w:color w:val="auto"/>
        </w:rPr>
      </w:pPr>
    </w:p>
    <w:p>
      <w:pPr>
        <w:ind w:left="1440" w:right="679" w:hanging="265"/>
        <w:spacing w:after="0" w:line="268" w:lineRule="auto"/>
        <w:tabs>
          <w:tab w:leader="none" w:pos="142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31" w:lineRule="exact"/>
        <w:rPr>
          <w:rFonts w:ascii="Arial" w:cs="Arial" w:eastAsia="Arial" w:hAnsi="Arial"/>
          <w:sz w:val="14"/>
          <w:szCs w:val="14"/>
          <w:color w:val="auto"/>
        </w:rPr>
      </w:pPr>
    </w:p>
    <w:p>
      <w:pPr>
        <w:ind w:left="1440" w:right="679" w:hanging="265"/>
        <w:spacing w:after="0" w:line="268" w:lineRule="auto"/>
        <w:tabs>
          <w:tab w:leader="none" w:pos="142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March 24, 2022</w:t>
      </w:r>
    </w:p>
    <w:p>
      <w:pPr>
        <w:sectPr>
          <w:pgSz w:w="11900" w:h="16838" w:orient="portrait"/>
          <w:cols w:equalWidth="0" w:num="1">
            <w:col w:w="9019"/>
          </w:cols>
          <w:pgMar w:left="1440" w:top="491" w:right="1440" w:bottom="1440" w:gutter="0" w:footer="0" w:header="0"/>
        </w:sectPr>
      </w:pPr>
    </w:p>
    <w:bookmarkStart w:id="154" w:name="page155"/>
    <w:bookmarkEnd w:id="1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4"/>
          <w:szCs w:val="14"/>
          <w:b w:val="1"/>
          <w:bCs w:val="1"/>
          <w:color w:val="auto"/>
        </w:rPr>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2021,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45" w:lineRule="exact"/>
        <w:rPr>
          <w:sz w:val="20"/>
          <w:szCs w:val="20"/>
          <w:color w:val="auto"/>
        </w:rPr>
      </w:pPr>
    </w:p>
    <w:p>
      <w:pPr>
        <w:ind w:left="1440" w:right="679" w:hanging="265"/>
        <w:spacing w:after="0" w:line="268" w:lineRule="auto"/>
        <w:tabs>
          <w:tab w:leader="none" w:pos="142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31" w:lineRule="exact"/>
        <w:rPr>
          <w:rFonts w:ascii="Arial" w:cs="Arial" w:eastAsia="Arial" w:hAnsi="Arial"/>
          <w:sz w:val="14"/>
          <w:szCs w:val="14"/>
          <w:color w:val="auto"/>
        </w:rPr>
      </w:pPr>
    </w:p>
    <w:p>
      <w:pPr>
        <w:ind w:left="1440" w:right="679" w:hanging="265"/>
        <w:spacing w:after="0" w:line="268" w:lineRule="auto"/>
        <w:tabs>
          <w:tab w:leader="none" w:pos="142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March 24, 2022</w:t>
      </w:r>
    </w:p>
    <w:p>
      <w:pPr>
        <w:sectPr>
          <w:pgSz w:w="11900" w:h="16838" w:orient="portrait"/>
          <w:cols w:equalWidth="0" w:num="1">
            <w:col w:w="9019"/>
          </w:cols>
          <w:pgMar w:left="1440" w:top="491" w:right="1440" w:bottom="1440" w:gutter="0" w:footer="0" w:header="0"/>
        </w:sectPr>
      </w:pPr>
    </w:p>
    <w:bookmarkStart w:id="155" w:name="page156"/>
    <w:bookmarkEnd w:id="1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1"/>
      <w:numFmt w:val="upperLetter"/>
      <w:start w:val="68"/>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1)"/>
      <w:numFmt w:val="lowerRoman"/>
      <w:start w:val="2"/>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1)"/>
      <w:numFmt w:val="decimal"/>
      <w:start w:val="1"/>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1)"/>
      <w:numFmt w:val="decimal"/>
      <w:start w:val="1"/>
    </w:lvl>
  </w:abstractNum>
  <w:abstractNum w:abstractNumId="25">
    <w:nsid w:val="6A5EE64"/>
    <w:multiLevelType w:val="hybridMultilevel"/>
    <w:lvl w:ilvl="0">
      <w:lvlJc w:val="left"/>
      <w:lvlText w:val="%1"/>
      <w:numFmt w:val="decimal"/>
      <w:start w:val="1"/>
    </w:lvl>
    <w:lvl w:ilvl="1">
      <w:lvlJc w:val="left"/>
      <w:lvlText w:val="(%2)"/>
      <w:numFmt w:val="decimal"/>
      <w:start w:val="1"/>
    </w:lvl>
  </w:abstractNum>
  <w:abstractNum w:abstractNumId="26">
    <w:nsid w:val="14330624"/>
    <w:multiLevelType w:val="hybridMultilevel"/>
    <w:lvl w:ilvl="0">
      <w:lvlJc w:val="left"/>
      <w:lvlText w:val="(%1)"/>
      <w:numFmt w:val="decimal"/>
      <w:start w:val="2"/>
    </w:lvl>
    <w:lvl w:ilvl="1">
      <w:lvlJc w:val="left"/>
      <w:lvlText w:val="%2"/>
      <w:numFmt w:val="decimal"/>
      <w:start w:val="1"/>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decimal"/>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1."/>
      <w:numFmt w:val="decimal"/>
      <w:start w:val="2"/>
    </w:lvl>
  </w:abstractNum>
  <w:abstractNum w:abstractNumId="32">
    <w:nsid w:val="6EB5BD4"/>
    <w:multiLevelType w:val="hybridMultilevel"/>
    <w:lvl w:ilvl="0">
      <w:lvlJc w:val="left"/>
      <w:lvlText w:val="%1."/>
      <w:numFmt w:val="decimal"/>
      <w:start w:val="3"/>
    </w:lvl>
  </w:abstractNum>
  <w:abstractNum w:abstractNumId="33">
    <w:nsid w:val="6F6DD9AC"/>
    <w:multiLevelType w:val="hybridMultilevel"/>
    <w:lvl w:ilvl="0">
      <w:lvlJc w:val="left"/>
      <w:lvlText w:val="%1."/>
      <w:numFmt w:val="decimal"/>
      <w:start w:val="4"/>
    </w:lvl>
  </w:abstractNum>
  <w:abstractNum w:abstractNumId="34">
    <w:nsid w:val="94211F2"/>
    <w:multiLevelType w:val="hybridMultilevel"/>
    <w:lvl w:ilvl="0">
      <w:lvlJc w:val="left"/>
      <w:lvlText w:val="%1."/>
      <w:numFmt w:val="decimal"/>
      <w:start w:val="5"/>
    </w:lvl>
  </w:abstractNum>
  <w:abstractNum w:abstractNumId="35">
    <w:nsid w:val="885E1B"/>
    <w:multiLevelType w:val="hybridMultilevel"/>
    <w:lvl w:ilvl="0">
      <w:lvlJc w:val="left"/>
      <w:lvlText w:val="%1."/>
      <w:numFmt w:val="decimal"/>
      <w:start w:val="6"/>
    </w:lvl>
  </w:abstractNum>
  <w:abstractNum w:abstractNumId="36">
    <w:nsid w:val="76272110"/>
    <w:multiLevelType w:val="hybridMultilevel"/>
    <w:lvl w:ilvl="0">
      <w:lvlJc w:val="left"/>
      <w:lvlText w:val="%1."/>
      <w:numFmt w:val="decimal"/>
      <w:start w:val="7"/>
    </w:lvl>
  </w:abstractNum>
  <w:abstractNum w:abstractNumId="37">
    <w:nsid w:val="4C04A8AF"/>
    <w:multiLevelType w:val="hybridMultilevel"/>
    <w:lvl w:ilvl="0">
      <w:lvlJc w:val="left"/>
      <w:lvlText w:val="%1."/>
      <w:numFmt w:val="decimal"/>
      <w:start w:val="8"/>
    </w:lvl>
  </w:abstractNum>
  <w:abstractNum w:abstractNumId="38">
    <w:nsid w:val="1716703B"/>
    <w:multiLevelType w:val="hybridMultilevel"/>
    <w:lvl w:ilvl="0">
      <w:lvlJc w:val="left"/>
      <w:lvlText w:val="%1."/>
      <w:numFmt w:val="decimal"/>
      <w:start w:val="9"/>
    </w:lvl>
  </w:abstractNum>
  <w:abstractNum w:abstractNumId="39">
    <w:nsid w:val="14E17E33"/>
    <w:multiLevelType w:val="hybridMultilevel"/>
    <w:lvl w:ilvl="0">
      <w:lvlJc w:val="left"/>
      <w:lvlText w:val="(%1)"/>
      <w:numFmt w:val="decimal"/>
      <w:start w:val="1"/>
    </w:lvl>
  </w:abstractNum>
  <w:abstractNum w:abstractNumId="40">
    <w:nsid w:val="3222E7CD"/>
    <w:multiLevelType w:val="hybridMultilevel"/>
    <w:lvl w:ilvl="0">
      <w:lvlJc w:val="left"/>
      <w:lvlText w:val="%1."/>
      <w:numFmt w:val="decimal"/>
      <w:start w:val="10"/>
    </w:lvl>
  </w:abstractNum>
  <w:abstractNum w:abstractNumId="41">
    <w:nsid w:val="74DE0EE3"/>
    <w:multiLevelType w:val="hybridMultilevel"/>
    <w:lvl w:ilvl="0">
      <w:lvlJc w:val="left"/>
      <w:lvlText w:val="%1."/>
      <w:numFmt w:val="decimal"/>
      <w:start w:val="11"/>
    </w:lvl>
  </w:abstractNum>
  <w:abstractNum w:abstractNumId="42">
    <w:nsid w:val="68EBC550"/>
    <w:multiLevelType w:val="hybridMultilevel"/>
    <w:lvl w:ilvl="0">
      <w:lvlJc w:val="left"/>
      <w:lvlText w:val="%1."/>
      <w:numFmt w:val="decimal"/>
      <w:start w:val="12"/>
    </w:lvl>
  </w:abstractNum>
  <w:abstractNum w:abstractNumId="43">
    <w:nsid w:val="2DF6D648"/>
    <w:multiLevelType w:val="hybridMultilevel"/>
    <w:lvl w:ilvl="0">
      <w:lvlJc w:val="left"/>
      <w:lvlText w:val="%1."/>
      <w:numFmt w:val="decimal"/>
      <w:start w:val="13"/>
    </w:lvl>
  </w:abstractNum>
  <w:abstractNum w:abstractNumId="44">
    <w:nsid w:val="46B7D447"/>
    <w:multiLevelType w:val="hybridMultilevel"/>
    <w:lvl w:ilvl="0">
      <w:lvlJc w:val="left"/>
      <w:lvlText w:val="%1."/>
      <w:numFmt w:val="decimal"/>
      <w:start w:val="14"/>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decimal"/>
      <w:start w:val="15"/>
    </w:lvl>
  </w:abstractNum>
  <w:abstractNum w:abstractNumId="47">
    <w:nsid w:val="57FC4FBB"/>
    <w:multiLevelType w:val="hybridMultilevel"/>
    <w:lvl w:ilvl="0">
      <w:lvlJc w:val="left"/>
      <w:lvlText w:val="%1."/>
      <w:numFmt w:val="decimal"/>
      <w:start w:val="16"/>
    </w:lvl>
  </w:abstractNum>
  <w:abstractNum w:abstractNumId="48">
    <w:nsid w:val="CC1016F"/>
    <w:multiLevelType w:val="hybridMultilevel"/>
    <w:lvl w:ilvl="0">
      <w:lvlJc w:val="left"/>
      <w:lvlText w:val="%1."/>
      <w:numFmt w:val="decimal"/>
      <w:start w:val="17"/>
    </w:lvl>
  </w:abstractNum>
  <w:abstractNum w:abstractNumId="49">
    <w:nsid w:val="43F18422"/>
    <w:multiLevelType w:val="hybridMultilevel"/>
    <w:lvl w:ilvl="0">
      <w:lvlJc w:val="left"/>
      <w:lvlText w:val="%1."/>
      <w:numFmt w:val="decimal"/>
      <w:start w:val="18"/>
    </w:lvl>
  </w:abstractNum>
  <w:abstractNum w:abstractNumId="50">
    <w:nsid w:val="60EF0119"/>
    <w:multiLevelType w:val="hybridMultilevel"/>
    <w:lvl w:ilvl="0">
      <w:lvlJc w:val="left"/>
      <w:lvlText w:val="%1."/>
      <w:numFmt w:val="decimal"/>
      <w:start w:val="19"/>
    </w:lvl>
  </w:abstractNum>
  <w:abstractNum w:abstractNumId="51">
    <w:nsid w:val="26F324BA"/>
    <w:multiLevelType w:val="hybridMultilevel"/>
    <w:lvl w:ilvl="0">
      <w:lvlJc w:val="left"/>
      <w:lvlText w:val="(%1)"/>
      <w:numFmt w:val="lowerLetter"/>
      <w:start w:val="1"/>
    </w:lvl>
    <w:lvl w:ilvl="1">
      <w:lvlJc w:val="left"/>
      <w:lvlText w:val="%2)"/>
      <w:numFmt w:val="decimal"/>
      <w:start w:val="1"/>
    </w:lvl>
  </w:abstractNum>
  <w:abstractNum w:abstractNumId="52">
    <w:nsid w:val="7F01579B"/>
    <w:multiLevelType w:val="hybridMultilevel"/>
    <w:lvl w:ilvl="0">
      <w:lvlJc w:val="left"/>
      <w:lvlText w:val="%1)"/>
      <w:numFmt w:val="decimal"/>
      <w:start w:val="2"/>
    </w:lvl>
  </w:abstractNum>
  <w:abstractNum w:abstractNumId="53">
    <w:nsid w:val="49DA307D"/>
    <w:multiLevelType w:val="hybridMultilevel"/>
    <w:lvl w:ilvl="0">
      <w:lvlJc w:val="left"/>
      <w:lvlText w:val="%1"/>
      <w:numFmt w:val="decimal"/>
      <w:start w:val="104"/>
    </w:lvl>
    <w:lvl w:ilvl="1">
      <w:lvlJc w:val="left"/>
      <w:lvlText w:val="*"/>
      <w:numFmt w:val="bullet"/>
      <w:start w:val="1"/>
    </w:lvl>
  </w:abstractNum>
  <w:abstractNum w:abstractNumId="54">
    <w:nsid w:val="7055A5F5"/>
    <w:multiLevelType w:val="hybridMultilevel"/>
    <w:lvl w:ilvl="0">
      <w:lvlJc w:val="left"/>
      <w:lvlText w:val="%1"/>
      <w:numFmt w:val="decimal"/>
      <w:start w:val="1"/>
    </w:lvl>
    <w:lvl w:ilvl="1">
      <w:lvlJc w:val="left"/>
      <w:lvlText w:val="**"/>
      <w:numFmt w:val="bullet"/>
      <w:start w:val="1"/>
    </w:lvl>
  </w:abstractNum>
  <w:abstractNum w:abstractNumId="55">
    <w:nsid w:val="5FB8370B"/>
    <w:multiLevelType w:val="hybridMultilevel"/>
    <w:lvl w:ilvl="0">
      <w:lvlJc w:val="left"/>
      <w:lvlText w:val="%1"/>
      <w:numFmt w:val="decimal"/>
      <w:start w:val="1"/>
    </w:lvl>
    <w:lvl w:ilvl="1">
      <w:lvlJc w:val="left"/>
      <w:lvlText w:val="***"/>
      <w:numFmt w:val="bullet"/>
      <w:start w:val="1"/>
    </w:lvl>
  </w:abstractNum>
  <w:abstractNum w:abstractNumId="56">
    <w:nsid w:val="50801EE1"/>
    <w:multiLevelType w:val="hybridMultilevel"/>
    <w:lvl w:ilvl="0">
      <w:lvlJc w:val="left"/>
      <w:lvlText w:val="(%1)"/>
      <w:numFmt w:val="lowerLetter"/>
      <w:start w:val="4"/>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1)"/>
      <w:numFmt w:val="lowerLetter"/>
      <w:start w:val="1"/>
    </w:lvl>
  </w:abstractNum>
  <w:abstractNum w:abstractNumId="60">
    <w:nsid w:val="7672BD2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61">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62">
    <w:nsid w:val="6A5F7029"/>
    <w:multiLevelType w:val="hybridMultilevel"/>
    <w:lvl w:ilvl="0">
      <w:lvlJc w:val="left"/>
      <w:lvlText w:val="%1"/>
      <w:numFmt w:val="lowerLetter"/>
      <w:start w:val="1"/>
    </w:lvl>
    <w:lvl w:ilvl="1">
      <w:lvlJc w:val="left"/>
      <w:lvlText w:val="(%2)"/>
      <w:numFmt w:val="lowerLetter"/>
      <w:start w:val="4"/>
    </w:lvl>
  </w:abstractNum>
  <w:abstractNum w:abstractNumId="63">
    <w:nsid w:val="7D5E18F8"/>
    <w:multiLevelType w:val="hybridMultilevel"/>
    <w:lvl w:ilvl="0">
      <w:lvlJc w:val="left"/>
      <w:lvlText w:val="(%1)"/>
      <w:numFmt w:val="lowerLetter"/>
      <w:start w:val="35"/>
    </w:lvl>
    <w:lvl w:ilvl="1">
      <w:lvlJc w:val="left"/>
      <w:lvlText w:val="%2"/>
      <w:numFmt w:val="lowerLetter"/>
      <w:start w:val="1"/>
    </w:lvl>
  </w:abstractNum>
  <w:abstractNum w:abstractNumId="64">
    <w:nsid w:val="5F3534A4"/>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65">
    <w:nsid w:val="73A1821B"/>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66">
    <w:nsid w:val="7DE67713"/>
    <w:multiLevelType w:val="hybridMultilevel"/>
    <w:lvl w:ilvl="0">
      <w:lvlJc w:val="left"/>
      <w:lvlText w:val="(%1)"/>
      <w:numFmt w:val="lowerLetter"/>
      <w:start w:val="8"/>
    </w:lvl>
  </w:abstractNum>
  <w:abstractNum w:abstractNumId="67">
    <w:nsid w:val="555C55B5"/>
    <w:multiLevelType w:val="hybridMultilevel"/>
    <w:lvl w:ilvl="0">
      <w:lvlJc w:val="left"/>
      <w:lvlText w:val="%1."/>
      <w:numFmt w:val="decimal"/>
      <w:start w:val="2"/>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decimal"/>
      <w:start w:val="3"/>
    </w:lvl>
  </w:abstractNum>
  <w:abstractNum w:abstractNumId="70">
    <w:nsid w:val="6A3DD3E8"/>
    <w:multiLevelType w:val="hybridMultilevel"/>
    <w:lvl w:ilvl="0">
      <w:lvlJc w:val="left"/>
      <w:lvlText w:val="(%1)"/>
      <w:numFmt w:val="lowerLetter"/>
      <w:start w:val="1"/>
    </w:lvl>
  </w:abstractNum>
  <w:abstractNum w:abstractNumId="71">
    <w:nsid w:val="71C91298"/>
    <w:multiLevelType w:val="hybridMultilevel"/>
    <w:lvl w:ilvl="0">
      <w:lvlJc w:val="left"/>
      <w:lvlText w:val="(%1)"/>
      <w:numFmt w:val="lowerLetter"/>
      <w:start w:val="3"/>
    </w:lvl>
  </w:abstractNum>
  <w:abstractNum w:abstractNumId="72">
    <w:nsid w:val="9DAF632"/>
    <w:multiLevelType w:val="hybridMultilevel"/>
    <w:lvl w:ilvl="0">
      <w:lvlJc w:val="left"/>
      <w:lvlText w:val="(%1)"/>
      <w:numFmt w:val="lowerLetter"/>
      <w:start w:val="6"/>
    </w:lvl>
  </w:abstractNum>
  <w:abstractNum w:abstractNumId="73">
    <w:nsid w:val="53299938"/>
    <w:multiLevelType w:val="hybridMultilevel"/>
    <w:lvl w:ilvl="0">
      <w:lvlJc w:val="left"/>
      <w:lvlText w:val="%1."/>
      <w:numFmt w:val="decimal"/>
      <w:start w:val="4"/>
    </w:lvl>
  </w:abstractNum>
  <w:abstractNum w:abstractNumId="74">
    <w:nsid w:val="1FBFE8E0"/>
    <w:multiLevelType w:val="hybridMultilevel"/>
    <w:lvl w:ilvl="0">
      <w:lvlJc w:val="left"/>
      <w:lvlText w:val="(%1)"/>
      <w:numFmt w:val="lowerLetter"/>
      <w:start w:val="1"/>
    </w:lvl>
  </w:abstractNum>
  <w:abstractNum w:abstractNumId="75">
    <w:nsid w:val="5092CA79"/>
    <w:multiLevelType w:val="hybridMultilevel"/>
    <w:lvl w:ilvl="0">
      <w:lvlJc w:val="left"/>
      <w:lvlText w:val="(%1)"/>
      <w:numFmt w:val="lowerLetter"/>
      <w:start w:val="5"/>
    </w:lvl>
  </w:abstractNum>
  <w:abstractNum w:abstractNumId="76">
    <w:nsid w:val="1D545C4D"/>
    <w:multiLevelType w:val="hybridMultilevel"/>
    <w:lvl w:ilvl="0">
      <w:lvlJc w:val="left"/>
      <w:lvlText w:val="(%1)"/>
      <w:numFmt w:val="lowerLetter"/>
      <w:start w:val="7"/>
    </w:lvl>
  </w:abstractNum>
  <w:abstractNum w:abstractNumId="77">
    <w:nsid w:val="59ADEA3D"/>
    <w:multiLevelType w:val="hybridMultilevel"/>
    <w:lvl w:ilvl="0">
      <w:lvlJc w:val="left"/>
      <w:lvlText w:val="%1."/>
      <w:numFmt w:val="decimal"/>
      <w:start w:val="6"/>
    </w:lvl>
  </w:abstractNum>
  <w:abstractNum w:abstractNumId="78">
    <w:nsid w:val="288F1A34"/>
    <w:multiLevelType w:val="hybridMultilevel"/>
    <w:lvl w:ilvl="0">
      <w:lvlJc w:val="left"/>
      <w:lvlText w:val="(%1)"/>
      <w:numFmt w:val="lowerLetter"/>
      <w:start w:val="1"/>
    </w:lvl>
  </w:abstractNum>
  <w:abstractNum w:abstractNumId="79">
    <w:nsid w:val="2A155DBC"/>
    <w:multiLevelType w:val="hybridMultilevel"/>
    <w:lvl w:ilvl="0">
      <w:lvlJc w:val="left"/>
      <w:lvlText w:val="(%1)"/>
      <w:numFmt w:val="lowerLetter"/>
      <w:start w:val="2"/>
    </w:lvl>
  </w:abstractNum>
  <w:abstractNum w:abstractNumId="80">
    <w:nsid w:val="1D9F6E5F"/>
    <w:multiLevelType w:val="hybridMultilevel"/>
    <w:lvl w:ilvl="0">
      <w:lvlJc w:val="left"/>
      <w:lvlText w:val="(%1)"/>
      <w:numFmt w:val="lowerLetter"/>
      <w:start w:val="6"/>
    </w:lvl>
  </w:abstractNum>
  <w:abstractNum w:abstractNumId="81">
    <w:nsid w:val="97E1B4E"/>
    <w:multiLevelType w:val="hybridMultilevel"/>
    <w:lvl w:ilvl="0">
      <w:lvlJc w:val="left"/>
      <w:lvlText w:val="%1."/>
      <w:numFmt w:val="decimal"/>
      <w:start w:val="8"/>
    </w:lvl>
  </w:abstractNum>
  <w:abstractNum w:abstractNumId="82">
    <w:nsid w:val="51088277"/>
    <w:multiLevelType w:val="hybridMultilevel"/>
    <w:lvl w:ilvl="0">
      <w:lvlJc w:val="left"/>
      <w:lvlText w:val="(%1)"/>
      <w:numFmt w:val="lowerLetter"/>
      <w:start w:val="1"/>
    </w:lvl>
  </w:abstractNum>
  <w:abstractNum w:abstractNumId="83">
    <w:nsid w:val="1CA0C5FA"/>
    <w:multiLevelType w:val="hybridMultilevel"/>
    <w:lvl w:ilvl="0">
      <w:lvlJc w:val="left"/>
      <w:lvlText w:val="%1."/>
      <w:numFmt w:val="decimal"/>
      <w:start w:val="9"/>
    </w:lvl>
  </w:abstractNum>
  <w:abstractNum w:abstractNumId="84">
    <w:nsid w:val="53584BCB"/>
    <w:multiLevelType w:val="hybridMultilevel"/>
    <w:lvl w:ilvl="0">
      <w:lvlJc w:val="left"/>
      <w:lvlText w:val="%1."/>
      <w:numFmt w:val="decimal"/>
      <w:start w:val="10"/>
    </w:lvl>
  </w:abstractNum>
  <w:abstractNum w:abstractNumId="85">
    <w:nsid w:val="415E286C"/>
    <w:multiLevelType w:val="hybridMultilevel"/>
    <w:lvl w:ilvl="0">
      <w:lvlJc w:val="left"/>
      <w:lvlText w:val="%1"/>
      <w:numFmt w:val="decimal"/>
      <w:start w:val="1"/>
    </w:lvl>
    <w:lvl w:ilvl="1">
      <w:lvlJc w:val="left"/>
      <w:lvlText w:val="%2."/>
      <w:numFmt w:val="decimal"/>
      <w:start w:val="12"/>
    </w:lvl>
  </w:abstractNum>
  <w:abstractNum w:abstractNumId="86">
    <w:nsid w:val="7C58FD05"/>
    <w:multiLevelType w:val="hybridMultilevel"/>
    <w:lvl w:ilvl="0">
      <w:lvlJc w:val="left"/>
      <w:lvlText w:val="%1."/>
      <w:numFmt w:val="decimal"/>
      <w:start w:val="13"/>
    </w:lvl>
    <w:lvl w:ilvl="1">
      <w:lvlJc w:val="left"/>
      <w:lvlText w:val="%2"/>
      <w:numFmt w:val="decimal"/>
      <w:start w:val="1"/>
    </w:lvl>
  </w:abstractNum>
  <w:abstractNum w:abstractNumId="87">
    <w:nsid w:val="23D86AAC"/>
    <w:multiLevelType w:val="hybridMultilevel"/>
    <w:lvl w:ilvl="0">
      <w:lvlJc w:val="left"/>
      <w:lvlText w:val="%1."/>
      <w:numFmt w:val="decimal"/>
      <w:start w:val="16"/>
    </w:lvl>
  </w:abstractNum>
  <w:abstractNum w:abstractNumId="88">
    <w:nsid w:val="45E6D486"/>
    <w:multiLevelType w:val="hybridMultilevel"/>
    <w:lvl w:ilvl="0">
      <w:lvlJc w:val="left"/>
      <w:lvlText w:val="(%1)"/>
      <w:numFmt w:val="lowerLetter"/>
      <w:start w:val="1"/>
    </w:lvl>
  </w:abstractNum>
  <w:abstractNum w:abstractNumId="89">
    <w:nsid w:val="5C10FE21"/>
    <w:multiLevelType w:val="hybridMultilevel"/>
    <w:lvl w:ilvl="0">
      <w:lvlJc w:val="left"/>
      <w:lvlText w:val="%1."/>
      <w:numFmt w:val="decimal"/>
      <w:start w:val="19"/>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decimal"/>
      <w:start w:val="2"/>
    </w:lvl>
    <w:lvl w:ilvl="1">
      <w:lvlJc w:val="left"/>
      <w:lvlText w:val="(%2)"/>
      <w:numFmt w:val="lowerLetter"/>
      <w:start w:val="7"/>
    </w:lvl>
  </w:abstractNum>
  <w:abstractNum w:abstractNumId="94">
    <w:nsid w:val="39B7AAA2"/>
    <w:multiLevelType w:val="hybridMultilevel"/>
    <w:lvl w:ilvl="0">
      <w:lvlJc w:val="left"/>
      <w:lvlText w:val="%1"/>
      <w:numFmt w:val="decimal"/>
      <w:start w:val="1"/>
    </w:lvl>
    <w:lvl w:ilvl="1">
      <w:lvlJc w:val="left"/>
      <w:lvlText w:val="(%2)"/>
      <w:numFmt w:val="lowerLetter"/>
      <w:start w:val="6"/>
    </w:lvl>
  </w:abstractNum>
  <w:abstractNum w:abstractNumId="95">
    <w:nsid w:val="2B0D8DBE"/>
    <w:multiLevelType w:val="hybridMultilevel"/>
    <w:lvl w:ilvl="0">
      <w:lvlJc w:val="left"/>
      <w:lvlText w:val="%1."/>
      <w:numFmt w:val="decimal"/>
      <w:start w:val="5"/>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99">
    <w:nsid w:val="2C27173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00">
    <w:nsid w:val="4C9B0904"/>
    <w:multiLevelType w:val="hybridMultilevel"/>
    <w:lvl w:ilvl="0">
      <w:lvlJc w:val="left"/>
      <w:lvlText w:val="%1"/>
      <w:numFmt w:val="lowerLetter"/>
      <w:start w:val="1"/>
    </w:lvl>
    <w:lvl w:ilvl="1">
      <w:lvlJc w:val="left"/>
      <w:lvlText w:val="(%2)"/>
      <w:numFmt w:val="lowerLetter"/>
      <w:start w:val="4"/>
    </w:lvl>
  </w:abstractNum>
  <w:abstractNum w:abstractNumId="101">
    <w:nsid w:val="6AA7B75C"/>
    <w:multiLevelType w:val="hybridMultilevel"/>
    <w:lvl w:ilvl="0">
      <w:lvlJc w:val="left"/>
      <w:lvlText w:val="(%1)"/>
      <w:numFmt w:val="lowerLetter"/>
      <w:start w:val="35"/>
    </w:lvl>
    <w:lvl w:ilvl="1">
      <w:lvlJc w:val="left"/>
      <w:lvlText w:val="%2"/>
      <w:numFmt w:val="lowerLetter"/>
      <w:start w:val="1"/>
    </w:lvl>
  </w:abstractNum>
  <w:abstractNum w:abstractNumId="102">
    <w:nsid w:val="1DF029D3"/>
    <w:multiLevelType w:val="hybridMultilevel"/>
    <w:lvl w:ilvl="0">
      <w:lvlJc w:val="left"/>
      <w:lvlText w:val="(%1)"/>
      <w:numFmt w:val="lowerLetter"/>
      <w:start w:val="6"/>
    </w:lvl>
  </w:abstractNum>
  <w:abstractNum w:abstractNumId="103">
    <w:nsid w:val="5675FF36"/>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9"/>
    </w:lvl>
  </w:abstractNum>
  <w:abstractNum w:abstractNumId="104">
    <w:nsid w:val="3DD1509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05">
    <w:nsid w:val="3DB012B3"/>
    <w:multiLevelType w:val="hybridMultilevel"/>
    <w:lvl w:ilvl="0">
      <w:lvlJc w:val="left"/>
      <w:lvlText w:val="(%1)"/>
      <w:numFmt w:val="lowerRoman"/>
      <w:start w:val="2"/>
    </w:lvl>
  </w:abstractNum>
  <w:abstractNum w:abstractNumId="106">
    <w:nsid w:val="2708C9AF"/>
    <w:multiLevelType w:val="hybridMultilevel"/>
    <w:lvl w:ilvl="0">
      <w:lvlJc w:val="left"/>
      <w:lvlText w:val="(%1)"/>
      <w:numFmt w:val="lowerLetter"/>
      <w:start w:val="8"/>
    </w:lvl>
  </w:abstractNum>
  <w:abstractNum w:abstractNumId="107">
    <w:nsid w:val="5B25ACE2"/>
    <w:multiLevelType w:val="hybridMultilevel"/>
    <w:lvl w:ilvl="0">
      <w:lvlJc w:val="left"/>
      <w:lvlText w:val="%1."/>
      <w:numFmt w:val="decimal"/>
      <w:start w:val="2"/>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decimal"/>
      <w:start w:val="3"/>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lowerLetter"/>
      <w:start w:val="3"/>
    </w:lvl>
  </w:abstractNum>
  <w:abstractNum w:abstractNumId="112">
    <w:nsid w:val="5915FF32"/>
    <w:multiLevelType w:val="hybridMultilevel"/>
    <w:lvl w:ilvl="0">
      <w:lvlJc w:val="left"/>
      <w:lvlText w:val="(%1)"/>
      <w:numFmt w:val="lowerLetter"/>
      <w:start w:val="7"/>
    </w:lvl>
  </w:abstractNum>
  <w:abstractNum w:abstractNumId="113">
    <w:nsid w:val="56438D15"/>
    <w:multiLevelType w:val="hybridMultilevel"/>
    <w:lvl w:ilvl="0">
      <w:lvlJc w:val="left"/>
      <w:lvlText w:val="%1."/>
      <w:numFmt w:val="decimal"/>
      <w:start w:val="4"/>
    </w:lvl>
  </w:abstractNum>
  <w:abstractNum w:abstractNumId="114">
    <w:nsid w:val="519E3149"/>
    <w:multiLevelType w:val="hybridMultilevel"/>
    <w:lvl w:ilvl="0">
      <w:lvlJc w:val="left"/>
      <w:lvlText w:val="(%1)"/>
      <w:numFmt w:val="lowerLetter"/>
      <w:start w:val="1"/>
    </w:lvl>
  </w:abstractNum>
  <w:abstractNum w:abstractNumId="115">
    <w:nsid w:val="2C6E4AFD"/>
    <w:multiLevelType w:val="hybridMultilevel"/>
    <w:lvl w:ilvl="0">
      <w:lvlJc w:val="left"/>
      <w:lvlText w:val="(%1)"/>
      <w:numFmt w:val="lowerLetter"/>
      <w:start w:val="5"/>
    </w:lvl>
  </w:abstractNum>
  <w:abstractNum w:abstractNumId="116">
    <w:nsid w:val="17A1B582"/>
    <w:multiLevelType w:val="hybridMultilevel"/>
    <w:lvl w:ilvl="0">
      <w:lvlJc w:val="left"/>
      <w:lvlText w:val="(%1)"/>
      <w:numFmt w:val="lowerLetter"/>
      <w:start w:val="7"/>
    </w:lvl>
  </w:abstractNum>
  <w:abstractNum w:abstractNumId="117">
    <w:nsid w:val="4DF72E4E"/>
    <w:multiLevelType w:val="hybridMultilevel"/>
    <w:lvl w:ilvl="0">
      <w:lvlJc w:val="left"/>
      <w:lvlText w:val="%1."/>
      <w:numFmt w:val="decimal"/>
      <w:start w:val="6"/>
    </w:lvl>
  </w:abstractNum>
  <w:abstractNum w:abstractNumId="118">
    <w:nsid w:val="5046B5A9"/>
    <w:multiLevelType w:val="hybridMultilevel"/>
    <w:lvl w:ilvl="0">
      <w:lvlJc w:val="left"/>
      <w:lvlText w:val="%1."/>
      <w:numFmt w:val="decimal"/>
      <w:start w:val="7"/>
    </w:lvl>
  </w:abstractNum>
  <w:abstractNum w:abstractNumId="119">
    <w:nsid w:val="5D888A08"/>
    <w:multiLevelType w:val="hybridMultilevel"/>
    <w:lvl w:ilvl="0">
      <w:lvlJc w:val="left"/>
      <w:lvlText w:val="(%1)"/>
      <w:numFmt w:val="lowerLetter"/>
      <w:start w:val="1"/>
    </w:lvl>
  </w:abstractNum>
  <w:abstractNum w:abstractNumId="120">
    <w:nsid w:val="2A082C70"/>
    <w:multiLevelType w:val="hybridMultilevel"/>
    <w:lvl w:ilvl="0">
      <w:lvlJc w:val="left"/>
      <w:lvlText w:val="(%1)"/>
      <w:numFmt w:val="lowerLetter"/>
      <w:start w:val="3"/>
    </w:lvl>
  </w:abstractNum>
  <w:abstractNum w:abstractNumId="121">
    <w:nsid w:val="5EC6AFD4"/>
    <w:multiLevelType w:val="hybridMultilevel"/>
    <w:lvl w:ilvl="0">
      <w:lvlJc w:val="left"/>
      <w:lvlText w:val="(%1)"/>
      <w:numFmt w:val="lowerLetter"/>
      <w:start w:val="7"/>
    </w:lvl>
  </w:abstractNum>
  <w:abstractNum w:abstractNumId="122">
    <w:nsid w:val="19E21BB2"/>
    <w:multiLevelType w:val="hybridMultilevel"/>
    <w:lvl w:ilvl="0">
      <w:lvlJc w:val="left"/>
      <w:lvlText w:val="%1."/>
      <w:numFmt w:val="decimal"/>
      <w:start w:val="8"/>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decimal"/>
      <w:start w:val="9"/>
    </w:lvl>
  </w:abstractNum>
  <w:abstractNum w:abstractNumId="125">
    <w:nsid w:val="5399C654"/>
    <w:multiLevelType w:val="hybridMultilevel"/>
    <w:lvl w:ilvl="0">
      <w:lvlJc w:val="left"/>
      <w:lvlText w:val="%1."/>
      <w:numFmt w:val="decimal"/>
      <w:start w:val="11"/>
    </w:lvl>
  </w:abstractNum>
  <w:abstractNum w:abstractNumId="126">
    <w:nsid w:val="20EE1348"/>
    <w:multiLevelType w:val="hybridMultilevel"/>
    <w:lvl w:ilvl="0">
      <w:lvlJc w:val="left"/>
      <w:lvlText w:val="%1"/>
      <w:numFmt w:val="decimal"/>
      <w:start w:val="1"/>
    </w:lvl>
    <w:lvl w:ilvl="1">
      <w:lvlJc w:val="left"/>
      <w:lvlText w:val="%2."/>
      <w:numFmt w:val="decimal"/>
      <w:start w:val="12"/>
    </w:lvl>
  </w:abstractNum>
  <w:abstractNum w:abstractNumId="127">
    <w:nsid w:val="4427069A"/>
    <w:multiLevelType w:val="hybridMultilevel"/>
    <w:lvl w:ilvl="0">
      <w:lvlJc w:val="left"/>
      <w:lvlText w:val="%1."/>
      <w:numFmt w:val="decimal"/>
      <w:start w:val="13"/>
    </w:lvl>
    <w:lvl w:ilvl="1">
      <w:lvlJc w:val="left"/>
      <w:lvlText w:val="%2"/>
      <w:numFmt w:val="decimal"/>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19"/>
    </w:lvl>
  </w:abstractNum>
  <w:abstractNum w:abstractNumId="130">
    <w:nsid w:val="704E1DD5"/>
    <w:multiLevelType w:val="hybridMultilevel"/>
    <w:lvl w:ilvl="0">
      <w:lvlJc w:val="left"/>
      <w:lvlText w:val="%1."/>
      <w:numFmt w:val="decimal"/>
      <w:start w:val="1"/>
    </w:lvl>
    <w:lvl w:ilvl="1">
      <w:lvlJc w:val="left"/>
      <w:lvlText w:val="(%2)"/>
      <w:numFmt w:val="lowerRoman"/>
      <w:start w:val="1"/>
    </w:lvl>
  </w:abstractNum>
  <w:abstractNum w:abstractNumId="131">
    <w:nsid w:val="57D2F10E"/>
    <w:multiLevelType w:val="hybridMultilevel"/>
    <w:lvl w:ilvl="0">
      <w:lvlJc w:val="left"/>
      <w:lvlText w:val="%1."/>
      <w:numFmt w:val="decimal"/>
      <w:start w:val="3"/>
    </w:lvl>
  </w:abstractNum>
  <w:abstractNum w:abstractNumId="132">
    <w:nsid w:val="BFFAE18"/>
    <w:multiLevelType w:val="hybridMultilevel"/>
    <w:lvl w:ilvl="0">
      <w:lvlJc w:val="left"/>
      <w:lvlText w:val="%1."/>
      <w:numFmt w:val="decimal"/>
      <w:start w:val="8"/>
    </w:lvl>
  </w:abstractNum>
  <w:abstractNum w:abstractNumId="133">
    <w:nsid w:val="E3E47A8"/>
    <w:multiLevelType w:val="hybridMultilevel"/>
    <w:lvl w:ilvl="0">
      <w:lvlJc w:val="left"/>
      <w:lvlText w:val="%1."/>
      <w:numFmt w:val="decimal"/>
      <w:start w:val="1"/>
    </w:lvl>
    <w:lvl w:ilvl="1">
      <w:lvlJc w:val="left"/>
      <w:lvlText w:val="%2)"/>
      <w:numFmt w:val="lowerLetter"/>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jpe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15" Type="http://schemas.openxmlformats.org/officeDocument/2006/relationships/hyperlink" Target="http://www.sec.gov/Archives/edgar/data/0001901637/000119312521369812/d628417dex21.htm" TargetMode="External"/><Relationship Id="rId116" Type="http://schemas.openxmlformats.org/officeDocument/2006/relationships/hyperlink" Target="http://www.sec.gov/Archives/edgar/data/0001901637/000119312521369812/d628417dex31.htm" TargetMode="External"/><Relationship Id="rId117" Type="http://schemas.openxmlformats.org/officeDocument/2006/relationships/hyperlink" Target="http://www.sec.gov/Archives/edgar/data/0001901637/000119312521369812/d628417dex32.htm" TargetMode="External"/><Relationship Id="rId118" Type="http://schemas.openxmlformats.org/officeDocument/2006/relationships/hyperlink" Target="http://www.sec.gov/Archives/edgar/data/0001901637/000119312521369812/d628417dex41.htm" TargetMode="External"/><Relationship Id="rId119" Type="http://schemas.openxmlformats.org/officeDocument/2006/relationships/hyperlink" Target="http://www.sec.gov/Archives/edgar/data/0001901637/000119312521369812/d628417dex42.htm" TargetMode="External"/><Relationship Id="rId120" Type="http://schemas.openxmlformats.org/officeDocument/2006/relationships/hyperlink" Target="http://www.sec.gov/Archives/edgar/data/0001901637/000119312521369812/d628417dex43.htm" TargetMode="External"/><Relationship Id="rId121" Type="http://schemas.openxmlformats.org/officeDocument/2006/relationships/hyperlink" Target="http://www.sec.gov/Archives/edgar/data/0001901637/000119312521369812/d6284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2022-03-24T15:27:32Z</dcterms:created>
  <dcterms:modified xsi:type="dcterms:W3CDTF">2022-03-24T15:27:32Z</dcterms:modified>
</cp:coreProperties>
</file>