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03/10/2025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1,011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119,985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-2810510</wp:posOffset>
            </wp:positionV>
            <wp:extent cx="29210" cy="2815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8,792 shares of restricted stock which vest at a rate of one-third per year commencing on January 21, 2026, 2,751 shares of restricted stock of a grant of 4,127 shares which commenced vesting at a rate of one-third per year on January 22, 2025, 2,683 shares of restricted stock of a grant of 8,051 shares which commenced vesting at a rate of one-third per year on March 8, 2024, and 25,000 shares of restricted stock, one-third of which vested on December 31, 2024 and the remaining two-thirds vest pro rata on December 31, 2025 and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September 10,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September 27, 2022.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Anderson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03/12/2025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5230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2025-03-12T13:11:09Z</dcterms:created>
  <dcterms:modified xsi:type="dcterms:W3CDTF">2025-03-12T13:11:09Z</dcterms:modified>
</cp:coreProperties>
</file>