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8659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5949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WYCOFF W KIRK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700"/>
        <w:spacing w:after="0" w:line="385" w:lineRule="auto"/>
        <w:rPr>
          <w:sz w:val="20"/>
          <w:szCs w:val="20"/>
          <w:color w:val="auto"/>
        </w:rPr>
      </w:pPr>
      <w:r>
        <w:rPr>
          <w:rFonts w:ascii="Times New Roman" w:cs="Times New Roman" w:eastAsia="Times New Roman" w:hAnsi="Times New Roman"/>
          <w:sz w:val="16"/>
          <w:szCs w:val="16"/>
          <w:color w:val="0000FF"/>
        </w:rPr>
        <w:t>FOUR RADNOR CORPORATE CENTER 100 MATSONFORD ROAD, SUITE 210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25"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3"/>
                <w:szCs w:val="13"/>
                <w:color w:val="auto"/>
              </w:rPr>
            </w:pPr>
          </w:p>
        </w:tc>
        <w:tc>
          <w:tcPr>
            <w:tcW w:w="9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4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12/10/2025</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82,043</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18.56</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1,895,286</w:t>
            </w:r>
          </w:p>
        </w:tc>
        <w:tc>
          <w:tcPr>
            <w:tcW w:w="960" w:type="dxa"/>
            <w:vAlign w:val="bottom"/>
            <w:tcBorders>
              <w:bottom w:val="single" w:sz="8" w:color="2C2C2C"/>
            </w:tcBorders>
            <w:gridSpan w:val="2"/>
          </w:tcPr>
          <w:p>
            <w:pPr>
              <w:ind w:left="12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(2)(3)(4)(5)</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7"/>
          </w:tcPr>
          <w:p>
            <w:pPr>
              <w:jc w:val="center"/>
              <w:ind w:left="5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20" w:type="dxa"/>
            <w:vAlign w:val="bottom"/>
            <w:gridSpan w:val="13"/>
          </w:tcPr>
          <w:p>
            <w:pPr>
              <w:jc w:val="center"/>
              <w:ind w:right="1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9"/>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jc w:val="center"/>
              <w:ind w:right="18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03/01/2016</w:t>
            </w:r>
          </w:p>
        </w:tc>
        <w:tc>
          <w:tcPr>
            <w:tcW w:w="700" w:type="dxa"/>
            <w:vAlign w:val="bottom"/>
            <w:vMerge w:val="continue"/>
          </w:tcPr>
          <w:p>
            <w:pPr>
              <w:spacing w:after="0"/>
              <w:rPr>
                <w:sz w:val="6"/>
                <w:szCs w:val="6"/>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7,500</w:t>
            </w: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jc w:val="center"/>
              <w:ind w:right="12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09/23/2019</w:t>
            </w:r>
          </w:p>
        </w:tc>
        <w:tc>
          <w:tcPr>
            <w:tcW w:w="700" w:type="dxa"/>
            <w:vAlign w:val="bottom"/>
            <w:vMerge w:val="continue"/>
          </w:tcPr>
          <w:p>
            <w:pPr>
              <w:spacing w:after="0"/>
              <w:rPr>
                <w:sz w:val="6"/>
                <w:szCs w:val="6"/>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4,000</w:t>
            </w: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WYCOFF W KIRK</w:t>
              </w:r>
            </w:hyperlink>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RADNOR</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19087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gridSpan w:val="6"/>
          </w:tcPr>
          <w:p>
            <w:pPr>
              <w:spacing w:after="0" w:line="223"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Patriot Financial Partners GP II, L.P.</w:t>
              </w:r>
            </w:hyperlink>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-5400675</wp:posOffset>
            </wp:positionV>
            <wp:extent cx="29210" cy="3020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302069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3"/>
          </w:tcPr>
          <w:p>
            <w:pPr>
              <w:spacing w:after="0" w:line="223" w:lineRule="exact"/>
              <w:rPr>
                <w:rFonts w:ascii="Times New Roman" w:cs="Times New Roman" w:eastAsia="Times New Roman" w:hAnsi="Times New Roman"/>
                <w:sz w:val="21"/>
                <w:szCs w:val="21"/>
                <w:color w:val="0000EE"/>
                <w:w w:val="98"/>
              </w:rPr>
            </w:pPr>
            <w:hyperlink r:id="rId17">
              <w:r>
                <w:rPr>
                  <w:rFonts w:ascii="Times New Roman" w:cs="Times New Roman" w:eastAsia="Times New Roman" w:hAnsi="Times New Roman"/>
                  <w:sz w:val="21"/>
                  <w:szCs w:val="21"/>
                  <w:color w:val="0000EE"/>
                  <w:w w:val="98"/>
                </w:rPr>
                <w:t>Patriot Financial Partners II, L.P.</w:t>
              </w:r>
            </w:hyperlink>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68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5430" cy="1052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5430" cy="105251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Patriot Financial Partners Parallel II, L.P.</w:t>
        </w:r>
      </w:hyperlink>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20" w:type="dxa"/>
            <w:vAlign w:val="bottom"/>
          </w:tcPr>
          <w:p>
            <w:pPr>
              <w:spacing w:after="0"/>
              <w:rPr>
                <w:sz w:val="22"/>
                <w:szCs w:val="22"/>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Patriot Financial Partners GP II, LLC</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Deutsch James F.</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LUBERT IRA M</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FMC TOWER AT CIRA CENTRE SOUTH</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2929 WALNUT STREET, SUITE 1550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PHILADELPHIA</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19104</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LYNCH JAMES J</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9979"/>
          </w:cols>
          <w:pgMar w:left="480" w:top="257"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-547370</wp:posOffset>
            </wp:positionV>
            <wp:extent cx="2805430" cy="624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5430" cy="62484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right="20" w:firstLine="3"/>
        <w:spacing w:after="0" w:line="245"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$18.50 to $18.91, inclusive. The reporting persons undertake to provide to USCB, any security holder of USCB, or the staff of the Securities and Exchange Commission, upon request, full information regarding the number of shares sold at each separate price within the ranges set forth herein.</w:t>
      </w:r>
    </w:p>
    <w:p>
      <w:pPr>
        <w:spacing w:after="0" w:line="24" w:lineRule="exact"/>
        <w:rPr>
          <w:rFonts w:ascii="Times New Roman" w:cs="Times New Roman" w:eastAsia="Times New Roman" w:hAnsi="Times New Roman"/>
          <w:sz w:val="13"/>
          <w:szCs w:val="13"/>
          <w:color w:val="008000"/>
        </w:rPr>
      </w:pPr>
    </w:p>
    <w:p>
      <w:pPr>
        <w:ind w:firstLine="3"/>
        <w:spacing w:after="0"/>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Patriot Financial Partners GP II, LLC ("Patriot LLC"), Patriot Financial Partners GP II, LP. ("Patriot GP"), Patriot Financial Partners II, LP. ("Patriot Fund II"), Patriot Financial Partners Parallel II, LP. ("Patriot Parallel Fund II," together with Patriot Fund II, the "Funds"), W. Kirk Wycoff, James J. Lynch, Ira M. Lubert and James F. Deutsch. Patriot GP is a general partner of each of the Funds and Patriot LLC is a general partner of Patriot GP. In addition, each of W. Kirk Wycoff, Ira M. Lubert and James J. Lynch serve as general partners of the Funds and is a member of Patriot LLC. James F. Deutsch is a member of the Patriot Funds Investment Committee.</w:t>
      </w:r>
    </w:p>
    <w:p>
      <w:pPr>
        <w:spacing w:after="0" w:line="27" w:lineRule="exact"/>
        <w:rPr>
          <w:rFonts w:ascii="Times New Roman" w:cs="Times New Roman" w:eastAsia="Times New Roman" w:hAnsi="Times New Roman"/>
          <w:sz w:val="13"/>
          <w:szCs w:val="13"/>
          <w:color w:val="008000"/>
        </w:rPr>
      </w:pPr>
    </w:p>
    <w:p>
      <w:pPr>
        <w:ind w:right="100" w:firstLine="3"/>
        <w:spacing w:after="0" w:line="260"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owned by the Funds may be regarded as being beneficially owned by Patriot GP, Patriot LLC, W. Kirk Wycoff, James J. Lynch, Ira M. Lubert and James F. Deutsch. On December 10, 2025, Patriot Fund II sold 73,428 shares of common stock and Patriot Parallel Fund II sold 8,615 shares of common stock.</w:t>
      </w:r>
    </w:p>
    <w:p>
      <w:pPr>
        <w:spacing w:after="0" w:line="14"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sale, Patriot Fund II holds 1,697,325 shares of common stock and Patriot Parallel Fund II holds 197,961 shares of common stock.</w:t>
      </w:r>
    </w:p>
    <w:p>
      <w:pPr>
        <w:spacing w:after="0" w:line="45" w:lineRule="exact"/>
        <w:rPr>
          <w:rFonts w:ascii="Times New Roman" w:cs="Times New Roman" w:eastAsia="Times New Roman" w:hAnsi="Times New Roman"/>
          <w:sz w:val="13"/>
          <w:szCs w:val="13"/>
          <w:color w:val="008000"/>
        </w:rPr>
      </w:pPr>
    </w:p>
    <w:p>
      <w:pPr>
        <w:jc w:val="both"/>
        <w:ind w:firstLine="3"/>
        <w:spacing w:after="0" w:line="245"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filing shall not be deemed an admission that the Reporting Persons are subject to Section 16 of the Securities Exchange Act of 1934, as amended (the "Exchange Act"), or, for purposes of Section 16 of the Exchange Act or otherwise (other than to the extent a Reporting Person directly holds the securities reported herein), and Messrs. Wycoff, Lynch, Lubert and Deutsch each disclaim beneficial ownership of the securities owned by the Funds, except to the extent of their respective pecuniary interest therein.</w:t>
      </w:r>
    </w:p>
    <w:p>
      <w:pPr>
        <w:spacing w:after="0" w:line="24" w:lineRule="exact"/>
        <w:rPr>
          <w:rFonts w:ascii="Times New Roman" w:cs="Times New Roman" w:eastAsia="Times New Roman" w:hAnsi="Times New Roman"/>
          <w:sz w:val="13"/>
          <w:szCs w:val="13"/>
          <w:color w:val="008000"/>
        </w:rPr>
      </w:pPr>
    </w:p>
    <w:p>
      <w:pPr>
        <w:ind w:right="140" w:firstLine="3"/>
        <w:spacing w:after="0" w:line="260"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previously granted to Mr. Wycoff as a director of the Company. Each option to purchase Class A Voting Common Stock remains exercisable until the earlier of (a) ten (10) years after its date of grant or (b) the (3) months after the date Mr. Wycoff ceases to serve as a non-employee of the Issuer.</w:t>
      </w:r>
    </w:p>
    <w:p>
      <w:pPr>
        <w:sectPr>
          <w:pgSz w:w="11900" w:h="16838" w:orient="portrait"/>
          <w:cols w:equalWidth="0" w:num="1">
            <w:col w:w="10860"/>
          </w:cols>
          <w:pgMar w:left="500" w:top="128" w:right="539" w:bottom="1440" w:gutter="0" w:footer="0" w:header="0"/>
        </w:sectPr>
      </w:pPr>
    </w:p>
    <w:p>
      <w:pPr>
        <w:spacing w:after="0" w:line="4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Patriot Financial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wp:posOffset>
            </wp:positionV>
            <wp:extent cx="134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167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Patriot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09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GP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57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78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09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Parallel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00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Parallel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60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670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II, LLC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44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800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8680" w:space="80"/>
            <w:col w:w="2100"/>
          </w:cols>
          <w:pgMar w:left="500" w:top="128" w:right="539" w:bottom="1440"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817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875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James J. Murphy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wp:posOffset>
            </wp:positionV>
            <wp:extent cx="13055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for Ira M. Lubert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734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78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620" w:space="140"/>
            <w:col w:w="2100"/>
          </w:cols>
          <w:pgMar w:left="500" w:top="128"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8"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13" Type="http://schemas.openxmlformats.org/officeDocument/2006/relationships/hyperlink" Target="http://www.sec.gov/cgi-bin/browse-edgar?action=getcompany&amp;CIK=0000949197" TargetMode="External"/><Relationship Id="rId14" Type="http://schemas.openxmlformats.org/officeDocument/2006/relationships/hyperlink" Target="http://www.sec.gov/cgi-bin/browse-edgar?action=getcompany&amp;CIK=0001901637" TargetMode="External"/><Relationship Id="rId15" Type="http://schemas.openxmlformats.org/officeDocument/2006/relationships/hyperlink" Target="http://www.sec.gov/cgi-bin/browse-edgar?action=getcompany&amp;CIK=0002061817" TargetMode="External"/><Relationship Id="rId17" Type="http://schemas.openxmlformats.org/officeDocument/2006/relationships/hyperlink" Target="http://www.sec.gov/cgi-bin/browse-edgar?action=getcompany&amp;CIK=0001583223" TargetMode="External"/><Relationship Id="rId19" Type="http://schemas.openxmlformats.org/officeDocument/2006/relationships/hyperlink" Target="http://www.sec.gov/cgi-bin/browse-edgar?action=getcompany&amp;CIK=0001586224" TargetMode="External"/><Relationship Id="rId20" Type="http://schemas.openxmlformats.org/officeDocument/2006/relationships/hyperlink" Target="http://www.sec.gov/cgi-bin/browse-edgar?action=getcompany&amp;CIK=0002061814" TargetMode="External"/><Relationship Id="rId21" Type="http://schemas.openxmlformats.org/officeDocument/2006/relationships/hyperlink" Target="http://www.sec.gov/cgi-bin/browse-edgar?action=getcompany&amp;CIK=0001561111" TargetMode="External"/><Relationship Id="rId22" Type="http://schemas.openxmlformats.org/officeDocument/2006/relationships/hyperlink" Target="http://www.sec.gov/cgi-bin/browse-edgar?action=getcompany&amp;CIK=0001203115" TargetMode="External"/><Relationship Id="rId23" Type="http://schemas.openxmlformats.org/officeDocument/2006/relationships/hyperlink" Target="http://www.sec.gov/cgi-bin/browse-edgar?action=getcompany&amp;CIK=00012223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2025-12-11T12:03:21Z</dcterms:created>
  <dcterms:modified xsi:type="dcterms:W3CDTF">2025-12-11T12:03:21Z</dcterms:modified>
</cp:coreProperties>
</file>