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0" w:lineRule="exact"/>
        <w:rPr>
          <w:sz w:val="24"/>
          <w:szCs w:val="24"/>
          <w:color w:val="auto"/>
        </w:rPr>
      </w:pPr>
    </w:p>
    <w:p>
      <w:pPr>
        <w:spacing w:after="0" w:line="223"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Date of Report (Date of earliest event reported)</w:t>
            </w:r>
          </w:p>
        </w:tc>
        <w:tc>
          <w:tcPr>
            <w:tcW w:w="46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December 5, 2025</w:t>
            </w:r>
          </w:p>
        </w:tc>
        <w:tc>
          <w:tcPr>
            <w:tcW w:w="31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26"/>
        </w:trPr>
        <w:tc>
          <w:tcPr>
            <w:tcW w:w="35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520" w:type="dxa"/>
            <w:vAlign w:val="bottom"/>
            <w:tcBorders>
              <w:top w:val="single" w:sz="8" w:color="auto"/>
              <w:bottom w:val="single" w:sz="8" w:color="auto"/>
            </w:tcBorders>
          </w:tcPr>
          <w:p>
            <w:pPr>
              <w:jc w:val="center"/>
              <w:ind w:right="410"/>
              <w:spacing w:after="0"/>
              <w:rPr>
                <w:sz w:val="20"/>
                <w:szCs w:val="20"/>
                <w:color w:val="auto"/>
              </w:rPr>
            </w:pPr>
            <w:r>
              <w:rPr>
                <w:rFonts w:ascii="Times New Roman" w:cs="Times New Roman" w:eastAsia="Times New Roman" w:hAnsi="Times New Roman"/>
                <w:sz w:val="18"/>
                <w:szCs w:val="18"/>
                <w:color w:val="auto"/>
              </w:rPr>
              <w:t>USCB Financial Holdings, Inc.</w:t>
            </w:r>
          </w:p>
        </w:tc>
        <w:tc>
          <w:tcPr>
            <w:tcW w:w="3100" w:type="dxa"/>
            <w:vAlign w:val="bottom"/>
            <w:tcBorders>
              <w:top w:val="single" w:sz="8" w:color="auto"/>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28"/>
        </w:trPr>
        <w:tc>
          <w:tcPr>
            <w:tcW w:w="3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520" w:type="dxa"/>
            <w:vAlign w:val="bottom"/>
          </w:tcPr>
          <w:p>
            <w:pPr>
              <w:jc w:val="center"/>
              <w:ind w:right="43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c>
          <w:tcPr>
            <w:tcW w:w="3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14"/>
        </w:trPr>
        <w:tc>
          <w:tcPr>
            <w:tcW w:w="3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Florida</w:t>
            </w:r>
          </w:p>
        </w:tc>
        <w:tc>
          <w:tcPr>
            <w:tcW w:w="4620" w:type="dxa"/>
            <w:vAlign w:val="bottom"/>
            <w:tcBorders>
              <w:bottom w:val="single" w:sz="8" w:color="auto"/>
            </w:tcBorders>
            <w:gridSpan w:val="2"/>
          </w:tcPr>
          <w:p>
            <w:pPr>
              <w:jc w:val="right"/>
              <w:ind w:right="1870"/>
              <w:spacing w:after="0"/>
              <w:rPr>
                <w:sz w:val="20"/>
                <w:szCs w:val="20"/>
                <w:color w:val="auto"/>
              </w:rPr>
            </w:pPr>
            <w:r>
              <w:rPr>
                <w:rFonts w:ascii="Times New Roman" w:cs="Times New Roman" w:eastAsia="Times New Roman" w:hAnsi="Times New Roman"/>
                <w:sz w:val="18"/>
                <w:szCs w:val="18"/>
                <w:color w:val="auto"/>
              </w:rPr>
              <w:t>001-41196</w:t>
            </w:r>
          </w:p>
        </w:tc>
        <w:tc>
          <w:tcPr>
            <w:tcW w:w="3100" w:type="dxa"/>
            <w:vAlign w:val="bottom"/>
            <w:tcBorders>
              <w:bottom w:val="single" w:sz="8" w:color="auto"/>
            </w:tcBorders>
          </w:tcPr>
          <w:p>
            <w:pPr>
              <w:jc w:val="center"/>
              <w:ind w:right="370"/>
              <w:spacing w:after="0"/>
              <w:rPr>
                <w:sz w:val="20"/>
                <w:szCs w:val="20"/>
                <w:color w:val="auto"/>
              </w:rPr>
            </w:pPr>
            <w:r>
              <w:rPr>
                <w:rFonts w:ascii="Times New Roman" w:cs="Times New Roman" w:eastAsia="Times New Roman" w:hAnsi="Times New Roman"/>
                <w:sz w:val="18"/>
                <w:szCs w:val="18"/>
                <w:color w:val="auto"/>
              </w:rPr>
              <w:t>87-4070846</w:t>
            </w:r>
          </w:p>
        </w:tc>
        <w:tc>
          <w:tcPr>
            <w:tcW w:w="20" w:type="dxa"/>
            <w:vAlign w:val="bottom"/>
          </w:tcPr>
          <w:p>
            <w:pPr>
              <w:spacing w:after="0"/>
              <w:rPr>
                <w:sz w:val="24"/>
                <w:szCs w:val="24"/>
                <w:color w:val="auto"/>
              </w:rPr>
            </w:pPr>
          </w:p>
        </w:tc>
      </w:tr>
      <w:tr>
        <w:trPr>
          <w:trHeight w:val="191"/>
        </w:trPr>
        <w:tc>
          <w:tcPr>
            <w:tcW w:w="3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(State or other jurisdiction</w:t>
            </w:r>
          </w:p>
        </w:tc>
        <w:tc>
          <w:tcPr>
            <w:tcW w:w="100" w:type="dxa"/>
            <w:vAlign w:val="bottom"/>
          </w:tcPr>
          <w:p>
            <w:pPr>
              <w:spacing w:after="0"/>
              <w:rPr>
                <w:sz w:val="16"/>
                <w:szCs w:val="16"/>
                <w:color w:val="auto"/>
              </w:rPr>
            </w:pPr>
          </w:p>
        </w:tc>
        <w:tc>
          <w:tcPr>
            <w:tcW w:w="4520" w:type="dxa"/>
            <w:vAlign w:val="bottom"/>
          </w:tcPr>
          <w:p>
            <w:pPr>
              <w:jc w:val="center"/>
              <w:ind w:right="90"/>
              <w:spacing w:after="0" w:line="191" w:lineRule="exact"/>
              <w:rPr>
                <w:sz w:val="20"/>
                <w:szCs w:val="20"/>
                <w:color w:val="auto"/>
              </w:rPr>
            </w:pPr>
            <w:r>
              <w:rPr>
                <w:rFonts w:ascii="Times New Roman" w:cs="Times New Roman" w:eastAsia="Times New Roman" w:hAnsi="Times New Roman"/>
                <w:sz w:val="18"/>
                <w:szCs w:val="18"/>
                <w:color w:val="auto"/>
                <w:w w:val="99"/>
              </w:rPr>
              <w:t>(Commission File Number)</w:t>
            </w:r>
          </w:p>
        </w:tc>
        <w:tc>
          <w:tcPr>
            <w:tcW w:w="3100" w:type="dxa"/>
            <w:vAlign w:val="bottom"/>
          </w:tcPr>
          <w:p>
            <w:pPr>
              <w:jc w:val="center"/>
              <w:ind w:right="370"/>
              <w:spacing w:after="0" w:line="191" w:lineRule="exact"/>
              <w:rPr>
                <w:sz w:val="20"/>
                <w:szCs w:val="20"/>
                <w:color w:val="auto"/>
              </w:rPr>
            </w:pPr>
            <w:r>
              <w:rPr>
                <w:rFonts w:ascii="Times New Roman" w:cs="Times New Roman" w:eastAsia="Times New Roman" w:hAnsi="Times New Roman"/>
                <w:sz w:val="18"/>
                <w:szCs w:val="18"/>
                <w:color w:val="auto"/>
                <w:w w:val="98"/>
              </w:rPr>
              <w:t>(IRS Employer</w:t>
            </w:r>
          </w:p>
        </w:tc>
        <w:tc>
          <w:tcPr>
            <w:tcW w:w="20" w:type="dxa"/>
            <w:vAlign w:val="bottom"/>
          </w:tcPr>
          <w:p>
            <w:pPr>
              <w:spacing w:after="0"/>
              <w:rPr>
                <w:sz w:val="16"/>
                <w:szCs w:val="16"/>
                <w:color w:val="auto"/>
              </w:rPr>
            </w:pPr>
          </w:p>
        </w:tc>
      </w:tr>
      <w:tr>
        <w:trPr>
          <w:trHeight w:val="234"/>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of incorporation)</w:t>
            </w:r>
          </w:p>
        </w:tc>
        <w:tc>
          <w:tcPr>
            <w:tcW w:w="10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312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32"/>
        </w:trPr>
        <w:tc>
          <w:tcPr>
            <w:tcW w:w="3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2301 N.W. 87th Avenue, Doral, Florida</w:t>
            </w:r>
          </w:p>
        </w:tc>
        <w:tc>
          <w:tcPr>
            <w:tcW w:w="100" w:type="dxa"/>
            <w:vAlign w:val="bottom"/>
            <w:tcBorders>
              <w:bottom w:val="single" w:sz="8" w:color="auto"/>
            </w:tcBorders>
          </w:tcPr>
          <w:p>
            <w:pPr>
              <w:spacing w:after="0"/>
              <w:rPr>
                <w:sz w:val="24"/>
                <w:szCs w:val="24"/>
                <w:color w:val="auto"/>
              </w:rPr>
            </w:pPr>
          </w:p>
        </w:tc>
        <w:tc>
          <w:tcPr>
            <w:tcW w:w="4520" w:type="dxa"/>
            <w:vAlign w:val="bottom"/>
            <w:tcBorders>
              <w:bottom w:val="single" w:sz="8" w:color="auto"/>
            </w:tcBorders>
          </w:tcPr>
          <w:p>
            <w:pPr>
              <w:spacing w:after="0"/>
              <w:rPr>
                <w:sz w:val="24"/>
                <w:szCs w:val="24"/>
                <w:color w:val="auto"/>
              </w:rPr>
            </w:pPr>
          </w:p>
        </w:tc>
        <w:tc>
          <w:tcPr>
            <w:tcW w:w="3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33172</w:t>
            </w:r>
          </w:p>
        </w:tc>
        <w:tc>
          <w:tcPr>
            <w:tcW w:w="20" w:type="dxa"/>
            <w:vAlign w:val="bottom"/>
          </w:tcPr>
          <w:p>
            <w:pPr>
              <w:spacing w:after="0"/>
              <w:rPr>
                <w:sz w:val="24"/>
                <w:szCs w:val="24"/>
                <w:color w:val="auto"/>
              </w:rPr>
            </w:pPr>
          </w:p>
        </w:tc>
      </w:tr>
      <w:tr>
        <w:trPr>
          <w:trHeight w:val="228"/>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100" w:type="dxa"/>
            <w:vAlign w:val="bottom"/>
          </w:tcPr>
          <w:p>
            <w:pPr>
              <w:spacing w:after="0"/>
              <w:rPr>
                <w:sz w:val="19"/>
                <w:szCs w:val="19"/>
                <w:color w:val="auto"/>
              </w:rPr>
            </w:pPr>
          </w:p>
        </w:tc>
        <w:tc>
          <w:tcPr>
            <w:tcW w:w="4520" w:type="dxa"/>
            <w:vAlign w:val="bottom"/>
          </w:tcPr>
          <w:p>
            <w:pPr>
              <w:spacing w:after="0"/>
              <w:rPr>
                <w:sz w:val="19"/>
                <w:szCs w:val="19"/>
                <w:color w:val="auto"/>
              </w:rPr>
            </w:pPr>
          </w:p>
        </w:tc>
        <w:tc>
          <w:tcPr>
            <w:tcW w:w="3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(Zip Code)</w:t>
            </w:r>
          </w:p>
        </w:tc>
        <w:tc>
          <w:tcPr>
            <w:tcW w:w="20" w:type="dxa"/>
            <w:vAlign w:val="bottom"/>
          </w:tcPr>
          <w:p>
            <w:pPr>
              <w:spacing w:after="0"/>
              <w:rPr>
                <w:sz w:val="19"/>
                <w:szCs w:val="19"/>
                <w:color w:val="auto"/>
              </w:rPr>
            </w:pPr>
          </w:p>
        </w:tc>
      </w:tr>
    </w:tbl>
    <w:p>
      <w:pPr>
        <w:spacing w:after="0" w:line="17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Registrant’s telephone number, including area code  (305) 715-5200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2430780</wp:posOffset>
            </wp:positionH>
            <wp:positionV relativeFrom="paragraph">
              <wp:posOffset>17145</wp:posOffset>
            </wp:positionV>
            <wp:extent cx="470598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705985" cy="8255"/>
                    </a:xfrm>
                    <a:prstGeom prst="rect">
                      <a:avLst/>
                    </a:prstGeom>
                    <a:noFill/>
                  </pic:spPr>
                </pic:pic>
              </a:graphicData>
            </a:graphic>
          </wp:anchor>
        </w:drawing>
      </w:r>
    </w:p>
    <w:p>
      <w:pPr>
        <w:spacing w:after="0" w:line="2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0"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62" w:lineRule="exact"/>
        <w:rPr>
          <w:sz w:val="24"/>
          <w:szCs w:val="24"/>
          <w:color w:val="auto"/>
        </w:rPr>
      </w:pPr>
    </w:p>
    <w:p>
      <w:pPr>
        <w:ind w:left="560" w:hanging="552"/>
        <w:spacing w:after="0"/>
        <w:tabs>
          <w:tab w:leader="none" w:pos="5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560" w:hanging="552"/>
        <w:spacing w:after="0"/>
        <w:tabs>
          <w:tab w:leader="none" w:pos="5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560" w:hanging="552"/>
        <w:spacing w:after="0"/>
        <w:tabs>
          <w:tab w:leader="none" w:pos="5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560" w:hanging="552"/>
        <w:spacing w:after="0"/>
        <w:tabs>
          <w:tab w:leader="none" w:pos="5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74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1400" w:type="dxa"/>
            <w:vAlign w:val="bottom"/>
          </w:tcPr>
          <w:p>
            <w:pPr>
              <w:spacing w:after="0"/>
              <w:rPr>
                <w:sz w:val="21"/>
                <w:szCs w:val="21"/>
                <w:color w:val="auto"/>
              </w:rPr>
            </w:pPr>
          </w:p>
        </w:tc>
        <w:tc>
          <w:tcPr>
            <w:tcW w:w="3060" w:type="dxa"/>
            <w:vAlign w:val="bottom"/>
            <w:tcBorders>
              <w:bottom w:val="single" w:sz="8" w:color="auto"/>
            </w:tcBorders>
          </w:tcPr>
          <w:p>
            <w:pPr>
              <w:spacing w:after="0"/>
              <w:rPr>
                <w:sz w:val="21"/>
                <w:szCs w:val="21"/>
                <w:color w:val="auto"/>
              </w:rPr>
            </w:pPr>
          </w:p>
        </w:tc>
        <w:tc>
          <w:tcPr>
            <w:tcW w:w="2740" w:type="dxa"/>
            <w:vAlign w:val="bottom"/>
            <w:tcBorders>
              <w:bottom w:val="single" w:sz="8" w:color="auto"/>
            </w:tcBorders>
          </w:tcPr>
          <w:p>
            <w:pPr>
              <w:spacing w:after="0"/>
              <w:rPr>
                <w:sz w:val="21"/>
                <w:szCs w:val="21"/>
                <w:color w:val="auto"/>
              </w:rPr>
            </w:pPr>
          </w:p>
        </w:tc>
        <w:tc>
          <w:tcPr>
            <w:tcW w:w="26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54"/>
        </w:trPr>
        <w:tc>
          <w:tcPr>
            <w:tcW w:w="1400" w:type="dxa"/>
            <w:vAlign w:val="bottom"/>
            <w:tcBorders>
              <w:right w:val="single" w:sz="8" w:color="auto"/>
            </w:tcBorders>
          </w:tcPr>
          <w:p>
            <w:pPr>
              <w:spacing w:after="0"/>
              <w:rPr>
                <w:sz w:val="13"/>
                <w:szCs w:val="13"/>
                <w:color w:val="auto"/>
              </w:rPr>
            </w:pPr>
          </w:p>
        </w:tc>
        <w:tc>
          <w:tcPr>
            <w:tcW w:w="30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740" w:type="dxa"/>
            <w:vAlign w:val="bottom"/>
            <w:tcBorders>
              <w:right w:val="single" w:sz="8" w:color="auto"/>
            </w:tcBorders>
          </w:tcPr>
          <w:p>
            <w:pPr>
              <w:jc w:val="center"/>
              <w:spacing w:after="0" w:line="154" w:lineRule="exact"/>
              <w:rPr>
                <w:sz w:val="20"/>
                <w:szCs w:val="20"/>
                <w:color w:val="auto"/>
              </w:rPr>
            </w:pPr>
            <w:r>
              <w:rPr>
                <w:rFonts w:ascii="Times New Roman" w:cs="Times New Roman" w:eastAsia="Times New Roman" w:hAnsi="Times New Roman"/>
                <w:sz w:val="17"/>
                <w:szCs w:val="17"/>
                <w:color w:val="auto"/>
              </w:rPr>
              <w:t>Trading</w:t>
            </w:r>
          </w:p>
        </w:tc>
        <w:tc>
          <w:tcPr>
            <w:tcW w:w="2660" w:type="dxa"/>
            <w:vAlign w:val="bottom"/>
            <w:tcBorders>
              <w:right w:val="single" w:sz="8" w:color="auto"/>
            </w:tcBorders>
          </w:tcPr>
          <w:p>
            <w:pPr>
              <w:jc w:val="center"/>
              <w:spacing w:after="0" w:line="154" w:lineRule="exact"/>
              <w:rPr>
                <w:sz w:val="20"/>
                <w:szCs w:val="20"/>
                <w:color w:val="auto"/>
              </w:rPr>
            </w:pPr>
            <w:r>
              <w:rPr>
                <w:rFonts w:ascii="Times New Roman" w:cs="Times New Roman" w:eastAsia="Times New Roman" w:hAnsi="Times New Roman"/>
                <w:sz w:val="17"/>
                <w:szCs w:val="17"/>
                <w:color w:val="auto"/>
              </w:rPr>
              <w:t>Name of each exchange on which</w:t>
            </w:r>
          </w:p>
        </w:tc>
        <w:tc>
          <w:tcPr>
            <w:tcW w:w="0" w:type="dxa"/>
            <w:vAlign w:val="bottom"/>
          </w:tcPr>
          <w:p>
            <w:pPr>
              <w:spacing w:after="0"/>
              <w:rPr>
                <w:sz w:val="1"/>
                <w:szCs w:val="1"/>
                <w:color w:val="auto"/>
              </w:rPr>
            </w:pPr>
          </w:p>
        </w:tc>
      </w:tr>
      <w:tr>
        <w:trPr>
          <w:trHeight w:val="126"/>
        </w:trPr>
        <w:tc>
          <w:tcPr>
            <w:tcW w:w="1400" w:type="dxa"/>
            <w:vAlign w:val="bottom"/>
            <w:tcBorders>
              <w:right w:val="single" w:sz="8" w:color="auto"/>
            </w:tcBorders>
          </w:tcPr>
          <w:p>
            <w:pPr>
              <w:spacing w:after="0"/>
              <w:rPr>
                <w:sz w:val="10"/>
                <w:szCs w:val="10"/>
                <w:color w:val="auto"/>
              </w:rPr>
            </w:pPr>
          </w:p>
        </w:tc>
        <w:tc>
          <w:tcPr>
            <w:tcW w:w="3060" w:type="dxa"/>
            <w:vAlign w:val="bottom"/>
            <w:tcBorders>
              <w:right w:val="single" w:sz="8" w:color="auto"/>
            </w:tcBorders>
            <w:vMerge w:val="continue"/>
          </w:tcPr>
          <w:p>
            <w:pPr>
              <w:spacing w:after="0"/>
              <w:rPr>
                <w:sz w:val="10"/>
                <w:szCs w:val="10"/>
                <w:color w:val="auto"/>
              </w:rPr>
            </w:pPr>
          </w:p>
        </w:tc>
        <w:tc>
          <w:tcPr>
            <w:tcW w:w="27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Symbol(s)</w:t>
            </w:r>
          </w:p>
        </w:tc>
        <w:tc>
          <w:tcPr>
            <w:tcW w:w="26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registered</w:t>
            </w:r>
          </w:p>
        </w:tc>
        <w:tc>
          <w:tcPr>
            <w:tcW w:w="0" w:type="dxa"/>
            <w:vAlign w:val="bottom"/>
          </w:tcPr>
          <w:p>
            <w:pPr>
              <w:spacing w:after="0"/>
              <w:rPr>
                <w:sz w:val="1"/>
                <w:szCs w:val="1"/>
                <w:color w:val="auto"/>
              </w:rPr>
            </w:pPr>
          </w:p>
        </w:tc>
      </w:tr>
      <w:tr>
        <w:trPr>
          <w:trHeight w:val="125"/>
        </w:trPr>
        <w:tc>
          <w:tcPr>
            <w:tcW w:w="1400" w:type="dxa"/>
            <w:vAlign w:val="bottom"/>
            <w:tcBorders>
              <w:right w:val="single" w:sz="8" w:color="auto"/>
            </w:tcBorders>
          </w:tcPr>
          <w:p>
            <w:pPr>
              <w:spacing w:after="0"/>
              <w:rPr>
                <w:sz w:val="10"/>
                <w:szCs w:val="10"/>
                <w:color w:val="auto"/>
              </w:rPr>
            </w:pPr>
          </w:p>
        </w:tc>
        <w:tc>
          <w:tcPr>
            <w:tcW w:w="3060" w:type="dxa"/>
            <w:vAlign w:val="bottom"/>
            <w:tcBorders>
              <w:bottom w:val="single" w:sz="8" w:color="auto"/>
              <w:right w:val="single" w:sz="8" w:color="auto"/>
            </w:tcBorders>
          </w:tcPr>
          <w:p>
            <w:pPr>
              <w:spacing w:after="0"/>
              <w:rPr>
                <w:sz w:val="10"/>
                <w:szCs w:val="10"/>
                <w:color w:val="auto"/>
              </w:rPr>
            </w:pPr>
          </w:p>
        </w:tc>
        <w:tc>
          <w:tcPr>
            <w:tcW w:w="2740" w:type="dxa"/>
            <w:vAlign w:val="bottom"/>
            <w:tcBorders>
              <w:bottom w:val="single" w:sz="8" w:color="auto"/>
              <w:right w:val="single" w:sz="8" w:color="auto"/>
            </w:tcBorders>
            <w:vMerge w:val="continue"/>
          </w:tcPr>
          <w:p>
            <w:pPr>
              <w:spacing w:after="0"/>
              <w:rPr>
                <w:sz w:val="10"/>
                <w:szCs w:val="10"/>
                <w:color w:val="auto"/>
              </w:rPr>
            </w:pPr>
          </w:p>
        </w:tc>
        <w:tc>
          <w:tcPr>
            <w:tcW w:w="2660" w:type="dxa"/>
            <w:vAlign w:val="bottom"/>
            <w:tcBorders>
              <w:bottom w:val="single" w:sz="8" w:color="auto"/>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93"/>
        </w:trPr>
        <w:tc>
          <w:tcPr>
            <w:tcW w:w="1400" w:type="dxa"/>
            <w:vAlign w:val="bottom"/>
            <w:tcBorders>
              <w:right w:val="single" w:sz="8" w:color="auto"/>
            </w:tcBorders>
          </w:tcPr>
          <w:p>
            <w:pPr>
              <w:spacing w:after="0"/>
              <w:rPr>
                <w:sz w:val="16"/>
                <w:szCs w:val="16"/>
                <w:color w:val="auto"/>
              </w:rPr>
            </w:pPr>
          </w:p>
        </w:tc>
        <w:tc>
          <w:tcPr>
            <w:tcW w:w="3060" w:type="dxa"/>
            <w:vAlign w:val="bottom"/>
            <w:tcBorders>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8"/>
                <w:szCs w:val="18"/>
                <w:color w:val="auto"/>
                <w:w w:val="99"/>
              </w:rPr>
              <w:t>Common Stock</w:t>
            </w:r>
          </w:p>
        </w:tc>
        <w:tc>
          <w:tcPr>
            <w:tcW w:w="2740" w:type="dxa"/>
            <w:vAlign w:val="bottom"/>
            <w:tcBorders>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8"/>
                <w:szCs w:val="18"/>
                <w:color w:val="auto"/>
                <w:w w:val="97"/>
              </w:rPr>
              <w:t>USCB</w:t>
            </w:r>
          </w:p>
        </w:tc>
        <w:tc>
          <w:tcPr>
            <w:tcW w:w="2660" w:type="dxa"/>
            <w:vAlign w:val="bottom"/>
            <w:tcBorders>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8"/>
                <w:szCs w:val="18"/>
                <w:color w:val="auto"/>
              </w:rPr>
              <w:t>The Nasdaq Stock Market LLC</w:t>
            </w:r>
          </w:p>
        </w:tc>
        <w:tc>
          <w:tcPr>
            <w:tcW w:w="0" w:type="dxa"/>
            <w:vAlign w:val="bottom"/>
          </w:tcPr>
          <w:p>
            <w:pPr>
              <w:spacing w:after="0"/>
              <w:rPr>
                <w:sz w:val="1"/>
                <w:szCs w:val="1"/>
                <w:color w:val="auto"/>
              </w:rPr>
            </w:pPr>
          </w:p>
        </w:tc>
      </w:tr>
    </w:tbl>
    <w:p>
      <w:pPr>
        <w:spacing w:after="0" w:line="198" w:lineRule="exact"/>
        <w:rPr>
          <w:sz w:val="24"/>
          <w:szCs w:val="24"/>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2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w:t>
      </w:r>
    </w:p>
    <w:p>
      <w:pPr>
        <w:spacing w:after="0" w:line="22" w:lineRule="exact"/>
        <w:rPr>
          <w:sz w:val="24"/>
          <w:szCs w:val="24"/>
          <w:color w:val="auto"/>
        </w:rPr>
      </w:pPr>
    </w:p>
    <w:p>
      <w:pPr>
        <w:spacing w:after="0" w:line="207" w:lineRule="exact"/>
        <w:tabs>
          <w:tab w:leader="none" w:pos="7800" w:val="left"/>
        </w:tabs>
        <w:rPr>
          <w:sz w:val="20"/>
          <w:szCs w:val="20"/>
          <w:color w:val="auto"/>
        </w:rPr>
      </w:pPr>
      <w:r>
        <w:rPr>
          <w:rFonts w:ascii="Times New Roman" w:cs="Times New Roman" w:eastAsia="Times New Roman" w:hAnsi="Times New Roman"/>
          <w:sz w:val="18"/>
          <w:szCs w:val="18"/>
          <w:color w:val="auto"/>
        </w:rPr>
        <w:t>or revised financial accounting standards provided pursuant to Section 13(a) of the Exchange Act.</w:t>
      </w:r>
      <w:r>
        <w:rPr>
          <w:sz w:val="20"/>
          <w:szCs w:val="20"/>
          <w:color w:val="auto"/>
        </w:rPr>
        <w:tab/>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368935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1" w:name="page2"/>
    <w:bookmarkEnd w:id="1"/>
    <w:p>
      <w:pPr>
        <w:spacing w:after="0"/>
        <w:tabs>
          <w:tab w:leader="none" w:pos="680" w:val="left"/>
        </w:tabs>
        <w:rPr>
          <w:sz w:val="20"/>
          <w:szCs w:val="20"/>
          <w:color w:val="auto"/>
        </w:rPr>
      </w:pPr>
      <w:r>
        <w:rPr>
          <w:rFonts w:ascii="Times New Roman" w:cs="Times New Roman" w:eastAsia="Times New Roman" w:hAnsi="Times New Roman"/>
          <w:sz w:val="18"/>
          <w:szCs w:val="18"/>
          <w:b w:val="1"/>
          <w:bCs w:val="1"/>
          <w:color w:val="auto"/>
        </w:rPr>
        <w:t>Item</w:t>
      </w:r>
      <w:r>
        <w:rPr>
          <w:sz w:val="20"/>
          <w:szCs w:val="20"/>
          <w:color w:val="auto"/>
        </w:rPr>
        <w:tab/>
      </w:r>
      <w:r>
        <w:rPr>
          <w:rFonts w:ascii="Times New Roman" w:cs="Times New Roman" w:eastAsia="Times New Roman" w:hAnsi="Times New Roman"/>
          <w:sz w:val="18"/>
          <w:szCs w:val="18"/>
          <w:b w:val="1"/>
          <w:bCs w:val="1"/>
          <w:color w:val="auto"/>
        </w:rPr>
        <w:t xml:space="preserve">2.02  </w:t>
      </w:r>
      <w:r>
        <w:rPr>
          <w:rFonts w:ascii="Times New Roman" w:cs="Times New Roman" w:eastAsia="Times New Roman" w:hAnsi="Times New Roman"/>
          <w:sz w:val="18"/>
          <w:szCs w:val="18"/>
          <w:b w:val="1"/>
          <w:bCs w:val="1"/>
          <w:u w:val="single" w:color="auto"/>
          <w:color w:val="auto"/>
        </w:rPr>
        <w:t>Results of Operations and Financial Condition</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ind w:right="440" w:firstLine="648"/>
        <w:spacing w:after="0" w:line="266" w:lineRule="auto"/>
        <w:rPr>
          <w:sz w:val="20"/>
          <w:szCs w:val="20"/>
          <w:color w:val="auto"/>
        </w:rPr>
      </w:pPr>
      <w:r>
        <w:rPr>
          <w:rFonts w:ascii="Times New Roman" w:cs="Times New Roman" w:eastAsia="Times New Roman" w:hAnsi="Times New Roman"/>
          <w:sz w:val="18"/>
          <w:szCs w:val="18"/>
          <w:color w:val="auto"/>
        </w:rPr>
        <w:t>On December 5, 2025, USCB Financial Holdings, Inc. (the “Company”) issued a press release regarding a recently undertaken balance sheet restructuring related to its investment securities portfolio. A copy of the press release is furnished as Exhibit 99.1 to this Current Report on Form 8-K (“Form 8-K”) and is incorporated herein by reference.</w:t>
      </w:r>
    </w:p>
    <w:p>
      <w:pPr>
        <w:spacing w:after="0" w:line="176"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The information in this Item 2.02, including Exhibit 99.1 hereto, is being furnished and shall not be deemed “filed” for purposes of Section 18 of the Securities Exchange Act of 1934, or otherwise be subject to the liability of that section, and shall not be deemed to be incorporated by reference into any filing under the Securities Act of 1933 or the Exchange Act except as expressly set forth by specific reference in such filing to this Form 8-K.</w:t>
      </w:r>
    </w:p>
    <w:p>
      <w:pPr>
        <w:spacing w:after="0" w:line="17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Item</w:t>
      </w:r>
      <w:r>
        <w:rPr>
          <w:sz w:val="20"/>
          <w:szCs w:val="20"/>
          <w:color w:val="auto"/>
        </w:rPr>
        <w:tab/>
      </w:r>
      <w:r>
        <w:rPr>
          <w:rFonts w:ascii="Times New Roman" w:cs="Times New Roman" w:eastAsia="Times New Roman" w:hAnsi="Times New Roman"/>
          <w:sz w:val="18"/>
          <w:szCs w:val="18"/>
          <w:b w:val="1"/>
          <w:bCs w:val="1"/>
          <w:color w:val="auto"/>
        </w:rPr>
        <w:t xml:space="preserve">9.01 </w:t>
      </w:r>
      <w:r>
        <w:rPr>
          <w:rFonts w:ascii="Times New Roman" w:cs="Times New Roman" w:eastAsia="Times New Roman" w:hAnsi="Times New Roman"/>
          <w:sz w:val="18"/>
          <w:szCs w:val="18"/>
          <w:b w:val="1"/>
          <w:bCs w:val="1"/>
          <w:u w:val="single" w:color="auto"/>
          <w:color w:val="auto"/>
        </w:rPr>
        <w:t>Financial Statements and Exhibits</w:t>
      </w:r>
    </w:p>
    <w:p>
      <w:pPr>
        <w:spacing w:after="0" w:line="229" w:lineRule="exact"/>
        <w:rPr>
          <w:sz w:val="20"/>
          <w:szCs w:val="20"/>
          <w:color w:val="auto"/>
        </w:rPr>
      </w:pPr>
    </w:p>
    <w:p>
      <w:pPr>
        <w:ind w:left="1100" w:hanging="431"/>
        <w:spacing w:after="0"/>
        <w:tabs>
          <w:tab w:leader="none" w:pos="11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225" w:lineRule="exact"/>
        <w:rPr>
          <w:rFonts w:ascii="Times New Roman" w:cs="Times New Roman" w:eastAsia="Times New Roman" w:hAnsi="Times New Roman"/>
          <w:sz w:val="18"/>
          <w:szCs w:val="18"/>
          <w:color w:val="auto"/>
        </w:rPr>
      </w:pPr>
    </w:p>
    <w:p>
      <w:pPr>
        <w:ind w:left="1100" w:hanging="431"/>
        <w:spacing w:after="0"/>
        <w:tabs>
          <w:tab w:leader="none" w:pos="11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225" w:lineRule="exact"/>
        <w:rPr>
          <w:rFonts w:ascii="Times New Roman" w:cs="Times New Roman" w:eastAsia="Times New Roman" w:hAnsi="Times New Roman"/>
          <w:sz w:val="18"/>
          <w:szCs w:val="18"/>
          <w:color w:val="auto"/>
        </w:rPr>
      </w:pPr>
    </w:p>
    <w:p>
      <w:pPr>
        <w:ind w:left="1100" w:hanging="431"/>
        <w:spacing w:after="0"/>
        <w:tabs>
          <w:tab w:leader="none" w:pos="11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225" w:lineRule="exact"/>
        <w:rPr>
          <w:rFonts w:ascii="Times New Roman" w:cs="Times New Roman" w:eastAsia="Times New Roman" w:hAnsi="Times New Roman"/>
          <w:sz w:val="18"/>
          <w:szCs w:val="18"/>
          <w:color w:val="auto"/>
        </w:rPr>
      </w:pPr>
    </w:p>
    <w:p>
      <w:pPr>
        <w:ind w:left="1100" w:hanging="431"/>
        <w:spacing w:after="0"/>
        <w:tabs>
          <w:tab w:leader="none" w:pos="11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40" w:type="dxa"/>
            <w:vAlign w:val="bottom"/>
          </w:tcPr>
          <w:p>
            <w:pPr>
              <w:spacing w:after="0"/>
              <w:rPr>
                <w:sz w:val="20"/>
                <w:szCs w:val="20"/>
                <w:color w:val="auto"/>
              </w:rPr>
            </w:pPr>
          </w:p>
        </w:tc>
        <w:tc>
          <w:tcPr>
            <w:tcW w:w="1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220" w:type="dxa"/>
            <w:vAlign w:val="bottom"/>
          </w:tcPr>
          <w:p>
            <w:pPr>
              <w:spacing w:after="0"/>
              <w:rPr>
                <w:sz w:val="20"/>
                <w:szCs w:val="20"/>
                <w:color w:val="auto"/>
              </w:rPr>
            </w:pPr>
          </w:p>
        </w:tc>
        <w:tc>
          <w:tcPr>
            <w:tcW w:w="78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720" w:type="dxa"/>
            <w:vAlign w:val="bottom"/>
          </w:tcPr>
          <w:p>
            <w:pPr>
              <w:spacing w:after="0"/>
              <w:rPr>
                <w:sz w:val="20"/>
                <w:szCs w:val="20"/>
                <w:color w:val="auto"/>
              </w:rPr>
            </w:pPr>
          </w:p>
        </w:tc>
      </w:tr>
      <w:tr>
        <w:trPr>
          <w:trHeight w:val="169"/>
        </w:trPr>
        <w:tc>
          <w:tcPr>
            <w:tcW w:w="740" w:type="dxa"/>
            <w:vAlign w:val="bottom"/>
          </w:tcPr>
          <w:p>
            <w:pPr>
              <w:spacing w:after="0"/>
              <w:rPr>
                <w:sz w:val="14"/>
                <w:szCs w:val="14"/>
                <w:color w:val="auto"/>
              </w:rPr>
            </w:pPr>
          </w:p>
        </w:tc>
        <w:tc>
          <w:tcPr>
            <w:tcW w:w="1760" w:type="dxa"/>
            <w:vAlign w:val="bottom"/>
            <w:tcBorders>
              <w:top w:val="single" w:sz="8" w:color="auto"/>
            </w:tcBorders>
          </w:tcPr>
          <w:p>
            <w:pPr>
              <w:spacing w:after="0" w:line="169" w:lineRule="exact"/>
              <w:rPr>
                <w:sz w:val="20"/>
                <w:szCs w:val="20"/>
                <w:color w:val="auto"/>
              </w:rPr>
            </w:pPr>
            <w:r>
              <w:rPr>
                <w:rFonts w:ascii="Times New Roman" w:cs="Times New Roman" w:eastAsia="Times New Roman" w:hAnsi="Times New Roman"/>
                <w:sz w:val="18"/>
                <w:szCs w:val="18"/>
                <w:color w:val="auto"/>
              </w:rPr>
              <w:t>99.1</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780" w:type="dxa"/>
            <w:vAlign w:val="bottom"/>
            <w:tcBorders>
              <w:top w:val="single" w:sz="8" w:color="auto"/>
            </w:tcBorders>
            <w:gridSpan w:val="2"/>
          </w:tcPr>
          <w:p>
            <w:pPr>
              <w:spacing w:after="0" w:line="169" w:lineRule="exact"/>
              <w:rPr>
                <w:sz w:val="20"/>
                <w:szCs w:val="20"/>
                <w:color w:val="auto"/>
              </w:rPr>
            </w:pPr>
            <w:r>
              <w:rPr>
                <w:rFonts w:ascii="Times New Roman" w:cs="Times New Roman" w:eastAsia="Times New Roman" w:hAnsi="Times New Roman"/>
                <w:sz w:val="18"/>
                <w:szCs w:val="18"/>
                <w:color w:val="0000EE"/>
              </w:rPr>
              <w:t>Press release dated December 5, 2025.</w:t>
            </w:r>
          </w:p>
        </w:tc>
        <w:tc>
          <w:tcPr>
            <w:tcW w:w="720" w:type="dxa"/>
            <w:vAlign w:val="bottom"/>
          </w:tcPr>
          <w:p>
            <w:pPr>
              <w:spacing w:after="0"/>
              <w:rPr>
                <w:sz w:val="14"/>
                <w:szCs w:val="14"/>
                <w:color w:val="auto"/>
              </w:rPr>
            </w:pPr>
          </w:p>
        </w:tc>
      </w:tr>
      <w:tr>
        <w:trPr>
          <w:trHeight w:val="20"/>
        </w:trPr>
        <w:tc>
          <w:tcPr>
            <w:tcW w:w="7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760" w:type="dxa"/>
            <w:vAlign w:val="bottom"/>
            <w:gridSpan w:val="2"/>
            <w:shd w:val="clear" w:color="auto" w:fill="0000EE"/>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237"/>
        </w:trPr>
        <w:tc>
          <w:tcPr>
            <w:tcW w:w="740" w:type="dxa"/>
            <w:vAlign w:val="bottom"/>
          </w:tcPr>
          <w:p>
            <w:pPr>
              <w:spacing w:after="0"/>
              <w:rPr>
                <w:sz w:val="20"/>
                <w:szCs w:val="20"/>
                <w:color w:val="auto"/>
              </w:rPr>
            </w:pPr>
          </w:p>
        </w:tc>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220" w:type="dxa"/>
            <w:vAlign w:val="bottom"/>
          </w:tcPr>
          <w:p>
            <w:pPr>
              <w:spacing w:after="0"/>
              <w:rPr>
                <w:sz w:val="20"/>
                <w:szCs w:val="20"/>
                <w:color w:val="auto"/>
              </w:rPr>
            </w:pPr>
          </w:p>
        </w:tc>
        <w:tc>
          <w:tcPr>
            <w:tcW w:w="78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(embedded within the Inline XBRL document)</w:t>
            </w:r>
          </w:p>
        </w:tc>
        <w:tc>
          <w:tcPr>
            <w:tcW w:w="720" w:type="dxa"/>
            <w:vAlign w:val="bottom"/>
          </w:tcPr>
          <w:p>
            <w:pPr>
              <w:spacing w:after="0"/>
              <w:rPr>
                <w:sz w:val="20"/>
                <w:szCs w:val="20"/>
                <w:color w:val="auto"/>
              </w:rPr>
            </w:pPr>
          </w:p>
        </w:tc>
      </w:tr>
      <w:tr>
        <w:trPr>
          <w:trHeight w:val="471"/>
        </w:trPr>
        <w:tc>
          <w:tcPr>
            <w:tcW w:w="7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8020" w:type="dxa"/>
            <w:vAlign w:val="bottom"/>
            <w:gridSpan w:val="4"/>
          </w:tcPr>
          <w:p>
            <w:pPr>
              <w:jc w:val="right"/>
              <w:ind w:right="4840"/>
              <w:spacing w:after="0"/>
              <w:rPr>
                <w:sz w:val="20"/>
                <w:szCs w:val="20"/>
                <w:color w:val="auto"/>
              </w:rPr>
            </w:pPr>
            <w:r>
              <w:rPr>
                <w:rFonts w:ascii="Times New Roman" w:cs="Times New Roman" w:eastAsia="Times New Roman" w:hAnsi="Times New Roman"/>
                <w:sz w:val="22"/>
                <w:szCs w:val="22"/>
                <w:color w:val="auto"/>
              </w:rPr>
              <w:t>2</w:t>
            </w:r>
          </w:p>
        </w:tc>
        <w:tc>
          <w:tcPr>
            <w:tcW w:w="720" w:type="dxa"/>
            <w:vAlign w:val="bottom"/>
          </w:tcPr>
          <w:p>
            <w:pPr>
              <w:spacing w:after="0"/>
              <w:rPr>
                <w:sz w:val="24"/>
                <w:szCs w:val="24"/>
                <w:color w:val="auto"/>
              </w:rPr>
            </w:pPr>
          </w:p>
        </w:tc>
      </w:tr>
      <w:tr>
        <w:trPr>
          <w:trHeight w:val="103"/>
        </w:trPr>
        <w:tc>
          <w:tcPr>
            <w:tcW w:w="740" w:type="dxa"/>
            <w:vAlign w:val="bottom"/>
            <w:tcBorders>
              <w:bottom w:val="single" w:sz="8" w:color="auto"/>
            </w:tcBorders>
          </w:tcPr>
          <w:p>
            <w:pPr>
              <w:spacing w:after="0"/>
              <w:rPr>
                <w:sz w:val="8"/>
                <w:szCs w:val="8"/>
                <w:color w:val="auto"/>
              </w:rPr>
            </w:pPr>
          </w:p>
        </w:tc>
        <w:tc>
          <w:tcPr>
            <w:tcW w:w="176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740" w:type="dxa"/>
            <w:vAlign w:val="bottom"/>
            <w:tcBorders>
              <w:bottom w:val="single" w:sz="8" w:color="auto"/>
            </w:tcBorders>
          </w:tcPr>
          <w:p>
            <w:pPr>
              <w:spacing w:after="0"/>
              <w:rPr>
                <w:sz w:val="8"/>
                <w:szCs w:val="8"/>
                <w:color w:val="auto"/>
              </w:rPr>
            </w:pPr>
          </w:p>
        </w:tc>
        <w:tc>
          <w:tcPr>
            <w:tcW w:w="504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r>
    </w:tbl>
    <w:p>
      <w:pPr>
        <w:sectPr>
          <w:pgSz w:w="11900" w:h="16838" w:orient="portrait"/>
          <w:cols w:equalWidth="0" w:num="1">
            <w:col w:w="11240"/>
          </w:cols>
          <w:pgMar w:left="320" w:top="576" w:right="339" w:bottom="1440" w:gutter="0" w:footer="0" w:header="0"/>
        </w:sectPr>
      </w:pPr>
    </w:p>
    <w:bookmarkStart w:id="2" w:name="page3"/>
    <w:bookmarkEnd w:id="2"/>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00" w:lineRule="exact"/>
        <w:rPr>
          <w:sz w:val="20"/>
          <w:szCs w:val="20"/>
          <w:color w:val="auto"/>
        </w:rPr>
      </w:pPr>
    </w:p>
    <w:p>
      <w:pPr>
        <w:spacing w:after="0" w:line="24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8"/>
          <w:szCs w:val="18"/>
          <w:color w:val="auto"/>
        </w:rPr>
        <w:t>USCB FINANCIAL HOLDINGS, INC.</w:t>
      </w:r>
    </w:p>
    <w:p>
      <w:pPr>
        <w:spacing w:after="0" w:line="200" w:lineRule="exact"/>
        <w:rPr>
          <w:sz w:val="20"/>
          <w:szCs w:val="20"/>
          <w:color w:val="auto"/>
        </w:rPr>
      </w:pPr>
    </w:p>
    <w:p>
      <w:pPr>
        <w:spacing w:after="0" w:line="241" w:lineRule="exact"/>
        <w:rPr>
          <w:sz w:val="20"/>
          <w:szCs w:val="20"/>
          <w:color w:val="auto"/>
        </w:rPr>
      </w:pPr>
    </w:p>
    <w:tbl>
      <w:tblPr>
        <w:tblLayout w:type="fixed"/>
        <w:tblInd w:w="4100" w:type="dxa"/>
        <w:tblCellMar>
          <w:top w:w="0" w:type="dxa"/>
          <w:left w:w="0" w:type="dxa"/>
          <w:bottom w:w="0" w:type="dxa"/>
          <w:right w:w="0" w:type="dxa"/>
        </w:tblCellMar>
      </w:tblPr>
      <w:tr>
        <w:trPr>
          <w:trHeight w:val="234"/>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6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Robert Anderson</w:t>
            </w:r>
          </w:p>
        </w:tc>
      </w:tr>
      <w:tr>
        <w:trPr>
          <w:trHeight w:val="191"/>
        </w:trPr>
        <w:tc>
          <w:tcPr>
            <w:tcW w:w="1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61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Robert Anderson</w:t>
            </w:r>
          </w:p>
        </w:tc>
      </w:tr>
      <w:tr>
        <w:trPr>
          <w:trHeight w:val="234"/>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December 5, 2025</w:t>
      </w:r>
    </w:p>
    <w:p>
      <w:pPr>
        <w:sectPr>
          <w:pgSz w:w="11900" w:h="16838" w:orient="portrait"/>
          <w:cols w:equalWidth="0" w:num="1">
            <w:col w:w="11240"/>
          </w:cols>
          <w:pgMar w:left="320" w:top="576"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1582420</wp:posOffset>
            </wp:positionH>
            <wp:positionV relativeFrom="paragraph">
              <wp:posOffset>156845</wp:posOffset>
            </wp:positionV>
            <wp:extent cx="3985895" cy="4972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985895" cy="497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USCB FINANCIAL HOLDINGS, INC. Portfolio Loss Restructuring</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Press Release</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MIAMI, FL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December 05, 2025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USCB Financial Holdings, Inc. (the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(NASDAQ: USCB)</w:t>
      </w:r>
      <w:r>
        <w:rPr>
          <w:rFonts w:ascii="Times New Roman" w:cs="Times New Roman" w:eastAsia="Times New Roman" w:hAnsi="Times New Roman"/>
          <w:sz w:val="18"/>
          <w:szCs w:val="18"/>
          <w:color w:val="auto"/>
        </w:rPr>
        <w:t>, the holding company for U.S. Century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Bank (the “Bank”), announced today that it sold $44.6 million in available-for-sale securities (AFS) as part of a strategy designed to improve future earnings, drive earnings per share (EPS) growth, and increase profitability.</w:t>
      </w:r>
    </w:p>
    <w:p>
      <w:pPr>
        <w:spacing w:after="0" w:line="17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“Our strong capital position gives us the flexibility to proactively reshape the balance sheet, which we believe will provide us with significant opportunities to deliver greater value for the Company and our shareholders through stronger earnings and an improved net interest margin</w:t>
      </w:r>
      <w:r>
        <w:rPr>
          <w:rFonts w:ascii="Times New Roman" w:cs="Times New Roman" w:eastAsia="Times New Roman" w:hAnsi="Times New Roman"/>
          <w:sz w:val="18"/>
          <w:szCs w:val="18"/>
          <w:color w:val="auto"/>
        </w:rPr>
        <w:t>,” said Luis de la Aguilera,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Chairman, President and CEO of the Company. “</w:t>
      </w:r>
      <w:r>
        <w:rPr>
          <w:rFonts w:ascii="Times New Roman" w:cs="Times New Roman" w:eastAsia="Times New Roman" w:hAnsi="Times New Roman"/>
          <w:sz w:val="18"/>
          <w:szCs w:val="18"/>
          <w:i w:val="1"/>
          <w:iCs w:val="1"/>
          <w:color w:val="auto"/>
        </w:rPr>
        <w:t>As part of this strategy, we have executed a targeted restructuring of our securities portfolio, selling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lower-yielding assets and will be redeploying the proceeds into higher-yielding loans, primarily commercial real estate. While the sales transactions will result in a material decrease in net income for the fourth quarter as compared to prior quarters this year, it positions us for meaningful profitability growth, with expected net interest margin expansion beginning in the first quarter of 2026 and estimated EPS accretion over the next four quarters.</w:t>
      </w:r>
      <w:r>
        <w:rPr>
          <w:rFonts w:ascii="Times New Roman" w:cs="Times New Roman" w:eastAsia="Times New Roman" w:hAnsi="Times New Roman"/>
          <w:sz w:val="18"/>
          <w:szCs w:val="18"/>
          <w:color w:val="auto"/>
        </w:rPr>
        <w:t>”</w:t>
      </w:r>
    </w:p>
    <w:p>
      <w:pPr>
        <w:spacing w:after="0" w:line="1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AFS securities sold represented approximately 12.6% of the AFS portfolio as of November 30, 2025, and had a weighted average yield of 1.70%. The sales will result in an estimated one-time after-tax loss of approximately $5.6 million that will be recorded in the fourth quarter of 2025. Assuming a 6.15% average yield on reinvestment, the securities repositioning is expected to have an approximately 3.5 year capital earn back and contribute approximately 7 basis points to annualized net interest margin beginning with the first quarter of 2026, resulting in $0.08 estimated earnings per share accretion over the next four quarters.</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Management believes that the execution of this strategy will position the Company well for future profitable growth and will further enhance the value of the enterprise. The Bank’s regulatory capital levels remain well in excess of those required to be categorized as “well-capitalized”.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USCB Financial Holdings, Inc.</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USCB Financial Holdings, Inc. is the bank holding company for U.S. Century Bank. Established in 2002, U.S. Century Bank is one of the largest community banks headquartered in Miami, and one of the largest community banks in the State of Florida. U.S. Century Bank is rated 5-Stars by BauerFinancial, the nation’s leading independent bank rating firm. U.S. Century Bank offers customers a wide range of financial products and services and supports numerous community organizations, including the Greater Miami Chamber of Commerce, the South Florida Hispanic Chamber of Commerce, and ChamberSouth. For more information or to find a U.S. Century Bank banking center near you, please call (305) 715-5200 or visit www.uscentury.com.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353060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This earnings release may contain statements that are not historical in nature and are intended to be, and are hereby identified as, forward-looking statements for purposes of the safe harbor provided by Section 21E of the Securities Exchange Act of 1934, as amended. Forward-looking statements are those that are not historical facts. The words “may,” “will,” “anticipate,” “could,” “should,” “would,” “believe,” “contemplate,” “expect,” “aim,” “plan,” “estimate,” “seek,” “continue,” and “intend,”, the negative of these terms, as well as other similar words and expressions of the future, are intended to identify forward-looking statements. These forward-looking statements include, but are not limited to, statements related to our projected growth, anticipated future financial performance, and management’s long-term performance goals, as well as statements relating to the anticipated effects on our results of operations and financial condition from expected or potential developments or events, or business and growth strategies, including anticipated internal growth and potential balance sheet restructuring.</w:t>
      </w:r>
    </w:p>
    <w:p>
      <w:pPr>
        <w:spacing w:after="0" w:line="19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These forward-looking statements involve significant risks and uncertainties that could cause our actual results to differ materially from those anticipated in such statements. Potential risks and uncertainties include, but are not limited to:</w:t>
      </w:r>
    </w:p>
    <w:p>
      <w:pPr>
        <w:spacing w:after="0" w:line="162"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strength of the United States economy in general and the strength of the local economies in which we conduct operations;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manage interest rate risk, credit risk, liquidity risk, and other risks inherent to our industry;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promptly redeploy the proceeds of balance sheet restructuring at yields consistent with our estimates;</w:t>
      </w:r>
    </w:p>
    <w:p>
      <w:pPr>
        <w:spacing w:after="0" w:line="9" w:lineRule="exact"/>
        <w:rPr>
          <w:rFonts w:ascii="Times New Roman" w:cs="Times New Roman" w:eastAsia="Times New Roman" w:hAnsi="Times New Roman"/>
          <w:sz w:val="18"/>
          <w:szCs w:val="18"/>
          <w:color w:val="auto"/>
        </w:rPr>
      </w:pPr>
    </w:p>
    <w:p>
      <w:pPr>
        <w:ind w:left="660" w:right="220" w:hanging="328"/>
        <w:spacing w:after="0" w:line="250"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of our financial statement estimates and assumptions, including the estimates used for our credit loss reserve and deferred tax asset valuation allowance;</w:t>
      </w: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efficiency and effectiveness of our internal control procedures and processes;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the extensive laws and regulations to which we are subject, including the laws for each jurisdiction where we operate.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changes or conditions in capital and financial markets, including actual or potential stresses in the banking industry;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deposit attrition and the level of our uninsured deposits;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legislative or regulatory changes, including the enactment of the One Big Beautiful Bill and changes in accounting principles, policies, practices or guidelines, including the on-going effects of the Current Expected Credit Losses (“CECL”) standard;</w:t>
      </w:r>
    </w:p>
    <w:p>
      <w:pPr>
        <w:ind w:left="660" w:right="20" w:hanging="328"/>
        <w:spacing w:after="0" w:line="250"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lack of a significantly diversified loan portfolio and our concentration in the South Florida market, including the risks of geographic, depositor, and industry concentrations, including our concentration in loans secured by real estate, in particular, commercial real estate;</w:t>
      </w: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climate change;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concentration of ownership of our common stock;</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price of our common stock;</w:t>
      </w:r>
    </w:p>
    <w:p>
      <w:pPr>
        <w:spacing w:after="0" w:line="9" w:lineRule="exact"/>
        <w:rPr>
          <w:rFonts w:ascii="Times New Roman" w:cs="Times New Roman" w:eastAsia="Times New Roman" w:hAnsi="Times New Roman"/>
          <w:sz w:val="18"/>
          <w:szCs w:val="18"/>
          <w:color w:val="auto"/>
        </w:rPr>
      </w:pPr>
    </w:p>
    <w:p>
      <w:pPr>
        <w:ind w:left="660" w:right="560" w:hanging="328"/>
        <w:spacing w:after="0" w:line="250"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fund or access the capital markets at attractive rates and terms and manage our growth, both organic growth as well as growth through other means, such as future acquisitions;</w:t>
      </w: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inflation, interest rate, unemployment rate, and market and monetary fluctuations;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potential new or increased tariffs, retaliatory tariffs and trade restrictions;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international hostilities and geopolitical events;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competition and its effect on the pricing of our products and services as well as our interest rate spread and net interest margin;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of key employees;</w:t>
      </w:r>
    </w:p>
    <w:p>
      <w:pPr>
        <w:spacing w:after="0" w:line="9"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our risk management strategies, including operational risks, including, but not limited to, client, employee, or third-party fraud and security breaches; and</w:t>
      </w: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described in this earnings release and other filings we make with the Securities and Exchange Commission (“SEC”).</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All forward-looking statements are necessarily only estimates of future results, and there can be no assurance that actual results will not differ materially from expectations. Therefore, you are cautioned not to place undue reliance on any forward-looking statements. Further, forward-looking statements included in this earnings release are made only as of the date hereof, and we undertake no obligation to update or revise any forward-looking statement to reflect events or circumstances after the date on which the statements are made or to reflect the occurrence of unanticipated events, unless required to do so under the federal securities laws. You should also review the risk factors described in the reports the Company has filed or will file with the SEC.</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InvestorRelations@uscentury.com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Relations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Martha Guerra-Kattou</w:t>
      </w:r>
    </w:p>
    <w:p>
      <w:pPr>
        <w:spacing w:after="0" w:line="9" w:lineRule="exact"/>
        <w:rPr>
          <w:sz w:val="20"/>
          <w:szCs w:val="20"/>
          <w:color w:val="auto"/>
        </w:rPr>
      </w:pPr>
    </w:p>
    <w:p>
      <w:pPr>
        <w:ind w:right="9360" w:firstLine="8"/>
        <w:spacing w:after="0" w:line="290" w:lineRule="auto"/>
        <w:tabs>
          <w:tab w:leader="none" w:pos="435"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715-5141 MGuerra@uscentury.com</w:t>
      </w:r>
    </w:p>
    <w:sectPr>
      <w:pgSz w:w="11900" w:h="16838" w:orient="portrait"/>
      <w:cols w:equalWidth="0" w:num="1">
        <w:col w:w="11240"/>
      </w:cols>
      <w:pgMar w:left="320" w:top="57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lowerLetter"/>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305"/>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2025-12-05T15:44:54Z</dcterms:created>
  <dcterms:modified xsi:type="dcterms:W3CDTF">2025-12-05T15:44:54Z</dcterms:modified>
</cp:coreProperties>
</file>