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255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5589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 LA AGUILERA LUIS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USCB FINANCIAL HOLDINGS,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2301 N.W. 87TH AVENUE</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DORAL</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49"/>
        </w:trPr>
        <w:tc>
          <w:tcPr>
            <w:tcW w:w="20" w:type="dxa"/>
            <w:vAlign w:val="bottom"/>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3"/>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USCB FINANCIAL HOLDINGS, INC. </w:t>
              </w:r>
            </w:hyperlink>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3320" w:type="dxa"/>
            <w:vAlign w:val="bottom"/>
            <w:tcBorders>
              <w:bottom w:val="single" w:sz="8" w:color="0000EE"/>
            </w:tcBorders>
          </w:tcPr>
          <w:p>
            <w:pPr>
              <w:spacing w:after="0"/>
              <w:rPr>
                <w:sz w:val="3"/>
                <w:szCs w:val="3"/>
                <w:color w:val="auto"/>
              </w:rPr>
            </w:pPr>
          </w:p>
        </w:tc>
        <w:tc>
          <w:tcPr>
            <w:tcW w:w="44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3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820" w:type="dxa"/>
            <w:vAlign w:val="bottom"/>
            <w:gridSpan w:val="3"/>
            <w:vMerge w:val="continue"/>
          </w:tcPr>
          <w:p>
            <w:pPr>
              <w:spacing w:after="0"/>
              <w:rPr>
                <w:sz w:val="9"/>
                <w:szCs w:val="9"/>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3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60" w:type="dxa"/>
            <w:vAlign w:val="bottom"/>
            <w:tcBorders>
              <w:bottom w:val="single" w:sz="8" w:color="2C2C2C"/>
            </w:tcBorders>
          </w:tcPr>
          <w:p>
            <w:pPr>
              <w:spacing w:after="0"/>
              <w:rPr>
                <w:sz w:val="12"/>
                <w:szCs w:val="12"/>
                <w:color w:val="auto"/>
              </w:rPr>
            </w:pPr>
          </w:p>
        </w:tc>
        <w:tc>
          <w:tcPr>
            <w:tcW w:w="3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40" w:type="dxa"/>
            <w:vAlign w:val="bottom"/>
          </w:tcPr>
          <w:p>
            <w:pPr>
              <w:ind w:left="600"/>
              <w:spacing w:after="0" w:line="142"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4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4"/>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1000"/>
              <w:spacing w:after="0" w:line="194" w:lineRule="exact"/>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218"/>
        </w:trPr>
        <w:tc>
          <w:tcPr>
            <w:tcW w:w="33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05/11/2026</w:t>
            </w: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0" w:type="dxa"/>
            <w:vAlign w:val="bottom"/>
            <w:tcBorders>
              <w:bottom w:val="single" w:sz="8" w:color="2C2C2C"/>
            </w:tcBorders>
          </w:tcPr>
          <w:p>
            <w:pPr>
              <w:spacing w:after="0"/>
              <w:rPr>
                <w:sz w:val="14"/>
                <w:szCs w:val="14"/>
                <w:color w:val="auto"/>
              </w:rPr>
            </w:pPr>
          </w:p>
        </w:tc>
        <w:tc>
          <w:tcPr>
            <w:tcW w:w="33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76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05/11/2026</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5,279</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12.05</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248,224</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76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05/11/2026</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rPr>
              <w:t>S</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5,279</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18.27</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242,945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12.05</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05/11/2026</w:t>
            </w:r>
          </w:p>
        </w:tc>
        <w:tc>
          <w:tcPr>
            <w:tcW w:w="114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7"/>
                <w:szCs w:val="17"/>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5,279</w:t>
            </w:r>
          </w:p>
        </w:tc>
        <w:tc>
          <w:tcPr>
            <w:tcW w:w="88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3"/>
                <w:szCs w:val="13"/>
                <w:color w:val="0000FF"/>
              </w:rPr>
              <w:t>09/27/2022</w:t>
            </w:r>
            <w:r>
              <w:rPr>
                <w:rFonts w:ascii="Times New Roman" w:cs="Times New Roman" w:eastAsia="Times New Roman" w:hAnsi="Times New Roman"/>
                <w:sz w:val="21"/>
                <w:szCs w:val="21"/>
                <w:color w:val="008000"/>
                <w:vertAlign w:val="superscript"/>
              </w:rPr>
              <w:t>(3)</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0000FF"/>
                <w:w w:val="97"/>
              </w:rPr>
              <w:t>09/27/2031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5,279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154,721</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ind w:left="18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44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grant of 27,632 shares of restricted stock which vest at a rate of one-third per year commencing on January 27, 2027, 17,102 shares of restricted stock from a grant of 25,653 shares which commenced vesting at a rate of one-third per year on January 21, 2026, 4,045 shares of restricted stock from a grant of 12,136 shares which commenced vesting at a rate of one-third per year on January 22, 2025, and 41,666 shares of restricted stock from a grant of 125,000 shares which commenced vesting at a rate of one-third per year on December 31, 2024.</w:t>
      </w:r>
    </w:p>
    <w:p>
      <w:pPr>
        <w:spacing w:after="0" w:line="25" w:lineRule="exact"/>
        <w:rPr>
          <w:rFonts w:ascii="Times New Roman" w:cs="Times New Roman" w:eastAsia="Times New Roman" w:hAnsi="Times New Roman"/>
          <w:sz w:val="13"/>
          <w:szCs w:val="13"/>
          <w:color w:val="008000"/>
        </w:rPr>
      </w:pPr>
    </w:p>
    <w:p>
      <w:pPr>
        <w:ind w:left="40" w:right="22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price. These shares were sold in multiple transactions at prices ranging from $18.09 to $18.50, inclusive. The reporting person undertakes to provide to USCB, or any security holder of USCB,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vested at the rate of one-third per year commencing on September 27, 2022.</w:t>
      </w:r>
    </w:p>
    <w:p>
      <w:pPr>
        <w:spacing w:after="0" w:line="7"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Robert Anderson by P.O.A.</w:t>
      </w:r>
      <w:r>
        <w:rPr>
          <w:sz w:val="20"/>
          <w:szCs w:val="20"/>
          <w:color w:val="auto"/>
        </w:rPr>
        <w:tab/>
      </w:r>
      <w:r>
        <w:rPr>
          <w:rFonts w:ascii="Times New Roman" w:cs="Times New Roman" w:eastAsia="Times New Roman" w:hAnsi="Times New Roman"/>
          <w:sz w:val="25"/>
          <w:szCs w:val="25"/>
          <w:color w:val="0000FF"/>
          <w:vertAlign w:val="subscript"/>
        </w:rPr>
        <w:t>05/13/2026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299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92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Luis de la Aguilera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970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028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16660" TargetMode="External"/><Relationship Id="rId14"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2026-05-13T11:16:20Z</dcterms:created>
  <dcterms:modified xsi:type="dcterms:W3CDTF">2026-05-13T11:16:20Z</dcterms:modified>
</cp:coreProperties>
</file>