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  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98"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September 30, 2023</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92" w:lineRule="exact"/>
        <w:rPr>
          <w:sz w:val="24"/>
          <w:szCs w:val="24"/>
          <w:color w:val="auto"/>
        </w:rPr>
      </w:pPr>
    </w:p>
    <w:p>
      <w:pPr>
        <w:ind w:left="1600" w:hanging="542"/>
        <w:spacing w:after="0"/>
        <w:tabs>
          <w:tab w:leader="none" w:pos="16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49" w:lineRule="exact"/>
        <w:rPr>
          <w:sz w:val="24"/>
          <w:szCs w:val="24"/>
          <w:color w:val="auto"/>
        </w:rPr>
      </w:pPr>
    </w:p>
    <w:p>
      <w:pPr>
        <w:ind w:left="3180"/>
        <w:spacing w:after="0"/>
        <w:rPr>
          <w:sz w:val="20"/>
          <w:szCs w:val="20"/>
          <w:color w:val="auto"/>
        </w:rPr>
      </w:pPr>
      <w:r>
        <w:rPr>
          <w:rFonts w:ascii="Arial" w:cs="Arial" w:eastAsia="Arial" w:hAnsi="Arial"/>
          <w:sz w:val="13"/>
          <w:szCs w:val="13"/>
          <w:b w:val="1"/>
          <w:bCs w:val="1"/>
          <w:color w:val="auto"/>
        </w:rPr>
        <w:t>For the transition period from _____to_____</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001-41196</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USCB Financial Holdings, Inc.</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9019"/>
          </w:cols>
          <w:pgMar w:left="1440" w:top="793" w:right="1440" w:bottom="1440" w:gutter="0" w:footer="0" w:header="0"/>
        </w:sectPr>
      </w:pPr>
    </w:p>
    <w:p>
      <w:pPr>
        <w:spacing w:after="0" w:line="240" w:lineRule="exact"/>
        <w:rPr>
          <w:sz w:val="24"/>
          <w:szCs w:val="24"/>
          <w:color w:val="auto"/>
        </w:rPr>
      </w:pPr>
    </w:p>
    <w:p>
      <w:pPr>
        <w:ind w:left="1720"/>
        <w:spacing w:after="0"/>
        <w:rPr>
          <w:sz w:val="20"/>
          <w:szCs w:val="20"/>
          <w:color w:val="auto"/>
        </w:rPr>
      </w:pPr>
      <w:r>
        <w:rPr>
          <w:rFonts w:ascii="Arial" w:cs="Arial" w:eastAsia="Arial" w:hAnsi="Arial"/>
          <w:sz w:val="12"/>
          <w:szCs w:val="12"/>
          <w:b w:val="1"/>
          <w:bCs w:val="1"/>
          <w:color w:val="auto"/>
        </w:rPr>
        <w:t>Florida</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87-4070846</w:t>
      </w:r>
    </w:p>
    <w:p>
      <w:pPr>
        <w:spacing w:after="0" w:line="58" w:lineRule="exact"/>
        <w:rPr>
          <w:sz w:val="24"/>
          <w:szCs w:val="24"/>
          <w:color w:val="auto"/>
        </w:rPr>
      </w:pPr>
    </w:p>
    <w:p>
      <w:pPr>
        <w:sectPr>
          <w:pgSz w:w="11900" w:h="16838" w:orient="portrait"/>
          <w:cols w:equalWidth="0" w:num="2">
            <w:col w:w="6020" w:space="720"/>
            <w:col w:w="2279"/>
          </w:cols>
          <w:pgMar w:left="1440" w:top="793" w:right="1440" w:bottom="1440" w:gutter="0" w:footer="0" w:header="0"/>
          <w:type w:val="continuous"/>
        </w:sectPr>
      </w:pPr>
    </w:p>
    <w:p>
      <w:pPr>
        <w:ind w:left="1140"/>
        <w:spacing w:after="0"/>
        <w:rPr>
          <w:sz w:val="20"/>
          <w:szCs w:val="20"/>
          <w:color w:val="auto"/>
        </w:rPr>
      </w:pPr>
      <w:r>
        <w:rPr>
          <w:rFonts w:ascii="Arial" w:cs="Arial" w:eastAsia="Arial" w:hAnsi="Arial"/>
          <w:sz w:val="12"/>
          <w:szCs w:val="12"/>
          <w:i w:val="1"/>
          <w:iCs w:val="1"/>
          <w:color w:val="auto"/>
        </w:rPr>
        <w:t>(State or other jurisdiction of</w:t>
      </w:r>
    </w:p>
    <w:p>
      <w:pPr>
        <w:spacing w:after="0" w:line="23" w:lineRule="exact"/>
        <w:rPr>
          <w:sz w:val="24"/>
          <w:szCs w:val="24"/>
          <w:color w:val="auto"/>
        </w:rPr>
      </w:pPr>
    </w:p>
    <w:p>
      <w:pPr>
        <w:ind w:left="110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i w:val="1"/>
          <w:iCs w:val="1"/>
          <w:color w:val="auto"/>
        </w:rPr>
        <w:t>(I.R.S. Employer</w:t>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Identification No.)</w:t>
      </w:r>
    </w:p>
    <w:p>
      <w:pPr>
        <w:spacing w:after="0" w:line="102" w:lineRule="exact"/>
        <w:rPr>
          <w:sz w:val="24"/>
          <w:szCs w:val="24"/>
          <w:color w:val="auto"/>
        </w:rPr>
      </w:pPr>
    </w:p>
    <w:p>
      <w:pPr>
        <w:sectPr>
          <w:pgSz w:w="11900" w:h="16838" w:orient="portrait"/>
          <w:cols w:equalWidth="0" w:num="2">
            <w:col w:w="5860" w:space="720"/>
            <w:col w:w="2439"/>
          </w:cols>
          <w:pgMar w:left="1440" w:top="793"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2301 N.W. 87th Avenue, Doral, FL 33172</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(zip code)</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( 305) 715-5200</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52" w:lineRule="exact"/>
        <w:rPr>
          <w:sz w:val="24"/>
          <w:szCs w:val="24"/>
          <w:color w:val="auto"/>
        </w:rPr>
      </w:pPr>
    </w:p>
    <w:tbl>
      <w:tblPr>
        <w:tblLayout w:type="fixed"/>
        <w:tblInd w:w="680" w:type="dxa"/>
        <w:tblCellMar>
          <w:top w:w="0" w:type="dxa"/>
          <w:left w:w="0" w:type="dxa"/>
          <w:bottom w:w="0" w:type="dxa"/>
          <w:right w:w="0" w:type="dxa"/>
        </w:tblCellMar>
      </w:tblPr>
      <w:tr>
        <w:trPr>
          <w:trHeight w:val="153"/>
        </w:trPr>
        <w:tc>
          <w:tcPr>
            <w:tcW w:w="8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080" w:type="dxa"/>
            <w:vAlign w:val="bottom"/>
          </w:tcPr>
          <w:p>
            <w:pPr>
              <w:spacing w:after="0"/>
              <w:rPr>
                <w:sz w:val="13"/>
                <w:szCs w:val="13"/>
                <w:color w:val="auto"/>
              </w:rPr>
            </w:pPr>
          </w:p>
        </w:tc>
        <w:tc>
          <w:tcPr>
            <w:tcW w:w="1360" w:type="dxa"/>
            <w:vAlign w:val="bottom"/>
            <w:gridSpan w:val="2"/>
          </w:tcPr>
          <w:p>
            <w:pPr>
              <w:jc w:val="center"/>
              <w:ind w:left="156"/>
              <w:spacing w:after="0"/>
              <w:rPr>
                <w:sz w:val="20"/>
                <w:szCs w:val="20"/>
                <w:color w:val="auto"/>
              </w:rPr>
            </w:pPr>
            <w:r>
              <w:rPr>
                <w:rFonts w:ascii="Arial" w:cs="Arial" w:eastAsia="Arial" w:hAnsi="Arial"/>
                <w:sz w:val="13"/>
                <w:szCs w:val="13"/>
                <w:b w:val="1"/>
                <w:bCs w:val="1"/>
                <w:color w:val="auto"/>
                <w:w w:val="96"/>
              </w:rPr>
              <w:t>Trading Symbol(s)</w:t>
            </w:r>
          </w:p>
        </w:tc>
        <w:tc>
          <w:tcPr>
            <w:tcW w:w="3180" w:type="dxa"/>
            <w:vAlign w:val="bottom"/>
            <w:gridSpan w:val="2"/>
          </w:tcPr>
          <w:p>
            <w:pPr>
              <w:jc w:val="center"/>
              <w:ind w:left="416"/>
              <w:spacing w:after="0"/>
              <w:rPr>
                <w:sz w:val="20"/>
                <w:szCs w:val="20"/>
                <w:color w:val="auto"/>
              </w:rPr>
            </w:pPr>
            <w:r>
              <w:rPr>
                <w:rFonts w:ascii="Arial" w:cs="Arial" w:eastAsia="Arial" w:hAnsi="Arial"/>
                <w:sz w:val="13"/>
                <w:szCs w:val="13"/>
                <w:b w:val="1"/>
                <w:bCs w:val="1"/>
                <w:color w:val="auto"/>
                <w:w w:val="98"/>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189"/>
        </w:trPr>
        <w:tc>
          <w:tcPr>
            <w:tcW w:w="3060" w:type="dxa"/>
            <w:vAlign w:val="bottom"/>
            <w:gridSpan w:val="3"/>
          </w:tcPr>
          <w:p>
            <w:pPr>
              <w:jc w:val="center"/>
              <w:ind w:right="220"/>
              <w:spacing w:after="0"/>
              <w:rPr>
                <w:sz w:val="20"/>
                <w:szCs w:val="20"/>
                <w:color w:val="auto"/>
              </w:rPr>
            </w:pPr>
            <w:r>
              <w:rPr>
                <w:rFonts w:ascii="Arial" w:cs="Arial" w:eastAsia="Arial" w:hAnsi="Arial"/>
                <w:sz w:val="13"/>
                <w:szCs w:val="13"/>
                <w:color w:val="auto"/>
                <w:w w:val="98"/>
              </w:rPr>
              <w:t>Class A common stock, $1.00 par value per share</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9"/>
              </w:rPr>
              <w:t>USCB</w:t>
            </w:r>
          </w:p>
        </w:tc>
        <w:tc>
          <w:tcPr>
            <w:tcW w:w="48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8"/>
              </w:rPr>
              <w:t>The Nasdaq Stock Market LLC</w:t>
            </w:r>
          </w:p>
        </w:tc>
      </w:tr>
    </w:tbl>
    <w:p>
      <w:pPr>
        <w:spacing w:after="0" w:line="265" w:lineRule="exact"/>
        <w:rPr>
          <w:sz w:val="24"/>
          <w:szCs w:val="24"/>
          <w:color w:val="auto"/>
        </w:rPr>
      </w:pPr>
    </w:p>
    <w:p>
      <w:pPr>
        <w:jc w:val="both"/>
        <w:ind w:left="660" w:right="659"/>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reportsrequired to be filed by Section13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8" w:lineRule="exact"/>
        <w:rPr>
          <w:sz w:val="24"/>
          <w:szCs w:val="24"/>
          <w:color w:val="auto"/>
        </w:rPr>
      </w:pPr>
    </w:p>
    <w:p>
      <w:pPr>
        <w:jc w:val="both"/>
        <w:ind w:left="660" w:right="679"/>
        <w:spacing w:after="0" w:line="26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w:t>
      </w:r>
    </w:p>
    <w:p>
      <w:pPr>
        <w:ind w:left="660"/>
        <w:spacing w:after="0" w:line="150" w:lineRule="exact"/>
        <w:rPr>
          <w:sz w:val="20"/>
          <w:szCs w:val="20"/>
          <w:color w:val="auto"/>
        </w:rPr>
      </w:pPr>
      <w:r>
        <w:rPr>
          <w:rFonts w:ascii="Arial" w:cs="Arial" w:eastAsia="Arial" w:hAnsi="Arial"/>
          <w:sz w:val="13"/>
          <w:szCs w:val="13"/>
          <w:color w:val="auto"/>
        </w:rPr>
        <w:t xml:space="preserve">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6" w:lineRule="exact"/>
        <w:rPr>
          <w:sz w:val="24"/>
          <w:szCs w:val="24"/>
          <w:color w:val="auto"/>
        </w:rPr>
      </w:pPr>
    </w:p>
    <w:p>
      <w:pPr>
        <w:jc w:val="both"/>
        <w:ind w:left="660" w:right="659"/>
        <w:spacing w:after="0" w:line="24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14" w:lineRule="exact"/>
        <w:rPr>
          <w:sz w:val="24"/>
          <w:szCs w:val="24"/>
          <w:color w:val="auto"/>
        </w:rPr>
      </w:pPr>
    </w:p>
    <w:p>
      <w:pPr>
        <w:ind w:left="660"/>
        <w:spacing w:after="0" w:line="150" w:lineRule="exact"/>
        <w:tabs>
          <w:tab w:leader="none" w:pos="22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236" w:lineRule="exact"/>
        <w:rPr>
          <w:sz w:val="24"/>
          <w:szCs w:val="24"/>
          <w:color w:val="auto"/>
        </w:rPr>
      </w:pPr>
    </w:p>
    <w:p>
      <w:pPr>
        <w:jc w:val="both"/>
        <w:ind w:left="660" w:right="659"/>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16"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4"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8"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As of October 30, 2023 the registrant had 19,542,290 shares of Class A common stock outstanding.</w:t>
      </w:r>
    </w:p>
    <w:p>
      <w:pPr>
        <w:sectPr>
          <w:pgSz w:w="11900" w:h="16838" w:orient="portrait"/>
          <w:cols w:equalWidth="0" w:num="1">
            <w:col w:w="9019"/>
          </w:cols>
          <w:pgMar w:left="1440" w:top="793" w:right="1440" w:bottom="1440" w:gutter="0" w:footer="0" w:header="0"/>
          <w:type w:val="continuous"/>
        </w:sectPr>
      </w:pPr>
    </w:p>
    <w:bookmarkStart w:id="1" w:name="page2"/>
    <w:bookmarkEnd w:id="1"/>
    <w:p>
      <w:pPr>
        <w:jc w:val="center"/>
        <w:ind w:right="-2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FORM 10-Q</w:t>
      </w:r>
    </w:p>
    <w:p>
      <w:pPr>
        <w:spacing w:after="0" w:line="17"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September 30, 2023</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Arial" w:cs="Arial" w:eastAsia="Arial" w:hAnsi="Arial"/>
                <w:sz w:val="13"/>
                <w:szCs w:val="13"/>
                <w:color w:val="0000FF"/>
                <w:w w:val="85"/>
              </w:rPr>
              <w:t>PART I</w:t>
            </w:r>
          </w:p>
        </w:tc>
        <w:tc>
          <w:tcPr>
            <w:tcW w:w="1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0000FF"/>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160" w:type="dxa"/>
            <w:vAlign w:val="bottom"/>
            <w:gridSpan w:val="3"/>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6"/>
          </w:tcPr>
          <w:p>
            <w:pPr>
              <w:spacing w:after="0"/>
              <w:rPr>
                <w:sz w:val="20"/>
                <w:szCs w:val="20"/>
                <w:color w:val="auto"/>
              </w:rPr>
            </w:pPr>
            <w:r>
              <w:rPr>
                <w:rFonts w:ascii="Arial" w:cs="Arial" w:eastAsia="Arial" w:hAnsi="Arial"/>
                <w:sz w:val="13"/>
                <w:szCs w:val="13"/>
                <w:color w:val="0000FF"/>
                <w:w w:val="97"/>
              </w:rPr>
              <w:t>Financial Statements</w:t>
            </w:r>
          </w:p>
        </w:tc>
        <w:tc>
          <w:tcPr>
            <w:tcW w:w="5320" w:type="dxa"/>
            <w:vAlign w:val="bottom"/>
            <w:gridSpan w:val="12"/>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0000FF"/>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300" w:type="dxa"/>
            <w:vAlign w:val="bottom"/>
            <w:gridSpan w:val="14"/>
          </w:tcPr>
          <w:p>
            <w:pPr>
              <w:spacing w:after="0" w:line="129" w:lineRule="exact"/>
              <w:rPr>
                <w:sz w:val="20"/>
                <w:szCs w:val="20"/>
                <w:color w:val="auto"/>
              </w:rPr>
            </w:pPr>
            <w:r>
              <w:rPr>
                <w:rFonts w:ascii="Arial" w:cs="Arial" w:eastAsia="Arial" w:hAnsi="Arial"/>
                <w:sz w:val="13"/>
                <w:szCs w:val="13"/>
                <w:color w:val="0000FF"/>
                <w:w w:val="98"/>
              </w:rPr>
              <w:t>Consolidated Balance Sheets as of September 30, 2023 (Unaudited) and December 31, 2022</w:t>
            </w:r>
          </w:p>
        </w:tc>
        <w:tc>
          <w:tcPr>
            <w:tcW w:w="900" w:type="dxa"/>
            <w:vAlign w:val="bottom"/>
            <w:gridSpan w:val="3"/>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100" w:type="dxa"/>
            <w:vAlign w:val="bottom"/>
            <w:tcBorders>
              <w:bottom w:val="single" w:sz="8" w:color="0000FF"/>
            </w:tcBorders>
            <w:gridSpan w:val="16"/>
          </w:tcPr>
          <w:p>
            <w:pPr>
              <w:spacing w:after="0" w:line="129" w:lineRule="exact"/>
              <w:rPr>
                <w:sz w:val="20"/>
                <w:szCs w:val="20"/>
                <w:color w:val="auto"/>
              </w:rPr>
            </w:pPr>
            <w:r>
              <w:rPr>
                <w:rFonts w:ascii="Arial" w:cs="Arial" w:eastAsia="Arial" w:hAnsi="Arial"/>
                <w:sz w:val="13"/>
                <w:szCs w:val="13"/>
                <w:color w:val="0000FF"/>
                <w:w w:val="98"/>
              </w:rPr>
              <w:t>Consolidated Statements of Operations for the three and nine months ended September 30, 2023 and 2022</w:t>
            </w:r>
          </w:p>
        </w:tc>
        <w:tc>
          <w:tcPr>
            <w:tcW w:w="100" w:type="dxa"/>
            <w:vAlign w:val="bottom"/>
          </w:tcPr>
          <w:p>
            <w:pPr>
              <w:spacing w:after="0"/>
              <w:rPr>
                <w:sz w:val="11"/>
                <w:szCs w:val="1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0000FF"/>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7"/>
          </w:tcPr>
          <w:p>
            <w:pPr>
              <w:spacing w:after="0" w:line="129" w:lineRule="exact"/>
              <w:rPr>
                <w:sz w:val="20"/>
                <w:szCs w:val="20"/>
                <w:color w:val="auto"/>
              </w:rPr>
            </w:pPr>
            <w:r>
              <w:rPr>
                <w:rFonts w:ascii="Arial" w:cs="Arial" w:eastAsia="Arial" w:hAnsi="Arial"/>
                <w:sz w:val="13"/>
                <w:szCs w:val="13"/>
                <w:color w:val="0000FF"/>
              </w:rPr>
              <w:t>(Unaudited)</w:t>
            </w: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60" w:type="dxa"/>
            <w:vAlign w:val="bottom"/>
            <w:gridSpan w:val="13"/>
            <w:vMerge w:val="restart"/>
          </w:tcPr>
          <w:p>
            <w:pPr>
              <w:ind w:left="40"/>
              <w:spacing w:after="0" w:line="139" w:lineRule="exact"/>
              <w:rPr>
                <w:sz w:val="20"/>
                <w:szCs w:val="20"/>
                <w:color w:val="auto"/>
              </w:rPr>
            </w:pPr>
            <w:r>
              <w:rPr>
                <w:rFonts w:ascii="Arial" w:cs="Arial" w:eastAsia="Arial" w:hAnsi="Arial"/>
                <w:sz w:val="13"/>
                <w:szCs w:val="13"/>
                <w:color w:val="0000FF"/>
                <w:w w:val="99"/>
              </w:rPr>
              <w:t>Statements of Comprehensive Income (Loss) for the three and nine months ended September</w:t>
            </w: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gridSpan w:val="3"/>
          </w:tcPr>
          <w:p>
            <w:pPr>
              <w:spacing w:after="0" w:line="119" w:lineRule="exact"/>
              <w:rPr>
                <w:sz w:val="20"/>
                <w:szCs w:val="20"/>
                <w:color w:val="auto"/>
              </w:rPr>
            </w:pPr>
            <w:r>
              <w:rPr>
                <w:rFonts w:ascii="Arial" w:cs="Arial" w:eastAsia="Arial" w:hAnsi="Arial"/>
                <w:sz w:val="13"/>
                <w:szCs w:val="13"/>
                <w:color w:val="0000FF"/>
                <w:w w:val="84"/>
              </w:rPr>
              <w:t>Consolidated</w:t>
            </w:r>
          </w:p>
        </w:tc>
        <w:tc>
          <w:tcPr>
            <w:tcW w:w="80" w:type="dxa"/>
            <w:vAlign w:val="bottom"/>
            <w:vMerge w:val="continue"/>
          </w:tcPr>
          <w:p>
            <w:pPr>
              <w:spacing w:after="0"/>
              <w:rPr>
                <w:sz w:val="10"/>
                <w:szCs w:val="10"/>
                <w:color w:val="auto"/>
              </w:rPr>
            </w:pPr>
          </w:p>
        </w:tc>
        <w:tc>
          <w:tcPr>
            <w:tcW w:w="5460" w:type="dxa"/>
            <w:vAlign w:val="bottom"/>
            <w:gridSpan w:val="13"/>
            <w:vMerge w:val="continue"/>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0000FF"/>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100" w:type="dxa"/>
            <w:vAlign w:val="bottom"/>
            <w:tcBorders>
              <w:top w:val="single" w:sz="8" w:color="0000FF"/>
            </w:tcBorders>
            <w:gridSpan w:val="16"/>
          </w:tcPr>
          <w:p>
            <w:pPr>
              <w:spacing w:after="0" w:line="129" w:lineRule="exact"/>
              <w:rPr>
                <w:sz w:val="20"/>
                <w:szCs w:val="20"/>
                <w:color w:val="auto"/>
              </w:rPr>
            </w:pPr>
            <w:r>
              <w:rPr>
                <w:rFonts w:ascii="Arial" w:cs="Arial" w:eastAsia="Arial" w:hAnsi="Arial"/>
                <w:sz w:val="13"/>
                <w:szCs w:val="13"/>
                <w:color w:val="0000FF"/>
              </w:rPr>
              <w:t>30, 2023 and 2022 (Unaudited)</w:t>
            </w: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tcBorders>
              <w:bottom w:val="single" w:sz="8" w:color="0000FF"/>
            </w:tcBorders>
            <w:gridSpan w:val="17"/>
          </w:tcPr>
          <w:p>
            <w:pPr>
              <w:spacing w:after="0" w:line="129" w:lineRule="exact"/>
              <w:rPr>
                <w:sz w:val="20"/>
                <w:szCs w:val="20"/>
                <w:color w:val="auto"/>
              </w:rPr>
            </w:pPr>
            <w:r>
              <w:rPr>
                <w:rFonts w:ascii="Arial" w:cs="Arial" w:eastAsia="Arial" w:hAnsi="Arial"/>
                <w:sz w:val="13"/>
                <w:szCs w:val="13"/>
                <w:color w:val="0000FF"/>
                <w:w w:val="97"/>
              </w:rPr>
              <w:t>Consolidated Statements of Changes in Stockholders’ Equity for the three and nine months ended September</w:t>
            </w: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0000FF"/>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7"/>
          </w:tcPr>
          <w:p>
            <w:pPr>
              <w:spacing w:after="0" w:line="129" w:lineRule="exact"/>
              <w:rPr>
                <w:sz w:val="20"/>
                <w:szCs w:val="20"/>
                <w:color w:val="auto"/>
              </w:rPr>
            </w:pPr>
            <w:r>
              <w:rPr>
                <w:rFonts w:ascii="Arial" w:cs="Arial" w:eastAsia="Arial" w:hAnsi="Arial"/>
                <w:sz w:val="13"/>
                <w:szCs w:val="13"/>
                <w:color w:val="0000FF"/>
              </w:rPr>
              <w:t>30, 2023 and 2022 (Unaudited)</w:t>
            </w: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7"/>
          </w:tcPr>
          <w:p>
            <w:pPr>
              <w:spacing w:after="0" w:line="129" w:lineRule="exact"/>
              <w:rPr>
                <w:sz w:val="20"/>
                <w:szCs w:val="20"/>
                <w:color w:val="auto"/>
              </w:rPr>
            </w:pPr>
            <w:r>
              <w:rPr>
                <w:rFonts w:ascii="Arial" w:cs="Arial" w:eastAsia="Arial" w:hAnsi="Arial"/>
                <w:sz w:val="13"/>
                <w:szCs w:val="13"/>
                <w:color w:val="0000FF"/>
              </w:rPr>
              <w:t>Consolidated Statements of Cash Flows for the nine months ended September 30, 2023 and 2022</w:t>
            </w: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0000FF"/>
              </w:rPr>
              <w:t>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560" w:type="dxa"/>
            <w:vAlign w:val="bottom"/>
            <w:tcBorders>
              <w:top w:val="single" w:sz="8" w:color="0000FF"/>
            </w:tcBorders>
            <w:gridSpan w:val="15"/>
          </w:tcPr>
          <w:p>
            <w:pPr>
              <w:spacing w:after="0" w:line="119" w:lineRule="exact"/>
              <w:rPr>
                <w:sz w:val="20"/>
                <w:szCs w:val="20"/>
                <w:color w:val="auto"/>
              </w:rPr>
            </w:pPr>
            <w:r>
              <w:rPr>
                <w:rFonts w:ascii="Arial" w:cs="Arial" w:eastAsia="Arial" w:hAnsi="Arial"/>
                <w:sz w:val="13"/>
                <w:szCs w:val="13"/>
                <w:color w:val="0000FF"/>
              </w:rPr>
              <w:t>(Unaudited)</w:t>
            </w:r>
          </w:p>
        </w:tc>
        <w:tc>
          <w:tcPr>
            <w:tcW w:w="640" w:type="dxa"/>
            <w:vAlign w:val="bottom"/>
            <w:gridSpan w:val="2"/>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vMerge w:val="restart"/>
          </w:tcPr>
          <w:p>
            <w:pPr>
              <w:spacing w:after="0"/>
              <w:rPr>
                <w:sz w:val="20"/>
                <w:szCs w:val="20"/>
                <w:color w:val="auto"/>
              </w:rPr>
            </w:pPr>
            <w:r>
              <w:rPr>
                <w:rFonts w:ascii="Arial" w:cs="Arial" w:eastAsia="Arial" w:hAnsi="Arial"/>
                <w:sz w:val="13"/>
                <w:szCs w:val="13"/>
                <w:color w:val="0000FF"/>
                <w:w w:val="90"/>
              </w:rPr>
              <w:t>Item 2.</w:t>
            </w:r>
          </w:p>
        </w:tc>
        <w:tc>
          <w:tcPr>
            <w:tcW w:w="160" w:type="dxa"/>
            <w:vAlign w:val="bottom"/>
            <w:gridSpan w:val="3"/>
            <w:vMerge w:val="restart"/>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7"/>
          </w:tcPr>
          <w:p>
            <w:pPr>
              <w:spacing w:after="0" w:line="129" w:lineRule="exact"/>
              <w:rPr>
                <w:sz w:val="20"/>
                <w:szCs w:val="20"/>
                <w:color w:val="auto"/>
              </w:rPr>
            </w:pPr>
            <w:r>
              <w:rPr>
                <w:rFonts w:ascii="Arial" w:cs="Arial" w:eastAsia="Arial" w:hAnsi="Arial"/>
                <w:sz w:val="13"/>
                <w:szCs w:val="13"/>
                <w:color w:val="0000FF"/>
              </w:rPr>
              <w:t>Notes to the Consolidated Financial Statements (Unaudited)</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Borders>
              <w:bottom w:val="single" w:sz="8" w:color="0000FF"/>
            </w:tcBorders>
            <w:vMerge w:val="continue"/>
          </w:tcPr>
          <w:p>
            <w:pPr>
              <w:spacing w:after="0"/>
              <w:rPr>
                <w:sz w:val="11"/>
                <w:szCs w:val="11"/>
                <w:color w:val="auto"/>
              </w:rPr>
            </w:pPr>
          </w:p>
        </w:tc>
        <w:tc>
          <w:tcPr>
            <w:tcW w:w="1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040" w:type="dxa"/>
            <w:vAlign w:val="bottom"/>
            <w:tcBorders>
              <w:bottom w:val="single" w:sz="8" w:color="0000FF"/>
            </w:tcBorders>
            <w:gridSpan w:val="14"/>
          </w:tcPr>
          <w:p>
            <w:pPr>
              <w:spacing w:after="0" w:line="129" w:lineRule="exact"/>
              <w:rPr>
                <w:sz w:val="20"/>
                <w:szCs w:val="20"/>
                <w:color w:val="auto"/>
              </w:rPr>
            </w:pPr>
            <w:r>
              <w:rPr>
                <w:rFonts w:ascii="Arial" w:cs="Arial" w:eastAsia="Arial" w:hAnsi="Arial"/>
                <w:sz w:val="13"/>
                <w:szCs w:val="13"/>
                <w:color w:val="0000FF"/>
                <w:w w:val="98"/>
              </w:rPr>
              <w:t>Management's Discussion and Analysis of Financial Condition and Results of Operations</w:t>
            </w:r>
          </w:p>
        </w:tc>
        <w:tc>
          <w:tcPr>
            <w:tcW w:w="1480" w:type="dxa"/>
            <w:vAlign w:val="bottom"/>
            <w:gridSpan w:val="4"/>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3.</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tcBorders>
              <w:bottom w:val="single" w:sz="8" w:color="0000FF"/>
            </w:tcBorders>
            <w:gridSpan w:val="11"/>
          </w:tcPr>
          <w:p>
            <w:pPr>
              <w:spacing w:after="0" w:line="129" w:lineRule="exact"/>
              <w:rPr>
                <w:sz w:val="20"/>
                <w:szCs w:val="20"/>
                <w:color w:val="auto"/>
              </w:rPr>
            </w:pPr>
            <w:r>
              <w:rPr>
                <w:rFonts w:ascii="Arial" w:cs="Arial" w:eastAsia="Arial" w:hAnsi="Arial"/>
                <w:sz w:val="13"/>
                <w:szCs w:val="13"/>
                <w:color w:val="0000FF"/>
                <w:w w:val="98"/>
              </w:rPr>
              <w:t>Quantitative and Qualitative Disclosures About Market Risk</w:t>
            </w:r>
          </w:p>
        </w:tc>
        <w:tc>
          <w:tcPr>
            <w:tcW w:w="3160" w:type="dxa"/>
            <w:vAlign w:val="bottom"/>
            <w:gridSpan w:val="7"/>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Borders>
              <w:bottom w:val="single" w:sz="8" w:color="0000FF"/>
            </w:tcBorders>
            <w:gridSpan w:val="8"/>
          </w:tcPr>
          <w:p>
            <w:pPr>
              <w:spacing w:after="0" w:line="129" w:lineRule="exact"/>
              <w:rPr>
                <w:sz w:val="20"/>
                <w:szCs w:val="20"/>
                <w:color w:val="auto"/>
              </w:rPr>
            </w:pPr>
            <w:r>
              <w:rPr>
                <w:rFonts w:ascii="Arial" w:cs="Arial" w:eastAsia="Arial" w:hAnsi="Arial"/>
                <w:sz w:val="13"/>
                <w:szCs w:val="13"/>
                <w:color w:val="0000FF"/>
                <w:w w:val="97"/>
              </w:rPr>
              <w:t>Controls and Procedures</w:t>
            </w:r>
          </w:p>
        </w:tc>
        <w:tc>
          <w:tcPr>
            <w:tcW w:w="5100" w:type="dxa"/>
            <w:vAlign w:val="bottom"/>
            <w:gridSpan w:val="10"/>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2"/>
              </w:rPr>
              <w:t>PART II</w:t>
            </w:r>
          </w:p>
        </w:tc>
        <w:tc>
          <w:tcPr>
            <w:tcW w:w="12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1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6520" w:type="dxa"/>
            <w:vAlign w:val="bottom"/>
            <w:gridSpan w:val="18"/>
          </w:tcPr>
          <w:p>
            <w:pPr>
              <w:spacing w:after="0"/>
              <w:rPr>
                <w:sz w:val="20"/>
                <w:szCs w:val="20"/>
                <w:color w:val="auto"/>
              </w:rPr>
            </w:pPr>
            <w:r>
              <w:rPr>
                <w:rFonts w:ascii="Arial" w:cs="Arial" w:eastAsia="Arial" w:hAnsi="Arial"/>
                <w:sz w:val="13"/>
                <w:szCs w:val="13"/>
                <w:color w:val="0000FF"/>
              </w:rPr>
              <w:t>Legal Proceedings</w:t>
            </w: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0000FF"/>
              </w:rPr>
              <w:t>56</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4"/>
              </w:rPr>
              <w:t>Item 1A.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0000FF"/>
            </w:tcBorders>
            <w:gridSpan w:val="2"/>
          </w:tcPr>
          <w:p>
            <w:pPr>
              <w:spacing w:after="0" w:line="129" w:lineRule="exact"/>
              <w:rPr>
                <w:sz w:val="20"/>
                <w:szCs w:val="20"/>
                <w:color w:val="auto"/>
              </w:rPr>
            </w:pPr>
            <w:r>
              <w:rPr>
                <w:rFonts w:ascii="Arial" w:cs="Arial" w:eastAsia="Arial" w:hAnsi="Arial"/>
                <w:sz w:val="13"/>
                <w:szCs w:val="13"/>
                <w:color w:val="0000FF"/>
                <w:w w:val="96"/>
              </w:rPr>
              <w:t>Risk Factors</w:t>
            </w:r>
          </w:p>
        </w:tc>
        <w:tc>
          <w:tcPr>
            <w:tcW w:w="5800" w:type="dxa"/>
            <w:vAlign w:val="bottom"/>
            <w:gridSpan w:val="16"/>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60" w:type="dxa"/>
            <w:vAlign w:val="bottom"/>
            <w:gridSpan w:val="4"/>
          </w:tcPr>
          <w:p>
            <w:pPr>
              <w:spacing w:after="0" w:line="140" w:lineRule="exact"/>
              <w:rPr>
                <w:sz w:val="20"/>
                <w:szCs w:val="20"/>
                <w:color w:val="auto"/>
              </w:rPr>
            </w:pPr>
            <w:r>
              <w:rPr>
                <w:rFonts w:ascii="Arial" w:cs="Arial" w:eastAsia="Arial" w:hAnsi="Arial"/>
                <w:sz w:val="13"/>
                <w:szCs w:val="13"/>
                <w:color w:val="0000FF"/>
              </w:rPr>
              <w:t>Item 2.</w:t>
            </w:r>
          </w:p>
        </w:tc>
        <w:tc>
          <w:tcPr>
            <w:tcW w:w="6600" w:type="dxa"/>
            <w:vAlign w:val="bottom"/>
            <w:gridSpan w:val="19"/>
          </w:tcPr>
          <w:p>
            <w:pPr>
              <w:ind w:left="80"/>
              <w:spacing w:after="0" w:line="140" w:lineRule="exact"/>
              <w:rPr>
                <w:sz w:val="20"/>
                <w:szCs w:val="20"/>
                <w:color w:val="auto"/>
              </w:rPr>
            </w:pPr>
            <w:r>
              <w:rPr>
                <w:rFonts w:ascii="Arial" w:cs="Arial" w:eastAsia="Arial" w:hAnsi="Arial"/>
                <w:sz w:val="13"/>
                <w:szCs w:val="13"/>
                <w:color w:val="0000FF"/>
              </w:rPr>
              <w:t>Unregistered Sales of Equity Securities and Use of Proceeds</w:t>
            </w:r>
          </w:p>
        </w:tc>
        <w:tc>
          <w:tcPr>
            <w:tcW w:w="540" w:type="dxa"/>
            <w:vAlign w:val="bottom"/>
            <w:gridSpan w:val="3"/>
          </w:tcPr>
          <w:p>
            <w:pPr>
              <w:jc w:val="right"/>
              <w:ind w:right="20"/>
              <w:spacing w:after="0" w:line="140" w:lineRule="exact"/>
              <w:rPr>
                <w:sz w:val="20"/>
                <w:szCs w:val="20"/>
                <w:color w:val="auto"/>
              </w:rPr>
            </w:pPr>
            <w:r>
              <w:rPr>
                <w:rFonts w:ascii="Arial" w:cs="Arial" w:eastAsia="Arial" w:hAnsi="Arial"/>
                <w:sz w:val="13"/>
                <w:szCs w:val="13"/>
                <w:color w:val="0000FF"/>
              </w:rPr>
              <w:t>56</w:t>
            </w:r>
          </w:p>
        </w:tc>
        <w:tc>
          <w:tcPr>
            <w:tcW w:w="0" w:type="dxa"/>
            <w:vAlign w:val="bottom"/>
          </w:tcPr>
          <w:p>
            <w:pPr>
              <w:spacing w:after="0"/>
              <w:rPr>
                <w:sz w:val="1"/>
                <w:szCs w:val="1"/>
                <w:color w:val="auto"/>
              </w:rPr>
            </w:pPr>
          </w:p>
        </w:tc>
      </w:tr>
      <w:tr>
        <w:trPr>
          <w:trHeight w:val="119"/>
        </w:trPr>
        <w:tc>
          <w:tcPr>
            <w:tcW w:w="400" w:type="dxa"/>
            <w:vAlign w:val="bottom"/>
            <w:tcBorders>
              <w:top w:val="single" w:sz="8" w:color="0000FF"/>
              <w:bottom w:val="single" w:sz="8" w:color="0000FF"/>
            </w:tcBorders>
          </w:tcPr>
          <w:p>
            <w:pPr>
              <w:spacing w:after="0" w:line="119" w:lineRule="exact"/>
              <w:rPr>
                <w:sz w:val="20"/>
                <w:szCs w:val="20"/>
                <w:color w:val="auto"/>
              </w:rPr>
            </w:pPr>
            <w:r>
              <w:rPr>
                <w:rFonts w:ascii="Arial" w:cs="Arial" w:eastAsia="Arial" w:hAnsi="Arial"/>
                <w:sz w:val="13"/>
                <w:szCs w:val="13"/>
                <w:color w:val="0000FF"/>
                <w:w w:val="90"/>
              </w:rPr>
              <w:t>Item 3.</w:t>
            </w:r>
          </w:p>
        </w:tc>
        <w:tc>
          <w:tcPr>
            <w:tcW w:w="1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tcBorders>
              <w:top w:val="single" w:sz="8" w:color="0000FF"/>
              <w:bottom w:val="single" w:sz="8" w:color="0000FF"/>
            </w:tcBorders>
            <w:gridSpan w:val="9"/>
          </w:tcPr>
          <w:p>
            <w:pPr>
              <w:spacing w:after="0" w:line="119" w:lineRule="exact"/>
              <w:rPr>
                <w:sz w:val="20"/>
                <w:szCs w:val="20"/>
                <w:color w:val="auto"/>
              </w:rPr>
            </w:pPr>
            <w:r>
              <w:rPr>
                <w:rFonts w:ascii="Arial" w:cs="Arial" w:eastAsia="Arial" w:hAnsi="Arial"/>
                <w:sz w:val="13"/>
                <w:szCs w:val="13"/>
                <w:color w:val="0000FF"/>
                <w:w w:val="97"/>
              </w:rPr>
              <w:t>Defaults Upon Senior Securities</w:t>
            </w:r>
          </w:p>
        </w:tc>
        <w:tc>
          <w:tcPr>
            <w:tcW w:w="1640" w:type="dxa"/>
            <w:vAlign w:val="bottom"/>
            <w:tcBorders>
              <w:top w:val="single" w:sz="8" w:color="0000FF"/>
            </w:tcBorders>
            <w:gridSpan w:val="3"/>
          </w:tcPr>
          <w:p>
            <w:pPr>
              <w:spacing w:after="0"/>
              <w:rPr>
                <w:sz w:val="10"/>
                <w:szCs w:val="10"/>
                <w:color w:val="auto"/>
              </w:rPr>
            </w:pPr>
          </w:p>
        </w:tc>
        <w:tc>
          <w:tcPr>
            <w:tcW w:w="3060" w:type="dxa"/>
            <w:vAlign w:val="bottom"/>
            <w:gridSpan w:val="6"/>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0000FF"/>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0000FF"/>
            </w:tcBorders>
            <w:gridSpan w:val="7"/>
          </w:tcPr>
          <w:p>
            <w:pPr>
              <w:spacing w:after="0" w:line="129" w:lineRule="exact"/>
              <w:rPr>
                <w:sz w:val="20"/>
                <w:szCs w:val="20"/>
                <w:color w:val="auto"/>
              </w:rPr>
            </w:pPr>
            <w:r>
              <w:rPr>
                <w:rFonts w:ascii="Arial" w:cs="Arial" w:eastAsia="Arial" w:hAnsi="Arial"/>
                <w:sz w:val="13"/>
                <w:szCs w:val="13"/>
                <w:color w:val="0000FF"/>
                <w:w w:val="97"/>
              </w:rPr>
              <w:t>Mine Safety Disclosures</w:t>
            </w:r>
          </w:p>
        </w:tc>
        <w:tc>
          <w:tcPr>
            <w:tcW w:w="5140" w:type="dxa"/>
            <w:vAlign w:val="bottom"/>
            <w:gridSpan w:val="11"/>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5.</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bottom w:val="single" w:sz="8" w:color="0000FF"/>
            </w:tcBorders>
            <w:gridSpan w:val="5"/>
          </w:tcPr>
          <w:p>
            <w:pPr>
              <w:spacing w:after="0" w:line="129" w:lineRule="exact"/>
              <w:rPr>
                <w:sz w:val="20"/>
                <w:szCs w:val="20"/>
                <w:color w:val="auto"/>
              </w:rPr>
            </w:pPr>
            <w:r>
              <w:rPr>
                <w:rFonts w:ascii="Arial" w:cs="Arial" w:eastAsia="Arial" w:hAnsi="Arial"/>
                <w:sz w:val="13"/>
                <w:szCs w:val="13"/>
                <w:color w:val="0000FF"/>
              </w:rPr>
              <w:t>Other Information</w:t>
            </w:r>
          </w:p>
        </w:tc>
        <w:tc>
          <w:tcPr>
            <w:tcW w:w="5460" w:type="dxa"/>
            <w:vAlign w:val="bottom"/>
            <w:gridSpan w:val="13"/>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6.</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6"/>
              </w:rPr>
              <w:t>Exhibit Index</w:t>
            </w:r>
          </w:p>
        </w:tc>
        <w:tc>
          <w:tcPr>
            <w:tcW w:w="5780" w:type="dxa"/>
            <w:vAlign w:val="bottom"/>
            <w:gridSpan w:val="15"/>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34" w:right="1440" w:bottom="1440" w:gutter="0" w:footer="0" w:header="0"/>
        </w:sectPr>
      </w:pPr>
    </w:p>
    <w:bookmarkStart w:id="2" w:name="page3"/>
    <w:bookmarkEnd w:id="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PART I</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Item 1. Financial Statements</w:t>
      </w:r>
    </w:p>
    <w:p>
      <w:pPr>
        <w:jc w:val="center"/>
        <w:ind w:right="19"/>
        <w:spacing w:after="0"/>
        <w:rPr>
          <w:sz w:val="20"/>
          <w:szCs w:val="20"/>
          <w:color w:val="auto"/>
        </w:rPr>
      </w:pPr>
      <w:r>
        <w:rPr>
          <w:rFonts w:ascii="Arial" w:cs="Arial" w:eastAsia="Arial" w:hAnsi="Arial"/>
          <w:sz w:val="14"/>
          <w:szCs w:val="14"/>
          <w:color w:val="auto"/>
        </w:rPr>
        <w:t>USCB FINANCIAL HOLDINGS, INC</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Consolidated Balance Sheets – Unaudited</w:t>
      </w:r>
    </w:p>
    <w:p>
      <w:pPr>
        <w:ind w:left="3200"/>
        <w:spacing w:after="0"/>
        <w:rPr>
          <w:sz w:val="20"/>
          <w:szCs w:val="20"/>
          <w:color w:val="auto"/>
        </w:rPr>
      </w:pPr>
      <w:r>
        <w:rPr>
          <w:rFonts w:ascii="Arial" w:cs="Arial" w:eastAsia="Arial" w:hAnsi="Arial"/>
          <w:sz w:val="14"/>
          <w:szCs w:val="14"/>
          <w:color w:val="auto"/>
        </w:rPr>
        <w:t>(Dollars in thousands, except share data)</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129"/>
        </w:trPr>
        <w:tc>
          <w:tcPr>
            <w:tcW w:w="5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b w:val="1"/>
                <w:bCs w:val="1"/>
                <w:color w:val="auto"/>
              </w:rPr>
              <w:t>September 30, 2023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December 31, 2022</w:t>
            </w:r>
          </w:p>
        </w:tc>
      </w:tr>
      <w:tr>
        <w:trPr>
          <w:trHeight w:val="151"/>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5,074</w:t>
            </w:r>
          </w:p>
        </w:tc>
        <w:tc>
          <w:tcPr>
            <w:tcW w:w="1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6,605</w:t>
            </w:r>
          </w:p>
        </w:tc>
        <w:tc>
          <w:tcPr>
            <w:tcW w:w="20" w:type="dxa"/>
            <w:vAlign w:val="bottom"/>
          </w:tcPr>
          <w:p>
            <w:pPr>
              <w:spacing w:after="0"/>
              <w:rPr>
                <w:sz w:val="14"/>
                <w:szCs w:val="14"/>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28,361</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47,563</w:t>
            </w:r>
          </w:p>
        </w:tc>
        <w:tc>
          <w:tcPr>
            <w:tcW w:w="20" w:type="dxa"/>
            <w:vAlign w:val="bottom"/>
            <w:shd w:val="clear" w:color="auto" w:fill="CCEEFF"/>
          </w:tcPr>
          <w:p>
            <w:pPr>
              <w:spacing w:after="0"/>
              <w:rPr>
                <w:sz w:val="13"/>
                <w:szCs w:val="13"/>
                <w:color w:val="auto"/>
              </w:rPr>
            </w:pPr>
          </w:p>
        </w:tc>
      </w:tr>
      <w:tr>
        <w:trPr>
          <w:trHeight w:val="151"/>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33,435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54,168</w:t>
            </w:r>
          </w:p>
        </w:tc>
        <w:tc>
          <w:tcPr>
            <w:tcW w:w="20" w:type="dxa"/>
            <w:vAlign w:val="bottom"/>
          </w:tcPr>
          <w:p>
            <w:pPr>
              <w:spacing w:after="0"/>
              <w:rPr>
                <w:sz w:val="13"/>
                <w:szCs w:val="13"/>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net of allowance of $16 and $0, respectively (fair value $171,294</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and $169,088, respectively)</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197,311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188,699</w:t>
            </w: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218,609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230,140</w:t>
            </w: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2,882</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$19,493 and $17,487, respectively</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1,657,027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1,489,851</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8,920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7,546</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4,951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5,263</w:t>
            </w:r>
          </w:p>
        </w:tc>
        <w:tc>
          <w:tcPr>
            <w:tcW w:w="20" w:type="dxa"/>
            <w:vAlign w:val="bottom"/>
          </w:tcPr>
          <w:p>
            <w:pPr>
              <w:spacing w:after="0"/>
              <w:rPr>
                <w:sz w:val="14"/>
                <w:szCs w:val="14"/>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51,377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42,781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assets, net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40,430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42,360</w:t>
            </w: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12,166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14,395</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assets</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14,071</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7,749</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2,244,602</w:t>
            </w:r>
          </w:p>
        </w:tc>
        <w:tc>
          <w:tcPr>
            <w:tcW w:w="60" w:type="dxa"/>
            <w:vAlign w:val="bottom"/>
            <w:gridSpan w:val="2"/>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
        </w:trPr>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Demand deposits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573,546</w:t>
            </w:r>
          </w:p>
        </w:tc>
        <w:tc>
          <w:tcPr>
            <w:tcW w:w="60" w:type="dxa"/>
            <w:vAlign w:val="bottom"/>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629,776</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1,016,564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915,853</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46,537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66,675</w:t>
            </w:r>
          </w:p>
        </w:tc>
        <w:tc>
          <w:tcPr>
            <w:tcW w:w="20" w:type="dxa"/>
            <w:vAlign w:val="bottom"/>
            <w:shd w:val="clear" w:color="auto" w:fill="CCEEFF"/>
          </w:tcPr>
          <w:p>
            <w:pPr>
              <w:spacing w:after="0"/>
              <w:rPr>
                <w:sz w:val="13"/>
                <w:szCs w:val="13"/>
                <w:color w:val="auto"/>
              </w:rPr>
            </w:pPr>
          </w:p>
        </w:tc>
      </w:tr>
      <w:tr>
        <w:trPr>
          <w:trHeight w:val="180"/>
        </w:trPr>
        <w:tc>
          <w:tcPr>
            <w:tcW w:w="5240" w:type="dxa"/>
            <w:vAlign w:val="bottom"/>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284,275</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216,977</w:t>
            </w:r>
          </w:p>
        </w:tc>
        <w:tc>
          <w:tcPr>
            <w:tcW w:w="20" w:type="dxa"/>
            <w:vAlign w:val="bottom"/>
          </w:tcPr>
          <w:p>
            <w:pPr>
              <w:spacing w:after="0"/>
              <w:rPr>
                <w:sz w:val="15"/>
                <w:szCs w:val="15"/>
                <w:color w:val="auto"/>
              </w:rPr>
            </w:pPr>
          </w:p>
        </w:tc>
      </w:tr>
      <w:tr>
        <w:trPr>
          <w:trHeight w:val="141"/>
        </w:trPr>
        <w:tc>
          <w:tcPr>
            <w:tcW w:w="5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1,920,922</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1,829,281</w:t>
            </w: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102,000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46,000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liability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12,166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14,395</w:t>
            </w:r>
          </w:p>
        </w:tc>
        <w:tc>
          <w:tcPr>
            <w:tcW w:w="20" w:type="dxa"/>
            <w:vAlign w:val="bottom"/>
            <w:shd w:val="clear" w:color="auto" w:fill="CCEEFF"/>
          </w:tcPr>
          <w:p>
            <w:pPr>
              <w:spacing w:after="0"/>
              <w:rPr>
                <w:sz w:val="13"/>
                <w:szCs w:val="13"/>
                <w:color w:val="auto"/>
              </w:rPr>
            </w:pPr>
          </w:p>
        </w:tc>
      </w:tr>
      <w:tr>
        <w:trPr>
          <w:trHeight w:val="180"/>
        </w:trPr>
        <w:tc>
          <w:tcPr>
            <w:tcW w:w="5240" w:type="dxa"/>
            <w:vAlign w:val="bottom"/>
          </w:tcPr>
          <w:p>
            <w:pPr>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26,630</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13,730</w:t>
            </w:r>
          </w:p>
        </w:tc>
        <w:tc>
          <w:tcPr>
            <w:tcW w:w="20" w:type="dxa"/>
            <w:vAlign w:val="bottom"/>
          </w:tcPr>
          <w:p>
            <w:pPr>
              <w:spacing w:after="0"/>
              <w:rPr>
                <w:sz w:val="15"/>
                <w:szCs w:val="15"/>
                <w:color w:val="auto"/>
              </w:rPr>
            </w:pPr>
          </w:p>
        </w:tc>
      </w:tr>
      <w:tr>
        <w:trPr>
          <w:trHeight w:val="141"/>
        </w:trPr>
        <w:tc>
          <w:tcPr>
            <w:tcW w:w="5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2,061,718</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1,903,406</w:t>
            </w:r>
          </w:p>
        </w:tc>
        <w:tc>
          <w:tcPr>
            <w:tcW w:w="20" w:type="dxa"/>
            <w:vAlign w:val="bottom"/>
            <w:shd w:val="clear" w:color="auto" w:fill="CCEEFF"/>
          </w:tcPr>
          <w:p>
            <w:pPr>
              <w:spacing w:after="0"/>
              <w:rPr>
                <w:sz w:val="12"/>
                <w:szCs w:val="12"/>
                <w:color w:val="auto"/>
              </w:rPr>
            </w:pPr>
          </w:p>
        </w:tc>
      </w:tr>
      <w:tr>
        <w:trPr>
          <w:trHeight w:val="96"/>
        </w:trPr>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tcPr>
          <w:p>
            <w:pPr>
              <w:spacing w:after="0"/>
              <w:rPr>
                <w:sz w:val="8"/>
                <w:szCs w:val="8"/>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Commitments and contingencies (See Notes 5 and 10)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F3F3F3"/>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F3F3F3"/>
              </w:rPr>
              <w:t>.</w:t>
            </w:r>
          </w:p>
        </w:tc>
      </w:tr>
      <w:tr>
        <w:trPr>
          <w:trHeight w:val="85"/>
        </w:trPr>
        <w:tc>
          <w:tcPr>
            <w:tcW w:w="5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STOCKHOLDERS' EQUITY: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83"/>
        </w:trPr>
        <w:tc>
          <w:tcPr>
            <w:tcW w:w="5240" w:type="dxa"/>
            <w:vAlign w:val="bottom"/>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3"/>
        </w:trPr>
        <w:tc>
          <w:tcPr>
            <w:tcW w:w="5240" w:type="dxa"/>
            <w:vAlign w:val="bottom"/>
          </w:tcPr>
          <w:p>
            <w:pPr>
              <w:spacing w:after="0"/>
              <w:rPr>
                <w:sz w:val="20"/>
                <w:szCs w:val="20"/>
                <w:color w:val="auto"/>
              </w:rPr>
            </w:pPr>
            <w:r>
              <w:rPr>
                <w:rFonts w:ascii="Arial" w:cs="Arial" w:eastAsia="Arial" w:hAnsi="Arial"/>
                <w:sz w:val="11"/>
                <w:szCs w:val="11"/>
                <w:color w:val="auto"/>
              </w:rPr>
              <w:t>authorized; 0 and 0 issued and outstanding as of September 30, 2023and December 31, 2022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33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and 0 issued and outstanding as of September 30, 2023and December 31, 2022</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r>
      <w:tr>
        <w:trPr>
          <w:trHeight w:val="315"/>
        </w:trPr>
        <w:tc>
          <w:tcPr>
            <w:tcW w:w="5240" w:type="dxa"/>
            <w:vAlign w:val="bottom"/>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3"/>
        </w:trPr>
        <w:tc>
          <w:tcPr>
            <w:tcW w:w="5240" w:type="dxa"/>
            <w:vAlign w:val="bottom"/>
          </w:tcPr>
          <w:p>
            <w:pPr>
              <w:spacing w:after="0"/>
              <w:rPr>
                <w:sz w:val="20"/>
                <w:szCs w:val="20"/>
                <w:color w:val="auto"/>
              </w:rPr>
            </w:pPr>
            <w:r>
              <w:rPr>
                <w:rFonts w:ascii="Arial" w:cs="Arial" w:eastAsia="Arial" w:hAnsi="Arial"/>
                <w:sz w:val="11"/>
                <w:szCs w:val="11"/>
                <w:color w:val="auto"/>
              </w:rPr>
              <w:t>authorized; 0 and 0 issued and outstanding as of September 30, 2023and December 31, 2022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309"/>
        </w:trPr>
        <w:tc>
          <w:tcPr>
            <w:tcW w:w="53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Common stock - Class A Voting; $1.00 par value; 45,000,000 shares authorized; 19,542,290 issued and</w:t>
            </w: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outstanding as of September 30, 2023, 20,000,753 issued and outstanding as of December 31, 2022</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19,542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20,001</w:t>
            </w:r>
          </w:p>
        </w:tc>
        <w:tc>
          <w:tcPr>
            <w:tcW w:w="20" w:type="dxa"/>
            <w:vAlign w:val="bottom"/>
            <w:shd w:val="clear" w:color="auto" w:fill="CCEEFF"/>
          </w:tcPr>
          <w:p>
            <w:pPr>
              <w:spacing w:after="0"/>
              <w:rPr>
                <w:sz w:val="11"/>
                <w:szCs w:val="11"/>
                <w:color w:val="auto"/>
              </w:rPr>
            </w:pPr>
          </w:p>
        </w:tc>
      </w:tr>
      <w:tr>
        <w:trPr>
          <w:trHeight w:val="187"/>
        </w:trPr>
        <w:tc>
          <w:tcPr>
            <w:tcW w:w="5240" w:type="dxa"/>
            <w:vAlign w:val="bottom"/>
          </w:tcPr>
          <w:p>
            <w:pPr>
              <w:spacing w:after="0"/>
              <w:rPr>
                <w:sz w:val="20"/>
                <w:szCs w:val="20"/>
                <w:color w:val="auto"/>
              </w:rPr>
            </w:pPr>
            <w:r>
              <w:rPr>
                <w:rFonts w:ascii="Arial" w:cs="Arial" w:eastAsia="Arial" w:hAnsi="Arial"/>
                <w:sz w:val="11"/>
                <w:szCs w:val="11"/>
                <w:color w:val="auto"/>
              </w:rPr>
              <w:t>Common stock - Class B Non-voting; $1.00 par value; 8,000,000 shares authorized; 0 and 0 issued and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5240" w:type="dxa"/>
            <w:vAlign w:val="bottom"/>
          </w:tcPr>
          <w:p>
            <w:pPr>
              <w:spacing w:after="0"/>
              <w:rPr>
                <w:sz w:val="20"/>
                <w:szCs w:val="20"/>
                <w:color w:val="auto"/>
              </w:rPr>
            </w:pPr>
            <w:r>
              <w:rPr>
                <w:rFonts w:ascii="Arial" w:cs="Arial" w:eastAsia="Arial" w:hAnsi="Arial"/>
                <w:sz w:val="11"/>
                <w:szCs w:val="11"/>
                <w:color w:val="auto"/>
              </w:rPr>
              <w:t>outstanding as of September 30, 2023 and December 31, 2022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Additional paid-in capital on common stock</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305,837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311,282</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Accumulated deficit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(91,269)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(104,104)</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other comprehensive loss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(51,226)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(44,751)</w:t>
            </w:r>
          </w:p>
        </w:tc>
      </w:tr>
      <w:tr>
        <w:trPr>
          <w:trHeight w:val="15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stockholders' equity</w:t>
            </w: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182,884</w:t>
            </w:r>
          </w:p>
        </w:tc>
        <w:tc>
          <w:tcPr>
            <w:tcW w:w="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182,428</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2,244,602</w:t>
            </w:r>
          </w:p>
        </w:tc>
        <w:tc>
          <w:tcPr>
            <w:tcW w:w="60" w:type="dxa"/>
            <w:vAlign w:val="bottom"/>
            <w:gridSpan w:val="2"/>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Operations - Unaudited</w:t>
      </w: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7"/>
          </w:tcPr>
          <w:p>
            <w:pPr>
              <w:spacing w:after="0"/>
              <w:rPr>
                <w:sz w:val="20"/>
                <w:szCs w:val="20"/>
                <w:color w:val="auto"/>
              </w:rPr>
            </w:pPr>
            <w:r>
              <w:rPr>
                <w:rFonts w:ascii="Arial" w:cs="Arial" w:eastAsia="Arial" w:hAnsi="Arial"/>
                <w:sz w:val="11"/>
                <w:szCs w:val="11"/>
                <w:b w:val="1"/>
                <w:bCs w:val="1"/>
                <w:color w:val="auto"/>
              </w:rPr>
              <w:t>Three Months Ended September 30,</w:t>
            </w:r>
          </w:p>
        </w:tc>
        <w:tc>
          <w:tcPr>
            <w:tcW w:w="20" w:type="dxa"/>
            <w:vAlign w:val="bottom"/>
          </w:tcPr>
          <w:p>
            <w:pPr>
              <w:spacing w:after="0"/>
              <w:rPr>
                <w:sz w:val="12"/>
                <w:szCs w:val="12"/>
                <w:color w:val="auto"/>
              </w:rPr>
            </w:pPr>
          </w:p>
        </w:tc>
        <w:tc>
          <w:tcPr>
            <w:tcW w:w="1900" w:type="dxa"/>
            <w:vAlign w:val="bottom"/>
            <w:gridSpan w:val="6"/>
          </w:tcPr>
          <w:p>
            <w:pPr>
              <w:jc w:val="right"/>
              <w:spacing w:after="0"/>
              <w:rPr>
                <w:sz w:val="20"/>
                <w:szCs w:val="20"/>
                <w:color w:val="auto"/>
              </w:rPr>
            </w:pPr>
            <w:r>
              <w:rPr>
                <w:rFonts w:ascii="Arial" w:cs="Arial" w:eastAsia="Arial" w:hAnsi="Arial"/>
                <w:sz w:val="11"/>
                <w:szCs w:val="11"/>
                <w:b w:val="1"/>
                <w:bCs w:val="1"/>
                <w:color w:val="auto"/>
              </w:rPr>
              <w:t>Nine Months Ended September 30,</w:t>
            </w:r>
          </w:p>
        </w:tc>
      </w:tr>
      <w:tr>
        <w:trPr>
          <w:trHeight w:val="151"/>
        </w:trPr>
        <w:tc>
          <w:tcPr>
            <w:tcW w:w="338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2022</w:t>
            </w:r>
          </w:p>
        </w:tc>
      </w:tr>
      <w:tr>
        <w:trPr>
          <w:trHeight w:val="151"/>
        </w:trPr>
        <w:tc>
          <w:tcPr>
            <w:tcW w:w="33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180" w:type="dxa"/>
            <w:vAlign w:val="bottom"/>
            <w:gridSpan w:val="2"/>
          </w:tcPr>
          <w:p>
            <w:pPr>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22,523</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15,954</w:t>
            </w:r>
          </w:p>
        </w:tc>
        <w:tc>
          <w:tcPr>
            <w:tcW w:w="40" w:type="dxa"/>
            <w:vAlign w:val="bottom"/>
          </w:tcPr>
          <w:p>
            <w:pPr>
              <w:spacing w:after="0"/>
              <w:rPr>
                <w:sz w:val="14"/>
                <w:szCs w:val="14"/>
                <w:color w:val="auto"/>
              </w:rPr>
            </w:pP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63,081</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42,989</w:t>
            </w: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7,040</w:t>
            </w: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474</w:t>
            </w:r>
          </w:p>
        </w:tc>
      </w:tr>
      <w:tr>
        <w:trPr>
          <w:trHeight w:val="15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income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26,382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18,477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73,041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50,503</w:t>
            </w:r>
          </w:p>
        </w:tc>
      </w:tr>
      <w:tr>
        <w:trPr>
          <w:trHeight w:val="171"/>
        </w:trPr>
        <w:tc>
          <w:tcPr>
            <w:tcW w:w="338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8,779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20,532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2,307</w:t>
            </w: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5,767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893</w:t>
            </w: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 and other borrowings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456</w:t>
            </w:r>
          </w:p>
        </w:tc>
      </w:tr>
      <w:tr>
        <w:trPr>
          <w:trHeight w:val="15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12,360</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1,703</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28,849</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3,708</w:t>
            </w:r>
          </w:p>
        </w:tc>
      </w:tr>
      <w:tr>
        <w:trPr>
          <w:trHeight w:val="151"/>
        </w:trPr>
        <w:tc>
          <w:tcPr>
            <w:tcW w:w="338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14,022</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16,774</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44,192</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46,795</w:t>
            </w:r>
          </w:p>
        </w:tc>
      </w:tr>
      <w:tr>
        <w:trPr>
          <w:trHeight w:val="15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653</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910</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892</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1,615</w:t>
            </w:r>
          </w:p>
        </w:tc>
      </w:tr>
      <w:tr>
        <w:trPr>
          <w:trHeight w:val="151"/>
        </w:trPr>
        <w:tc>
          <w:tcPr>
            <w:tcW w:w="3380" w:type="dxa"/>
            <w:vAlign w:val="bottom"/>
          </w:tcPr>
          <w:p>
            <w:pPr>
              <w:ind w:left="3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13,369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15,864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43,300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45,180</w:t>
            </w:r>
          </w:p>
        </w:tc>
      </w:tr>
      <w:tr>
        <w:trPr>
          <w:trHeight w:val="171"/>
        </w:trPr>
        <w:tc>
          <w:tcPr>
            <w:tcW w:w="33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1,329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934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3,707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2,917</w:t>
            </w: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(Loss) gain on sale of securities available for sale, net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(540)</w:t>
            </w: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696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686</w:t>
            </w: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 settlement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2,127</w:t>
            </w:r>
          </w:p>
        </w:tc>
      </w:tr>
      <w:tr>
        <w:trPr>
          <w:trHeight w:val="15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income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6,077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5,351</w:t>
            </w:r>
          </w:p>
        </w:tc>
      </w:tr>
      <w:tr>
        <w:trPr>
          <w:trHeight w:val="171"/>
        </w:trPr>
        <w:tc>
          <w:tcPr>
            <w:tcW w:w="3380" w:type="dxa"/>
            <w:vAlign w:val="bottom"/>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6,066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6,075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18,325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17,863</w:t>
            </w: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1,350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1,281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3,968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3,802</w:t>
            </w: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w:t>
            </w: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513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604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1,257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1,519</w:t>
            </w: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1,323</w:t>
            </w: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operating expense</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1,686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5,034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4,080</w:t>
            </w:r>
          </w:p>
        </w:tc>
      </w:tr>
      <w:tr>
        <w:trPr>
          <w:trHeight w:val="15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10,461</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10,132</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31,089</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29,295</w:t>
            </w:r>
          </w:p>
        </w:tc>
      </w:tr>
      <w:tr>
        <w:trPr>
          <w:trHeight w:val="151"/>
        </w:trPr>
        <w:tc>
          <w:tcPr>
            <w:tcW w:w="3380" w:type="dxa"/>
            <w:vAlign w:val="bottom"/>
          </w:tcPr>
          <w:p>
            <w:pPr>
              <w:ind w:left="300"/>
              <w:spacing w:after="0"/>
              <w:rPr>
                <w:sz w:val="20"/>
                <w:szCs w:val="20"/>
                <w:color w:val="auto"/>
              </w:rPr>
            </w:pPr>
            <w:r>
              <w:rPr>
                <w:rFonts w:ascii="Arial" w:cs="Arial" w:eastAsia="Arial" w:hAnsi="Arial"/>
                <w:sz w:val="11"/>
                <w:szCs w:val="11"/>
                <w:color w:val="auto"/>
              </w:rPr>
              <w:t>Income before income tax expense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5,069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7,521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18,288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21,236</w:t>
            </w: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1,250</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1,963</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4,464</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5,529</w:t>
            </w:r>
          </w:p>
        </w:tc>
      </w:tr>
      <w:tr>
        <w:trPr>
          <w:trHeight w:val="201"/>
        </w:trPr>
        <w:tc>
          <w:tcPr>
            <w:tcW w:w="3380" w:type="dxa"/>
            <w:vAlign w:val="bottom"/>
          </w:tcPr>
          <w:p>
            <w:pPr>
              <w:ind w:left="300"/>
              <w:spacing w:after="0"/>
              <w:rPr>
                <w:sz w:val="20"/>
                <w:szCs w:val="20"/>
                <w:color w:val="auto"/>
              </w:rPr>
            </w:pPr>
            <w:r>
              <w:rPr>
                <w:rFonts w:ascii="Arial" w:cs="Arial" w:eastAsia="Arial" w:hAnsi="Arial"/>
                <w:sz w:val="11"/>
                <w:szCs w:val="11"/>
                <w:color w:val="auto"/>
              </w:rPr>
              <w:t>Net income</w:t>
            </w:r>
          </w:p>
        </w:tc>
        <w:tc>
          <w:tcPr>
            <w:tcW w:w="180" w:type="dxa"/>
            <w:vAlign w:val="bottom"/>
            <w:gridSpan w:val="2"/>
          </w:tcPr>
          <w:p>
            <w:pPr>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3,819</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5,558</w:t>
            </w:r>
          </w:p>
        </w:tc>
        <w:tc>
          <w:tcPr>
            <w:tcW w:w="40" w:type="dxa"/>
            <w:vAlign w:val="bottom"/>
          </w:tcPr>
          <w:p>
            <w:pPr>
              <w:spacing w:after="0"/>
              <w:rPr>
                <w:sz w:val="17"/>
                <w:szCs w:val="17"/>
                <w:color w:val="auto"/>
              </w:rPr>
            </w:pP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13,824</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15,707</w:t>
            </w:r>
          </w:p>
        </w:tc>
      </w:tr>
      <w:tr>
        <w:trPr>
          <w:trHeight w:val="111"/>
        </w:trPr>
        <w:tc>
          <w:tcPr>
            <w:tcW w:w="338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Per share information:</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r>
      <w:tr>
        <w:trPr>
          <w:trHeight w:val="171"/>
        </w:trPr>
        <w:tc>
          <w:tcPr>
            <w:tcW w:w="3380" w:type="dxa"/>
            <w:vAlign w:val="bottom"/>
          </w:tcPr>
          <w:p>
            <w:pPr>
              <w:ind w:left="200"/>
              <w:spacing w:after="0"/>
              <w:rPr>
                <w:sz w:val="20"/>
                <w:szCs w:val="20"/>
                <w:color w:val="auto"/>
              </w:rPr>
            </w:pPr>
            <w:r>
              <w:rPr>
                <w:rFonts w:ascii="Arial" w:cs="Arial" w:eastAsia="Arial" w:hAnsi="Arial"/>
                <w:sz w:val="11"/>
                <w:szCs w:val="11"/>
                <w:color w:val="auto"/>
              </w:rPr>
              <w:t>Net income per share, basic</w:t>
            </w:r>
          </w:p>
        </w:tc>
        <w:tc>
          <w:tcPr>
            <w:tcW w:w="180" w:type="dxa"/>
            <w:vAlign w:val="bottom"/>
            <w:gridSpan w:val="2"/>
          </w:tcPr>
          <w:p>
            <w:pPr>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0.20</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0.28</w:t>
            </w:r>
          </w:p>
        </w:tc>
        <w:tc>
          <w:tcPr>
            <w:tcW w:w="40" w:type="dxa"/>
            <w:vAlign w:val="bottom"/>
          </w:tcPr>
          <w:p>
            <w:pPr>
              <w:spacing w:after="0"/>
              <w:rPr>
                <w:sz w:val="14"/>
                <w:szCs w:val="14"/>
                <w:color w:val="auto"/>
              </w:rPr>
            </w:pP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0.70</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0.79</w:t>
            </w:r>
          </w:p>
        </w:tc>
      </w:tr>
      <w:tr>
        <w:trPr>
          <w:trHeight w:val="171"/>
        </w:trPr>
        <w:tc>
          <w:tcPr>
            <w:tcW w:w="33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diluted</w:t>
            </w:r>
          </w:p>
        </w:tc>
        <w:tc>
          <w:tcPr>
            <w:tcW w:w="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0.19</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0.70</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0.78</w:t>
            </w:r>
          </w:p>
        </w:tc>
      </w:tr>
      <w:tr>
        <w:trPr>
          <w:trHeight w:val="171"/>
        </w:trPr>
        <w:tc>
          <w:tcPr>
            <w:tcW w:w="3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155" w:lineRule="exact"/>
        <w:rPr>
          <w:sz w:val="20"/>
          <w:szCs w:val="20"/>
          <w:color w:val="auto"/>
        </w:rPr>
      </w:pPr>
    </w:p>
    <w:p>
      <w:pPr>
        <w:ind w:left="1820"/>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 (Loss)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4"/>
          </w:tcPr>
          <w:p>
            <w:pPr>
              <w:jc w:val="right"/>
              <w:ind w:right="363"/>
              <w:spacing w:after="0"/>
              <w:rPr>
                <w:sz w:val="20"/>
                <w:szCs w:val="20"/>
                <w:color w:val="auto"/>
              </w:rPr>
            </w:pPr>
            <w:r>
              <w:rPr>
                <w:rFonts w:ascii="Arial" w:cs="Arial" w:eastAsia="Arial" w:hAnsi="Arial"/>
                <w:sz w:val="11"/>
                <w:szCs w:val="11"/>
                <w:b w:val="1"/>
                <w:bCs w:val="1"/>
                <w:color w:val="auto"/>
              </w:rPr>
              <w:t>Three Months Ended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1"/>
                <w:szCs w:val="11"/>
                <w:b w:val="1"/>
                <w:bCs w:val="1"/>
                <w:color w:val="auto"/>
              </w:rPr>
              <w:t>Nine Months Ended</w:t>
            </w:r>
          </w:p>
        </w:tc>
      </w:tr>
      <w:tr>
        <w:trPr>
          <w:trHeight w:val="13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tcPr>
          <w:p>
            <w:pPr>
              <w:jc w:val="right"/>
              <w:ind w:right="543"/>
              <w:spacing w:after="0"/>
              <w:rPr>
                <w:sz w:val="20"/>
                <w:szCs w:val="20"/>
                <w:color w:val="auto"/>
              </w:rPr>
            </w:pPr>
            <w:r>
              <w:rPr>
                <w:rFonts w:ascii="Arial" w:cs="Arial" w:eastAsia="Arial" w:hAnsi="Arial"/>
                <w:sz w:val="11"/>
                <w:szCs w:val="11"/>
                <w:b w:val="1"/>
                <w:bCs w:val="1"/>
                <w:color w:val="auto"/>
              </w:rPr>
              <w:t>September 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right"/>
              <w:ind w:right="580"/>
              <w:spacing w:after="0"/>
              <w:rPr>
                <w:sz w:val="20"/>
                <w:szCs w:val="20"/>
                <w:color w:val="auto"/>
              </w:rPr>
            </w:pPr>
            <w:r>
              <w:rPr>
                <w:rFonts w:ascii="Arial" w:cs="Arial" w:eastAsia="Arial" w:hAnsi="Arial"/>
                <w:sz w:val="11"/>
                <w:szCs w:val="11"/>
                <w:b w:val="1"/>
                <w:bCs w:val="1"/>
                <w:color w:val="auto"/>
              </w:rPr>
              <w:t>September 30,</w:t>
            </w:r>
          </w:p>
        </w:tc>
      </w:tr>
      <w:tr>
        <w:trPr>
          <w:trHeight w:val="160"/>
        </w:trPr>
        <w:tc>
          <w:tcPr>
            <w:tcW w:w="38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2023</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2023</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3"/>
                <w:szCs w:val="13"/>
                <w:color w:val="auto"/>
              </w:rPr>
            </w:pPr>
          </w:p>
        </w:tc>
      </w:tr>
      <w:tr>
        <w:trPr>
          <w:trHeight w:val="141"/>
        </w:trPr>
        <w:tc>
          <w:tcPr>
            <w:tcW w:w="38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3,819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5,558</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13,824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15,707</w:t>
            </w:r>
          </w:p>
        </w:tc>
        <w:tc>
          <w:tcPr>
            <w:tcW w:w="20" w:type="dxa"/>
            <w:vAlign w:val="bottom"/>
            <w:shd w:val="clear" w:color="auto" w:fill="CCEEFF"/>
          </w:tcPr>
          <w:p>
            <w:pPr>
              <w:spacing w:after="0"/>
              <w:rPr>
                <w:sz w:val="12"/>
                <w:szCs w:val="12"/>
                <w:color w:val="auto"/>
              </w:rPr>
            </w:pPr>
          </w:p>
        </w:tc>
      </w:tr>
      <w:tr>
        <w:trPr>
          <w:trHeight w:val="160"/>
        </w:trPr>
        <w:tc>
          <w:tcPr>
            <w:tcW w:w="382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8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Unrealized loss on investment securities</w:t>
            </w:r>
          </w:p>
        </w:tc>
        <w:tc>
          <w:tcPr>
            <w:tcW w:w="12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(7,858)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(11,679)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(11,145)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(57,577)</w:t>
            </w:r>
          </w:p>
        </w:tc>
      </w:tr>
      <w:tr>
        <w:trPr>
          <w:trHeight w:val="177"/>
        </w:trPr>
        <w:tc>
          <w:tcPr>
            <w:tcW w:w="3820" w:type="dxa"/>
            <w:vAlign w:val="bottom"/>
          </w:tcPr>
          <w:p>
            <w:pPr>
              <w:ind w:left="100"/>
              <w:spacing w:after="0"/>
              <w:rPr>
                <w:sz w:val="20"/>
                <w:szCs w:val="20"/>
                <w:color w:val="auto"/>
              </w:rPr>
            </w:pPr>
            <w:r>
              <w:rPr>
                <w:rFonts w:ascii="Arial" w:cs="Arial" w:eastAsia="Arial" w:hAnsi="Arial"/>
                <w:sz w:val="11"/>
                <w:szCs w:val="11"/>
                <w:color w:val="auto"/>
              </w:rPr>
              <w:t>Amortization of net unrealized (loss) gain on securities transferred from</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3"/>
        </w:trPr>
        <w:tc>
          <w:tcPr>
            <w:tcW w:w="3820" w:type="dxa"/>
            <w:vAlign w:val="bottom"/>
          </w:tcPr>
          <w:p>
            <w:pPr>
              <w:ind w:left="100"/>
              <w:spacing w:after="0"/>
              <w:rPr>
                <w:sz w:val="20"/>
                <w:szCs w:val="20"/>
                <w:color w:val="auto"/>
              </w:rPr>
            </w:pPr>
            <w:r>
              <w:rPr>
                <w:rFonts w:ascii="Arial" w:cs="Arial" w:eastAsia="Arial" w:hAnsi="Arial"/>
                <w:sz w:val="11"/>
                <w:szCs w:val="11"/>
                <w:color w:val="auto"/>
              </w:rPr>
              <w:t>available-for-sale to held-to-maturity</w:t>
            </w:r>
          </w:p>
        </w:tc>
        <w:tc>
          <w:tcPr>
            <w:tcW w:w="120" w:type="dxa"/>
            <w:vAlign w:val="bottom"/>
          </w:tcPr>
          <w:p>
            <w:pPr>
              <w:spacing w:after="0"/>
              <w:rPr>
                <w:sz w:val="11"/>
                <w:szCs w:val="11"/>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color w:val="auto"/>
              </w:rPr>
              <w:t>64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184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(177)</w:t>
            </w:r>
          </w:p>
        </w:tc>
      </w:tr>
      <w:tr>
        <w:trPr>
          <w:trHeight w:val="160"/>
        </w:trPr>
        <w:tc>
          <w:tcPr>
            <w:tcW w:w="38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Reclassification adjustment for loss included in net income</w:t>
            </w:r>
          </w:p>
        </w:tc>
        <w:tc>
          <w:tcPr>
            <w:tcW w:w="12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955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558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976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540</w:t>
            </w:r>
          </w:p>
        </w:tc>
        <w:tc>
          <w:tcPr>
            <w:tcW w:w="20" w:type="dxa"/>
            <w:vAlign w:val="bottom"/>
            <w:shd w:val="clear" w:color="auto" w:fill="CCEEFF"/>
          </w:tcPr>
          <w:p>
            <w:pPr>
              <w:spacing w:after="0"/>
              <w:rPr>
                <w:sz w:val="13"/>
                <w:szCs w:val="13"/>
                <w:color w:val="auto"/>
              </w:rPr>
            </w:pPr>
          </w:p>
        </w:tc>
      </w:tr>
      <w:tr>
        <w:trPr>
          <w:trHeight w:val="160"/>
        </w:trPr>
        <w:tc>
          <w:tcPr>
            <w:tcW w:w="3820" w:type="dxa"/>
            <w:vAlign w:val="bottom"/>
          </w:tcPr>
          <w:p>
            <w:pPr>
              <w:ind w:left="100"/>
              <w:spacing w:after="0"/>
              <w:rPr>
                <w:sz w:val="20"/>
                <w:szCs w:val="20"/>
                <w:color w:val="auto"/>
              </w:rPr>
            </w:pPr>
            <w:r>
              <w:rPr>
                <w:rFonts w:ascii="Arial" w:cs="Arial" w:eastAsia="Arial" w:hAnsi="Arial"/>
                <w:sz w:val="11"/>
                <w:szCs w:val="11"/>
                <w:color w:val="auto"/>
              </w:rPr>
              <w:t>Unrealized gain on cash flow hedge</w:t>
            </w:r>
          </w:p>
        </w:tc>
        <w:tc>
          <w:tcPr>
            <w:tcW w:w="120" w:type="dxa"/>
            <w:vAlign w:val="bottom"/>
          </w:tcPr>
          <w:p>
            <w:pPr>
              <w:spacing w:after="0"/>
              <w:rPr>
                <w:sz w:val="13"/>
                <w:szCs w:val="13"/>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color w:val="auto"/>
              </w:rPr>
              <w:t>266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1,312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38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Tax effect</w:t>
            </w: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1,666</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2,832</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2,198</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14,528</w:t>
            </w:r>
          </w:p>
        </w:tc>
        <w:tc>
          <w:tcPr>
            <w:tcW w:w="20" w:type="dxa"/>
            <w:vAlign w:val="bottom"/>
            <w:shd w:val="clear" w:color="auto" w:fill="CCEEFF"/>
          </w:tcPr>
          <w:p>
            <w:pPr>
              <w:spacing w:after="0"/>
              <w:rPr>
                <w:sz w:val="13"/>
                <w:szCs w:val="13"/>
                <w:color w:val="auto"/>
              </w:rPr>
            </w:pPr>
          </w:p>
        </w:tc>
      </w:tr>
      <w:tr>
        <w:trPr>
          <w:trHeight w:val="151"/>
        </w:trPr>
        <w:tc>
          <w:tcPr>
            <w:tcW w:w="3820" w:type="dxa"/>
            <w:vAlign w:val="bottom"/>
          </w:tcPr>
          <w:p>
            <w:pPr>
              <w:spacing w:after="0"/>
              <w:rPr>
                <w:sz w:val="20"/>
                <w:szCs w:val="20"/>
                <w:color w:val="auto"/>
              </w:rPr>
            </w:pPr>
            <w:r>
              <w:rPr>
                <w:rFonts w:ascii="Arial" w:cs="Arial" w:eastAsia="Arial" w:hAnsi="Arial"/>
                <w:sz w:val="11"/>
                <w:szCs w:val="11"/>
                <w:color w:val="auto"/>
              </w:rPr>
              <w:t>Total other comprehensive loss, net of tax</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(4,907)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(8,341)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(6,475)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(42,686)</w:t>
            </w:r>
          </w:p>
        </w:tc>
      </w:tr>
      <w:tr>
        <w:trPr>
          <w:trHeight w:val="20"/>
        </w:trPr>
        <w:tc>
          <w:tcPr>
            <w:tcW w:w="38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3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comprehensive income (loss)</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(1,088)</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(2,783)</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7,349</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(26,979)</w:t>
            </w:r>
          </w:p>
        </w:tc>
      </w:tr>
      <w:tr>
        <w:trPr>
          <w:trHeight w:val="20"/>
        </w:trPr>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Changes in Stockholders’ Equity -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(Dollars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gridSpan w:val="7"/>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3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5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8"/>
              </w:rPr>
              <w:t>Additional Paid-in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6"/>
              </w:rPr>
              <w:t>Accumulated Other</w:t>
            </w:r>
          </w:p>
        </w:tc>
        <w:tc>
          <w:tcPr>
            <w:tcW w:w="110" w:type="dxa"/>
            <w:vAlign w:val="bottom"/>
          </w:tcPr>
          <w:p>
            <w:pPr>
              <w:spacing w:after="0"/>
              <w:rPr>
                <w:sz w:val="13"/>
                <w:szCs w:val="13"/>
                <w:color w:val="auto"/>
              </w:rPr>
            </w:pPr>
          </w:p>
        </w:tc>
        <w:tc>
          <w:tcPr>
            <w:tcW w:w="50" w:type="dxa"/>
            <w:vAlign w:val="bottom"/>
          </w:tcPr>
          <w:p>
            <w:pPr>
              <w:spacing w:after="0"/>
              <w:rPr>
                <w:sz w:val="13"/>
                <w:szCs w:val="13"/>
                <w:color w:val="auto"/>
              </w:rPr>
            </w:pP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98"/>
              </w:rPr>
              <w:t>Capital on Common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3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Comprehensive</w:t>
            </w:r>
          </w:p>
        </w:tc>
        <w:tc>
          <w:tcPr>
            <w:tcW w:w="110" w:type="dxa"/>
            <w:vAlign w:val="bottom"/>
          </w:tcPr>
          <w:p>
            <w:pPr>
              <w:spacing w:after="0"/>
              <w:rPr>
                <w:sz w:val="11"/>
                <w:szCs w:val="11"/>
                <w:color w:val="auto"/>
              </w:rPr>
            </w:pPr>
          </w:p>
        </w:tc>
        <w:tc>
          <w:tcPr>
            <w:tcW w:w="50" w:type="dxa"/>
            <w:vAlign w:val="bottom"/>
          </w:tcPr>
          <w:p>
            <w:pPr>
              <w:spacing w:after="0"/>
              <w:rPr>
                <w:sz w:val="11"/>
                <w:szCs w:val="11"/>
                <w:color w:val="auto"/>
              </w:rPr>
            </w:pP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Par Value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Stock</w:t>
            </w:r>
          </w:p>
        </w:tc>
        <w:tc>
          <w:tcPr>
            <w:tcW w:w="20" w:type="dxa"/>
            <w:vAlign w:val="bottom"/>
          </w:tcPr>
          <w:p>
            <w:pPr>
              <w:spacing w:after="0"/>
              <w:rPr>
                <w:sz w:val="11"/>
                <w:szCs w:val="11"/>
                <w:color w:val="auto"/>
              </w:rPr>
            </w:pPr>
          </w:p>
        </w:tc>
        <w:tc>
          <w:tcPr>
            <w:tcW w:w="1120" w:type="dxa"/>
            <w:vAlign w:val="bottom"/>
            <w:gridSpan w:val="7"/>
          </w:tcPr>
          <w:p>
            <w:pPr>
              <w:ind w:left="20"/>
              <w:spacing w:after="0"/>
              <w:rPr>
                <w:sz w:val="20"/>
                <w:szCs w:val="20"/>
                <w:color w:val="auto"/>
              </w:rPr>
            </w:pPr>
            <w:r>
              <w:rPr>
                <w:rFonts w:ascii="Arial" w:cs="Arial" w:eastAsia="Arial" w:hAnsi="Arial"/>
                <w:sz w:val="11"/>
                <w:szCs w:val="11"/>
                <w:b w:val="1"/>
                <w:bCs w:val="1"/>
                <w:color w:val="auto"/>
              </w:rPr>
              <w:t>Accumulated Deficit</w:t>
            </w:r>
          </w:p>
        </w:tc>
        <w:tc>
          <w:tcPr>
            <w:tcW w:w="8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Loss</w:t>
            </w:r>
          </w:p>
        </w:tc>
        <w:tc>
          <w:tcPr>
            <w:tcW w:w="110" w:type="dxa"/>
            <w:vAlign w:val="bottom"/>
          </w:tcPr>
          <w:p>
            <w:pPr>
              <w:spacing w:after="0"/>
              <w:rPr>
                <w:sz w:val="11"/>
                <w:szCs w:val="11"/>
                <w:color w:val="auto"/>
              </w:rPr>
            </w:pPr>
          </w:p>
        </w:tc>
        <w:tc>
          <w:tcPr>
            <w:tcW w:w="50" w:type="dxa"/>
            <w:vAlign w:val="bottom"/>
          </w:tcPr>
          <w:p>
            <w:pPr>
              <w:spacing w:after="0"/>
              <w:rPr>
                <w:sz w:val="11"/>
                <w:szCs w:val="11"/>
                <w:color w:val="auto"/>
              </w:rPr>
            </w:pPr>
          </w:p>
        </w:tc>
        <w:tc>
          <w:tcPr>
            <w:tcW w:w="880" w:type="dxa"/>
            <w:vAlign w:val="bottom"/>
          </w:tcPr>
          <w:p>
            <w:pPr>
              <w:jc w:val="center"/>
              <w:ind w:right="12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9"/>
        </w:trPr>
        <w:tc>
          <w:tcPr>
            <w:tcW w:w="3840" w:type="dxa"/>
            <w:vAlign w:val="bottom"/>
            <w:tcBorders>
              <w:top w:val="single" w:sz="8" w:color="CCEEFF"/>
            </w:tcBorders>
            <w:gridSpan w:val="3"/>
            <w:shd w:val="clear" w:color="auto" w:fill="CCEEFF"/>
          </w:tcPr>
          <w:p>
            <w:pPr>
              <w:spacing w:after="0" w:line="119" w:lineRule="exact"/>
              <w:rPr>
                <w:sz w:val="20"/>
                <w:szCs w:val="20"/>
                <w:color w:val="auto"/>
              </w:rPr>
            </w:pPr>
            <w:r>
              <w:rPr>
                <w:rFonts w:ascii="Arial" w:cs="Arial" w:eastAsia="Arial" w:hAnsi="Arial"/>
                <w:sz w:val="11"/>
                <w:szCs w:val="11"/>
                <w:color w:val="auto"/>
              </w:rPr>
              <w:t>Balance at July 1, 2023</w:t>
            </w:r>
          </w:p>
        </w:tc>
        <w:tc>
          <w:tcPr>
            <w:tcW w:w="920" w:type="dxa"/>
            <w:vAlign w:val="bottom"/>
            <w:tcBorders>
              <w:top w:val="single" w:sz="8" w:color="auto"/>
            </w:tcBorders>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19,544,777</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center"/>
              <w:ind w:right="6"/>
              <w:spacing w:after="0" w:line="119" w:lineRule="exact"/>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19,545</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305,547</w:t>
            </w: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1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1"/>
                <w:szCs w:val="11"/>
                <w:color w:val="auto"/>
              </w:rPr>
              <w:t>$</w:t>
            </w:r>
          </w:p>
        </w:tc>
        <w:tc>
          <w:tcPr>
            <w:tcW w:w="930" w:type="dxa"/>
            <w:vAlign w:val="bottom"/>
            <w:tcBorders>
              <w:top w:val="single" w:sz="8" w:color="auto"/>
            </w:tcBorders>
            <w:gridSpan w:val="3"/>
            <w:shd w:val="clear" w:color="auto" w:fill="CCEEFF"/>
          </w:tcPr>
          <w:p>
            <w:pPr>
              <w:jc w:val="right"/>
              <w:spacing w:after="0" w:line="119" w:lineRule="exact"/>
              <w:rPr>
                <w:sz w:val="20"/>
                <w:szCs w:val="20"/>
                <w:color w:val="auto"/>
              </w:rPr>
            </w:pPr>
            <w:r>
              <w:rPr>
                <w:rFonts w:ascii="Arial" w:cs="Arial" w:eastAsia="Arial" w:hAnsi="Arial"/>
                <w:sz w:val="11"/>
                <w:szCs w:val="11"/>
                <w:color w:val="auto"/>
              </w:rPr>
              <w:t>(95,088)</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(46,319)</w:t>
            </w:r>
          </w:p>
        </w:tc>
        <w:tc>
          <w:tcPr>
            <w:tcW w:w="60" w:type="dxa"/>
            <w:vAlign w:val="bottom"/>
            <w:tcBorders>
              <w:top w:val="single" w:sz="8" w:color="CCEEFF"/>
            </w:tcBorders>
            <w:shd w:val="clear" w:color="auto" w:fill="CCEEFF"/>
          </w:tcPr>
          <w:p>
            <w:pPr>
              <w:spacing w:after="0"/>
              <w:rPr>
                <w:sz w:val="10"/>
                <w:szCs w:val="10"/>
                <w:color w:val="auto"/>
              </w:rPr>
            </w:pPr>
          </w:p>
        </w:tc>
        <w:tc>
          <w:tcPr>
            <w:tcW w:w="11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3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183,685</w:t>
            </w:r>
          </w:p>
        </w:tc>
        <w:tc>
          <w:tcPr>
            <w:tcW w:w="0" w:type="dxa"/>
            <w:vAlign w:val="bottom"/>
          </w:tcPr>
          <w:p>
            <w:pPr>
              <w:spacing w:after="0"/>
              <w:rPr>
                <w:sz w:val="1"/>
                <w:szCs w:val="1"/>
                <w:color w:val="auto"/>
              </w:rPr>
            </w:pPr>
          </w:p>
        </w:tc>
      </w:tr>
      <w:tr>
        <w:trPr>
          <w:trHeight w:val="160"/>
        </w:trPr>
        <w:tc>
          <w:tcPr>
            <w:tcW w:w="3840" w:type="dxa"/>
            <w:vAlign w:val="bottom"/>
            <w:gridSpan w:val="3"/>
          </w:tcPr>
          <w:p>
            <w:pPr>
              <w:ind w:left="100"/>
              <w:spacing w:after="0"/>
              <w:rPr>
                <w:sz w:val="20"/>
                <w:szCs w:val="20"/>
                <w:color w:val="auto"/>
              </w:rPr>
            </w:pPr>
            <w:r>
              <w:rPr>
                <w:rFonts w:ascii="Arial" w:cs="Arial" w:eastAsia="Arial" w:hAnsi="Arial"/>
                <w:sz w:val="11"/>
                <w:szCs w:val="11"/>
                <w:color w:val="auto"/>
              </w:rPr>
              <w:t>Net income</w:t>
            </w: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910" w:type="dxa"/>
            <w:vAlign w:val="bottom"/>
            <w:gridSpan w:val="2"/>
          </w:tcPr>
          <w:p>
            <w:pPr>
              <w:jc w:val="right"/>
              <w:spacing w:after="0"/>
              <w:rPr>
                <w:sz w:val="20"/>
                <w:szCs w:val="20"/>
                <w:color w:val="auto"/>
              </w:rPr>
            </w:pPr>
            <w:r>
              <w:rPr>
                <w:rFonts w:ascii="Arial" w:cs="Arial" w:eastAsia="Arial" w:hAnsi="Arial"/>
                <w:sz w:val="11"/>
                <w:szCs w:val="11"/>
                <w:color w:val="auto"/>
              </w:rPr>
              <w:t>3,819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3,819</w:t>
            </w: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comprehensive loss</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91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(4,907)</w:t>
            </w:r>
          </w:p>
        </w:tc>
        <w:tc>
          <w:tcPr>
            <w:tcW w:w="6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93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(4,907)</w:t>
            </w:r>
          </w:p>
        </w:tc>
        <w:tc>
          <w:tcPr>
            <w:tcW w:w="0" w:type="dxa"/>
            <w:vAlign w:val="bottom"/>
          </w:tcPr>
          <w:p>
            <w:pPr>
              <w:spacing w:after="0"/>
              <w:rPr>
                <w:sz w:val="1"/>
                <w:szCs w:val="1"/>
                <w:color w:val="auto"/>
              </w:rPr>
            </w:pPr>
          </w:p>
        </w:tc>
      </w:tr>
      <w:tr>
        <w:trPr>
          <w:trHeight w:val="171"/>
        </w:trPr>
        <w:tc>
          <w:tcPr>
            <w:tcW w:w="3840" w:type="dxa"/>
            <w:vAlign w:val="bottom"/>
            <w:gridSpan w:val="3"/>
          </w:tcPr>
          <w:p>
            <w:pPr>
              <w:ind w:left="100"/>
              <w:spacing w:after="0"/>
              <w:rPr>
                <w:sz w:val="20"/>
                <w:szCs w:val="20"/>
                <w:color w:val="auto"/>
              </w:rPr>
            </w:pPr>
            <w:r>
              <w:rPr>
                <w:rFonts w:ascii="Arial" w:cs="Arial" w:eastAsia="Arial" w:hAnsi="Arial"/>
                <w:sz w:val="11"/>
                <w:szCs w:val="11"/>
                <w:color w:val="auto"/>
              </w:rPr>
              <w:t>Restricted stock forfeiture</w:t>
            </w: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(2,487)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1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100" w:type="dxa"/>
            <w:vAlign w:val="bottom"/>
            <w:shd w:val="clear" w:color="auto" w:fill="CCEEFF"/>
          </w:tcPr>
          <w:p>
            <w:pPr>
              <w:spacing w:after="0"/>
              <w:rPr>
                <w:sz w:val="11"/>
                <w:szCs w:val="11"/>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0" w:type="dxa"/>
            <w:vAlign w:val="bottom"/>
            <w:tcBorders>
              <w:bottom w:val="single" w:sz="8" w:color="auto"/>
            </w:tcBorders>
            <w:shd w:val="clear" w:color="auto" w:fill="CCEEFF"/>
          </w:tcPr>
          <w:p>
            <w:pPr>
              <w:spacing w:after="0"/>
              <w:rPr>
                <w:sz w:val="11"/>
                <w:szCs w:val="11"/>
                <w:color w:val="auto"/>
              </w:rPr>
            </w:pPr>
          </w:p>
        </w:tc>
        <w:tc>
          <w:tcPr>
            <w:tcW w:w="91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10" w:type="dxa"/>
            <w:vAlign w:val="bottom"/>
            <w:tcBorders>
              <w:bottom w:val="single" w:sz="8" w:color="auto"/>
            </w:tcBorders>
            <w:shd w:val="clear" w:color="auto" w:fill="CCEEFF"/>
          </w:tcPr>
          <w:p>
            <w:pPr>
              <w:spacing w:after="0"/>
              <w:rPr>
                <w:sz w:val="11"/>
                <w:szCs w:val="11"/>
                <w:color w:val="auto"/>
              </w:rPr>
            </w:pPr>
          </w:p>
        </w:tc>
        <w:tc>
          <w:tcPr>
            <w:tcW w:w="93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0" w:type="dxa"/>
            <w:vAlign w:val="bottom"/>
          </w:tcPr>
          <w:p>
            <w:pPr>
              <w:spacing w:after="0"/>
              <w:rPr>
                <w:sz w:val="1"/>
                <w:szCs w:val="1"/>
                <w:color w:val="auto"/>
              </w:rPr>
            </w:pPr>
          </w:p>
        </w:tc>
      </w:tr>
      <w:tr>
        <w:trPr>
          <w:trHeight w:val="159"/>
        </w:trPr>
        <w:tc>
          <w:tcPr>
            <w:tcW w:w="3840" w:type="dxa"/>
            <w:vAlign w:val="bottom"/>
            <w:gridSpan w:val="3"/>
          </w:tcPr>
          <w:p>
            <w:pPr>
              <w:spacing w:after="0" w:line="119" w:lineRule="exact"/>
              <w:rPr>
                <w:sz w:val="20"/>
                <w:szCs w:val="20"/>
                <w:color w:val="auto"/>
              </w:rPr>
            </w:pPr>
            <w:r>
              <w:rPr>
                <w:rFonts w:ascii="Arial" w:cs="Arial" w:eastAsia="Arial" w:hAnsi="Arial"/>
                <w:sz w:val="11"/>
                <w:szCs w:val="11"/>
                <w:color w:val="auto"/>
              </w:rPr>
              <w:t>Balance at September 30, 2023</w:t>
            </w:r>
          </w:p>
        </w:tc>
        <w:tc>
          <w:tcPr>
            <w:tcW w:w="920" w:type="dxa"/>
            <w:vAlign w:val="bottom"/>
            <w:gridSpan w:val="2"/>
          </w:tcPr>
          <w:p>
            <w:pPr>
              <w:jc w:val="right"/>
              <w:ind w:right="40"/>
              <w:spacing w:after="0" w:line="119" w:lineRule="exact"/>
              <w:rPr>
                <w:sz w:val="20"/>
                <w:szCs w:val="20"/>
                <w:color w:val="auto"/>
              </w:rPr>
            </w:pPr>
            <w:r>
              <w:rPr>
                <w:rFonts w:ascii="Arial" w:cs="Arial" w:eastAsia="Arial" w:hAnsi="Arial"/>
                <w:sz w:val="11"/>
                <w:szCs w:val="11"/>
                <w:color w:val="auto"/>
              </w:rPr>
              <w:t>19,542,290</w:t>
            </w:r>
          </w:p>
        </w:tc>
        <w:tc>
          <w:tcPr>
            <w:tcW w:w="160" w:type="dxa"/>
            <w:vAlign w:val="bottom"/>
            <w:gridSpan w:val="2"/>
          </w:tcPr>
          <w:p>
            <w:pPr>
              <w:jc w:val="center"/>
              <w:spacing w:after="0" w:line="119" w:lineRule="exact"/>
              <w:rPr>
                <w:sz w:val="20"/>
                <w:szCs w:val="20"/>
                <w:color w:val="auto"/>
              </w:rPr>
            </w:pPr>
            <w:r>
              <w:rPr>
                <w:rFonts w:ascii="Arial" w:cs="Arial" w:eastAsia="Arial" w:hAnsi="Arial"/>
                <w:sz w:val="11"/>
                <w:szCs w:val="11"/>
                <w:color w:val="auto"/>
                <w:w w:val="97"/>
              </w:rPr>
              <w:t>$</w:t>
            </w:r>
          </w:p>
        </w:tc>
        <w:tc>
          <w:tcPr>
            <w:tcW w:w="92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19,542</w:t>
            </w:r>
          </w:p>
        </w:tc>
        <w:tc>
          <w:tcPr>
            <w:tcW w:w="20" w:type="dxa"/>
            <w:vAlign w:val="bottom"/>
          </w:tcPr>
          <w:p>
            <w:pPr>
              <w:spacing w:after="0"/>
              <w:rPr>
                <w:sz w:val="13"/>
                <w:szCs w:val="13"/>
                <w:color w:val="auto"/>
              </w:rPr>
            </w:pPr>
          </w:p>
        </w:tc>
        <w:tc>
          <w:tcPr>
            <w:tcW w:w="10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w:t>
            </w:r>
          </w:p>
        </w:tc>
        <w:tc>
          <w:tcPr>
            <w:tcW w:w="960" w:type="dxa"/>
            <w:vAlign w:val="bottom"/>
          </w:tcPr>
          <w:p>
            <w:pPr>
              <w:jc w:val="right"/>
              <w:spacing w:after="0" w:line="119" w:lineRule="exact"/>
              <w:rPr>
                <w:sz w:val="20"/>
                <w:szCs w:val="20"/>
                <w:color w:val="auto"/>
              </w:rPr>
            </w:pPr>
            <w:r>
              <w:rPr>
                <w:rFonts w:ascii="Arial" w:cs="Arial" w:eastAsia="Arial" w:hAnsi="Arial"/>
                <w:sz w:val="11"/>
                <w:szCs w:val="11"/>
                <w:color w:val="auto"/>
              </w:rPr>
              <w:t>305,837</w:t>
            </w:r>
          </w:p>
        </w:tc>
        <w:tc>
          <w:tcPr>
            <w:tcW w:w="20" w:type="dxa"/>
            <w:vAlign w:val="bottom"/>
          </w:tcPr>
          <w:p>
            <w:pPr>
              <w:spacing w:after="0"/>
              <w:rPr>
                <w:sz w:val="13"/>
                <w:szCs w:val="13"/>
                <w:color w:val="auto"/>
              </w:rPr>
            </w:pPr>
          </w:p>
        </w:tc>
        <w:tc>
          <w:tcPr>
            <w:tcW w:w="150" w:type="dxa"/>
            <w:vAlign w:val="bottom"/>
            <w:gridSpan w:val="3"/>
          </w:tcPr>
          <w:p>
            <w:pPr>
              <w:ind w:left="40"/>
              <w:spacing w:after="0" w:line="119" w:lineRule="exact"/>
              <w:rPr>
                <w:sz w:val="20"/>
                <w:szCs w:val="20"/>
                <w:color w:val="auto"/>
              </w:rPr>
            </w:pPr>
            <w:r>
              <w:rPr>
                <w:rFonts w:ascii="Arial" w:cs="Arial" w:eastAsia="Arial" w:hAnsi="Arial"/>
                <w:sz w:val="11"/>
                <w:szCs w:val="11"/>
                <w:color w:val="auto"/>
              </w:rPr>
              <w:t>$</w:t>
            </w:r>
          </w:p>
        </w:tc>
        <w:tc>
          <w:tcPr>
            <w:tcW w:w="970" w:type="dxa"/>
            <w:vAlign w:val="bottom"/>
            <w:gridSpan w:val="4"/>
          </w:tcPr>
          <w:p>
            <w:pPr>
              <w:jc w:val="right"/>
              <w:ind w:right="40"/>
              <w:spacing w:after="0" w:line="119" w:lineRule="exact"/>
              <w:rPr>
                <w:sz w:val="20"/>
                <w:szCs w:val="20"/>
                <w:color w:val="auto"/>
              </w:rPr>
            </w:pPr>
            <w:r>
              <w:rPr>
                <w:rFonts w:ascii="Arial" w:cs="Arial" w:eastAsia="Arial" w:hAnsi="Arial"/>
                <w:sz w:val="11"/>
                <w:szCs w:val="11"/>
                <w:color w:val="auto"/>
              </w:rPr>
              <w:t>(91,269)</w:t>
            </w: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(51,226)</w:t>
            </w:r>
          </w:p>
        </w:tc>
        <w:tc>
          <w:tcPr>
            <w:tcW w:w="11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3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182,884</w:t>
            </w:r>
          </w:p>
        </w:tc>
        <w:tc>
          <w:tcPr>
            <w:tcW w:w="0" w:type="dxa"/>
            <w:vAlign w:val="bottom"/>
          </w:tcPr>
          <w:p>
            <w:pPr>
              <w:spacing w:after="0"/>
              <w:rPr>
                <w:sz w:val="1"/>
                <w:szCs w:val="1"/>
                <w:color w:val="auto"/>
              </w:rPr>
            </w:pPr>
          </w:p>
        </w:tc>
      </w:tr>
      <w:tr>
        <w:trPr>
          <w:trHeight w:val="79"/>
        </w:trPr>
        <w:tc>
          <w:tcPr>
            <w:tcW w:w="100" w:type="dxa"/>
            <w:vAlign w:val="bottom"/>
            <w:tcBorders>
              <w:top w:val="single" w:sz="8" w:color="CCEEFF"/>
            </w:tcBorders>
            <w:shd w:val="clear" w:color="auto" w:fill="CCEEFF"/>
          </w:tcPr>
          <w:p>
            <w:pPr>
              <w:spacing w:after="0"/>
              <w:rPr>
                <w:sz w:val="6"/>
                <w:szCs w:val="6"/>
                <w:color w:val="auto"/>
              </w:rPr>
            </w:pPr>
          </w:p>
        </w:tc>
        <w:tc>
          <w:tcPr>
            <w:tcW w:w="3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9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10" w:type="dxa"/>
            <w:vAlign w:val="bottom"/>
            <w:tcBorders>
              <w:top w:val="single" w:sz="8" w:color="auto"/>
            </w:tcBorders>
            <w:shd w:val="clear" w:color="auto" w:fill="CCEEFF"/>
          </w:tcPr>
          <w:p>
            <w:pPr>
              <w:spacing w:after="0"/>
              <w:rPr>
                <w:sz w:val="6"/>
                <w:szCs w:val="6"/>
                <w:color w:val="auto"/>
              </w:rPr>
            </w:pPr>
          </w:p>
        </w:tc>
        <w:tc>
          <w:tcPr>
            <w:tcW w:w="30" w:type="dxa"/>
            <w:vAlign w:val="bottom"/>
            <w:tcBorders>
              <w:top w:val="single" w:sz="8" w:color="auto"/>
            </w:tcBorders>
            <w:shd w:val="clear" w:color="auto" w:fill="CCEEFF"/>
          </w:tcPr>
          <w:p>
            <w:pPr>
              <w:spacing w:after="0"/>
              <w:rPr>
                <w:sz w:val="6"/>
                <w:szCs w:val="6"/>
                <w:color w:val="auto"/>
              </w:rPr>
            </w:pPr>
          </w:p>
        </w:tc>
        <w:tc>
          <w:tcPr>
            <w:tcW w:w="88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9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10" w:type="dxa"/>
            <w:vAlign w:val="bottom"/>
            <w:tcBorders>
              <w:top w:val="single" w:sz="8" w:color="auto"/>
            </w:tcBorders>
            <w:shd w:val="clear" w:color="auto" w:fill="CCEEFF"/>
          </w:tcPr>
          <w:p>
            <w:pPr>
              <w:spacing w:after="0"/>
              <w:rPr>
                <w:sz w:val="6"/>
                <w:szCs w:val="6"/>
                <w:color w:val="auto"/>
              </w:rPr>
            </w:pPr>
          </w:p>
        </w:tc>
        <w:tc>
          <w:tcPr>
            <w:tcW w:w="50" w:type="dxa"/>
            <w:vAlign w:val="bottom"/>
            <w:tcBorders>
              <w:top w:val="single" w:sz="8" w:color="auto"/>
            </w:tcBorders>
            <w:shd w:val="clear" w:color="auto" w:fill="CCEEFF"/>
          </w:tcPr>
          <w:p>
            <w:pPr>
              <w:spacing w:after="0"/>
              <w:rPr>
                <w:sz w:val="6"/>
                <w:szCs w:val="6"/>
                <w:color w:val="auto"/>
              </w:rPr>
            </w:pPr>
          </w:p>
        </w:tc>
        <w:tc>
          <w:tcPr>
            <w:tcW w:w="8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840" w:type="dxa"/>
            <w:vAlign w:val="bottom"/>
            <w:gridSpan w:val="3"/>
          </w:tcPr>
          <w:p>
            <w:pPr>
              <w:spacing w:after="0"/>
              <w:rPr>
                <w:sz w:val="20"/>
                <w:szCs w:val="20"/>
                <w:color w:val="auto"/>
              </w:rPr>
            </w:pPr>
            <w:r>
              <w:rPr>
                <w:rFonts w:ascii="Arial" w:cs="Arial" w:eastAsia="Arial" w:hAnsi="Arial"/>
                <w:sz w:val="11"/>
                <w:szCs w:val="11"/>
                <w:color w:val="auto"/>
              </w:rPr>
              <w:t>Balance at July 1, 2022</w:t>
            </w: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20,000,753</w:t>
            </w:r>
          </w:p>
        </w:tc>
        <w:tc>
          <w:tcPr>
            <w:tcW w:w="160" w:type="dxa"/>
            <w:vAlign w:val="bottom"/>
            <w:gridSpan w:val="2"/>
          </w:tcPr>
          <w:p>
            <w:pPr>
              <w:jc w:val="center"/>
              <w:spacing w:after="0"/>
              <w:rPr>
                <w:sz w:val="20"/>
                <w:szCs w:val="20"/>
                <w:color w:val="auto"/>
              </w:rPr>
            </w:pPr>
            <w:r>
              <w:rPr>
                <w:rFonts w:ascii="Arial" w:cs="Arial" w:eastAsia="Arial" w:hAnsi="Arial"/>
                <w:sz w:val="11"/>
                <w:szCs w:val="11"/>
                <w:color w:val="auto"/>
                <w:w w:val="97"/>
              </w:rPr>
              <w:t>$</w:t>
            </w: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20,001</w:t>
            </w:r>
          </w:p>
        </w:tc>
        <w:tc>
          <w:tcPr>
            <w:tcW w:w="2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311,024</w:t>
            </w:r>
          </w:p>
        </w:tc>
        <w:tc>
          <w:tcPr>
            <w:tcW w:w="20" w:type="dxa"/>
            <w:vAlign w:val="bottom"/>
          </w:tcPr>
          <w:p>
            <w:pPr>
              <w:spacing w:after="0"/>
              <w:rPr>
                <w:sz w:val="12"/>
                <w:szCs w:val="12"/>
                <w:color w:val="auto"/>
              </w:rPr>
            </w:pPr>
          </w:p>
        </w:tc>
        <w:tc>
          <w:tcPr>
            <w:tcW w:w="150" w:type="dxa"/>
            <w:vAlign w:val="bottom"/>
            <w:gridSpan w:val="3"/>
          </w:tcPr>
          <w:p>
            <w:pPr>
              <w:ind w:left="40"/>
              <w:spacing w:after="0"/>
              <w:rPr>
                <w:sz w:val="20"/>
                <w:szCs w:val="20"/>
                <w:color w:val="auto"/>
              </w:rPr>
            </w:pPr>
            <w:r>
              <w:rPr>
                <w:rFonts w:ascii="Arial" w:cs="Arial" w:eastAsia="Arial" w:hAnsi="Arial"/>
                <w:sz w:val="11"/>
                <w:szCs w:val="11"/>
                <w:color w:val="auto"/>
              </w:rPr>
              <w:t>$</w:t>
            </w:r>
          </w:p>
        </w:tc>
        <w:tc>
          <w:tcPr>
            <w:tcW w:w="930" w:type="dxa"/>
            <w:vAlign w:val="bottom"/>
            <w:gridSpan w:val="3"/>
          </w:tcPr>
          <w:p>
            <w:pPr>
              <w:jc w:val="right"/>
              <w:ind w:right="20"/>
              <w:spacing w:after="0"/>
              <w:rPr>
                <w:sz w:val="20"/>
                <w:szCs w:val="20"/>
                <w:color w:val="auto"/>
              </w:rPr>
            </w:pPr>
            <w:r>
              <w:rPr>
                <w:rFonts w:ascii="Arial" w:cs="Arial" w:eastAsia="Arial" w:hAnsi="Arial"/>
                <w:sz w:val="11"/>
                <w:szCs w:val="11"/>
                <w:color w:val="auto"/>
              </w:rPr>
              <w:t>(114,096)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(36,861)</w:t>
            </w:r>
          </w:p>
        </w:tc>
        <w:tc>
          <w:tcPr>
            <w:tcW w:w="11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180,068</w:t>
            </w:r>
          </w:p>
        </w:tc>
        <w:tc>
          <w:tcPr>
            <w:tcW w:w="0" w:type="dxa"/>
            <w:vAlign w:val="bottom"/>
          </w:tcPr>
          <w:p>
            <w:pPr>
              <w:spacing w:after="0"/>
              <w:rPr>
                <w:sz w:val="1"/>
                <w:szCs w:val="1"/>
                <w:color w:val="auto"/>
              </w:rPr>
            </w:pPr>
          </w:p>
        </w:tc>
      </w:tr>
      <w:tr>
        <w:trPr>
          <w:trHeight w:val="139"/>
        </w:trPr>
        <w:tc>
          <w:tcPr>
            <w:tcW w:w="100" w:type="dxa"/>
            <w:vAlign w:val="bottom"/>
            <w:shd w:val="clear" w:color="auto" w:fill="CCEEFF"/>
          </w:tcPr>
          <w:p>
            <w:pPr>
              <w:spacing w:after="0"/>
              <w:rPr>
                <w:sz w:val="12"/>
                <w:szCs w:val="12"/>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income</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1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5,558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5,558</w:t>
            </w:r>
          </w:p>
        </w:tc>
        <w:tc>
          <w:tcPr>
            <w:tcW w:w="0" w:type="dxa"/>
            <w:vAlign w:val="bottom"/>
          </w:tcPr>
          <w:p>
            <w:pPr>
              <w:spacing w:after="0"/>
              <w:rPr>
                <w:sz w:val="1"/>
                <w:szCs w:val="1"/>
                <w:color w:val="auto"/>
              </w:rPr>
            </w:pPr>
          </w:p>
        </w:tc>
      </w:tr>
      <w:tr>
        <w:trPr>
          <w:trHeight w:val="139"/>
        </w:trPr>
        <w:tc>
          <w:tcPr>
            <w:tcW w:w="3840" w:type="dxa"/>
            <w:vAlign w:val="bottom"/>
            <w:gridSpan w:val="3"/>
          </w:tcPr>
          <w:p>
            <w:pPr>
              <w:ind w:left="100"/>
              <w:spacing w:after="0"/>
              <w:rPr>
                <w:sz w:val="20"/>
                <w:szCs w:val="20"/>
                <w:color w:val="auto"/>
              </w:rPr>
            </w:pPr>
            <w:r>
              <w:rPr>
                <w:rFonts w:ascii="Arial" w:cs="Arial" w:eastAsia="Arial" w:hAnsi="Arial"/>
                <w:sz w:val="11"/>
                <w:szCs w:val="11"/>
                <w:color w:val="auto"/>
              </w:rPr>
              <w:t>Other comprehensive loss</w:t>
            </w: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(8,341)</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(8,341)</w:t>
            </w:r>
          </w:p>
        </w:tc>
        <w:tc>
          <w:tcPr>
            <w:tcW w:w="0" w:type="dxa"/>
            <w:vAlign w:val="bottom"/>
          </w:tcPr>
          <w:p>
            <w:pPr>
              <w:spacing w:after="0"/>
              <w:rPr>
                <w:sz w:val="1"/>
                <w:szCs w:val="1"/>
                <w:color w:val="auto"/>
              </w:rPr>
            </w:pPr>
          </w:p>
        </w:tc>
      </w:tr>
      <w:tr>
        <w:trPr>
          <w:trHeight w:val="128"/>
        </w:trPr>
        <w:tc>
          <w:tcPr>
            <w:tcW w:w="100" w:type="dxa"/>
            <w:vAlign w:val="bottom"/>
            <w:shd w:val="clear" w:color="auto" w:fill="CCEEFF"/>
          </w:tcPr>
          <w:p>
            <w:pPr>
              <w:spacing w:after="0"/>
              <w:rPr>
                <w:sz w:val="11"/>
                <w:szCs w:val="1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0" w:type="dxa"/>
            <w:vAlign w:val="bottom"/>
            <w:tcBorders>
              <w:bottom w:val="single" w:sz="8" w:color="auto"/>
            </w:tcBorders>
            <w:shd w:val="clear" w:color="auto" w:fill="CCEEFF"/>
          </w:tcPr>
          <w:p>
            <w:pPr>
              <w:spacing w:after="0"/>
              <w:rPr>
                <w:sz w:val="11"/>
                <w:szCs w:val="11"/>
                <w:color w:val="auto"/>
              </w:rPr>
            </w:pPr>
          </w:p>
        </w:tc>
        <w:tc>
          <w:tcPr>
            <w:tcW w:w="91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10" w:type="dxa"/>
            <w:vAlign w:val="bottom"/>
            <w:tcBorders>
              <w:bottom w:val="single" w:sz="8" w:color="auto"/>
            </w:tcBorders>
            <w:shd w:val="clear" w:color="auto" w:fill="CCEEFF"/>
          </w:tcPr>
          <w:p>
            <w:pPr>
              <w:spacing w:after="0"/>
              <w:rPr>
                <w:sz w:val="11"/>
                <w:szCs w:val="11"/>
                <w:color w:val="auto"/>
              </w:rPr>
            </w:pPr>
          </w:p>
        </w:tc>
        <w:tc>
          <w:tcPr>
            <w:tcW w:w="93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119"/>
        </w:trPr>
        <w:tc>
          <w:tcPr>
            <w:tcW w:w="3840" w:type="dxa"/>
            <w:vAlign w:val="bottom"/>
            <w:gridSpan w:val="3"/>
          </w:tcPr>
          <w:p>
            <w:pPr>
              <w:spacing w:after="0" w:line="119" w:lineRule="exact"/>
              <w:rPr>
                <w:sz w:val="20"/>
                <w:szCs w:val="20"/>
                <w:color w:val="auto"/>
              </w:rPr>
            </w:pPr>
            <w:r>
              <w:rPr>
                <w:rFonts w:ascii="Arial" w:cs="Arial" w:eastAsia="Arial" w:hAnsi="Arial"/>
                <w:sz w:val="11"/>
                <w:szCs w:val="11"/>
                <w:color w:val="auto"/>
              </w:rPr>
              <w:t>Balance at September 30, 2022</w:t>
            </w:r>
          </w:p>
        </w:tc>
        <w:tc>
          <w:tcPr>
            <w:tcW w:w="920" w:type="dxa"/>
            <w:vAlign w:val="bottom"/>
            <w:gridSpan w:val="2"/>
          </w:tcPr>
          <w:p>
            <w:pPr>
              <w:jc w:val="right"/>
              <w:ind w:right="40"/>
              <w:spacing w:after="0" w:line="119" w:lineRule="exact"/>
              <w:rPr>
                <w:sz w:val="20"/>
                <w:szCs w:val="20"/>
                <w:color w:val="auto"/>
              </w:rPr>
            </w:pPr>
            <w:r>
              <w:rPr>
                <w:rFonts w:ascii="Arial" w:cs="Arial" w:eastAsia="Arial" w:hAnsi="Arial"/>
                <w:sz w:val="11"/>
                <w:szCs w:val="11"/>
                <w:color w:val="auto"/>
              </w:rPr>
              <w:t>20,000,753</w:t>
            </w:r>
          </w:p>
        </w:tc>
        <w:tc>
          <w:tcPr>
            <w:tcW w:w="40" w:type="dxa"/>
            <w:vAlign w:val="bottom"/>
          </w:tcPr>
          <w:p>
            <w:pPr>
              <w:spacing w:after="0"/>
              <w:rPr>
                <w:sz w:val="10"/>
                <w:szCs w:val="10"/>
                <w:color w:val="auto"/>
              </w:rPr>
            </w:pPr>
          </w:p>
        </w:tc>
        <w:tc>
          <w:tcPr>
            <w:tcW w:w="120" w:type="dxa"/>
            <w:vAlign w:val="bottom"/>
          </w:tcPr>
          <w:p>
            <w:pPr>
              <w:jc w:val="center"/>
              <w:ind w:right="6"/>
              <w:spacing w:after="0" w:line="119" w:lineRule="exact"/>
              <w:rPr>
                <w:sz w:val="20"/>
                <w:szCs w:val="20"/>
                <w:color w:val="auto"/>
              </w:rPr>
            </w:pPr>
            <w:r>
              <w:rPr>
                <w:rFonts w:ascii="Arial" w:cs="Arial" w:eastAsia="Arial" w:hAnsi="Arial"/>
                <w:sz w:val="11"/>
                <w:szCs w:val="11"/>
                <w:color w:val="auto"/>
                <w:w w:val="97"/>
              </w:rPr>
              <w:t>$</w:t>
            </w:r>
          </w:p>
        </w:tc>
        <w:tc>
          <w:tcPr>
            <w:tcW w:w="92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20,001</w:t>
            </w:r>
          </w:p>
        </w:tc>
        <w:tc>
          <w:tcPr>
            <w:tcW w:w="20" w:type="dxa"/>
            <w:vAlign w:val="bottom"/>
          </w:tcPr>
          <w:p>
            <w:pPr>
              <w:spacing w:after="0"/>
              <w:rPr>
                <w:sz w:val="10"/>
                <w:szCs w:val="10"/>
                <w:color w:val="auto"/>
              </w:rPr>
            </w:pPr>
          </w:p>
        </w:tc>
        <w:tc>
          <w:tcPr>
            <w:tcW w:w="10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w:t>
            </w:r>
          </w:p>
        </w:tc>
        <w:tc>
          <w:tcPr>
            <w:tcW w:w="960" w:type="dxa"/>
            <w:vAlign w:val="bottom"/>
          </w:tcPr>
          <w:p>
            <w:pPr>
              <w:jc w:val="right"/>
              <w:spacing w:after="0" w:line="119" w:lineRule="exact"/>
              <w:rPr>
                <w:sz w:val="20"/>
                <w:szCs w:val="20"/>
                <w:color w:val="auto"/>
              </w:rPr>
            </w:pPr>
            <w:r>
              <w:rPr>
                <w:rFonts w:ascii="Arial" w:cs="Arial" w:eastAsia="Arial" w:hAnsi="Arial"/>
                <w:sz w:val="11"/>
                <w:szCs w:val="11"/>
                <w:color w:val="auto"/>
              </w:rPr>
              <w:t>311,156</w:t>
            </w:r>
          </w:p>
        </w:tc>
        <w:tc>
          <w:tcPr>
            <w:tcW w:w="20" w:type="dxa"/>
            <w:vAlign w:val="bottom"/>
          </w:tcPr>
          <w:p>
            <w:pPr>
              <w:spacing w:after="0"/>
              <w:rPr>
                <w:sz w:val="10"/>
                <w:szCs w:val="10"/>
                <w:color w:val="auto"/>
              </w:rPr>
            </w:pPr>
          </w:p>
        </w:tc>
        <w:tc>
          <w:tcPr>
            <w:tcW w:w="150" w:type="dxa"/>
            <w:vAlign w:val="bottom"/>
            <w:gridSpan w:val="3"/>
          </w:tcPr>
          <w:p>
            <w:pPr>
              <w:ind w:left="40"/>
              <w:spacing w:after="0" w:line="119" w:lineRule="exact"/>
              <w:rPr>
                <w:sz w:val="20"/>
                <w:szCs w:val="20"/>
                <w:color w:val="auto"/>
              </w:rPr>
            </w:pPr>
            <w:r>
              <w:rPr>
                <w:rFonts w:ascii="Arial" w:cs="Arial" w:eastAsia="Arial" w:hAnsi="Arial"/>
                <w:sz w:val="11"/>
                <w:szCs w:val="11"/>
                <w:color w:val="auto"/>
              </w:rPr>
              <w:t>$</w:t>
            </w:r>
          </w:p>
        </w:tc>
        <w:tc>
          <w:tcPr>
            <w:tcW w:w="970" w:type="dxa"/>
            <w:vAlign w:val="bottom"/>
            <w:gridSpan w:val="4"/>
          </w:tcPr>
          <w:p>
            <w:pPr>
              <w:jc w:val="right"/>
              <w:ind w:right="40"/>
              <w:spacing w:after="0" w:line="119" w:lineRule="exact"/>
              <w:rPr>
                <w:sz w:val="20"/>
                <w:szCs w:val="20"/>
                <w:color w:val="auto"/>
              </w:rPr>
            </w:pPr>
            <w:r>
              <w:rPr>
                <w:rFonts w:ascii="Arial" w:cs="Arial" w:eastAsia="Arial" w:hAnsi="Arial"/>
                <w:sz w:val="11"/>
                <w:szCs w:val="11"/>
                <w:color w:val="auto"/>
              </w:rPr>
              <w:t>(108,538)</w:t>
            </w:r>
          </w:p>
        </w:tc>
        <w:tc>
          <w:tcPr>
            <w:tcW w:w="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(45,202)</w:t>
            </w:r>
          </w:p>
        </w:tc>
        <w:tc>
          <w:tcPr>
            <w:tcW w:w="11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3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177,417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5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00" w:type="dxa"/>
            <w:vAlign w:val="bottom"/>
            <w:tcBorders>
              <w:bottom w:val="single" w:sz="8" w:color="auto"/>
            </w:tcBorders>
          </w:tcPr>
          <w:p>
            <w:pPr>
              <w:spacing w:after="0"/>
              <w:rPr>
                <w:sz w:val="6"/>
                <w:szCs w:val="6"/>
                <w:color w:val="auto"/>
              </w:rPr>
            </w:pPr>
          </w:p>
        </w:tc>
        <w:tc>
          <w:tcPr>
            <w:tcW w:w="37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20" w:type="dxa"/>
            <w:vAlign w:val="bottom"/>
            <w:gridSpan w:val="7"/>
            <w:vMerge w:val="restart"/>
          </w:tcPr>
          <w:p>
            <w:pPr>
              <w:jc w:val="right"/>
              <w:ind w:right="680"/>
              <w:spacing w:after="0"/>
              <w:rPr>
                <w:sz w:val="20"/>
                <w:szCs w:val="20"/>
                <w:color w:val="auto"/>
              </w:rPr>
            </w:pPr>
            <w:r>
              <w:rPr>
                <w:rFonts w:ascii="Arial" w:cs="Arial" w:eastAsia="Arial" w:hAnsi="Arial"/>
                <w:sz w:val="11"/>
                <w:szCs w:val="11"/>
                <w:b w:val="1"/>
                <w:bCs w:val="1"/>
                <w:color w:val="auto"/>
              </w:rPr>
              <w:t>Common Stock</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 w:type="dxa"/>
            <w:vAlign w:val="bottom"/>
          </w:tcPr>
          <w:p>
            <w:pPr>
              <w:spacing w:after="0"/>
              <w:rPr>
                <w:sz w:val="6"/>
                <w:szCs w:val="6"/>
                <w:color w:val="auto"/>
              </w:rPr>
            </w:pPr>
          </w:p>
        </w:tc>
        <w:tc>
          <w:tcPr>
            <w:tcW w:w="3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 w:type="dxa"/>
            <w:vAlign w:val="bottom"/>
          </w:tcPr>
          <w:p>
            <w:pPr>
              <w:spacing w:after="0"/>
              <w:rPr>
                <w:sz w:val="6"/>
                <w:szCs w:val="6"/>
                <w:color w:val="auto"/>
              </w:rPr>
            </w:pPr>
          </w:p>
        </w:tc>
        <w:tc>
          <w:tcPr>
            <w:tcW w:w="5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gridSpan w:val="7"/>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gridSpan w:val="3"/>
          </w:tcPr>
          <w:p>
            <w:pPr>
              <w:ind w:left="20"/>
              <w:spacing w:after="0"/>
              <w:rPr>
                <w:sz w:val="20"/>
                <w:szCs w:val="20"/>
                <w:color w:val="auto"/>
              </w:rPr>
            </w:pPr>
            <w:r>
              <w:rPr>
                <w:rFonts w:ascii="Arial" w:cs="Arial" w:eastAsia="Arial" w:hAnsi="Arial"/>
                <w:sz w:val="11"/>
                <w:szCs w:val="11"/>
                <w:b w:val="1"/>
                <w:bCs w:val="1"/>
                <w:color w:val="auto"/>
              </w:rPr>
              <w:t>Additional Paid-in</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30" w:type="dxa"/>
            <w:vAlign w:val="bottom"/>
          </w:tcPr>
          <w:p>
            <w:pPr>
              <w:spacing w:after="0"/>
              <w:rPr>
                <w:sz w:val="22"/>
                <w:szCs w:val="22"/>
                <w:color w:val="auto"/>
              </w:rPr>
            </w:pPr>
          </w:p>
        </w:tc>
        <w:tc>
          <w:tcPr>
            <w:tcW w:w="96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Accumulated</w:t>
            </w:r>
          </w:p>
        </w:tc>
        <w:tc>
          <w:tcPr>
            <w:tcW w:w="10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6"/>
              </w:rPr>
              <w:t>Accumulated Other</w:t>
            </w:r>
          </w:p>
        </w:tc>
        <w:tc>
          <w:tcPr>
            <w:tcW w:w="110" w:type="dxa"/>
            <w:vAlign w:val="bottom"/>
          </w:tcPr>
          <w:p>
            <w:pPr>
              <w:spacing w:after="0"/>
              <w:rPr>
                <w:sz w:val="22"/>
                <w:szCs w:val="22"/>
                <w:color w:val="auto"/>
              </w:rPr>
            </w:pPr>
          </w:p>
        </w:tc>
        <w:tc>
          <w:tcPr>
            <w:tcW w:w="50" w:type="dxa"/>
            <w:vAlign w:val="bottom"/>
          </w:tcPr>
          <w:p>
            <w:pPr>
              <w:spacing w:after="0"/>
              <w:rPr>
                <w:sz w:val="22"/>
                <w:szCs w:val="22"/>
                <w:color w:val="auto"/>
              </w:rPr>
            </w:pP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w w:val="96"/>
              </w:rPr>
              <w:t>Capital on Common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3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Comprehensive</w:t>
            </w:r>
          </w:p>
        </w:tc>
        <w:tc>
          <w:tcPr>
            <w:tcW w:w="110" w:type="dxa"/>
            <w:vAlign w:val="bottom"/>
          </w:tcPr>
          <w:p>
            <w:pPr>
              <w:spacing w:after="0"/>
              <w:rPr>
                <w:sz w:val="11"/>
                <w:szCs w:val="11"/>
                <w:color w:val="auto"/>
              </w:rPr>
            </w:pPr>
          </w:p>
        </w:tc>
        <w:tc>
          <w:tcPr>
            <w:tcW w:w="50" w:type="dxa"/>
            <w:vAlign w:val="bottom"/>
          </w:tcPr>
          <w:p>
            <w:pPr>
              <w:spacing w:after="0"/>
              <w:rPr>
                <w:sz w:val="11"/>
                <w:szCs w:val="11"/>
                <w:color w:val="auto"/>
              </w:rPr>
            </w:pP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131"/>
        </w:trPr>
        <w:tc>
          <w:tcPr>
            <w:tcW w:w="100" w:type="dxa"/>
            <w:vAlign w:val="bottom"/>
            <w:tcBorders>
              <w:bottom w:val="single" w:sz="8" w:color="CCEEFF"/>
            </w:tcBorders>
          </w:tcPr>
          <w:p>
            <w:pPr>
              <w:spacing w:after="0"/>
              <w:rPr>
                <w:sz w:val="11"/>
                <w:szCs w:val="11"/>
                <w:color w:val="auto"/>
              </w:rPr>
            </w:pPr>
          </w:p>
        </w:tc>
        <w:tc>
          <w:tcPr>
            <w:tcW w:w="370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Stock</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Deficit</w:t>
            </w:r>
          </w:p>
        </w:tc>
        <w:tc>
          <w:tcPr>
            <w:tcW w:w="6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3"/>
              </w:rPr>
              <w:t>Loss</w:t>
            </w:r>
          </w:p>
        </w:tc>
        <w:tc>
          <w:tcPr>
            <w:tcW w:w="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9"/>
        </w:trPr>
        <w:tc>
          <w:tcPr>
            <w:tcW w:w="3840" w:type="dxa"/>
            <w:vAlign w:val="bottom"/>
            <w:gridSpan w:val="3"/>
            <w:shd w:val="clear" w:color="auto" w:fill="CCEEFF"/>
          </w:tcPr>
          <w:p>
            <w:pPr>
              <w:ind w:left="40"/>
              <w:spacing w:after="0" w:line="119" w:lineRule="exact"/>
              <w:rPr>
                <w:sz w:val="20"/>
                <w:szCs w:val="20"/>
                <w:color w:val="auto"/>
              </w:rPr>
            </w:pPr>
            <w:r>
              <w:rPr>
                <w:rFonts w:ascii="Arial" w:cs="Arial" w:eastAsia="Arial" w:hAnsi="Arial"/>
                <w:sz w:val="11"/>
                <w:szCs w:val="11"/>
                <w:color w:val="auto"/>
              </w:rPr>
              <w:t>Balance at January 1, 2023</w:t>
            </w:r>
          </w:p>
        </w:tc>
        <w:tc>
          <w:tcPr>
            <w:tcW w:w="860" w:type="dxa"/>
            <w:vAlign w:val="bottom"/>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20,000,753</w:t>
            </w:r>
          </w:p>
        </w:tc>
        <w:tc>
          <w:tcPr>
            <w:tcW w:w="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26"/>
              <w:spacing w:after="0" w:line="119" w:lineRule="exact"/>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20,001</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26"/>
              <w:spacing w:after="0" w:line="119" w:lineRule="exact"/>
              <w:rPr>
                <w:sz w:val="20"/>
                <w:szCs w:val="20"/>
                <w:color w:val="auto"/>
              </w:rPr>
            </w:pPr>
            <w:r>
              <w:rPr>
                <w:rFonts w:ascii="Arial" w:cs="Arial" w:eastAsia="Arial" w:hAnsi="Arial"/>
                <w:sz w:val="11"/>
                <w:szCs w:val="11"/>
                <w:color w:val="auto"/>
              </w:rPr>
              <w:t>311,282</w:t>
            </w:r>
          </w:p>
        </w:tc>
        <w:tc>
          <w:tcPr>
            <w:tcW w:w="20" w:type="dxa"/>
            <w:vAlign w:val="bottom"/>
            <w:shd w:val="clear" w:color="auto" w:fill="CCEEFF"/>
          </w:tcPr>
          <w:p>
            <w:pPr>
              <w:spacing w:after="0"/>
              <w:rPr>
                <w:sz w:val="10"/>
                <w:szCs w:val="10"/>
                <w:color w:val="auto"/>
              </w:rPr>
            </w:pPr>
          </w:p>
        </w:tc>
        <w:tc>
          <w:tcPr>
            <w:tcW w:w="150" w:type="dxa"/>
            <w:vAlign w:val="bottom"/>
            <w:gridSpan w:val="3"/>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91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(104,104)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(44,751)</w:t>
            </w:r>
          </w:p>
        </w:tc>
        <w:tc>
          <w:tcPr>
            <w:tcW w:w="60" w:type="dxa"/>
            <w:vAlign w:val="bottom"/>
            <w:shd w:val="clear" w:color="auto" w:fill="CCEEFF"/>
          </w:tcPr>
          <w:p>
            <w:pPr>
              <w:spacing w:after="0"/>
              <w:rPr>
                <w:sz w:val="10"/>
                <w:szCs w:val="10"/>
                <w:color w:val="auto"/>
              </w:rPr>
            </w:pPr>
          </w:p>
        </w:tc>
        <w:tc>
          <w:tcPr>
            <w:tcW w:w="11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w:t>
            </w:r>
          </w:p>
        </w:tc>
        <w:tc>
          <w:tcPr>
            <w:tcW w:w="930" w:type="dxa"/>
            <w:vAlign w:val="bottom"/>
            <w:gridSpan w:val="2"/>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182,428</w:t>
            </w: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3740" w:type="dxa"/>
            <w:vAlign w:val="bottom"/>
            <w:gridSpan w:val="2"/>
          </w:tcPr>
          <w:p>
            <w:pPr>
              <w:ind w:left="40"/>
              <w:spacing w:after="0"/>
              <w:rPr>
                <w:sz w:val="20"/>
                <w:szCs w:val="20"/>
                <w:color w:val="auto"/>
              </w:rPr>
            </w:pPr>
            <w:r>
              <w:rPr>
                <w:rFonts w:ascii="Arial" w:cs="Arial" w:eastAsia="Arial" w:hAnsi="Arial"/>
                <w:sz w:val="11"/>
                <w:szCs w:val="11"/>
                <w:color w:val="auto"/>
                <w:w w:val="99"/>
              </w:rPr>
              <w:t>After tax cumulative effect of adoption of accountingprinciple related to ASC</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3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color w:val="auto"/>
              </w:rPr>
              <w:t>326</w:t>
            </w: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(989)</w:t>
            </w: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(989)</w:t>
            </w:r>
          </w:p>
        </w:tc>
        <w:tc>
          <w:tcPr>
            <w:tcW w:w="0" w:type="dxa"/>
            <w:vAlign w:val="bottom"/>
          </w:tcPr>
          <w:p>
            <w:pPr>
              <w:spacing w:after="0"/>
              <w:rPr>
                <w:sz w:val="1"/>
                <w:szCs w:val="1"/>
                <w:color w:val="auto"/>
              </w:rPr>
            </w:pPr>
          </w:p>
        </w:tc>
      </w:tr>
      <w:tr>
        <w:trPr>
          <w:trHeight w:val="128"/>
        </w:trPr>
        <w:tc>
          <w:tcPr>
            <w:tcW w:w="100" w:type="dxa"/>
            <w:vAlign w:val="bottom"/>
            <w:shd w:val="clear" w:color="auto" w:fill="CCEEFF"/>
          </w:tcPr>
          <w:p>
            <w:pPr>
              <w:spacing w:after="0"/>
              <w:rPr>
                <w:sz w:val="11"/>
                <w:szCs w:val="11"/>
                <w:color w:val="auto"/>
              </w:rPr>
            </w:pPr>
          </w:p>
        </w:tc>
        <w:tc>
          <w:tcPr>
            <w:tcW w:w="3700" w:type="dxa"/>
            <w:vAlign w:val="bottom"/>
            <w:shd w:val="clear" w:color="auto" w:fill="CCEEFF"/>
          </w:tcPr>
          <w:p>
            <w:pPr>
              <w:ind w:left="40"/>
              <w:spacing w:after="0"/>
              <w:rPr>
                <w:sz w:val="20"/>
                <w:szCs w:val="20"/>
                <w:color w:val="auto"/>
              </w:rPr>
            </w:pPr>
            <w:r>
              <w:rPr>
                <w:rFonts w:ascii="Arial" w:cs="Arial" w:eastAsia="Arial" w:hAnsi="Arial"/>
                <w:sz w:val="11"/>
                <w:szCs w:val="11"/>
                <w:color w:val="auto"/>
              </w:rPr>
              <w:t>Adjusted beginning balance after cumulativeeffect adjustment</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20,000,753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20,001</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311,282</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91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(105,093)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(44,751)</w:t>
            </w:r>
          </w:p>
        </w:tc>
        <w:tc>
          <w:tcPr>
            <w:tcW w:w="6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93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181,439</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740" w:type="dxa"/>
            <w:vAlign w:val="bottom"/>
            <w:gridSpan w:val="2"/>
          </w:tcPr>
          <w:p>
            <w:pPr>
              <w:ind w:left="40"/>
              <w:spacing w:after="0"/>
              <w:rPr>
                <w:sz w:val="20"/>
                <w:szCs w:val="20"/>
                <w:color w:val="auto"/>
              </w:rPr>
            </w:pPr>
            <w:r>
              <w:rPr>
                <w:rFonts w:ascii="Arial" w:cs="Arial" w:eastAsia="Arial" w:hAnsi="Arial"/>
                <w:sz w:val="11"/>
                <w:szCs w:val="11"/>
                <w:color w:val="auto"/>
              </w:rPr>
              <w:t>Net income</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gridSpan w:val="2"/>
          </w:tcPr>
          <w:p>
            <w:pPr>
              <w:jc w:val="right"/>
              <w:ind w:right="6"/>
              <w:spacing w:after="0"/>
              <w:rPr>
                <w:sz w:val="20"/>
                <w:szCs w:val="20"/>
                <w:color w:val="auto"/>
              </w:rPr>
            </w:pPr>
            <w:r>
              <w:rPr>
                <w:rFonts w:ascii="Arial" w:cs="Arial" w:eastAsia="Arial" w:hAnsi="Arial"/>
                <w:sz w:val="11"/>
                <w:szCs w:val="11"/>
                <w:color w:val="auto"/>
              </w:rPr>
              <w:t>13,824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ind w:right="6"/>
              <w:spacing w:after="0"/>
              <w:rPr>
                <w:sz w:val="20"/>
                <w:szCs w:val="20"/>
                <w:color w:val="auto"/>
              </w:rPr>
            </w:pPr>
            <w:r>
              <w:rPr>
                <w:rFonts w:ascii="Arial" w:cs="Arial" w:eastAsia="Arial" w:hAnsi="Arial"/>
                <w:sz w:val="11"/>
                <w:szCs w:val="11"/>
                <w:color w:val="auto"/>
              </w:rPr>
              <w:t>13,824</w:t>
            </w:r>
          </w:p>
        </w:tc>
        <w:tc>
          <w:tcPr>
            <w:tcW w:w="0" w:type="dxa"/>
            <w:vAlign w:val="bottom"/>
          </w:tcPr>
          <w:p>
            <w:pPr>
              <w:spacing w:after="0"/>
              <w:rPr>
                <w:sz w:val="1"/>
                <w:szCs w:val="1"/>
                <w:color w:val="auto"/>
              </w:rPr>
            </w:pPr>
          </w:p>
        </w:tc>
      </w:tr>
      <w:tr>
        <w:trPr>
          <w:trHeight w:val="128"/>
        </w:trPr>
        <w:tc>
          <w:tcPr>
            <w:tcW w:w="100" w:type="dxa"/>
            <w:vAlign w:val="bottom"/>
            <w:shd w:val="clear" w:color="auto" w:fill="CCEEFF"/>
          </w:tcPr>
          <w:p>
            <w:pPr>
              <w:spacing w:after="0"/>
              <w:rPr>
                <w:sz w:val="11"/>
                <w:szCs w:val="11"/>
                <w:color w:val="auto"/>
              </w:rPr>
            </w:pPr>
          </w:p>
        </w:tc>
        <w:tc>
          <w:tcPr>
            <w:tcW w:w="370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comprehensive loss</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3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(6,475)</w:t>
            </w:r>
          </w:p>
        </w:tc>
        <w:tc>
          <w:tcPr>
            <w:tcW w:w="6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5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(6,475)</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740" w:type="dxa"/>
            <w:vAlign w:val="bottom"/>
            <w:gridSpan w:val="2"/>
          </w:tcPr>
          <w:p>
            <w:pPr>
              <w:ind w:left="40"/>
              <w:spacing w:after="0"/>
              <w:rPr>
                <w:sz w:val="20"/>
                <w:szCs w:val="20"/>
                <w:color w:val="auto"/>
              </w:rPr>
            </w:pPr>
            <w:r>
              <w:rPr>
                <w:rFonts w:ascii="Arial" w:cs="Arial" w:eastAsia="Arial" w:hAnsi="Arial"/>
                <w:sz w:val="11"/>
                <w:szCs w:val="11"/>
                <w:color w:val="auto"/>
              </w:rPr>
              <w:t>Repurchase of Class A common stock</w:t>
            </w:r>
          </w:p>
        </w:tc>
        <w:tc>
          <w:tcPr>
            <w:tcW w:w="860" w:type="dxa"/>
            <w:vAlign w:val="bottom"/>
          </w:tcPr>
          <w:p>
            <w:pPr>
              <w:jc w:val="right"/>
              <w:spacing w:after="0"/>
              <w:rPr>
                <w:sz w:val="20"/>
                <w:szCs w:val="20"/>
                <w:color w:val="auto"/>
              </w:rPr>
            </w:pPr>
            <w:r>
              <w:rPr>
                <w:rFonts w:ascii="Arial" w:cs="Arial" w:eastAsia="Arial" w:hAnsi="Arial"/>
                <w:sz w:val="11"/>
                <w:szCs w:val="11"/>
                <w:color w:val="auto"/>
              </w:rPr>
              <w:t>(577,603)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(577)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(6,036)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(6,613)</w:t>
            </w:r>
          </w:p>
        </w:tc>
        <w:tc>
          <w:tcPr>
            <w:tcW w:w="0" w:type="dxa"/>
            <w:vAlign w:val="bottom"/>
          </w:tcPr>
          <w:p>
            <w:pPr>
              <w:spacing w:after="0"/>
              <w:rPr>
                <w:sz w:val="1"/>
                <w:szCs w:val="1"/>
                <w:color w:val="auto"/>
              </w:rPr>
            </w:pPr>
          </w:p>
        </w:tc>
      </w:tr>
      <w:tr>
        <w:trPr>
          <w:trHeight w:val="139"/>
        </w:trPr>
        <w:tc>
          <w:tcPr>
            <w:tcW w:w="100" w:type="dxa"/>
            <w:vAlign w:val="bottom"/>
            <w:shd w:val="clear" w:color="auto" w:fill="CCEEFF"/>
          </w:tcPr>
          <w:p>
            <w:pPr>
              <w:spacing w:after="0"/>
              <w:rPr>
                <w:sz w:val="12"/>
                <w:szCs w:val="12"/>
                <w:color w:val="auto"/>
              </w:rPr>
            </w:pPr>
          </w:p>
        </w:tc>
        <w:tc>
          <w:tcPr>
            <w:tcW w:w="370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Restricted stock issued</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121,627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3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740" w:type="dxa"/>
            <w:vAlign w:val="bottom"/>
            <w:gridSpan w:val="2"/>
          </w:tcPr>
          <w:p>
            <w:pPr>
              <w:ind w:left="40"/>
              <w:spacing w:after="0"/>
              <w:rPr>
                <w:sz w:val="20"/>
                <w:szCs w:val="20"/>
                <w:color w:val="auto"/>
              </w:rPr>
            </w:pPr>
            <w:r>
              <w:rPr>
                <w:rFonts w:ascii="Arial" w:cs="Arial" w:eastAsia="Arial" w:hAnsi="Arial"/>
                <w:sz w:val="11"/>
                <w:szCs w:val="11"/>
                <w:color w:val="auto"/>
              </w:rPr>
              <w:t>Restricted stock forfeiture</w:t>
            </w:r>
          </w:p>
        </w:tc>
        <w:tc>
          <w:tcPr>
            <w:tcW w:w="860" w:type="dxa"/>
            <w:vAlign w:val="bottom"/>
          </w:tcPr>
          <w:p>
            <w:pPr>
              <w:jc w:val="right"/>
              <w:spacing w:after="0"/>
              <w:rPr>
                <w:sz w:val="20"/>
                <w:szCs w:val="20"/>
                <w:color w:val="auto"/>
              </w:rPr>
            </w:pPr>
            <w:r>
              <w:rPr>
                <w:rFonts w:ascii="Arial" w:cs="Arial" w:eastAsia="Arial" w:hAnsi="Arial"/>
                <w:sz w:val="11"/>
                <w:szCs w:val="11"/>
                <w:color w:val="auto"/>
              </w:rPr>
              <w:t>(2,487)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100" w:type="dxa"/>
            <w:vAlign w:val="bottom"/>
            <w:tcBorders>
              <w:bottom w:val="single" w:sz="8" w:color="CCEEFF"/>
            </w:tcBorders>
            <w:shd w:val="clear" w:color="auto" w:fill="CCEEFF"/>
          </w:tcPr>
          <w:p>
            <w:pPr>
              <w:spacing w:after="0"/>
              <w:rPr>
                <w:sz w:val="11"/>
                <w:szCs w:val="11"/>
                <w:color w:val="auto"/>
              </w:rPr>
            </w:pP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Stock-based compensation</w:t>
            </w:r>
          </w:p>
        </w:tc>
        <w:tc>
          <w:tcPr>
            <w:tcW w:w="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709</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10" w:type="dxa"/>
            <w:vAlign w:val="bottom"/>
            <w:tcBorders>
              <w:bottom w:val="single" w:sz="8" w:color="auto"/>
            </w:tcBorders>
            <w:shd w:val="clear" w:color="auto" w:fill="CCEEFF"/>
          </w:tcPr>
          <w:p>
            <w:pPr>
              <w:spacing w:after="0"/>
              <w:rPr>
                <w:sz w:val="11"/>
                <w:szCs w:val="11"/>
                <w:color w:val="auto"/>
              </w:rPr>
            </w:pPr>
          </w:p>
        </w:tc>
        <w:tc>
          <w:tcPr>
            <w:tcW w:w="3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10" w:type="dxa"/>
            <w:vAlign w:val="bottom"/>
            <w:tcBorders>
              <w:bottom w:val="single" w:sz="8" w:color="auto"/>
            </w:tcBorders>
            <w:shd w:val="clear" w:color="auto" w:fill="CCEEFF"/>
          </w:tcPr>
          <w:p>
            <w:pPr>
              <w:spacing w:after="0"/>
              <w:rPr>
                <w:sz w:val="11"/>
                <w:szCs w:val="11"/>
                <w:color w:val="auto"/>
              </w:rPr>
            </w:pPr>
          </w:p>
        </w:tc>
        <w:tc>
          <w:tcPr>
            <w:tcW w:w="5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709</w:t>
            </w:r>
          </w:p>
        </w:tc>
        <w:tc>
          <w:tcPr>
            <w:tcW w:w="0" w:type="dxa"/>
            <w:vAlign w:val="bottom"/>
          </w:tcPr>
          <w:p>
            <w:pPr>
              <w:spacing w:after="0"/>
              <w:rPr>
                <w:sz w:val="1"/>
                <w:szCs w:val="1"/>
                <w:color w:val="auto"/>
              </w:rPr>
            </w:pPr>
          </w:p>
        </w:tc>
      </w:tr>
      <w:tr>
        <w:trPr>
          <w:trHeight w:val="159"/>
        </w:trPr>
        <w:tc>
          <w:tcPr>
            <w:tcW w:w="3840" w:type="dxa"/>
            <w:vAlign w:val="bottom"/>
            <w:gridSpan w:val="3"/>
          </w:tcPr>
          <w:p>
            <w:pPr>
              <w:ind w:left="40"/>
              <w:spacing w:after="0" w:line="119" w:lineRule="exact"/>
              <w:rPr>
                <w:sz w:val="20"/>
                <w:szCs w:val="20"/>
                <w:color w:val="auto"/>
              </w:rPr>
            </w:pPr>
            <w:r>
              <w:rPr>
                <w:rFonts w:ascii="Arial" w:cs="Arial" w:eastAsia="Arial" w:hAnsi="Arial"/>
                <w:sz w:val="11"/>
                <w:szCs w:val="11"/>
                <w:color w:val="auto"/>
              </w:rPr>
              <w:t>Balance at September 30, 2023</w:t>
            </w:r>
          </w:p>
        </w:tc>
        <w:tc>
          <w:tcPr>
            <w:tcW w:w="860" w:type="dxa"/>
            <w:vAlign w:val="bottom"/>
          </w:tcPr>
          <w:p>
            <w:pPr>
              <w:jc w:val="right"/>
              <w:ind w:right="6"/>
              <w:spacing w:after="0" w:line="119" w:lineRule="exact"/>
              <w:rPr>
                <w:sz w:val="20"/>
                <w:szCs w:val="20"/>
                <w:color w:val="auto"/>
              </w:rPr>
            </w:pPr>
            <w:r>
              <w:rPr>
                <w:rFonts w:ascii="Arial" w:cs="Arial" w:eastAsia="Arial" w:hAnsi="Arial"/>
                <w:sz w:val="11"/>
                <w:szCs w:val="11"/>
                <w:color w:val="auto"/>
              </w:rPr>
              <w:t>19,542,290</w:t>
            </w:r>
          </w:p>
        </w:tc>
        <w:tc>
          <w:tcPr>
            <w:tcW w:w="60" w:type="dxa"/>
            <w:vAlign w:val="bottom"/>
          </w:tcPr>
          <w:p>
            <w:pPr>
              <w:spacing w:after="0"/>
              <w:rPr>
                <w:sz w:val="13"/>
                <w:szCs w:val="13"/>
                <w:color w:val="auto"/>
              </w:rPr>
            </w:pPr>
          </w:p>
        </w:tc>
        <w:tc>
          <w:tcPr>
            <w:tcW w:w="160" w:type="dxa"/>
            <w:vAlign w:val="bottom"/>
            <w:gridSpan w:val="2"/>
          </w:tcPr>
          <w:p>
            <w:pPr>
              <w:jc w:val="right"/>
              <w:ind w:right="26"/>
              <w:spacing w:after="0" w:line="119" w:lineRule="exact"/>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line="119" w:lineRule="exact"/>
              <w:rPr>
                <w:sz w:val="20"/>
                <w:szCs w:val="20"/>
                <w:color w:val="auto"/>
              </w:rPr>
            </w:pPr>
            <w:r>
              <w:rPr>
                <w:rFonts w:ascii="Arial" w:cs="Arial" w:eastAsia="Arial" w:hAnsi="Arial"/>
                <w:sz w:val="11"/>
                <w:szCs w:val="11"/>
                <w:color w:val="auto"/>
              </w:rPr>
              <w:t>19,542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jc w:val="right"/>
              <w:spacing w:after="0" w:line="119" w:lineRule="exact"/>
              <w:rPr>
                <w:sz w:val="20"/>
                <w:szCs w:val="20"/>
                <w:color w:val="auto"/>
              </w:rPr>
            </w:pPr>
            <w:r>
              <w:rPr>
                <w:rFonts w:ascii="Arial" w:cs="Arial" w:eastAsia="Arial" w:hAnsi="Arial"/>
                <w:sz w:val="11"/>
                <w:szCs w:val="11"/>
                <w:color w:val="auto"/>
                <w:w w:val="97"/>
              </w:rPr>
              <w:t>$</w:t>
            </w:r>
          </w:p>
        </w:tc>
        <w:tc>
          <w:tcPr>
            <w:tcW w:w="960" w:type="dxa"/>
            <w:vAlign w:val="bottom"/>
          </w:tcPr>
          <w:p>
            <w:pPr>
              <w:jc w:val="right"/>
              <w:ind w:right="6"/>
              <w:spacing w:after="0" w:line="119" w:lineRule="exact"/>
              <w:rPr>
                <w:sz w:val="20"/>
                <w:szCs w:val="20"/>
                <w:color w:val="auto"/>
              </w:rPr>
            </w:pPr>
            <w:r>
              <w:rPr>
                <w:rFonts w:ascii="Arial" w:cs="Arial" w:eastAsia="Arial" w:hAnsi="Arial"/>
                <w:sz w:val="11"/>
                <w:szCs w:val="11"/>
                <w:color w:val="auto"/>
              </w:rPr>
              <w:t>305,837</w:t>
            </w:r>
          </w:p>
        </w:tc>
        <w:tc>
          <w:tcPr>
            <w:tcW w:w="20" w:type="dxa"/>
            <w:vAlign w:val="bottom"/>
          </w:tcPr>
          <w:p>
            <w:pPr>
              <w:spacing w:after="0"/>
              <w:rPr>
                <w:sz w:val="13"/>
                <w:szCs w:val="13"/>
                <w:color w:val="auto"/>
              </w:rPr>
            </w:pPr>
          </w:p>
        </w:tc>
        <w:tc>
          <w:tcPr>
            <w:tcW w:w="150" w:type="dxa"/>
            <w:vAlign w:val="bottom"/>
            <w:gridSpan w:val="3"/>
          </w:tcPr>
          <w:p>
            <w:pPr>
              <w:jc w:val="right"/>
              <w:spacing w:after="0" w:line="119" w:lineRule="exact"/>
              <w:rPr>
                <w:sz w:val="20"/>
                <w:szCs w:val="20"/>
                <w:color w:val="auto"/>
              </w:rPr>
            </w:pPr>
            <w:r>
              <w:rPr>
                <w:rFonts w:ascii="Arial" w:cs="Arial" w:eastAsia="Arial" w:hAnsi="Arial"/>
                <w:sz w:val="11"/>
                <w:szCs w:val="11"/>
                <w:color w:val="auto"/>
              </w:rPr>
              <w:t>$</w:t>
            </w:r>
          </w:p>
        </w:tc>
        <w:tc>
          <w:tcPr>
            <w:tcW w:w="91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(91,269)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19" w:lineRule="exact"/>
              <w:rPr>
                <w:sz w:val="20"/>
                <w:szCs w:val="20"/>
                <w:color w:val="auto"/>
              </w:rPr>
            </w:pPr>
            <w:r>
              <w:rPr>
                <w:rFonts w:ascii="Arial" w:cs="Arial" w:eastAsia="Arial" w:hAnsi="Arial"/>
                <w:sz w:val="11"/>
                <w:szCs w:val="11"/>
                <w:color w:val="auto"/>
              </w:rPr>
              <w:t>(51,226)</w:t>
            </w:r>
          </w:p>
        </w:tc>
        <w:tc>
          <w:tcPr>
            <w:tcW w:w="60" w:type="dxa"/>
            <w:vAlign w:val="bottom"/>
          </w:tcPr>
          <w:p>
            <w:pPr>
              <w:spacing w:after="0"/>
              <w:rPr>
                <w:sz w:val="13"/>
                <w:szCs w:val="13"/>
                <w:color w:val="auto"/>
              </w:rPr>
            </w:pPr>
          </w:p>
        </w:tc>
        <w:tc>
          <w:tcPr>
            <w:tcW w:w="110" w:type="dxa"/>
            <w:vAlign w:val="bottom"/>
          </w:tcPr>
          <w:p>
            <w:pPr>
              <w:jc w:val="right"/>
              <w:spacing w:after="0" w:line="119" w:lineRule="exact"/>
              <w:rPr>
                <w:sz w:val="20"/>
                <w:szCs w:val="20"/>
                <w:color w:val="auto"/>
              </w:rPr>
            </w:pPr>
            <w:r>
              <w:rPr>
                <w:rFonts w:ascii="Arial" w:cs="Arial" w:eastAsia="Arial" w:hAnsi="Arial"/>
                <w:sz w:val="11"/>
                <w:szCs w:val="11"/>
                <w:color w:val="auto"/>
                <w:w w:val="97"/>
              </w:rPr>
              <w:t>$</w:t>
            </w:r>
          </w:p>
        </w:tc>
        <w:tc>
          <w:tcPr>
            <w:tcW w:w="930" w:type="dxa"/>
            <w:vAlign w:val="bottom"/>
            <w:gridSpan w:val="2"/>
          </w:tcPr>
          <w:p>
            <w:pPr>
              <w:jc w:val="right"/>
              <w:ind w:right="6"/>
              <w:spacing w:after="0" w:line="119" w:lineRule="exact"/>
              <w:rPr>
                <w:sz w:val="20"/>
                <w:szCs w:val="20"/>
                <w:color w:val="auto"/>
              </w:rPr>
            </w:pPr>
            <w:r>
              <w:rPr>
                <w:rFonts w:ascii="Arial" w:cs="Arial" w:eastAsia="Arial" w:hAnsi="Arial"/>
                <w:sz w:val="11"/>
                <w:szCs w:val="11"/>
                <w:color w:val="auto"/>
              </w:rPr>
              <w:t>182,884</w:t>
            </w:r>
          </w:p>
        </w:tc>
        <w:tc>
          <w:tcPr>
            <w:tcW w:w="0" w:type="dxa"/>
            <w:vAlign w:val="bottom"/>
          </w:tcPr>
          <w:p>
            <w:pPr>
              <w:spacing w:after="0"/>
              <w:rPr>
                <w:sz w:val="1"/>
                <w:szCs w:val="1"/>
                <w:color w:val="auto"/>
              </w:rPr>
            </w:pPr>
          </w:p>
        </w:tc>
      </w:tr>
      <w:tr>
        <w:trPr>
          <w:trHeight w:val="79"/>
        </w:trPr>
        <w:tc>
          <w:tcPr>
            <w:tcW w:w="3800" w:type="dxa"/>
            <w:vAlign w:val="bottom"/>
            <w:tcBorders>
              <w:top w:val="single" w:sz="8" w:color="CCEEFF"/>
            </w:tcBorders>
            <w:gridSpan w:val="2"/>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9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10" w:type="dxa"/>
            <w:vAlign w:val="bottom"/>
            <w:tcBorders>
              <w:top w:val="single" w:sz="8" w:color="auto"/>
            </w:tcBorders>
            <w:shd w:val="clear" w:color="auto" w:fill="CCEEFF"/>
          </w:tcPr>
          <w:p>
            <w:pPr>
              <w:spacing w:after="0"/>
              <w:rPr>
                <w:sz w:val="6"/>
                <w:szCs w:val="6"/>
                <w:color w:val="auto"/>
              </w:rPr>
            </w:pPr>
          </w:p>
        </w:tc>
        <w:tc>
          <w:tcPr>
            <w:tcW w:w="910" w:type="dxa"/>
            <w:vAlign w:val="bottom"/>
            <w:tcBorders>
              <w:top w:val="single" w:sz="8" w:color="auto"/>
            </w:tcBorders>
            <w:gridSpan w:val="2"/>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9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10" w:type="dxa"/>
            <w:vAlign w:val="bottom"/>
            <w:tcBorders>
              <w:top w:val="single" w:sz="8" w:color="auto"/>
            </w:tcBorders>
            <w:shd w:val="clear" w:color="auto" w:fill="CCEEFF"/>
          </w:tcPr>
          <w:p>
            <w:pPr>
              <w:spacing w:after="0"/>
              <w:rPr>
                <w:sz w:val="6"/>
                <w:szCs w:val="6"/>
                <w:color w:val="auto"/>
              </w:rPr>
            </w:pPr>
          </w:p>
        </w:tc>
        <w:tc>
          <w:tcPr>
            <w:tcW w:w="930" w:type="dxa"/>
            <w:vAlign w:val="bottom"/>
            <w:tcBorders>
              <w:top w:val="single" w:sz="8" w:color="auto"/>
            </w:tcBorders>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840" w:type="dxa"/>
            <w:vAlign w:val="bottom"/>
            <w:gridSpan w:val="3"/>
          </w:tcPr>
          <w:p>
            <w:pPr>
              <w:ind w:left="40"/>
              <w:spacing w:after="0"/>
              <w:rPr>
                <w:sz w:val="20"/>
                <w:szCs w:val="20"/>
                <w:color w:val="auto"/>
              </w:rPr>
            </w:pPr>
            <w:r>
              <w:rPr>
                <w:rFonts w:ascii="Arial" w:cs="Arial" w:eastAsia="Arial" w:hAnsi="Arial"/>
                <w:sz w:val="11"/>
                <w:szCs w:val="11"/>
                <w:color w:val="auto"/>
              </w:rPr>
              <w:t>Balance at January 1, 2022</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19,991,753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19,992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310,666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gridSpan w:val="2"/>
          </w:tcPr>
          <w:p>
            <w:pPr>
              <w:jc w:val="right"/>
              <w:spacing w:after="0"/>
              <w:rPr>
                <w:sz w:val="20"/>
                <w:szCs w:val="20"/>
                <w:color w:val="auto"/>
              </w:rPr>
            </w:pPr>
            <w:r>
              <w:rPr>
                <w:rFonts w:ascii="Arial" w:cs="Arial" w:eastAsia="Arial" w:hAnsi="Arial"/>
                <w:sz w:val="11"/>
                <w:szCs w:val="11"/>
                <w:color w:val="auto"/>
              </w:rPr>
              <w:t>(124,245)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(2,516)</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ind w:right="6"/>
              <w:spacing w:after="0"/>
              <w:rPr>
                <w:sz w:val="20"/>
                <w:szCs w:val="20"/>
                <w:color w:val="auto"/>
              </w:rPr>
            </w:pPr>
            <w:r>
              <w:rPr>
                <w:rFonts w:ascii="Arial" w:cs="Arial" w:eastAsia="Arial" w:hAnsi="Arial"/>
                <w:sz w:val="11"/>
                <w:szCs w:val="11"/>
                <w:color w:val="auto"/>
              </w:rPr>
              <w:t>203,897</w:t>
            </w:r>
          </w:p>
        </w:tc>
        <w:tc>
          <w:tcPr>
            <w:tcW w:w="0" w:type="dxa"/>
            <w:vAlign w:val="bottom"/>
          </w:tcPr>
          <w:p>
            <w:pPr>
              <w:spacing w:after="0"/>
              <w:rPr>
                <w:sz w:val="1"/>
                <w:szCs w:val="1"/>
                <w:color w:val="auto"/>
              </w:rPr>
            </w:pPr>
          </w:p>
        </w:tc>
      </w:tr>
      <w:tr>
        <w:trPr>
          <w:trHeight w:val="139"/>
        </w:trPr>
        <w:tc>
          <w:tcPr>
            <w:tcW w:w="100" w:type="dxa"/>
            <w:vAlign w:val="bottom"/>
            <w:shd w:val="clear" w:color="auto" w:fill="CCEEFF"/>
          </w:tcPr>
          <w:p>
            <w:pPr>
              <w:spacing w:after="0"/>
              <w:rPr>
                <w:sz w:val="12"/>
                <w:szCs w:val="12"/>
                <w:color w:val="auto"/>
              </w:rPr>
            </w:pPr>
          </w:p>
        </w:tc>
        <w:tc>
          <w:tcPr>
            <w:tcW w:w="3700" w:type="dxa"/>
            <w:vAlign w:val="bottom"/>
            <w:shd w:val="clear" w:color="auto" w:fill="CCEEFF"/>
          </w:tcPr>
          <w:p>
            <w:pPr>
              <w:ind w:left="40"/>
              <w:spacing w:after="0"/>
              <w:rPr>
                <w:sz w:val="20"/>
                <w:szCs w:val="20"/>
                <w:color w:val="auto"/>
              </w:rPr>
            </w:pPr>
            <w:r>
              <w:rPr>
                <w:rFonts w:ascii="Arial" w:cs="Arial" w:eastAsia="Arial" w:hAnsi="Arial"/>
                <w:sz w:val="11"/>
                <w:szCs w:val="11"/>
                <w:color w:val="auto"/>
              </w:rPr>
              <w:t>Net income</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3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15,707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15,707</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740" w:type="dxa"/>
            <w:vAlign w:val="bottom"/>
            <w:gridSpan w:val="2"/>
          </w:tcPr>
          <w:p>
            <w:pPr>
              <w:ind w:left="40"/>
              <w:spacing w:after="0"/>
              <w:rPr>
                <w:sz w:val="20"/>
                <w:szCs w:val="20"/>
                <w:color w:val="auto"/>
              </w:rPr>
            </w:pPr>
            <w:r>
              <w:rPr>
                <w:rFonts w:ascii="Arial" w:cs="Arial" w:eastAsia="Arial" w:hAnsi="Arial"/>
                <w:sz w:val="11"/>
                <w:szCs w:val="11"/>
                <w:color w:val="auto"/>
              </w:rPr>
              <w:t>Other comprehensive loss</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(42,686)</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(42,686)</w:t>
            </w:r>
          </w:p>
        </w:tc>
        <w:tc>
          <w:tcPr>
            <w:tcW w:w="0" w:type="dxa"/>
            <w:vAlign w:val="bottom"/>
          </w:tcPr>
          <w:p>
            <w:pPr>
              <w:spacing w:after="0"/>
              <w:rPr>
                <w:sz w:val="1"/>
                <w:szCs w:val="1"/>
                <w:color w:val="auto"/>
              </w:rPr>
            </w:pPr>
          </w:p>
        </w:tc>
      </w:tr>
      <w:tr>
        <w:trPr>
          <w:trHeight w:val="128"/>
        </w:trPr>
        <w:tc>
          <w:tcPr>
            <w:tcW w:w="100" w:type="dxa"/>
            <w:vAlign w:val="bottom"/>
            <w:shd w:val="clear" w:color="auto" w:fill="CCEEFF"/>
          </w:tcPr>
          <w:p>
            <w:pPr>
              <w:spacing w:after="0"/>
              <w:rPr>
                <w:sz w:val="11"/>
                <w:szCs w:val="11"/>
                <w:color w:val="auto"/>
              </w:rPr>
            </w:pPr>
          </w:p>
        </w:tc>
        <w:tc>
          <w:tcPr>
            <w:tcW w:w="3700" w:type="dxa"/>
            <w:vAlign w:val="bottom"/>
            <w:shd w:val="clear" w:color="auto" w:fill="CCEEFF"/>
          </w:tcPr>
          <w:p>
            <w:pPr>
              <w:ind w:left="40"/>
              <w:spacing w:after="0"/>
              <w:rPr>
                <w:sz w:val="20"/>
                <w:szCs w:val="20"/>
                <w:color w:val="auto"/>
              </w:rPr>
            </w:pPr>
            <w:r>
              <w:rPr>
                <w:rFonts w:ascii="Arial" w:cs="Arial" w:eastAsia="Arial" w:hAnsi="Arial"/>
                <w:sz w:val="11"/>
                <w:szCs w:val="11"/>
                <w:color w:val="auto"/>
              </w:rPr>
              <w:t>Exercise of stock options</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9,000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93</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3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5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740" w:type="dxa"/>
            <w:vAlign w:val="bottom"/>
            <w:gridSpan w:val="2"/>
          </w:tcPr>
          <w:p>
            <w:pPr>
              <w:ind w:left="40"/>
              <w:spacing w:after="0"/>
              <w:rPr>
                <w:sz w:val="20"/>
                <w:szCs w:val="20"/>
                <w:color w:val="auto"/>
              </w:rPr>
            </w:pPr>
            <w:r>
              <w:rPr>
                <w:rFonts w:ascii="Arial" w:cs="Arial" w:eastAsia="Arial" w:hAnsi="Arial"/>
                <w:sz w:val="11"/>
                <w:szCs w:val="11"/>
                <w:color w:val="auto"/>
              </w:rPr>
              <w:t>Stock-based compensation</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397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ind w:right="6"/>
              <w:spacing w:after="0"/>
              <w:rPr>
                <w:sz w:val="20"/>
                <w:szCs w:val="20"/>
                <w:color w:val="auto"/>
              </w:rPr>
            </w:pPr>
            <w:r>
              <w:rPr>
                <w:rFonts w:ascii="Arial" w:cs="Arial" w:eastAsia="Arial" w:hAnsi="Arial"/>
                <w:sz w:val="11"/>
                <w:szCs w:val="11"/>
                <w:color w:val="auto"/>
              </w:rPr>
              <w:t>397</w:t>
            </w:r>
          </w:p>
        </w:tc>
        <w:tc>
          <w:tcPr>
            <w:tcW w:w="0" w:type="dxa"/>
            <w:vAlign w:val="bottom"/>
          </w:tcPr>
          <w:p>
            <w:pPr>
              <w:spacing w:after="0"/>
              <w:rPr>
                <w:sz w:val="1"/>
                <w:szCs w:val="1"/>
                <w:color w:val="auto"/>
              </w:rPr>
            </w:pPr>
          </w:p>
        </w:tc>
      </w:tr>
      <w:tr>
        <w:trPr>
          <w:trHeight w:val="119"/>
        </w:trPr>
        <w:tc>
          <w:tcPr>
            <w:tcW w:w="3800" w:type="dxa"/>
            <w:vAlign w:val="bottom"/>
            <w:tcBorders>
              <w:top w:val="single" w:sz="8" w:color="CCEEFF"/>
            </w:tcBorders>
            <w:gridSpan w:val="2"/>
            <w:shd w:val="clear" w:color="auto" w:fill="CCEEFF"/>
          </w:tcPr>
          <w:p>
            <w:pPr>
              <w:ind w:left="40"/>
              <w:spacing w:after="0" w:line="119" w:lineRule="exact"/>
              <w:rPr>
                <w:sz w:val="20"/>
                <w:szCs w:val="20"/>
                <w:color w:val="auto"/>
              </w:rPr>
            </w:pPr>
            <w:r>
              <w:rPr>
                <w:rFonts w:ascii="Arial" w:cs="Arial" w:eastAsia="Arial" w:hAnsi="Arial"/>
                <w:sz w:val="11"/>
                <w:szCs w:val="11"/>
                <w:color w:val="auto"/>
              </w:rPr>
              <w:t>Balance at September 30, 2022</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20,000,753</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gridSpan w:val="2"/>
            <w:shd w:val="clear" w:color="auto" w:fill="CCEEFF"/>
          </w:tcPr>
          <w:p>
            <w:pPr>
              <w:jc w:val="right"/>
              <w:ind w:right="26"/>
              <w:spacing w:after="0" w:line="119" w:lineRule="exact"/>
              <w:rPr>
                <w:sz w:val="20"/>
                <w:szCs w:val="20"/>
                <w:color w:val="auto"/>
              </w:rPr>
            </w:pPr>
            <w:r>
              <w:rPr>
                <w:rFonts w:ascii="Arial" w:cs="Arial" w:eastAsia="Arial" w:hAnsi="Arial"/>
                <w:sz w:val="11"/>
                <w:szCs w:val="11"/>
                <w:color w:val="auto"/>
                <w:w w:val="97"/>
                <w:shd w:val="clear" w:color="auto" w:fill="CCEEFF"/>
              </w:rPr>
              <w:t>$</w:t>
            </w:r>
          </w:p>
        </w:tc>
        <w:tc>
          <w:tcPr>
            <w:tcW w:w="860" w:type="dxa"/>
            <w:vAlign w:val="bottom"/>
            <w:tcBorders>
              <w:top w:val="single" w:sz="8" w:color="auto"/>
              <w:bottom w:val="single" w:sz="8" w:color="auto"/>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20,001</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w w:val="97"/>
                <w:shd w:val="clear" w:color="auto" w:fill="CCEEFF"/>
              </w:rPr>
              <w:t>$</w:t>
            </w:r>
          </w:p>
        </w:tc>
        <w:tc>
          <w:tcPr>
            <w:tcW w:w="960" w:type="dxa"/>
            <w:vAlign w:val="bottom"/>
            <w:tcBorders>
              <w:top w:val="single" w:sz="8" w:color="auto"/>
              <w:bottom w:val="single" w:sz="8" w:color="auto"/>
            </w:tcBorders>
            <w:shd w:val="clear" w:color="auto" w:fill="CCEEFF"/>
          </w:tcPr>
          <w:p>
            <w:pPr>
              <w:jc w:val="right"/>
              <w:ind w:right="26"/>
              <w:spacing w:after="0" w:line="119" w:lineRule="exact"/>
              <w:rPr>
                <w:sz w:val="20"/>
                <w:szCs w:val="20"/>
                <w:color w:val="auto"/>
              </w:rPr>
            </w:pPr>
            <w:r>
              <w:rPr>
                <w:rFonts w:ascii="Arial" w:cs="Arial" w:eastAsia="Arial" w:hAnsi="Arial"/>
                <w:sz w:val="11"/>
                <w:szCs w:val="11"/>
                <w:color w:val="auto"/>
              </w:rPr>
              <w:t>311,156</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11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7"/>
                <w:shd w:val="clear" w:color="auto" w:fill="CCEEFF"/>
              </w:rPr>
              <w:t>$</w:t>
            </w:r>
          </w:p>
        </w:tc>
        <w:tc>
          <w:tcPr>
            <w:tcW w:w="3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(108,538)</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9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(45,202)</w:t>
            </w:r>
          </w:p>
        </w:tc>
        <w:tc>
          <w:tcPr>
            <w:tcW w:w="60" w:type="dxa"/>
            <w:vAlign w:val="bottom"/>
            <w:tcBorders>
              <w:top w:val="single" w:sz="8" w:color="CCEEFF"/>
            </w:tcBorders>
            <w:shd w:val="clear" w:color="auto" w:fill="CCEEFF"/>
          </w:tcPr>
          <w:p>
            <w:pPr>
              <w:spacing w:after="0"/>
              <w:rPr>
                <w:sz w:val="10"/>
                <w:szCs w:val="10"/>
                <w:color w:val="auto"/>
              </w:rPr>
            </w:pPr>
          </w:p>
        </w:tc>
        <w:tc>
          <w:tcPr>
            <w:tcW w:w="11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7"/>
                <w:shd w:val="clear" w:color="auto" w:fill="CCEEFF"/>
              </w:rPr>
              <w:t>$</w:t>
            </w:r>
          </w:p>
        </w:tc>
        <w:tc>
          <w:tcPr>
            <w:tcW w:w="5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ind w:right="26"/>
              <w:spacing w:after="0" w:line="119" w:lineRule="exact"/>
              <w:rPr>
                <w:sz w:val="20"/>
                <w:szCs w:val="20"/>
                <w:color w:val="auto"/>
              </w:rPr>
            </w:pPr>
            <w:r>
              <w:rPr>
                <w:rFonts w:ascii="Arial" w:cs="Arial" w:eastAsia="Arial" w:hAnsi="Arial"/>
                <w:sz w:val="11"/>
                <w:szCs w:val="11"/>
                <w:color w:val="auto"/>
              </w:rPr>
              <w:t>177,417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3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5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 w:type="dxa"/>
            <w:vAlign w:val="bottom"/>
          </w:tcPr>
          <w:p>
            <w:pPr>
              <w:spacing w:after="0"/>
              <w:rPr>
                <w:sz w:val="5"/>
                <w:szCs w:val="5"/>
                <w:color w:val="auto"/>
              </w:rPr>
            </w:pPr>
          </w:p>
        </w:tc>
        <w:tc>
          <w:tcPr>
            <w:tcW w:w="3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 w:type="dxa"/>
            <w:vAlign w:val="bottom"/>
          </w:tcPr>
          <w:p>
            <w:pPr>
              <w:spacing w:after="0"/>
              <w:rPr>
                <w:sz w:val="5"/>
                <w:szCs w:val="5"/>
                <w:color w:val="auto"/>
              </w:rPr>
            </w:pPr>
          </w:p>
        </w:tc>
        <w:tc>
          <w:tcPr>
            <w:tcW w:w="5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The accompanying notes are an integralpart of these unaudited consolidated financialstatements.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tabs>
          <w:tab w:leader="none" w:pos="260" w:val="left"/>
          <w:tab w:leader="none" w:pos="10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10200"/>
          </w:cols>
          <w:pgMar w:left="900" w:top="481" w:right="799" w:bottom="1440" w:gutter="0" w:footer="0" w:header="0"/>
        </w:sectPr>
      </w:pPr>
    </w:p>
    <w:bookmarkStart w:id="6" w:name="page7"/>
    <w:bookmarkEnd w:id="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gridSpan w:val="6"/>
          </w:tcPr>
          <w:p>
            <w:pPr>
              <w:jc w:val="right"/>
              <w:ind w:right="340"/>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504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gridSpan w:val="2"/>
          </w:tcPr>
          <w:p>
            <w:pPr>
              <w:jc w:val="right"/>
              <w:spacing w:after="0" w:line="119" w:lineRule="exact"/>
              <w:rPr>
                <w:sz w:val="20"/>
                <w:szCs w:val="20"/>
                <w:color w:val="auto"/>
              </w:rPr>
            </w:pPr>
            <w:r>
              <w:rPr>
                <w:rFonts w:ascii="Arial" w:cs="Arial" w:eastAsia="Arial" w:hAnsi="Arial"/>
                <w:sz w:val="11"/>
                <w:szCs w:val="11"/>
                <w:b w:val="1"/>
                <w:bCs w:val="1"/>
                <w:color w:val="auto"/>
              </w:rPr>
              <w:t>2023</w:t>
            </w:r>
          </w:p>
        </w:tc>
        <w:tc>
          <w:tcPr>
            <w:tcW w:w="48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427"/>
              <w:spacing w:after="0" w:line="119" w:lineRule="exact"/>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b w:val="1"/>
                <w:bCs w:val="1"/>
                <w:color w:val="auto"/>
              </w:rPr>
              <w:t>Cash flows from operating activities:</w:t>
            </w:r>
          </w:p>
        </w:tc>
        <w:tc>
          <w:tcPr>
            <w:tcW w:w="140" w:type="dxa"/>
            <w:vAlign w:val="bottom"/>
            <w:tcBorders>
              <w:lef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80"/>
              <w:spacing w:after="0"/>
              <w:rPr>
                <w:sz w:val="20"/>
                <w:szCs w:val="20"/>
                <w:color w:val="auto"/>
              </w:rPr>
            </w:pPr>
            <w:r>
              <w:rPr>
                <w:rFonts w:ascii="Arial" w:cs="Arial" w:eastAsia="Arial" w:hAnsi="Arial"/>
                <w:sz w:val="11"/>
                <w:szCs w:val="11"/>
                <w:color w:val="auto"/>
              </w:rPr>
              <w:t>Net income</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13,824</w:t>
            </w:r>
          </w:p>
        </w:tc>
        <w:tc>
          <w:tcPr>
            <w:tcW w:w="60" w:type="dxa"/>
            <w:vAlign w:val="bottom"/>
          </w:tcPr>
          <w:p>
            <w:pPr>
              <w:spacing w:after="0"/>
              <w:rPr>
                <w:sz w:val="12"/>
                <w:szCs w:val="12"/>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15,707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Adjustments to reconcile net incometo net cash provided by operating activities:</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20" w:type="dxa"/>
            <w:vAlign w:val="bottom"/>
            <w:gridSpan w:val="2"/>
          </w:tcPr>
          <w:p>
            <w:pPr>
              <w:ind w:left="180"/>
              <w:spacing w:after="0"/>
              <w:rPr>
                <w:sz w:val="20"/>
                <w:szCs w:val="20"/>
                <w:color w:val="auto"/>
              </w:rPr>
            </w:pPr>
            <w:r>
              <w:rPr>
                <w:rFonts w:ascii="Arial" w:cs="Arial" w:eastAsia="Arial" w:hAnsi="Arial"/>
                <w:sz w:val="11"/>
                <w:szCs w:val="11"/>
                <w:color w:val="auto"/>
              </w:rPr>
              <w:t>Provision for credit losses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892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1,615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Depreciation and amortization</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443</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180"/>
              <w:spacing w:after="0"/>
              <w:rPr>
                <w:sz w:val="20"/>
                <w:szCs w:val="20"/>
                <w:color w:val="auto"/>
              </w:rPr>
            </w:pPr>
            <w:r>
              <w:rPr>
                <w:rFonts w:ascii="Arial" w:cs="Arial" w:eastAsia="Arial" w:hAnsi="Arial"/>
                <w:sz w:val="11"/>
                <w:szCs w:val="11"/>
                <w:color w:val="auto"/>
              </w:rPr>
              <w:t>(Accretion) amortization of premiums on securities,net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(651)</w:t>
            </w: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Accretion of deferred loan fees, net</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(236)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(1,364)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180"/>
              <w:spacing w:after="0"/>
              <w:rPr>
                <w:sz w:val="20"/>
                <w:szCs w:val="20"/>
                <w:color w:val="auto"/>
              </w:rPr>
            </w:pPr>
            <w:r>
              <w:rPr>
                <w:rFonts w:ascii="Arial" w:cs="Arial" w:eastAsia="Arial" w:hAnsi="Arial"/>
                <w:sz w:val="11"/>
                <w:szCs w:val="11"/>
                <w:color w:val="auto"/>
              </w:rPr>
              <w:t>Stock-based compensation</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709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Loss (gain) on sale of available for sale securities</w:t>
            </w:r>
          </w:p>
        </w:tc>
        <w:tc>
          <w:tcPr>
            <w:tcW w:w="14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976</w:t>
            </w:r>
          </w:p>
        </w:tc>
        <w:tc>
          <w:tcPr>
            <w:tcW w:w="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180"/>
              <w:spacing w:after="0"/>
              <w:rPr>
                <w:sz w:val="20"/>
                <w:szCs w:val="20"/>
                <w:color w:val="auto"/>
              </w:rPr>
            </w:pPr>
            <w:r>
              <w:rPr>
                <w:rFonts w:ascii="Arial" w:cs="Arial" w:eastAsia="Arial" w:hAnsi="Arial"/>
                <w:sz w:val="11"/>
                <w:szCs w:val="11"/>
                <w:color w:val="auto"/>
              </w:rPr>
              <w:t>Gain on sale of loans held for sale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(696)</w:t>
            </w:r>
          </w:p>
        </w:tc>
        <w:tc>
          <w:tcPr>
            <w:tcW w:w="1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(686)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Increase in cash surrender value of bank ownedlife insurance</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(775)</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(794)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180"/>
              <w:spacing w:after="0"/>
              <w:rPr>
                <w:sz w:val="20"/>
                <w:szCs w:val="20"/>
                <w:color w:val="auto"/>
              </w:rPr>
            </w:pPr>
            <w:r>
              <w:rPr>
                <w:rFonts w:ascii="Arial" w:cs="Arial" w:eastAsia="Arial" w:hAnsi="Arial"/>
                <w:sz w:val="11"/>
                <w:szCs w:val="11"/>
                <w:color w:val="auto"/>
              </w:rPr>
              <w:t>Bank owned life insurance enhancement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(981)</w:t>
            </w: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Decrease in deferred tax assets</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4,465</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20" w:type="dxa"/>
            <w:vAlign w:val="bottom"/>
            <w:gridSpan w:val="2"/>
          </w:tcPr>
          <w:p>
            <w:pPr>
              <w:ind w:left="80"/>
              <w:spacing w:after="0"/>
              <w:rPr>
                <w:sz w:val="20"/>
                <w:szCs w:val="20"/>
                <w:color w:val="auto"/>
              </w:rPr>
            </w:pPr>
            <w:r>
              <w:rPr>
                <w:rFonts w:ascii="Arial" w:cs="Arial" w:eastAsia="Arial" w:hAnsi="Arial"/>
                <w:sz w:val="11"/>
                <w:szCs w:val="11"/>
                <w:color w:val="auto"/>
              </w:rPr>
              <w:t>Net change in operating assets and liabilities: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(1,374)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(593)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180"/>
              <w:spacing w:after="0"/>
              <w:rPr>
                <w:sz w:val="20"/>
                <w:szCs w:val="20"/>
                <w:color w:val="auto"/>
              </w:rPr>
            </w:pPr>
            <w:r>
              <w:rPr>
                <w:rFonts w:ascii="Arial" w:cs="Arial" w:eastAsia="Arial" w:hAnsi="Arial"/>
                <w:sz w:val="11"/>
                <w:szCs w:val="11"/>
                <w:color w:val="auto"/>
              </w:rPr>
              <w:t>Other assets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(751)</w:t>
            </w:r>
          </w:p>
        </w:tc>
        <w:tc>
          <w:tcPr>
            <w:tcW w:w="12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1"/>
                <w:szCs w:val="11"/>
                <w:color w:val="auto"/>
              </w:rPr>
              <w:t>(4,163)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and other liabilities</w:t>
            </w:r>
          </w:p>
        </w:tc>
        <w:tc>
          <w:tcPr>
            <w:tcW w:w="140" w:type="dxa"/>
            <w:vAlign w:val="bottom"/>
            <w:tcBorders>
              <w:left w:val="single" w:sz="8" w:color="CCEEFF"/>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12,679</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14,432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40" w:type="dxa"/>
            <w:vAlign w:val="bottom"/>
          </w:tcPr>
          <w:p>
            <w:pPr>
              <w:ind w:left="180"/>
              <w:spacing w:after="0" w:line="119" w:lineRule="exact"/>
              <w:rPr>
                <w:sz w:val="20"/>
                <w:szCs w:val="20"/>
                <w:color w:val="auto"/>
              </w:rPr>
            </w:pPr>
            <w:r>
              <w:rPr>
                <w:rFonts w:ascii="Arial" w:cs="Arial" w:eastAsia="Arial" w:hAnsi="Arial"/>
                <w:sz w:val="11"/>
                <w:szCs w:val="11"/>
                <w:color w:val="auto"/>
              </w:rPr>
              <w:t>Net cash provided by operating activities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28,524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19" w:lineRule="exact"/>
              <w:rPr>
                <w:sz w:val="20"/>
                <w:szCs w:val="20"/>
                <w:color w:val="auto"/>
              </w:rPr>
            </w:pPr>
            <w:r>
              <w:rPr>
                <w:rFonts w:ascii="Arial" w:cs="Arial" w:eastAsia="Arial" w:hAnsi="Arial"/>
                <w:sz w:val="11"/>
                <w:szCs w:val="11"/>
                <w:color w:val="auto"/>
              </w:rPr>
              <w:t>31,562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4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240" w:type="dxa"/>
            <w:vAlign w:val="bottom"/>
            <w:gridSpan w:val="3"/>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Purchase of investment securities heldto maturity</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(86,788)</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(2,432)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80"/>
              <w:spacing w:after="0"/>
              <w:rPr>
                <w:sz w:val="20"/>
                <w:szCs w:val="20"/>
                <w:color w:val="auto"/>
              </w:rPr>
            </w:pPr>
            <w:r>
              <w:rPr>
                <w:rFonts w:ascii="Arial" w:cs="Arial" w:eastAsia="Arial" w:hAnsi="Arial"/>
                <w:sz w:val="11"/>
                <w:szCs w:val="11"/>
                <w:color w:val="auto"/>
              </w:rPr>
              <w:t>Proceeds from maturities and pay-downs of investmentsecurities held to maturity</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79,085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9,689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Purchase of investment securities availablefor sale</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(26,792)</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(49,808)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80"/>
              <w:spacing w:after="0"/>
              <w:rPr>
                <w:sz w:val="20"/>
                <w:szCs w:val="20"/>
                <w:color w:val="auto"/>
              </w:rPr>
            </w:pPr>
            <w:r>
              <w:rPr>
                <w:rFonts w:ascii="Arial" w:cs="Arial" w:eastAsia="Arial" w:hAnsi="Arial"/>
                <w:sz w:val="11"/>
                <w:szCs w:val="11"/>
                <w:color w:val="auto"/>
              </w:rPr>
              <w:t>Proceeds from maturities and pay-downs of investmentsecurities available for sale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11,679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35,502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Proceeds from sales of investment securitiesavailable for sale</w:t>
            </w:r>
          </w:p>
        </w:tc>
        <w:tc>
          <w:tcPr>
            <w:tcW w:w="14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15,409</w:t>
            </w:r>
          </w:p>
        </w:tc>
        <w:tc>
          <w:tcPr>
            <w:tcW w:w="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45,647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80"/>
              <w:spacing w:after="0"/>
              <w:rPr>
                <w:sz w:val="20"/>
                <w:szCs w:val="20"/>
                <w:color w:val="auto"/>
              </w:rPr>
            </w:pPr>
            <w:r>
              <w:rPr>
                <w:rFonts w:ascii="Arial" w:cs="Arial" w:eastAsia="Arial" w:hAnsi="Arial"/>
                <w:sz w:val="11"/>
                <w:szCs w:val="11"/>
                <w:color w:val="auto"/>
              </w:rPr>
              <w:t>Net increase in loans held for investment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(165,662)</w:t>
            </w:r>
          </w:p>
        </w:tc>
        <w:tc>
          <w:tcPr>
            <w:tcW w:w="12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1"/>
                <w:szCs w:val="11"/>
                <w:color w:val="auto"/>
              </w:rPr>
              <w:t>(177,916)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Purchase of loans held for investment</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(13,277)</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(70,175)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80"/>
              <w:spacing w:after="0"/>
              <w:rPr>
                <w:sz w:val="20"/>
                <w:szCs w:val="20"/>
                <w:color w:val="auto"/>
              </w:rPr>
            </w:pPr>
            <w:r>
              <w:rPr>
                <w:rFonts w:ascii="Arial" w:cs="Arial" w:eastAsia="Arial" w:hAnsi="Arial"/>
                <w:sz w:val="11"/>
                <w:szCs w:val="11"/>
                <w:color w:val="auto"/>
              </w:rPr>
              <w:t>Additions to premises and equipment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(131)</w:t>
            </w:r>
          </w:p>
        </w:tc>
        <w:tc>
          <w:tcPr>
            <w:tcW w:w="1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(175)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Proceeds from the sale of loans held for sale</w:t>
            </w:r>
          </w:p>
        </w:tc>
        <w:tc>
          <w:tcPr>
            <w:tcW w:w="14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10,715</w:t>
            </w:r>
          </w:p>
        </w:tc>
        <w:tc>
          <w:tcPr>
            <w:tcW w:w="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8,641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80"/>
              <w:spacing w:after="0"/>
              <w:rPr>
                <w:sz w:val="20"/>
                <w:szCs w:val="20"/>
                <w:color w:val="auto"/>
              </w:rPr>
            </w:pPr>
            <w:r>
              <w:rPr>
                <w:rFonts w:ascii="Arial" w:cs="Arial" w:eastAsia="Arial" w:hAnsi="Arial"/>
                <w:sz w:val="11"/>
                <w:szCs w:val="11"/>
                <w:color w:val="auto"/>
              </w:rPr>
              <w:t>Purchase of Bank owned life insurance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(11,100)</w:t>
            </w: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Proceeds from the redemption of FederalHome Loan Bank stock</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6,517</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80"/>
              <w:spacing w:after="0"/>
              <w:rPr>
                <w:sz w:val="20"/>
                <w:szCs w:val="20"/>
                <w:color w:val="auto"/>
              </w:rPr>
            </w:pPr>
            <w:r>
              <w:rPr>
                <w:rFonts w:ascii="Arial" w:cs="Arial" w:eastAsia="Arial" w:hAnsi="Arial"/>
                <w:sz w:val="11"/>
                <w:szCs w:val="11"/>
                <w:color w:val="auto"/>
              </w:rPr>
              <w:t>Purchase of Federal Home Loan Bank stock</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(9,940)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1"/>
                <w:szCs w:val="11"/>
                <w:color w:val="auto"/>
              </w:rPr>
              <w:t>(2,052)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40" w:type="dxa"/>
            <w:vAlign w:val="bottom"/>
            <w:vMerge w:val="restart"/>
            <w:shd w:val="clear" w:color="auto" w:fill="CCEEFF"/>
          </w:tcPr>
          <w:p>
            <w:pPr>
              <w:ind w:left="100"/>
              <w:spacing w:after="0"/>
              <w:rPr>
                <w:sz w:val="20"/>
                <w:szCs w:val="20"/>
                <w:color w:val="auto"/>
              </w:rPr>
            </w:pPr>
            <w:r>
              <w:rPr>
                <w:rFonts w:ascii="Arial" w:cs="Arial" w:eastAsia="Arial" w:hAnsi="Arial"/>
                <w:sz w:val="11"/>
                <w:szCs w:val="11"/>
                <w:color w:val="auto"/>
              </w:rPr>
              <w:t>Net cash used in investment activities</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40" w:type="dxa"/>
            <w:vAlign w:val="bottom"/>
            <w:vMerge w:val="continue"/>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(190,285)</w:t>
            </w:r>
          </w:p>
        </w:tc>
        <w:tc>
          <w:tcPr>
            <w:tcW w:w="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(200,829)</w:t>
            </w: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14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80"/>
              <w:spacing w:after="0"/>
              <w:rPr>
                <w:sz w:val="20"/>
                <w:szCs w:val="20"/>
                <w:color w:val="auto"/>
              </w:rPr>
            </w:pPr>
            <w:r>
              <w:rPr>
                <w:rFonts w:ascii="Arial" w:cs="Arial" w:eastAsia="Arial" w:hAnsi="Arial"/>
                <w:sz w:val="11"/>
                <w:szCs w:val="11"/>
                <w:color w:val="auto"/>
              </w:rPr>
              <w:t>Proceeds from issuance of Class A commonstock, net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Repurchase of Class A common stock</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(6,613)</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tcPr>
          <w:p>
            <w:pPr>
              <w:ind w:left="80"/>
              <w:spacing w:after="0"/>
              <w:rPr>
                <w:sz w:val="20"/>
                <w:szCs w:val="20"/>
                <w:color w:val="auto"/>
              </w:rPr>
            </w:pPr>
            <w:r>
              <w:rPr>
                <w:rFonts w:ascii="Arial" w:cs="Arial" w:eastAsia="Arial" w:hAnsi="Arial"/>
                <w:sz w:val="11"/>
                <w:szCs w:val="11"/>
                <w:color w:val="auto"/>
              </w:rPr>
              <w:t>Net increase in deposits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91,641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206,263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Proceeds from Federal Home Loan Bank advances</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259,350</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20" w:type="dxa"/>
            <w:vAlign w:val="bottom"/>
            <w:gridSpan w:val="2"/>
          </w:tcPr>
          <w:p>
            <w:pPr>
              <w:ind w:left="80"/>
              <w:spacing w:after="0"/>
              <w:rPr>
                <w:sz w:val="20"/>
                <w:szCs w:val="20"/>
                <w:color w:val="auto"/>
              </w:rPr>
            </w:pPr>
            <w:r>
              <w:rPr>
                <w:rFonts w:ascii="Arial" w:cs="Arial" w:eastAsia="Arial" w:hAnsi="Arial"/>
                <w:sz w:val="11"/>
                <w:szCs w:val="11"/>
                <w:color w:val="auto"/>
              </w:rPr>
              <w:t>Repayments on Federal Home Loan Bank advances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(203,350)</w:t>
            </w:r>
          </w:p>
        </w:tc>
        <w:tc>
          <w:tcPr>
            <w:tcW w:w="12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(70,000)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040" w:type="dxa"/>
            <w:vAlign w:val="bottom"/>
            <w:tcBorders>
              <w:top w:val="single" w:sz="8" w:color="CCEEFF"/>
            </w:tcBorders>
            <w:shd w:val="clear" w:color="auto" w:fill="CCEEFF"/>
          </w:tcPr>
          <w:p>
            <w:pPr>
              <w:ind w:left="100"/>
              <w:spacing w:after="0" w:line="119" w:lineRule="exact"/>
              <w:rPr>
                <w:sz w:val="20"/>
                <w:szCs w:val="20"/>
                <w:color w:val="auto"/>
              </w:rPr>
            </w:pPr>
            <w:r>
              <w:rPr>
                <w:rFonts w:ascii="Arial" w:cs="Arial" w:eastAsia="Arial" w:hAnsi="Arial"/>
                <w:sz w:val="11"/>
                <w:szCs w:val="11"/>
                <w:color w:val="auto"/>
              </w:rPr>
              <w:t>Net cash provided by financing activities</w:t>
            </w:r>
          </w:p>
        </w:tc>
        <w:tc>
          <w:tcPr>
            <w:tcW w:w="140" w:type="dxa"/>
            <w:vAlign w:val="bottom"/>
            <w:tcBorders>
              <w:top w:val="single" w:sz="8" w:color="auto"/>
              <w:left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141,028</w:t>
            </w:r>
          </w:p>
        </w:tc>
        <w:tc>
          <w:tcPr>
            <w:tcW w:w="6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196,365</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524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increase in cash and cash equivalents</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(20,733)</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27,098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40" w:type="dxa"/>
            <w:vAlign w:val="bottom"/>
            <w:gridSpan w:val="3"/>
          </w:tcPr>
          <w:p>
            <w:pPr>
              <w:spacing w:after="0"/>
              <w:rPr>
                <w:sz w:val="20"/>
                <w:szCs w:val="20"/>
                <w:color w:val="auto"/>
              </w:rPr>
            </w:pPr>
            <w:r>
              <w:rPr>
                <w:rFonts w:ascii="Arial" w:cs="Arial" w:eastAsia="Arial" w:hAnsi="Arial"/>
                <w:sz w:val="11"/>
                <w:szCs w:val="11"/>
                <w:color w:val="auto"/>
              </w:rPr>
              <w:t>Cash and cash equivalents at beginningof period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54,168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46,228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2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1"/>
                <w:szCs w:val="11"/>
                <w:color w:val="auto"/>
              </w:rPr>
              <w:t>Cash and cash equivalents at end of period</w:t>
            </w:r>
          </w:p>
        </w:tc>
        <w:tc>
          <w:tcPr>
            <w:tcW w:w="140" w:type="dxa"/>
            <w:vAlign w:val="bottom"/>
            <w:tcBorders>
              <w:top w:val="single" w:sz="8" w:color="auto"/>
              <w:left w:val="single" w:sz="8" w:color="CCEEFF"/>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33,435</w:t>
            </w:r>
          </w:p>
        </w:tc>
        <w:tc>
          <w:tcPr>
            <w:tcW w:w="60" w:type="dxa"/>
            <w:vAlign w:val="bottom"/>
            <w:tcBorders>
              <w:bottom w:val="single" w:sz="8" w:color="auto"/>
              <w:right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10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73,326</w:t>
            </w:r>
          </w:p>
        </w:tc>
        <w:tc>
          <w:tcPr>
            <w:tcW w:w="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4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5240" w:type="dxa"/>
            <w:vAlign w:val="bottom"/>
            <w:gridSpan w:val="3"/>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14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220" w:type="dxa"/>
            <w:vAlign w:val="bottom"/>
            <w:gridSpan w:val="2"/>
          </w:tcPr>
          <w:p>
            <w:pPr>
              <w:ind w:left="80"/>
              <w:spacing w:after="0"/>
              <w:rPr>
                <w:sz w:val="20"/>
                <w:szCs w:val="20"/>
                <w:color w:val="auto"/>
              </w:rPr>
            </w:pPr>
            <w:r>
              <w:rPr>
                <w:rFonts w:ascii="Arial" w:cs="Arial" w:eastAsia="Arial" w:hAnsi="Arial"/>
                <w:sz w:val="11"/>
                <w:szCs w:val="11"/>
                <w:color w:val="auto"/>
              </w:rPr>
              <w:t>Interest paid</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27,872</w:t>
            </w:r>
          </w:p>
        </w:tc>
        <w:tc>
          <w:tcPr>
            <w:tcW w:w="60" w:type="dxa"/>
            <w:vAlign w:val="bottom"/>
          </w:tcPr>
          <w:p>
            <w:pPr>
              <w:spacing w:after="0"/>
              <w:rPr>
                <w:sz w:val="15"/>
                <w:szCs w:val="15"/>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3,675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20" w:type="dxa"/>
            <w:vAlign w:val="bottom"/>
            <w:tcBorders>
              <w:top w:val="single" w:sz="8" w:color="CCEEFF"/>
            </w:tcBorders>
            <w:gridSpan w:val="2"/>
            <w:shd w:val="clear" w:color="auto" w:fill="CCEEFF"/>
          </w:tcPr>
          <w:p>
            <w:pPr>
              <w:spacing w:after="0"/>
              <w:rPr>
                <w:sz w:val="5"/>
                <w:szCs w:val="5"/>
                <w:color w:val="auto"/>
              </w:rPr>
            </w:pPr>
          </w:p>
        </w:tc>
        <w:tc>
          <w:tcPr>
            <w:tcW w:w="140" w:type="dxa"/>
            <w:vAlign w:val="bottom"/>
            <w:tcBorders>
              <w:top w:val="single" w:sz="8" w:color="auto"/>
              <w:left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5240" w:type="dxa"/>
            <w:vAlign w:val="bottom"/>
            <w:gridSpan w:val="3"/>
          </w:tcPr>
          <w:p>
            <w:pPr>
              <w:spacing w:after="0"/>
              <w:rPr>
                <w:sz w:val="20"/>
                <w:szCs w:val="20"/>
                <w:color w:val="auto"/>
              </w:rPr>
            </w:pPr>
            <w:r>
              <w:rPr>
                <w:rFonts w:ascii="Arial" w:cs="Arial" w:eastAsia="Arial" w:hAnsi="Arial"/>
                <w:sz w:val="11"/>
                <w:szCs w:val="11"/>
                <w:b w:val="1"/>
                <w:bCs w:val="1"/>
                <w:color w:val="auto"/>
              </w:rPr>
              <w:t>Supplemental schedule of non-cash investing and financing activities: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Transfer of loans held for investment to loans heldfor sale</w:t>
            </w:r>
          </w:p>
        </w:tc>
        <w:tc>
          <w:tcPr>
            <w:tcW w:w="140" w:type="dxa"/>
            <w:vAlign w:val="bottom"/>
            <w:tcBorders>
              <w:left w:val="single" w:sz="8" w:color="CCEEFF"/>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10,019</w:t>
            </w:r>
          </w:p>
        </w:tc>
        <w:tc>
          <w:tcPr>
            <w:tcW w:w="60" w:type="dxa"/>
            <w:vAlign w:val="bottom"/>
            <w:tcBorders>
              <w:bottom w:val="single" w:sz="8" w:color="auto"/>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7,955</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gridSpan w:val="2"/>
            <w:vMerge w:val="restart"/>
          </w:tcPr>
          <w:p>
            <w:pPr>
              <w:ind w:left="80"/>
              <w:spacing w:after="0" w:line="119" w:lineRule="exact"/>
              <w:rPr>
                <w:sz w:val="20"/>
                <w:szCs w:val="20"/>
                <w:color w:val="auto"/>
              </w:rPr>
            </w:pPr>
            <w:r>
              <w:rPr>
                <w:rFonts w:ascii="Arial" w:cs="Arial" w:eastAsia="Arial" w:hAnsi="Arial"/>
                <w:sz w:val="11"/>
                <w:szCs w:val="11"/>
                <w:color w:val="auto"/>
              </w:rPr>
              <w:t>Transfer of investment securities from available-for-saleto held-to-maturity</w:t>
            </w: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Borders>
              <w:bottom w:val="single" w:sz="8" w:color="CCEEFF"/>
            </w:tcBorders>
            <w:gridSpan w:val="2"/>
            <w:vMerge w:val="continue"/>
          </w:tcPr>
          <w:p>
            <w:pPr>
              <w:spacing w:after="0"/>
              <w:rPr>
                <w:sz w:val="10"/>
                <w:szCs w:val="10"/>
                <w:color w:val="auto"/>
              </w:rPr>
            </w:pPr>
          </w:p>
        </w:tc>
        <w:tc>
          <w:tcPr>
            <w:tcW w:w="140" w:type="dxa"/>
            <w:vAlign w:val="bottom"/>
            <w:tcBorders>
              <w:top w:val="single" w:sz="8" w:color="auto"/>
              <w:bottom w:val="single" w:sz="8" w:color="auto"/>
            </w:tcBorders>
          </w:tcPr>
          <w:p>
            <w:pPr>
              <w:jc w:val="right"/>
              <w:ind w:right="32"/>
              <w:spacing w:after="0" w:line="79" w:lineRule="exact"/>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9"/>
                <w:szCs w:val="9"/>
                <w:color w:val="auto"/>
              </w:rPr>
              <w:t>-</w:t>
            </w:r>
          </w:p>
        </w:tc>
        <w:tc>
          <w:tcPr>
            <w:tcW w:w="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106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9"/>
                <w:szCs w:val="9"/>
                <w:color w:val="auto"/>
              </w:rPr>
              <w:t>74,444</w:t>
            </w:r>
          </w:p>
        </w:tc>
        <w:tc>
          <w:tcPr>
            <w:tcW w:w="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220" w:type="dxa"/>
            <w:vAlign w:val="bottom"/>
            <w:gridSpan w:val="2"/>
            <w:shd w:val="clear" w:color="auto" w:fill="CCEEFF"/>
          </w:tcPr>
          <w:p>
            <w:pPr>
              <w:ind w:left="80"/>
              <w:spacing w:after="0" w:line="79" w:lineRule="exact"/>
              <w:rPr>
                <w:sz w:val="20"/>
                <w:szCs w:val="20"/>
                <w:color w:val="auto"/>
              </w:rPr>
            </w:pPr>
            <w:r>
              <w:rPr>
                <w:rFonts w:ascii="Arial" w:cs="Arial" w:eastAsia="Arial" w:hAnsi="Arial"/>
                <w:sz w:val="9"/>
                <w:szCs w:val="9"/>
                <w:color w:val="auto"/>
              </w:rPr>
              <w:t>Lease liability arising from obtaining right-of-useasset</w:t>
            </w:r>
          </w:p>
        </w:tc>
        <w:tc>
          <w:tcPr>
            <w:tcW w:w="140" w:type="dxa"/>
            <w:vAlign w:val="bottom"/>
            <w:tcBorders>
              <w:left w:val="single" w:sz="8" w:color="CCEEFF"/>
              <w:bottom w:val="single" w:sz="8" w:color="auto"/>
            </w:tcBorders>
            <w:shd w:val="clear" w:color="auto" w:fill="CCEEFF"/>
          </w:tcPr>
          <w:p>
            <w:pPr>
              <w:jc w:val="right"/>
              <w:ind w:right="32"/>
              <w:spacing w:after="0" w:line="79" w:lineRule="exact"/>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9"/>
                <w:szCs w:val="9"/>
                <w:color w:val="auto"/>
              </w:rPr>
              <w:t>-</w:t>
            </w:r>
          </w:p>
        </w:tc>
        <w:tc>
          <w:tcPr>
            <w:tcW w:w="60" w:type="dxa"/>
            <w:vAlign w:val="bottom"/>
            <w:tcBorders>
              <w:bottom w:val="single" w:sz="8" w:color="auto"/>
              <w:right w:val="single" w:sz="8" w:color="CCEEFF"/>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9"/>
                <w:szCs w:val="9"/>
                <w:color w:val="auto"/>
              </w:rPr>
              <w:t>1,550</w:t>
            </w:r>
          </w:p>
        </w:tc>
        <w:tc>
          <w:tcPr>
            <w:tcW w:w="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integralpart of these unaudited consolidated financialstatements.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660"/>
        <w:spacing w:after="0"/>
        <w:tabs>
          <w:tab w:leader="none" w:pos="840" w:val="left"/>
        </w:tabs>
        <w:rPr>
          <w:sz w:val="20"/>
          <w:szCs w:val="20"/>
          <w:color w:val="auto"/>
        </w:rPr>
      </w:pPr>
      <w:r>
        <w:rPr>
          <w:rFonts w:ascii="Arial" w:cs="Arial" w:eastAsia="Arial" w:hAnsi="Arial"/>
          <w:sz w:val="14"/>
          <w:szCs w:val="14"/>
          <w:b w:val="1"/>
          <w:bCs w:val="1"/>
          <w:color w:val="auto"/>
        </w:rPr>
        <w:t>1.</w:t>
        <w:tab/>
        <w:t>SUMMARY OF SIGNIFICANT ACCOUNTING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8"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direct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32"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Title LLC began operations in 2021.</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Basis of Presentation</w:t>
      </w:r>
    </w:p>
    <w:p>
      <w:pPr>
        <w:spacing w:after="0" w:line="17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accompanying unaudited consolidated financial statements have been prepared in accordance with instructions to Form 10-Q and do not include all the information and footnotes required by U.S. generally accepted accounting principles (“U.S. GAAP”) for complete financial statements. All adjustments consisting of normally recurring accruals that, in the opinion of management, are necessary for a fair presentation of the financial position and results of operations for the periods presented have been included. These unaudited consolidated financial statements should be read in conjunction with the Company’s consolidated financial statements and related notes appearing in the Company’s Annual Report on Form 10-K/A for the year ended December 31, 2022.</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Principles of Consolidation</w:t>
      </w:r>
    </w:p>
    <w:p>
      <w:pPr>
        <w:spacing w:after="0" w:line="178"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The Company consolidates entities in which it has a controlling financial interest. Intercompany transactions and balances are eliminated in consolidation.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Use of Estimates</w:t>
      </w:r>
    </w:p>
    <w:p>
      <w:pPr>
        <w:spacing w:after="0" w:line="178"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To prepare financial statements in conformity with U.S. GAAP, management makes estimates and assumptions based on available information. These estimates and assumptions affect the amounts reported in the financial statements. The most significant estimates impacting the Company’s consolidated financial statements are the allowance for credit losses (ACL) and income taxes.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Reclassifications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Certain amounts in the consolidated financial statements have been reclassified to conform to the current presentation.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Reclassifications had no impact on the net income or stockholders’ equity of the Company.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Adoption of New Accounting Standards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Measurement of Credit Losses on Financial Instruments</w:t>
      </w:r>
    </w:p>
    <w:p>
      <w:pPr>
        <w:spacing w:after="0" w:line="159"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On January 1st, 2023, the Company adopted Accounting Standard Update (“ASU”) 2016-13 Financial Instruments - Credit Losses (Topic 326): Measurement of Credit Losses on Financial Instruments, as amended, which replaces the incurred loss methodology with an expected loss methodology that is referred to as the current expected credit loss (CECL) methodology. The measurement of expected credit losses under the CECL methodology is applicable to financial assets measured at amortized cost, including loan receivables and held-to-maturity debt securities. It also applies to off-balance sheet credit exposures not accounted for as insurance (e.g., loan commitments, standby letters of credit, financial guarantees, and other similar instruments) and net investments in leases recognized by a lessor in accordance with Topic 842 on leases. In addition, ASC 326 amended the accounting for available-for-sale debt securities. One such change is to require credit losses to be presented as an allowance rather than as a write-down on available-for-sale debt securities that management does not intend to sell or believes that it is more likely than not they will not be required to sell.</w:t>
      </w:r>
    </w:p>
    <w:p>
      <w:pPr>
        <w:spacing w:after="0" w:line="146" w:lineRule="exact"/>
        <w:rPr>
          <w:sz w:val="20"/>
          <w:szCs w:val="20"/>
          <w:color w:val="auto"/>
        </w:rPr>
      </w:pPr>
    </w:p>
    <w:p>
      <w:pPr>
        <w:jc w:val="both"/>
        <w:ind w:left="660" w:right="659" w:firstLine="256"/>
        <w:spacing w:after="0" w:line="260" w:lineRule="auto"/>
        <w:rPr>
          <w:sz w:val="20"/>
          <w:szCs w:val="20"/>
          <w:color w:val="auto"/>
        </w:rPr>
      </w:pPr>
      <w:r>
        <w:rPr>
          <w:rFonts w:ascii="Arial" w:cs="Arial" w:eastAsia="Arial" w:hAnsi="Arial"/>
          <w:sz w:val="14"/>
          <w:szCs w:val="14"/>
          <w:color w:val="auto"/>
        </w:rPr>
        <w:t>Under CECL, the Company estimates the allowance for credit losses using relevant available information, from both internal and external sources, relating to past events, current conditions, and reasonable and supportable forecasts. Historical credit losses provide the basis for estimation of expected credit losses. Qualitative adjustments are applied to the</w:t>
      </w:r>
    </w:p>
    <w:p>
      <w:pPr>
        <w:spacing w:after="0" w:line="330"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right="679"/>
        <w:spacing w:after="0" w:line="267" w:lineRule="auto"/>
        <w:rPr>
          <w:sz w:val="20"/>
          <w:szCs w:val="20"/>
          <w:color w:val="auto"/>
        </w:rPr>
      </w:pPr>
      <w:r>
        <w:rPr>
          <w:rFonts w:ascii="Arial" w:cs="Arial" w:eastAsia="Arial" w:hAnsi="Arial"/>
          <w:sz w:val="14"/>
          <w:szCs w:val="14"/>
          <w:color w:val="auto"/>
        </w:rPr>
        <w:t>expected credit losses estimated for the loan portfolio in relation to potential limitations of the quantitative model. A scorecard is used to aid management in the assessment of qualitative factor adjustments applied to expected credit losses.</w:t>
      </w:r>
    </w:p>
    <w:p>
      <w:pPr>
        <w:spacing w:after="0" w:line="133"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The quantitative component of the estimate relies on the statistical relationship between the projected value of an economic indicator and the implied historical loss experience among a curated group of peers. The Company utilized regression analyses of peer data, in which the Company was included, and where observed credit losses and selected economic factors were used to determine suitable loss drivers for modeling the lifetime rates of probability of default (PD). A loss given default rate (LGD) is assigned to each pool for each period based on these PD outcomes. The model fundamentally utilizes an expected discounted cash flow (DCF) analysis for loan portfolio segments. The DCF analysis is run at the instrument-level and incorporates an array of loan-specific data points and segment-implied assumptions to determine the lifetime expected loss attributable to each instrument. An implicit "hypothetical loss" is derived for each period of the DCF and helps establish the present value of future cash flows for each period. The reserve applied to a specific instrument is the difference between the sum of the present value of future cash flows and the book balance of the loan at the measurement date.</w:t>
      </w:r>
    </w:p>
    <w:p>
      <w:pPr>
        <w:spacing w:after="0" w:line="148"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Management elected the Remaining Life (WARM) methodology for five loan portfolio segments. For each of these segments, a long-term average loss rate is calculated and applied on a quarterly basis for the remaining life of the pool. Adjustments for economic expectations are made through qualitative assessments. For the remaining life estimated, management implemented a software solution that uses an attrition-based calculation that performs quarterly, cohort-based attrition measurements based on the loan portfolio.</w:t>
      </w:r>
    </w:p>
    <w:p>
      <w:pPr>
        <w:spacing w:after="0" w:line="146"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At adoption of CECL, 84% or $1.3 billion of loan receivables were collectively evaluated under DCF method and 16% or $251.0 million of loan receivables were collectively evaluated under the Remaining Life method. The remaining $ 7.9 million of loan receivables of the total loan portfolio were individually evaluated.</w:t>
      </w:r>
    </w:p>
    <w:p>
      <w:pPr>
        <w:spacing w:after="0" w:line="12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Portfolio segments are the level at which loss assumptions are applied to a pool of loans based on the similarity of risk characteristics inherent in the included instruments, relying on collateral codes and FFIEC Call Report codes. The Company currently segments the portfolio based on collateral codes for purpose of establishing reserves. Each of these segments is paired to regression models (Loss Driver Analyses) based on peer data for loans of similar risk characteristics. The Company has established relationships between internal segmentation and FFIEC Call Report codes for this purpose. The loss driver for each loan portfolio segment is derived from a readily available and reasonable economic forecast, including the Federal Reserve Bank projections of U.S. civilian unemployment rate and the year-over-year real GDP growth; for the residential loan segment the House Price index (“HPI”) projections published by Fannie Mae’s Economic and Strategic Research Group are utilized for the forecast. Forecasts are applied the first four quarters of the credit loss estimate and revert on a straight-line basis to the lookback period's historical mean for the economic indicator over the expected life of loans.</w:t>
      </w:r>
    </w:p>
    <w:p>
      <w:pPr>
        <w:spacing w:after="0" w:line="141"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The model incorporates qualitative factor adjustments in order to calibrate the model for risk in each portfolio segment that may not be captured through quantitative analysis. Determinations regarding qualitative adjustments are reflective of management's expectation of loss conditions differing from those already captured in the quantitative component of the model.</w:t>
      </w:r>
    </w:p>
    <w:p>
      <w:pPr>
        <w:spacing w:after="0" w:line="143" w:lineRule="exact"/>
        <w:rPr>
          <w:sz w:val="20"/>
          <w:szCs w:val="20"/>
          <w:color w:val="auto"/>
        </w:rPr>
      </w:pPr>
    </w:p>
    <w:p>
      <w:pPr>
        <w:jc w:val="both"/>
        <w:ind w:left="660" w:right="699" w:firstLine="256"/>
        <w:spacing w:after="0" w:line="260" w:lineRule="auto"/>
        <w:rPr>
          <w:sz w:val="20"/>
          <w:szCs w:val="20"/>
          <w:color w:val="auto"/>
        </w:rPr>
      </w:pPr>
      <w:r>
        <w:rPr>
          <w:rFonts w:ascii="Arial" w:cs="Arial" w:eastAsia="Arial" w:hAnsi="Arial"/>
          <w:sz w:val="14"/>
          <w:szCs w:val="14"/>
          <w:color w:val="auto"/>
        </w:rPr>
        <w:t>The Company estimates a reserve for unfunded commitments, which is reported separately from the allowance for credit losses within other liabilities. The reserve is based upon the same quantitative and qualitative factors applied to the collectively evaluated loan portfolio.</w:t>
      </w:r>
    </w:p>
    <w:p>
      <w:pPr>
        <w:spacing w:after="0" w:line="12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impact of adoption of the ASU 2016-13 was an increase to the allowance for credit losses (ACL) on loans receivables of $1.1 million and an increase to the reserve for unfunded commitments of $ 259 thousand. This one-time net of tax cumulative adjustment resulted in a increase of $1.0 million in accumulated deficit. See “Allowance for Credit Losses” section in Note 3 for more information on the ACL.</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Trouble Debt Restructuring</w:t>
      </w:r>
    </w:p>
    <w:p>
      <w:pPr>
        <w:spacing w:after="0" w:line="170"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In March 2022, the Financial Accounting Standards Board (“FASB”) issued ASU 2022-02, Financial Instruments-Credit Losses (Topic 326): Troubled Debt Restructurings (“TDR”) and Vintage Disclosures. The standard addresses the following:</w:t>
      </w:r>
    </w:p>
    <w:p>
      <w:pPr>
        <w:jc w:val="both"/>
        <w:ind w:left="660" w:right="679" w:firstLine="3"/>
        <w:spacing w:after="0" w:line="253" w:lineRule="auto"/>
        <w:tabs>
          <w:tab w:leader="none" w:pos="825" w:val="left"/>
        </w:tabs>
        <w:numPr>
          <w:ilvl w:val="0"/>
          <w:numId w:val="3"/>
        </w:numPr>
        <w:rPr>
          <w:rFonts w:ascii="Arial" w:cs="Arial" w:eastAsia="Arial" w:hAnsi="Arial"/>
          <w:sz w:val="14"/>
          <w:szCs w:val="14"/>
          <w:color w:val="auto"/>
        </w:rPr>
      </w:pPr>
      <w:r>
        <w:rPr>
          <w:rFonts w:ascii="Arial" w:cs="Arial" w:eastAsia="Arial" w:hAnsi="Arial"/>
          <w:sz w:val="14"/>
          <w:szCs w:val="14"/>
          <w:color w:val="auto"/>
        </w:rPr>
        <w:t>eliminates the accounting guidance for TDRs, require s an entity to determine whether a modification results in a new loan or a continuation of an existing loan, 2) expands disclosures related to modifications, and 3) requires disclosure of current period gross write-offs of financing receivables within the vintage disclosures table (see Note 3). The Company</w:t>
      </w:r>
    </w:p>
    <w:p>
      <w:pPr>
        <w:spacing w:after="0" w:line="377"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right="719"/>
        <w:spacing w:after="0" w:line="267" w:lineRule="auto"/>
        <w:rPr>
          <w:sz w:val="20"/>
          <w:szCs w:val="20"/>
          <w:color w:val="auto"/>
        </w:rPr>
      </w:pPr>
      <w:r>
        <w:rPr>
          <w:rFonts w:ascii="Arial" w:cs="Arial" w:eastAsia="Arial" w:hAnsi="Arial"/>
          <w:sz w:val="14"/>
          <w:szCs w:val="14"/>
          <w:color w:val="auto"/>
        </w:rPr>
        <w:t>adopted ASU 2022-02 effective January 1, 2023 on a prospective basis. The adoption of ASU 2022-02 did not have a material impact on the Company’s consolidated financial statements.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Issued and Not Yet Adopted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Reference Rate Reform</w:t>
      </w:r>
    </w:p>
    <w:p>
      <w:pPr>
        <w:spacing w:after="0" w:line="159"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In March 2020, the FASB issued ASU 2020-04, Reference Rate Reform (Topic 848), Facilitation of the Effects of Reference Rate Reform on Financial Reporting. In January 2021, the FASB clarified the scope of this guidance with ASU 2021-01 which provides optional guidance for a limited period of time to ease the burden in accounting for (or recognizing the effects of) reference rate reform on financial reporting. This ASU is effective from March 12, 2020 through December 31, 2024. The Company is evaluating the impact of this ASU and has not yet determined whether LIBOR transition and this ASU will have a material effect on our business operations and consolidated financial statements.</w:t>
      </w:r>
    </w:p>
    <w:p>
      <w:pPr>
        <w:spacing w:after="0" w:line="127" w:lineRule="exact"/>
        <w:rPr>
          <w:sz w:val="20"/>
          <w:szCs w:val="20"/>
          <w:color w:val="auto"/>
        </w:rPr>
      </w:pPr>
    </w:p>
    <w:p>
      <w:pPr>
        <w:ind w:left="1040" w:hanging="377"/>
        <w:spacing w:after="0"/>
        <w:tabs>
          <w:tab w:leader="none" w:pos="104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1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On January 1st, 2023, the Company adopted ASU 2016-13 Financial Instruments - Credit Losses (Topic 326): Measurement of Credit Losses on Financial Instruments, as amended, which replaces the incurred loss methodology with an expected loss methodology that is referred to as the current expected credit loss (CECL) methodology. The measurement of expected credit losses under the CECL methodology is applicable to financial assets measured at amortized cost, including loan receivables and held-to-maturity debt securities. In addition, ASC 326 amended the accounting for available-for-sale debt securities. One such change is to require credit losses to be presented as an allowance rather than as a write-down on available-for-sale debt securities management does not intend to sell or believes that it is more likely than not they will be required to sell.</w:t>
      </w:r>
    </w:p>
    <w:p>
      <w:pPr>
        <w:spacing w:after="0" w:line="147"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CECL requires a loss reserve for securities classified as Held-to-Maturity (HTM). The reserve should reflect historical credit performance as well as the impact of projected economic forecast. For U.S. Government bonds and U.S. Agency issued bonds in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35"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Company monitors the credit quality of held to maturity securities through the use of credit ratings. Credit ratings are monitored by the Company on at least a quarterly basis. As of September 30, 2023 and December 31, 2022, all held-to-maturity securities held by the Company were rated investment grade.</w:t>
      </w:r>
    </w:p>
    <w:p>
      <w:pPr>
        <w:spacing w:after="0" w:line="13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At quarter end, HTM securities included $187.9 million of U.S. Government and U.S. Agency issued bonds and mortgage-backed securities. Because of the explicit and/or implicit guarantee on these bonds, the Company holds no reserves on these holdings. The remaining portion of the HTM portfolio is made up of $ 9.4 million in investment grade corporate bonds. The required reserve for these holdings is determined each quarter using the model described above. For the portion of the HTM exposed to non-government credit risk, the Company utilized the PD/LGD methodology to estimate a $16 thousand ACL as of September 30, 2023. The book value for debt securities classified as HTM represents amortized cost less ACL.</w:t>
      </w:r>
    </w:p>
    <w:p>
      <w:pPr>
        <w:spacing w:after="0" w:line="137" w:lineRule="exact"/>
        <w:rPr>
          <w:sz w:val="20"/>
          <w:szCs w:val="20"/>
          <w:color w:val="auto"/>
        </w:rPr>
      </w:pPr>
    </w:p>
    <w:p>
      <w:pPr>
        <w:jc w:val="both"/>
        <w:ind w:left="660" w:right="679" w:firstLine="256"/>
        <w:spacing w:after="0" w:line="283" w:lineRule="auto"/>
        <w:rPr>
          <w:sz w:val="20"/>
          <w:szCs w:val="20"/>
          <w:color w:val="auto"/>
        </w:rPr>
      </w:pPr>
      <w:r>
        <w:rPr>
          <w:rFonts w:ascii="Arial" w:cs="Arial" w:eastAsia="Arial" w:hAnsi="Arial"/>
          <w:sz w:val="14"/>
          <w:szCs w:val="14"/>
          <w:color w:val="auto"/>
        </w:rPr>
        <w:t>The Company determined that an ACL on its debt securities available for sale as of September 30, 2023 and December 31, 2022 was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216"/>
              <w:spacing w:after="0"/>
              <w:rPr>
                <w:sz w:val="20"/>
                <w:szCs w:val="20"/>
                <w:color w:val="auto"/>
              </w:rPr>
            </w:pPr>
            <w:r>
              <w:rPr>
                <w:rFonts w:ascii="Arial" w:cs="Arial" w:eastAsia="Arial" w:hAnsi="Arial"/>
                <w:sz w:val="13"/>
                <w:szCs w:val="13"/>
                <w:b w:val="1"/>
                <w:bCs w:val="1"/>
                <w:color w:val="auto"/>
              </w:rPr>
              <w:t>September 30, 2023</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 w:type="dxa"/>
            <w:vAlign w:val="bottom"/>
            <w:tcBorders>
              <w:bottom w:val="single" w:sz="8" w:color="auto"/>
            </w:tcBorders>
          </w:tcPr>
          <w:p>
            <w:pPr>
              <w:spacing w:after="0"/>
              <w:rPr>
                <w:sz w:val="14"/>
                <w:szCs w:val="14"/>
                <w:color w:val="auto"/>
              </w:rPr>
            </w:pPr>
          </w:p>
        </w:tc>
        <w:tc>
          <w:tcPr>
            <w:tcW w:w="79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79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Gains</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Losses</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50" w:type="dxa"/>
            <w:vAlign w:val="bottom"/>
            <w:tcBorders>
              <w:bottom w:val="single" w:sz="8" w:color="auto"/>
            </w:tcBorders>
          </w:tcPr>
          <w:p>
            <w:pPr>
              <w:spacing w:after="0"/>
              <w:rPr>
                <w:sz w:val="13"/>
                <w:szCs w:val="13"/>
                <w:color w:val="auto"/>
              </w:rPr>
            </w:pPr>
          </w:p>
        </w:tc>
        <w:tc>
          <w:tcPr>
            <w:tcW w:w="79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9,913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8,025</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105,547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(26,976)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78,571</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66,024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(14,867)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79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51,157</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48,010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(7,508)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40,564</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25,024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79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18,116</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24,417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(2,246)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22,176</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 w:type="dxa"/>
            <w:vAlign w:val="bottom"/>
            <w:tcBorders>
              <w:bottom w:val="single" w:sz="8" w:color="auto"/>
            </w:tcBorders>
            <w:shd w:val="clear" w:color="auto" w:fill="CCEEFF"/>
          </w:tcPr>
          <w:p>
            <w:pPr>
              <w:spacing w:after="0"/>
              <w:rPr>
                <w:sz w:val="14"/>
                <w:szCs w:val="14"/>
                <w:color w:val="auto"/>
              </w:rPr>
            </w:pPr>
          </w:p>
        </w:tc>
        <w:tc>
          <w:tcPr>
            <w:tcW w:w="7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38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278,935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67</w:t>
            </w: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(60,393)</w:t>
            </w:r>
          </w:p>
        </w:tc>
        <w:tc>
          <w:tcPr>
            <w:tcW w:w="23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90" w:type="dxa"/>
            <w:vAlign w:val="bottom"/>
          </w:tcPr>
          <w:p>
            <w:pPr>
              <w:jc w:val="right"/>
              <w:ind w:right="16"/>
              <w:spacing w:after="0"/>
              <w:rPr>
                <w:sz w:val="20"/>
                <w:szCs w:val="20"/>
                <w:color w:val="auto"/>
              </w:rPr>
            </w:pPr>
            <w:r>
              <w:rPr>
                <w:rFonts w:ascii="Arial" w:cs="Arial" w:eastAsia="Arial" w:hAnsi="Arial"/>
                <w:sz w:val="13"/>
                <w:szCs w:val="13"/>
                <w:color w:val="auto"/>
              </w:rPr>
              <w:t>218,609</w:t>
            </w:r>
          </w:p>
        </w:tc>
        <w:tc>
          <w:tcPr>
            <w:tcW w:w="0" w:type="dxa"/>
            <w:vAlign w:val="bottom"/>
          </w:tcPr>
          <w:p>
            <w:pPr>
              <w:spacing w:after="0"/>
              <w:rPr>
                <w:sz w:val="1"/>
                <w:szCs w:val="1"/>
                <w:color w:val="auto"/>
              </w:rPr>
            </w:pPr>
          </w:p>
        </w:tc>
      </w:tr>
      <w:tr>
        <w:trPr>
          <w:trHeight w:val="121"/>
        </w:trPr>
        <w:tc>
          <w:tcPr>
            <w:tcW w:w="3800" w:type="dxa"/>
            <w:vAlign w:val="bottom"/>
            <w:tcBorders>
              <w:top w:val="single" w:sz="8" w:color="CCEEFF"/>
            </w:tcBorders>
            <w:shd w:val="clear" w:color="auto" w:fill="CCEEFF"/>
          </w:tcPr>
          <w:p>
            <w:pPr>
              <w:ind w:left="20"/>
              <w:spacing w:after="0" w:line="121" w:lineRule="exact"/>
              <w:rPr>
                <w:sz w:val="20"/>
                <w:szCs w:val="20"/>
                <w:color w:val="auto"/>
              </w:rPr>
            </w:pPr>
            <w:r>
              <w:rPr>
                <w:rFonts w:ascii="Arial" w:cs="Arial" w:eastAsia="Arial" w:hAnsi="Arial"/>
                <w:sz w:val="13"/>
                <w:szCs w:val="13"/>
                <w:b w:val="1"/>
                <w:bCs w:val="1"/>
                <w:color w:val="auto"/>
              </w:rPr>
              <w:t>Held-to-maturity:</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50" w:type="dxa"/>
            <w:vAlign w:val="bottom"/>
            <w:tcBorders>
              <w:top w:val="single" w:sz="8" w:color="auto"/>
            </w:tcBorders>
            <w:shd w:val="clear" w:color="auto" w:fill="CCEEFF"/>
          </w:tcPr>
          <w:p>
            <w:pPr>
              <w:spacing w:after="0"/>
              <w:rPr>
                <w:sz w:val="10"/>
                <w:szCs w:val="10"/>
                <w:color w:val="auto"/>
              </w:rPr>
            </w:pPr>
          </w:p>
        </w:tc>
        <w:tc>
          <w:tcPr>
            <w:tcW w:w="79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3"/>
                <w:szCs w:val="13"/>
                <w:color w:val="auto"/>
              </w:rPr>
              <w:t>U.S. Government Agency</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44,087</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(7,038)</w:t>
            </w:r>
          </w:p>
        </w:tc>
        <w:tc>
          <w:tcPr>
            <w:tcW w:w="23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37,049</w:t>
            </w: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U.S. Treasury</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19,934</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50" w:type="dxa"/>
            <w:vAlign w:val="bottom"/>
            <w:tcBorders>
              <w:bottom w:val="single" w:sz="8" w:color="CCEEFF"/>
            </w:tcBorders>
            <w:shd w:val="clear" w:color="auto" w:fill="CCEEFF"/>
          </w:tcPr>
          <w:p>
            <w:pPr>
              <w:spacing w:after="0"/>
              <w:rPr>
                <w:sz w:val="13"/>
                <w:szCs w:val="13"/>
                <w:color w:val="auto"/>
              </w:rPr>
            </w:pPr>
          </w:p>
        </w:tc>
        <w:tc>
          <w:tcPr>
            <w:tcW w:w="79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19,906</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64,094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(10,308)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53,786</w:t>
            </w: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44,302</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(6,088)</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50" w:type="dxa"/>
            <w:vAlign w:val="bottom"/>
            <w:tcBorders>
              <w:bottom w:val="single" w:sz="8" w:color="CCEEFF"/>
            </w:tcBorders>
            <w:shd w:val="clear" w:color="auto" w:fill="CCEEFF"/>
          </w:tcPr>
          <w:p>
            <w:pPr>
              <w:spacing w:after="0"/>
              <w:rPr>
                <w:sz w:val="13"/>
                <w:szCs w:val="13"/>
                <w:color w:val="auto"/>
              </w:rPr>
            </w:pPr>
          </w:p>
        </w:tc>
        <w:tc>
          <w:tcPr>
            <w:tcW w:w="79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38,214</w:t>
            </w:r>
          </w:p>
        </w:tc>
        <w:tc>
          <w:tcPr>
            <w:tcW w:w="0" w:type="dxa"/>
            <w:vAlign w:val="bottom"/>
          </w:tcPr>
          <w:p>
            <w:pPr>
              <w:spacing w:after="0"/>
              <w:rPr>
                <w:sz w:val="1"/>
                <w:szCs w:val="1"/>
                <w:color w:val="auto"/>
              </w:rPr>
            </w:pPr>
          </w:p>
        </w:tc>
      </w:tr>
      <w:tr>
        <w:trPr>
          <w:trHeight w:val="166"/>
        </w:trPr>
        <w:tc>
          <w:tcPr>
            <w:tcW w:w="3800" w:type="dxa"/>
            <w:vAlign w:val="bottom"/>
          </w:tcPr>
          <w:p>
            <w:pPr>
              <w:ind w:left="2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15,467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(1,583)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13,884</w:t>
            </w:r>
          </w:p>
        </w:tc>
        <w:tc>
          <w:tcPr>
            <w:tcW w:w="0" w:type="dxa"/>
            <w:vAlign w:val="bottom"/>
          </w:tcPr>
          <w:p>
            <w:pPr>
              <w:spacing w:after="0"/>
              <w:rPr>
                <w:sz w:val="1"/>
                <w:szCs w:val="1"/>
                <w:color w:val="auto"/>
              </w:rPr>
            </w:pPr>
          </w:p>
        </w:tc>
      </w:tr>
      <w:tr>
        <w:trPr>
          <w:trHeight w:val="17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9,443</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50" w:type="dxa"/>
            <w:vAlign w:val="bottom"/>
            <w:tcBorders>
              <w:bottom w:val="single" w:sz="8" w:color="CCEEFF"/>
            </w:tcBorders>
            <w:shd w:val="clear" w:color="auto" w:fill="CCEEFF"/>
          </w:tcPr>
          <w:p>
            <w:pPr>
              <w:spacing w:after="0"/>
              <w:rPr>
                <w:sz w:val="15"/>
                <w:szCs w:val="15"/>
                <w:color w:val="auto"/>
              </w:rPr>
            </w:pPr>
          </w:p>
        </w:tc>
        <w:tc>
          <w:tcPr>
            <w:tcW w:w="79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8,455</w:t>
            </w:r>
          </w:p>
        </w:tc>
        <w:tc>
          <w:tcPr>
            <w:tcW w:w="0" w:type="dxa"/>
            <w:vAlign w:val="bottom"/>
          </w:tcPr>
          <w:p>
            <w:pPr>
              <w:spacing w:after="0"/>
              <w:rPr>
                <w:sz w:val="1"/>
                <w:szCs w:val="1"/>
                <w:color w:val="auto"/>
              </w:rPr>
            </w:pPr>
          </w:p>
        </w:tc>
      </w:tr>
      <w:tr>
        <w:trPr>
          <w:trHeight w:val="212"/>
        </w:trPr>
        <w:tc>
          <w:tcPr>
            <w:tcW w:w="3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197,327</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(26,033)</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5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9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171,294</w:t>
            </w:r>
          </w:p>
        </w:tc>
        <w:tc>
          <w:tcPr>
            <w:tcW w:w="0" w:type="dxa"/>
            <w:vAlign w:val="bottom"/>
          </w:tcPr>
          <w:p>
            <w:pPr>
              <w:spacing w:after="0"/>
              <w:rPr>
                <w:sz w:val="1"/>
                <w:szCs w:val="1"/>
                <w:color w:val="auto"/>
              </w:rPr>
            </w:pPr>
          </w:p>
        </w:tc>
      </w:tr>
      <w:tr>
        <w:trPr>
          <w:trHeight w:val="132"/>
        </w:trPr>
        <w:tc>
          <w:tcPr>
            <w:tcW w:w="380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0" w:type="dxa"/>
            <w:vAlign w:val="bottom"/>
            <w:shd w:val="clear" w:color="auto" w:fill="CCEEFF"/>
          </w:tcPr>
          <w:p>
            <w:pPr>
              <w:spacing w:after="0"/>
              <w:rPr>
                <w:sz w:val="11"/>
                <w:szCs w:val="11"/>
                <w:color w:val="auto"/>
              </w:rPr>
            </w:pPr>
          </w:p>
        </w:tc>
        <w:tc>
          <w:tcPr>
            <w:tcW w:w="79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20"/>
              <w:spacing w:after="0"/>
              <w:rPr>
                <w:sz w:val="20"/>
                <w:szCs w:val="20"/>
                <w:color w:val="auto"/>
              </w:rPr>
            </w:pPr>
            <w:r>
              <w:rPr>
                <w:rFonts w:ascii="Arial" w:cs="Arial" w:eastAsia="Arial" w:hAnsi="Arial"/>
                <w:sz w:val="13"/>
                <w:szCs w:val="13"/>
                <w:color w:val="auto"/>
              </w:rPr>
              <w:t>Securities held-to maturity, net of allowance for credit losses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00" w:type="dxa"/>
            <w:vAlign w:val="bottom"/>
            <w:vMerge w:val="continue"/>
          </w:tcPr>
          <w:p>
            <w:pPr>
              <w:spacing w:after="0"/>
              <w:rPr>
                <w:sz w:val="11"/>
                <w:szCs w:val="11"/>
                <w:color w:val="auto"/>
              </w:rPr>
            </w:pPr>
          </w:p>
        </w:tc>
        <w:tc>
          <w:tcPr>
            <w:tcW w:w="120" w:type="dxa"/>
            <w:vAlign w:val="bottom"/>
            <w:tcBorders>
              <w:bottom w:val="single" w:sz="8" w:color="auto"/>
            </w:tcBorders>
            <w:gridSpan w:val="2"/>
          </w:tcPr>
          <w:p>
            <w:pPr>
              <w:jc w:val="right"/>
              <w:spacing w:after="0" w:line="132"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6"/>
              <w:spacing w:after="0" w:line="132" w:lineRule="exact"/>
              <w:rPr>
                <w:sz w:val="20"/>
                <w:szCs w:val="20"/>
                <w:color w:val="auto"/>
              </w:rPr>
            </w:pPr>
            <w:r>
              <w:rPr>
                <w:rFonts w:ascii="Arial" w:cs="Arial" w:eastAsia="Arial" w:hAnsi="Arial"/>
                <w:sz w:val="13"/>
                <w:szCs w:val="13"/>
                <w:color w:val="auto"/>
              </w:rPr>
              <w:t>197,311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 w:type="dxa"/>
            <w:vAlign w:val="bottom"/>
          </w:tcPr>
          <w:p>
            <w:pPr>
              <w:spacing w:after="0"/>
              <w:rPr>
                <w:sz w:val="11"/>
                <w:szCs w:val="11"/>
                <w:color w:val="auto"/>
              </w:rPr>
            </w:pPr>
          </w:p>
        </w:tc>
        <w:tc>
          <w:tcPr>
            <w:tcW w:w="79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3"/>
                <w:szCs w:val="13"/>
                <w:b w:val="1"/>
                <w:bCs w:val="1"/>
                <w:color w:val="auto"/>
                <w:w w:val="99"/>
              </w:rPr>
              <w:t>December 31, 2022</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10,177</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(1,522)</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shd w:val="clear" w:color="auto" w:fill="CCEEFF"/>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8,655</w:t>
            </w:r>
          </w:p>
        </w:tc>
        <w:tc>
          <w:tcPr>
            <w:tcW w:w="0" w:type="dxa"/>
            <w:vAlign w:val="bottom"/>
          </w:tcPr>
          <w:p>
            <w:pPr>
              <w:spacing w:after="0"/>
              <w:rPr>
                <w:sz w:val="1"/>
                <w:szCs w:val="1"/>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118,951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(23,410)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95,541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73,838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(12,959)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60,879</w:t>
            </w:r>
          </w:p>
        </w:tc>
        <w:tc>
          <w:tcPr>
            <w:tcW w:w="0" w:type="dxa"/>
            <w:vAlign w:val="bottom"/>
          </w:tcPr>
          <w:p>
            <w:pPr>
              <w:spacing w:after="0"/>
              <w:rPr>
                <w:sz w:val="1"/>
                <w:szCs w:val="1"/>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32,244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(4,305)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27,954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18,483</w:t>
            </w:r>
          </w:p>
        </w:tc>
        <w:tc>
          <w:tcPr>
            <w:tcW w:w="0" w:type="dxa"/>
            <w:vAlign w:val="bottom"/>
          </w:tcPr>
          <w:p>
            <w:pPr>
              <w:spacing w:after="0"/>
              <w:rPr>
                <w:sz w:val="1"/>
                <w:szCs w:val="1"/>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15,964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14,919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280,295</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w:t>
            </w:r>
          </w:p>
        </w:tc>
        <w:tc>
          <w:tcPr>
            <w:tcW w:w="180" w:type="dxa"/>
            <w:vAlign w:val="bottom"/>
            <w:gridSpan w:val="3"/>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(50,175)</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230,140</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7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44,914</w:t>
            </w:r>
          </w:p>
        </w:tc>
        <w:tc>
          <w:tcPr>
            <w:tcW w:w="180" w:type="dxa"/>
            <w:vAlign w:val="bottom"/>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8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(5,877)</w:t>
            </w: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39,062</w:t>
            </w:r>
          </w:p>
        </w:tc>
        <w:tc>
          <w:tcPr>
            <w:tcW w:w="0" w:type="dxa"/>
            <w:vAlign w:val="bottom"/>
          </w:tcPr>
          <w:p>
            <w:pPr>
              <w:spacing w:after="0"/>
              <w:rPr>
                <w:sz w:val="1"/>
                <w:szCs w:val="1"/>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U.S. Treasury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9,841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9,828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68,727</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(7,830)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60,925</w:t>
            </w:r>
          </w:p>
        </w:tc>
        <w:tc>
          <w:tcPr>
            <w:tcW w:w="0" w:type="dxa"/>
            <w:vAlign w:val="bottom"/>
          </w:tcPr>
          <w:p>
            <w:pPr>
              <w:spacing w:after="0"/>
              <w:rPr>
                <w:sz w:val="1"/>
                <w:szCs w:val="1"/>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42,685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(4,574)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38,483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11,442</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(665)</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10,777</w:t>
            </w:r>
          </w:p>
        </w:tc>
        <w:tc>
          <w:tcPr>
            <w:tcW w:w="0" w:type="dxa"/>
            <w:vAlign w:val="bottom"/>
          </w:tcPr>
          <w:p>
            <w:pPr>
              <w:spacing w:after="0"/>
              <w:rPr>
                <w:sz w:val="1"/>
                <w:szCs w:val="1"/>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Corporate bonds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11,090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188,699</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(20,036)</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shd w:val="clear" w:color="auto" w:fill="CCEEFF"/>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During the year ended December 31, 2022, a total of 26 investment securities with an amortized cost basis and fair value of $74.4 million and $63.8 million, respectively, were transferred from AFS to HTM. These securities had a net unrealized loss of $10.6 million on the date of transfer. The net unrealized loss that was retained in accumulated other comprehensive income (“AOCI”) is being amortized over the remaining life of the securities. For the three and nine months ended September 30, 2023, total amortization out of AOCI for net unrealized losses on securities transferred from AFS to HTM was $64 thousand and $184 thousand, respectively. The unamortized net unrealized loss on September 30, 2023, was $9.6 million. There were no securities transferred from AFS to HTM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tabs>
          <w:tab w:leader="none" w:pos="280" w:val="left"/>
          <w:tab w:leader="none" w:pos="1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59" w:firstLine="256"/>
        <w:spacing w:after="0" w:line="260" w:lineRule="auto"/>
        <w:rPr>
          <w:sz w:val="20"/>
          <w:szCs w:val="20"/>
          <w:color w:val="auto"/>
        </w:rPr>
      </w:pPr>
      <w:r>
        <w:rPr>
          <w:rFonts w:ascii="Arial" w:cs="Arial" w:eastAsia="Arial" w:hAnsi="Arial"/>
          <w:sz w:val="14"/>
          <w:szCs w:val="14"/>
          <w:color w:val="auto"/>
        </w:rPr>
        <w:t>Gains and losses on the sale of securities are recorded on the trade date and are determined on the specific identification basis. The following table presents the proceeds, realized gross gains and realized gross losses on sales and calls of AFS debt securities for the three and nine months ended September 30, 2023 and 2022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Three Months Ended September 30,</w:t>
            </w: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116"/>
              <w:spacing w:after="0"/>
              <w:rPr>
                <w:sz w:val="20"/>
                <w:szCs w:val="20"/>
                <w:color w:val="auto"/>
              </w:rPr>
            </w:pPr>
            <w:r>
              <w:rPr>
                <w:rFonts w:ascii="Arial" w:cs="Arial" w:eastAsia="Arial" w:hAnsi="Arial"/>
                <w:sz w:val="13"/>
                <w:szCs w:val="13"/>
                <w:b w:val="1"/>
                <w:bCs w:val="1"/>
                <w:color w:val="auto"/>
                <w:w w:val="99"/>
              </w:rPr>
              <w:t>Nine Months Ended September 30,</w:t>
            </w:r>
          </w:p>
        </w:tc>
      </w:tr>
      <w:tr>
        <w:trPr>
          <w:trHeight w:val="161"/>
        </w:trPr>
        <w:tc>
          <w:tcPr>
            <w:tcW w:w="27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r>
      <w:tr>
        <w:trPr>
          <w:trHeight w:val="151"/>
        </w:trPr>
        <w:tc>
          <w:tcPr>
            <w:tcW w:w="274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Proceeds from sale and call of securities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6,792</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13,809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15,409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45,647</w:t>
            </w:r>
          </w:p>
        </w:tc>
      </w:tr>
      <w:tr>
        <w:trPr>
          <w:trHeight w:val="171"/>
        </w:trPr>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gains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r>
      <w:tr>
        <w:trPr>
          <w:trHeight w:val="171"/>
        </w:trPr>
        <w:tc>
          <w:tcPr>
            <w:tcW w:w="2740" w:type="dxa"/>
            <w:vAlign w:val="bottom"/>
            <w:gridSpan w:val="2"/>
          </w:tcPr>
          <w:p>
            <w:pPr>
              <w:spacing w:after="0"/>
              <w:rPr>
                <w:sz w:val="20"/>
                <w:szCs w:val="20"/>
                <w:color w:val="auto"/>
              </w:rPr>
            </w:pPr>
            <w:r>
              <w:rPr>
                <w:rFonts w:ascii="Arial" w:cs="Arial" w:eastAsia="Arial" w:hAnsi="Arial"/>
                <w:sz w:val="13"/>
                <w:szCs w:val="13"/>
                <w:color w:val="auto"/>
              </w:rPr>
              <w:t>Gross 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(955)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(560)</w:t>
            </w:r>
          </w:p>
        </w:tc>
        <w:tc>
          <w:tcPr>
            <w:tcW w:w="14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(979)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(758)</w:t>
            </w:r>
          </w:p>
        </w:tc>
      </w:tr>
      <w:tr>
        <w:trPr>
          <w:trHeight w:val="161"/>
        </w:trPr>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40" w:type="dxa"/>
            <w:vAlign w:val="bottom"/>
            <w:tcBorders>
              <w:top w:val="single" w:sz="8" w:color="CCEEFF"/>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Net realized (loss) gain</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(955)</w:t>
            </w: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108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(558)</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106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(976)</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108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(540)</w:t>
            </w:r>
          </w:p>
        </w:tc>
      </w:tr>
      <w:tr>
        <w:trPr>
          <w:trHeight w:val="20"/>
        </w:trPr>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as of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83"/>
        </w:trPr>
        <w:tc>
          <w:tcPr>
            <w:tcW w:w="4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Available-for-sale</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3"/>
                <w:szCs w:val="13"/>
                <w:b w:val="1"/>
                <w:bCs w:val="1"/>
                <w:color w:val="auto"/>
              </w:rPr>
              <w:t>Held-to-maturity</w:t>
            </w:r>
          </w:p>
        </w:tc>
      </w:tr>
      <w:tr>
        <w:trPr>
          <w:trHeight w:val="150"/>
        </w:trPr>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402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September 30, 2023:</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6"/>
              </w:rPr>
              <w:t>Fair Value</w:t>
            </w:r>
          </w:p>
        </w:tc>
      </w:tr>
      <w:tr>
        <w:trPr>
          <w:trHeight w:val="15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Due within one year</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19,934</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19,906</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Due after one year through five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5,977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9,443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8,455</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22,059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Due after ten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21,382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15,396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44,087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37,049</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105,547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78,571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64,094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53,786</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66,024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51,157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38,214</w:t>
            </w:r>
          </w:p>
        </w:tc>
      </w:tr>
      <w:tr>
        <w:trPr>
          <w:trHeight w:val="171"/>
        </w:trPr>
        <w:tc>
          <w:tcPr>
            <w:tcW w:w="40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48,010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40,564</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15,467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13,884</w:t>
            </w:r>
          </w:p>
        </w:tc>
      </w:tr>
      <w:tr>
        <w:trPr>
          <w:trHeight w:val="161"/>
        </w:trPr>
        <w:tc>
          <w:tcPr>
            <w:tcW w:w="4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278,935</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218,609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197,327</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171,294</w:t>
            </w:r>
          </w:p>
        </w:tc>
      </w:tr>
      <w:tr>
        <w:trPr>
          <w:trHeight w:val="20"/>
        </w:trPr>
        <w:tc>
          <w:tcPr>
            <w:tcW w:w="4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At September 30, 2023, there were no securities held in the portfolio from any one issuer in an amount greater than 10% of total stockholders’ equity other than the United States Government and Government Agency securities. All the collateralized mortgage obligations and mortgage-backed securities are issued by United States sponsored entities at September 30, 2023 and December 31, 2022.</w:t>
      </w:r>
    </w:p>
    <w:p>
      <w:pPr>
        <w:spacing w:after="0" w:line="143"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59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3"/>
                <w:szCs w:val="13"/>
                <w:b w:val="1"/>
                <w:bCs w:val="1"/>
                <w:color w:val="auto"/>
              </w:rPr>
              <w:t>September 30, 2023</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53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 w:type="dxa"/>
            <w:vAlign w:val="bottom"/>
            <w:tcBorders>
              <w:bottom w:val="single" w:sz="8" w:color="auto"/>
            </w:tcBorders>
          </w:tcPr>
          <w:p>
            <w:pPr>
              <w:spacing w:after="0"/>
              <w:rPr>
                <w:sz w:val="13"/>
                <w:szCs w:val="13"/>
                <w:color w:val="auto"/>
              </w:rPr>
            </w:pPr>
          </w:p>
        </w:tc>
        <w:tc>
          <w:tcPr>
            <w:tcW w:w="151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Total</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2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Fair Value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64"/>
        </w:trPr>
        <w:tc>
          <w:tcPr>
            <w:tcW w:w="24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Losses</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8"/>
              </w:rPr>
              <w:t>Losses</w:t>
            </w:r>
          </w:p>
        </w:tc>
        <w:tc>
          <w:tcPr>
            <w:tcW w:w="0" w:type="dxa"/>
            <w:vAlign w:val="bottom"/>
          </w:tcPr>
          <w:p>
            <w:pPr>
              <w:spacing w:after="0"/>
              <w:rPr>
                <w:sz w:val="1"/>
                <w:szCs w:val="1"/>
                <w:color w:val="auto"/>
              </w:rPr>
            </w:pPr>
          </w:p>
        </w:tc>
      </w:tr>
      <w:tr>
        <w:trPr>
          <w:trHeight w:val="161"/>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Agency</w:t>
            </w: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w:t>
            </w:r>
          </w:p>
        </w:tc>
        <w:tc>
          <w:tcPr>
            <w:tcW w:w="5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45,075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(10,184)</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45,075</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(10,184)</w:t>
            </w:r>
          </w:p>
        </w:tc>
        <w:tc>
          <w:tcPr>
            <w:tcW w:w="0" w:type="dxa"/>
            <w:vAlign w:val="bottom"/>
          </w:tcPr>
          <w:p>
            <w:pPr>
              <w:spacing w:after="0"/>
              <w:rPr>
                <w:sz w:val="1"/>
                <w:szCs w:val="1"/>
                <w:color w:val="auto"/>
              </w:rPr>
            </w:pPr>
          </w:p>
        </w:tc>
      </w:tr>
      <w:tr>
        <w:trPr>
          <w:trHeight w:val="171"/>
        </w:trPr>
        <w:tc>
          <w:tcPr>
            <w:tcW w:w="2440" w:type="dxa"/>
            <w:vAlign w:val="bottom"/>
          </w:tcPr>
          <w:p>
            <w:pPr>
              <w:ind w:left="20"/>
              <w:spacing w:after="0"/>
              <w:rPr>
                <w:sz w:val="20"/>
                <w:szCs w:val="20"/>
                <w:color w:val="auto"/>
              </w:rPr>
            </w:pPr>
            <w:r>
              <w:rPr>
                <w:rFonts w:ascii="Arial" w:cs="Arial" w:eastAsia="Arial" w:hAnsi="Arial"/>
                <w:sz w:val="13"/>
                <w:szCs w:val="13"/>
                <w:color w:val="auto"/>
              </w:rPr>
              <w:t>U.S. Treasury</w:t>
            </w: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90" w:type="dxa"/>
            <w:vAlign w:val="bottom"/>
          </w:tcPr>
          <w:p>
            <w:pPr>
              <w:jc w:val="right"/>
              <w:ind w:right="16"/>
              <w:spacing w:after="0"/>
              <w:rPr>
                <w:sz w:val="20"/>
                <w:szCs w:val="20"/>
                <w:color w:val="auto"/>
              </w:rPr>
            </w:pPr>
            <w:r>
              <w:rPr>
                <w:rFonts w:ascii="Arial" w:cs="Arial" w:eastAsia="Arial" w:hAnsi="Arial"/>
                <w:sz w:val="13"/>
                <w:szCs w:val="13"/>
                <w:color w:val="auto"/>
              </w:rPr>
              <w:t>19,906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30" w:type="dxa"/>
            <w:vAlign w:val="bottom"/>
          </w:tcPr>
          <w:p>
            <w:pPr>
              <w:jc w:val="right"/>
              <w:spacing w:after="0"/>
              <w:rPr>
                <w:sz w:val="20"/>
                <w:szCs w:val="20"/>
                <w:color w:val="auto"/>
              </w:rPr>
            </w:pPr>
            <w:r>
              <w:rPr>
                <w:rFonts w:ascii="Arial" w:cs="Arial" w:eastAsia="Arial" w:hAnsi="Arial"/>
                <w:sz w:val="13"/>
                <w:szCs w:val="13"/>
                <w:color w:val="auto"/>
              </w:rPr>
              <w:t>19,906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Collateralized mortgage obligations</w:t>
            </w: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5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132,357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(41,869)</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132,357</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(41,869)</w:t>
            </w:r>
          </w:p>
        </w:tc>
        <w:tc>
          <w:tcPr>
            <w:tcW w:w="0" w:type="dxa"/>
            <w:vAlign w:val="bottom"/>
          </w:tcPr>
          <w:p>
            <w:pPr>
              <w:spacing w:after="0"/>
              <w:rPr>
                <w:sz w:val="1"/>
                <w:szCs w:val="1"/>
                <w:color w:val="auto"/>
              </w:rPr>
            </w:pPr>
          </w:p>
        </w:tc>
      </w:tr>
      <w:tr>
        <w:trPr>
          <w:trHeight w:val="171"/>
        </w:trPr>
        <w:tc>
          <w:tcPr>
            <w:tcW w:w="2440" w:type="dxa"/>
            <w:vAlign w:val="bottom"/>
          </w:tcPr>
          <w:p>
            <w:pPr>
              <w:ind w:left="2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90" w:type="dxa"/>
            <w:vAlign w:val="bottom"/>
          </w:tcPr>
          <w:p>
            <w:pPr>
              <w:jc w:val="right"/>
              <w:ind w:right="16"/>
              <w:spacing w:after="0"/>
              <w:rPr>
                <w:sz w:val="20"/>
                <w:szCs w:val="20"/>
                <w:color w:val="auto"/>
              </w:rPr>
            </w:pPr>
            <w:r>
              <w:rPr>
                <w:rFonts w:ascii="Arial" w:cs="Arial" w:eastAsia="Arial" w:hAnsi="Arial"/>
                <w:sz w:val="13"/>
                <w:szCs w:val="13"/>
                <w:color w:val="auto"/>
              </w:rPr>
              <w:t>5,362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(237)</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84,009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(23,353)</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30" w:type="dxa"/>
            <w:vAlign w:val="bottom"/>
          </w:tcPr>
          <w:p>
            <w:pPr>
              <w:jc w:val="right"/>
              <w:spacing w:after="0"/>
              <w:rPr>
                <w:sz w:val="20"/>
                <w:szCs w:val="20"/>
                <w:color w:val="auto"/>
              </w:rPr>
            </w:pPr>
            <w:r>
              <w:rPr>
                <w:rFonts w:ascii="Arial" w:cs="Arial" w:eastAsia="Arial" w:hAnsi="Arial"/>
                <w:sz w:val="13"/>
                <w:szCs w:val="13"/>
                <w:color w:val="auto"/>
              </w:rPr>
              <w:t>89,371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(23,590)</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securities - commercial</w:t>
            </w: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5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20,006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32,923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(9,656)</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52,929</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(10,573)</w:t>
            </w:r>
          </w:p>
        </w:tc>
        <w:tc>
          <w:tcPr>
            <w:tcW w:w="0" w:type="dxa"/>
            <w:vAlign w:val="bottom"/>
          </w:tcPr>
          <w:p>
            <w:pPr>
              <w:spacing w:after="0"/>
              <w:rPr>
                <w:sz w:val="1"/>
                <w:szCs w:val="1"/>
                <w:color w:val="auto"/>
              </w:rPr>
            </w:pPr>
          </w:p>
        </w:tc>
      </w:tr>
      <w:tr>
        <w:trPr>
          <w:trHeight w:val="171"/>
        </w:trPr>
        <w:tc>
          <w:tcPr>
            <w:tcW w:w="244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gridSpan w:val="3"/>
          </w:tcPr>
          <w:p>
            <w:pPr>
              <w:ind w:left="420"/>
              <w:spacing w:after="0"/>
              <w:rPr>
                <w:sz w:val="20"/>
                <w:szCs w:val="20"/>
                <w:color w:val="auto"/>
              </w:rPr>
            </w:pPr>
            <w:r>
              <w:rPr>
                <w:rFonts w:ascii="Arial" w:cs="Arial" w:eastAsia="Arial" w:hAnsi="Arial"/>
                <w:sz w:val="13"/>
                <w:szCs w:val="13"/>
                <w:color w:val="auto"/>
              </w:rPr>
              <w:t>18,116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(6,908)</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30" w:type="dxa"/>
            <w:vAlign w:val="bottom"/>
          </w:tcPr>
          <w:p>
            <w:pPr>
              <w:jc w:val="right"/>
              <w:spacing w:after="0"/>
              <w:rPr>
                <w:sz w:val="20"/>
                <w:szCs w:val="20"/>
                <w:color w:val="auto"/>
              </w:rPr>
            </w:pPr>
            <w:r>
              <w:rPr>
                <w:rFonts w:ascii="Arial" w:cs="Arial" w:eastAsia="Arial" w:hAnsi="Arial"/>
                <w:sz w:val="13"/>
                <w:szCs w:val="13"/>
                <w:color w:val="auto"/>
              </w:rPr>
              <w:t>18,116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(6,908)</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subordinated debt securities</w:t>
            </w: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59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9,611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11,560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(1,941)</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21,171</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(2,245)</w:t>
            </w:r>
          </w:p>
        </w:tc>
        <w:tc>
          <w:tcPr>
            <w:tcW w:w="0" w:type="dxa"/>
            <w:vAlign w:val="bottom"/>
          </w:tcPr>
          <w:p>
            <w:pPr>
              <w:spacing w:after="0"/>
              <w:rPr>
                <w:sz w:val="1"/>
                <w:szCs w:val="1"/>
                <w:color w:val="auto"/>
              </w:rPr>
            </w:pPr>
          </w:p>
        </w:tc>
      </w:tr>
      <w:tr>
        <w:trPr>
          <w:trHeight w:val="171"/>
        </w:trPr>
        <w:tc>
          <w:tcPr>
            <w:tcW w:w="2440" w:type="dxa"/>
            <w:vAlign w:val="bottom"/>
          </w:tcPr>
          <w:p>
            <w:pPr>
              <w:ind w:left="20"/>
              <w:spacing w:after="0"/>
              <w:rPr>
                <w:sz w:val="20"/>
                <w:szCs w:val="20"/>
                <w:color w:val="auto"/>
              </w:rPr>
            </w:pPr>
            <w:r>
              <w:rPr>
                <w:rFonts w:ascii="Arial" w:cs="Arial" w:eastAsia="Arial" w:hAnsi="Arial"/>
                <w:sz w:val="13"/>
                <w:szCs w:val="13"/>
                <w:color w:val="auto"/>
              </w:rPr>
              <w:t>Corporate bonds</w:t>
            </w: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8,454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(631)</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30" w:type="dxa"/>
            <w:vAlign w:val="bottom"/>
          </w:tcPr>
          <w:p>
            <w:pPr>
              <w:jc w:val="right"/>
              <w:spacing w:after="0"/>
              <w:rPr>
                <w:sz w:val="20"/>
                <w:szCs w:val="20"/>
                <w:color w:val="auto"/>
              </w:rPr>
            </w:pPr>
            <w:r>
              <w:rPr>
                <w:rFonts w:ascii="Arial" w:cs="Arial" w:eastAsia="Arial" w:hAnsi="Arial"/>
                <w:sz w:val="13"/>
                <w:szCs w:val="13"/>
                <w:color w:val="auto"/>
              </w:rPr>
              <w:t>8,454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(631)</w:t>
            </w:r>
          </w:p>
        </w:tc>
        <w:tc>
          <w:tcPr>
            <w:tcW w:w="0" w:type="dxa"/>
            <w:vAlign w:val="bottom"/>
          </w:tcPr>
          <w:p>
            <w:pPr>
              <w:spacing w:after="0"/>
              <w:rPr>
                <w:sz w:val="1"/>
                <w:szCs w:val="1"/>
                <w:color w:val="auto"/>
              </w:rPr>
            </w:pPr>
          </w:p>
        </w:tc>
      </w:tr>
      <w:tr>
        <w:trPr>
          <w:trHeight w:val="172"/>
        </w:trPr>
        <w:tc>
          <w:tcPr>
            <w:tcW w:w="24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7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w:t>
            </w:r>
          </w:p>
        </w:tc>
        <w:tc>
          <w:tcPr>
            <w:tcW w:w="59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54,885</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(1,486)</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332,494</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(94,542)</w:t>
            </w: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7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w:t>
            </w:r>
          </w:p>
        </w:tc>
        <w:tc>
          <w:tcPr>
            <w:tcW w:w="53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387,379</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(96,028)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 w:type="dxa"/>
            <w:vAlign w:val="bottom"/>
            <w:tcBorders>
              <w:bottom w:val="single" w:sz="8" w:color="auto"/>
            </w:tcBorders>
          </w:tcPr>
          <w:p>
            <w:pPr>
              <w:spacing w:after="0" w:line="20" w:lineRule="exact"/>
              <w:rPr>
                <w:sz w:val="1"/>
                <w:szCs w:val="1"/>
                <w:color w:val="auto"/>
              </w:rPr>
            </w:pPr>
          </w:p>
        </w:tc>
        <w:tc>
          <w:tcPr>
            <w:tcW w:w="59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 w:type="dxa"/>
            <w:vAlign w:val="bottom"/>
            <w:tcBorders>
              <w:bottom w:val="single" w:sz="8" w:color="auto"/>
            </w:tcBorders>
          </w:tcPr>
          <w:p>
            <w:pPr>
              <w:spacing w:after="0" w:line="20" w:lineRule="exact"/>
              <w:rPr>
                <w:sz w:val="1"/>
                <w:szCs w:val="1"/>
                <w:color w:val="auto"/>
              </w:rPr>
            </w:pPr>
          </w:p>
        </w:tc>
        <w:tc>
          <w:tcPr>
            <w:tcW w:w="53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6080" w:type="dxa"/>
            <w:vAlign w:val="bottom"/>
            <w:gridSpan w:val="13"/>
          </w:tcPr>
          <w:p>
            <w:pPr>
              <w:ind w:left="2140"/>
              <w:spacing w:after="0"/>
              <w:rPr>
                <w:sz w:val="20"/>
                <w:szCs w:val="20"/>
                <w:color w:val="auto"/>
              </w:rPr>
            </w:pPr>
            <w:r>
              <w:rPr>
                <w:rFonts w:ascii="Arial" w:cs="Arial" w:eastAsia="Arial" w:hAnsi="Arial"/>
                <w:sz w:val="13"/>
                <w:szCs w:val="13"/>
                <w:color w:val="auto"/>
              </w:rPr>
              <w:t>Notes to the Consolidated Financial Statements - Unaudited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2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77"/>
              </w:rPr>
              <w:t>Total</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Fair Value</w:t>
            </w:r>
          </w:p>
        </w:tc>
        <w:tc>
          <w:tcPr>
            <w:tcW w:w="200" w:type="dxa"/>
            <w:vAlign w:val="bottom"/>
          </w:tcPr>
          <w:p>
            <w:pPr>
              <w:spacing w:after="0"/>
              <w:rPr>
                <w:sz w:val="13"/>
                <w:szCs w:val="13"/>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Fair Value</w:t>
            </w:r>
          </w:p>
        </w:tc>
        <w:tc>
          <w:tcPr>
            <w:tcW w:w="220" w:type="dxa"/>
            <w:vAlign w:val="bottom"/>
          </w:tcPr>
          <w:p>
            <w:pPr>
              <w:spacing w:after="0"/>
              <w:rPr>
                <w:sz w:val="13"/>
                <w:szCs w:val="13"/>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64"/>
        </w:trPr>
        <w:tc>
          <w:tcPr>
            <w:tcW w:w="24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Losses</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Losses</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5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(1,093)</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36,310</w:t>
            </w:r>
          </w:p>
        </w:tc>
        <w:tc>
          <w:tcPr>
            <w:tcW w:w="2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(7,616)</w:t>
            </w:r>
          </w:p>
        </w:tc>
        <w:tc>
          <w:tcPr>
            <w:tcW w:w="12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47,717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(8,709)</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3"/>
                <w:szCs w:val="13"/>
                <w:color w:val="auto"/>
              </w:rPr>
              <w:t>U.S. Treasury</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9,828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9,828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139,965</w:t>
            </w: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(34,962)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156,465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(35,925)</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5,059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(564)</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91,742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(19,348)</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96,801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(19,912)</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26,823</w:t>
            </w: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36,875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(6,473)</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3"/>
                <w:szCs w:val="13"/>
                <w:color w:val="auto"/>
              </w:rPr>
              <w:t>Municipal securities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18,483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(6,601)</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18,483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(6,601)</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2,619</w:t>
            </w: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13,914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3"/>
                <w:szCs w:val="13"/>
                <w:color w:val="auto"/>
              </w:rPr>
              <w:t>Corporate bonds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13,723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(926)</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13,723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(926)</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77,864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(5,402)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315,942</w:t>
            </w: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(74,208)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393,806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(79,610)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As of September 30, 2023, the unrealized losses associated with $ 128.5 million of investment securities transferred from the AFS portfolio to the HTM portfolio represent unrealized losses since the date of purchase, independent of the impact associated with changes in the cost basis of the securities upon transfer between portfolios.</w:t>
      </w:r>
    </w:p>
    <w:p>
      <w:pPr>
        <w:spacing w:after="0" w:line="12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ASC Topic 326 amended the existing other-than-temporary-impairment guidance for AFS securities, requiring credit losses to be recorded as an allowance rather than through a permanent write-down. When evaluating AFS debt securities under ASC Topic 326, the Company has evaluated whether the decline in fair value is attributed to credit losses or other factors like interest rate risk, using both quantitative and qualitative analyses, including company performance analysis, review of credit ratings, remaining payment terms, prepayment speeds and analysis of macro-economic conditions. Each investment is expected to recover its price depreciation over its holding period as it moves to maturity and the Company has the intent and ability to hold these securities to maturity if necessary. As a result of this evaluation, the Company concluded that no allowance was required on AFS securities.</w:t>
      </w:r>
    </w:p>
    <w:p>
      <w:pPr>
        <w:spacing w:after="0" w:line="136" w:lineRule="exact"/>
        <w:rPr>
          <w:sz w:val="20"/>
          <w:szCs w:val="20"/>
          <w:color w:val="auto"/>
        </w:rPr>
      </w:pPr>
    </w:p>
    <w:p>
      <w:pPr>
        <w:jc w:val="both"/>
        <w:ind w:left="660" w:right="659" w:firstLine="256"/>
        <w:spacing w:after="0" w:line="260" w:lineRule="auto"/>
        <w:rPr>
          <w:sz w:val="20"/>
          <w:szCs w:val="20"/>
          <w:color w:val="auto"/>
        </w:rPr>
      </w:pPr>
      <w:r>
        <w:rPr>
          <w:rFonts w:ascii="Arial" w:cs="Arial" w:eastAsia="Arial" w:hAnsi="Arial"/>
          <w:sz w:val="14"/>
          <w:szCs w:val="14"/>
          <w:color w:val="auto"/>
        </w:rPr>
        <w:t>At September 30, 2023, the Company had $67.3 million of unrealized losses on mortgage-backed securities and collateralized mortgage obligations of government sponsored entities having a fair value of $276.2 million that were attributable to a combination of factors, including relative changes in interest rates since the time of purchase.</w:t>
      </w:r>
    </w:p>
    <w:p>
      <w:pPr>
        <w:spacing w:after="0" w:line="138"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At December 31, 2022, the Company had $ 53.7 million of unrealized losses on mortgage backed securities and collateralized mortgage obligations of government sponsored entities having a fair value of $294.6 million that were attributable to a combination of factors, including relative changes in interest rates since the time of purchase.</w:t>
      </w:r>
    </w:p>
    <w:p>
      <w:pPr>
        <w:spacing w:after="0" w:line="144"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The contractual cash flows for these securities are guaranteed by U.S. government agencies and U.S. government sponsored entities. The municipal bonds are of high credit quality and the declines in fair value are not due to credit quality. Based on the assessment of these mitigating factors, management believed that the unrealized losses on these debt security holdings are a function of changes in investment spreads and interest rate movements and not changes in credit quality. Management expects to recover the entire amortized cost basis of these securities.</w:t>
      </w:r>
    </w:p>
    <w:p>
      <w:pPr>
        <w:spacing w:after="0" w:line="146"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At September 30, 2023, the Company does not intend to sell debt securities that are in an unrealized loss position and it is not more than likely than not that the Company will be required to sell these securities before recovery of the amortized cost basis. Therefore, management does not consider any investment to be other than temporarily impaired at September 30, 2023.</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Pledged Securities</w:t>
      </w:r>
    </w:p>
    <w:p>
      <w:pPr>
        <w:spacing w:after="0" w:line="16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maintains a master repurchase agreement with a public banking institution for up to $20.0 million fully guaranteed with investment securities upon withdrawal. Any amounts borrowed would be at a variable interest rate based on prevailing rates at the time funding is requested. As of September 30, 2023, the Company did not have any securities pledged under this agreement.</w:t>
      </w:r>
    </w:p>
    <w:p>
      <w:pPr>
        <w:spacing w:after="0" w:line="143"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Bank is a Qualified Public Depository (“QPD”) with the State of Florida. As a QPD, the Bank has the legal authority to maintain public deposits from cities, municipalities, and the State of Florida. These public deposits are secured by securities pledged to the State of Florida at a ratio of 25% of the outstanding uninsured deposits. The Bank must also maintain a minimum amount of pledged securities to be in the public funds program.</w:t>
      </w:r>
    </w:p>
    <w:p>
      <w:pPr>
        <w:spacing w:after="0" w:line="39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59" w:firstLine="256"/>
        <w:spacing w:after="0" w:line="267" w:lineRule="auto"/>
        <w:rPr>
          <w:sz w:val="20"/>
          <w:szCs w:val="20"/>
          <w:color w:val="auto"/>
        </w:rPr>
      </w:pPr>
      <w:r>
        <w:rPr>
          <w:rFonts w:ascii="Arial" w:cs="Arial" w:eastAsia="Arial" w:hAnsi="Arial"/>
          <w:sz w:val="14"/>
          <w:szCs w:val="14"/>
          <w:color w:val="auto"/>
        </w:rPr>
        <w:t>As of September 30, 2023, the Bank had a total of $212.3 million in deposits under the public funds program and pledged to the State of Florida for these public funds were twenty-seven bonds with an aggregate fair value of $82.6 million.</w:t>
      </w:r>
    </w:p>
    <w:p>
      <w:pPr>
        <w:spacing w:after="0" w:line="133" w:lineRule="exact"/>
        <w:rPr>
          <w:sz w:val="20"/>
          <w:szCs w:val="20"/>
          <w:color w:val="auto"/>
        </w:rPr>
      </w:pPr>
    </w:p>
    <w:p>
      <w:pPr>
        <w:ind w:left="660" w:right="659" w:firstLine="256"/>
        <w:spacing w:after="0" w:line="306" w:lineRule="auto"/>
        <w:rPr>
          <w:sz w:val="20"/>
          <w:szCs w:val="20"/>
          <w:color w:val="auto"/>
        </w:rPr>
      </w:pPr>
      <w:r>
        <w:rPr>
          <w:rFonts w:ascii="Arial" w:cs="Arial" w:eastAsia="Arial" w:hAnsi="Arial"/>
          <w:sz w:val="13"/>
          <w:szCs w:val="13"/>
          <w:color w:val="auto"/>
        </w:rPr>
        <w:t>As of December 31, 2022, the Bank had a total of $204.2 million in deposits under the public funds program and pledged to the State of Florida for these public funds were eighteen corporate bonds with an aggregate fair value of $ 49.0 million.</w:t>
      </w:r>
    </w:p>
    <w:p>
      <w:pPr>
        <w:spacing w:after="0" w:line="11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Board of Governors of the Federal Reserve System, on March 12, 2023, announced the creation of a new Bank Term Funding Program (BTFP). The BTFP offers loans of up to one year in length to banks, savings associations, credit unions, and other eligible depository institutions pledging U.S. Treasuries, U.S. agency debt and mortgage-backed securities, and other qualifying assets as collateral. These assets will be valued at par.</w:t>
      </w:r>
    </w:p>
    <w:p>
      <w:pPr>
        <w:spacing w:after="0" w:line="143"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The Company had no borrowing under the BTFP program as of September 30, 2023, and had pledged $ 134.4 million in securities measured at par to the Federal Reserve Bank of Atlanta for the BTFP program.</w:t>
      </w:r>
    </w:p>
    <w:p>
      <w:pPr>
        <w:spacing w:after="0" w:line="114" w:lineRule="exact"/>
        <w:rPr>
          <w:sz w:val="20"/>
          <w:szCs w:val="20"/>
          <w:color w:val="auto"/>
        </w:rPr>
      </w:pPr>
    </w:p>
    <w:p>
      <w:pPr>
        <w:ind w:left="1040" w:hanging="377"/>
        <w:spacing w:after="0"/>
        <w:tabs>
          <w:tab w:leader="none" w:pos="104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1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On January 1, 2023, the Company adopted FASB ASC Topic 326 using the modified retrospective methodology in accordance with the amendments of FASB ASU 2016-13. Through the adoption of CECL, the Company developed an allowance for credit losses (“ACL”) methodology that replaces its previous allowance for loan losses methodology. See the ACL section in this note for further information regarding the Company’s ACL. Prior periods balance for ACL are presented under legacy GAAP and may not be comparable to current period presentation.</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is a summary of the distribution of loans held for investment by type (in thousands):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3"/>
                <w:szCs w:val="13"/>
                <w:b w:val="1"/>
                <w:bCs w:val="1"/>
                <w:color w:val="auto"/>
              </w:rPr>
              <w:t>September 30, 2023</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3"/>
                <w:szCs w:val="13"/>
                <w:b w:val="1"/>
                <w:bCs w:val="1"/>
                <w:color w:val="auto"/>
              </w:rPr>
              <w:t>December 31, 2022</w:t>
            </w:r>
          </w:p>
        </w:tc>
      </w:tr>
      <w:tr>
        <w:trPr>
          <w:trHeight w:val="179"/>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7"/>
              </w:rPr>
              <w:t>Percent of</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ind w:right="236"/>
              <w:spacing w:after="0"/>
              <w:rPr>
                <w:sz w:val="20"/>
                <w:szCs w:val="20"/>
                <w:color w:val="auto"/>
              </w:rPr>
            </w:pPr>
            <w:r>
              <w:rPr>
                <w:rFonts w:ascii="Arial" w:cs="Arial" w:eastAsia="Arial" w:hAnsi="Arial"/>
                <w:sz w:val="13"/>
                <w:szCs w:val="13"/>
                <w:b w:val="1"/>
                <w:bCs w:val="1"/>
                <w:color w:val="auto"/>
              </w:rPr>
              <w:t>Percent of</w:t>
            </w:r>
          </w:p>
        </w:tc>
      </w:tr>
      <w:tr>
        <w:trPr>
          <w:trHeight w:val="164"/>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4"/>
                <w:szCs w:val="14"/>
                <w:color w:val="auto"/>
              </w:rPr>
            </w:pPr>
          </w:p>
        </w:tc>
        <w:tc>
          <w:tcPr>
            <w:tcW w:w="1060" w:type="dxa"/>
            <w:vAlign w:val="bottom"/>
            <w:gridSpan w:val="2"/>
          </w:tcPr>
          <w:p>
            <w:pPr>
              <w:jc w:val="right"/>
              <w:ind w:right="396"/>
              <w:spacing w:after="0"/>
              <w:rPr>
                <w:sz w:val="20"/>
                <w:szCs w:val="20"/>
                <w:color w:val="auto"/>
              </w:rPr>
            </w:pPr>
            <w:r>
              <w:rPr>
                <w:rFonts w:ascii="Arial" w:cs="Arial" w:eastAsia="Arial" w:hAnsi="Arial"/>
                <w:sz w:val="13"/>
                <w:szCs w:val="13"/>
                <w:b w:val="1"/>
                <w:bCs w:val="1"/>
                <w:color w:val="auto"/>
              </w:rPr>
              <w:t>Total</w:t>
            </w:r>
          </w:p>
        </w:tc>
      </w:tr>
      <w:tr>
        <w:trPr>
          <w:trHeight w:val="151"/>
        </w:trPr>
        <w:tc>
          <w:tcPr>
            <w:tcW w:w="334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188,880</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1,005,280</w:t>
            </w:r>
          </w:p>
        </w:tc>
        <w:tc>
          <w:tcPr>
            <w:tcW w:w="4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60.0 %</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970,410</w:t>
            </w:r>
          </w:p>
        </w:tc>
        <w:tc>
          <w:tcPr>
            <w:tcW w:w="4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64.4 %</w:t>
            </w: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212,975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94,640</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5.7 %</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93,769</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6.2 %</w:t>
            </w: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173,096</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3340" w:type="dxa"/>
            <w:vAlign w:val="bottom"/>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1,674,871</w:t>
            </w:r>
          </w:p>
        </w:tc>
        <w:tc>
          <w:tcPr>
            <w:tcW w:w="4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100.0 %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1,507,228</w:t>
            </w:r>
          </w:p>
        </w:tc>
        <w:tc>
          <w:tcPr>
            <w:tcW w:w="4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100.0 %</w:t>
            </w:r>
          </w:p>
        </w:tc>
      </w:tr>
      <w:tr>
        <w:trPr>
          <w:trHeight w:val="121"/>
        </w:trPr>
        <w:tc>
          <w:tcPr>
            <w:tcW w:w="33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Plus: Deferred fees (cost)</w:t>
            </w:r>
          </w:p>
        </w:tc>
        <w:tc>
          <w:tcPr>
            <w:tcW w:w="140" w:type="dxa"/>
            <w:vAlign w:val="bottom"/>
            <w:tcBorders>
              <w:top w:val="single" w:sz="8" w:color="CCEEFF"/>
              <w:bottom w:val="single" w:sz="8" w:color="auto"/>
            </w:tcBorders>
            <w:shd w:val="clear" w:color="auto" w:fill="CCEEFF"/>
          </w:tcPr>
          <w:p>
            <w:pPr>
              <w:spacing w:after="0"/>
              <w:rPr>
                <w:sz w:val="10"/>
                <w:szCs w:val="10"/>
                <w:color w:val="auto"/>
              </w:rPr>
            </w:pPr>
          </w:p>
        </w:tc>
        <w:tc>
          <w:tcPr>
            <w:tcW w:w="86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1,649</w:t>
            </w: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auto"/>
            </w:tcBorders>
            <w:shd w:val="clear" w:color="auto" w:fill="CCEEFF"/>
          </w:tcPr>
          <w:p>
            <w:pPr>
              <w:spacing w:after="0"/>
              <w:rPr>
                <w:sz w:val="10"/>
                <w:szCs w:val="10"/>
                <w:color w:val="auto"/>
              </w:rPr>
            </w:pPr>
          </w:p>
        </w:tc>
        <w:tc>
          <w:tcPr>
            <w:tcW w:w="86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110</w:t>
            </w: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r>
      <w:tr>
        <w:trPr>
          <w:trHeight w:val="151"/>
        </w:trPr>
        <w:tc>
          <w:tcPr>
            <w:tcW w:w="3340" w:type="dxa"/>
            <w:vAlign w:val="bottom"/>
          </w:tcPr>
          <w:p>
            <w:pPr>
              <w:ind w:left="100"/>
              <w:spacing w:after="0"/>
              <w:rPr>
                <w:sz w:val="20"/>
                <w:szCs w:val="20"/>
                <w:color w:val="auto"/>
              </w:rPr>
            </w:pPr>
            <w:r>
              <w:rPr>
                <w:rFonts w:ascii="Arial" w:cs="Arial" w:eastAsia="Arial" w:hAnsi="Arial"/>
                <w:sz w:val="13"/>
                <w:szCs w:val="13"/>
                <w:color w:val="auto"/>
              </w:rPr>
              <w:t>Total loans net of deferred fees (cost)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1,676,520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1,507,338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19,493</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17,487</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1"/>
        </w:trPr>
        <w:tc>
          <w:tcPr>
            <w:tcW w:w="3340" w:type="dxa"/>
            <w:vAlign w:val="bottom"/>
          </w:tcPr>
          <w:p>
            <w:pPr>
              <w:ind w:left="100"/>
              <w:spacing w:after="0"/>
              <w:rPr>
                <w:sz w:val="20"/>
                <w:szCs w:val="20"/>
                <w:color w:val="auto"/>
              </w:rPr>
            </w:pPr>
            <w:r>
              <w:rPr>
                <w:rFonts w:ascii="Arial" w:cs="Arial" w:eastAsia="Arial" w:hAnsi="Arial"/>
                <w:sz w:val="13"/>
                <w:szCs w:val="13"/>
                <w:color w:val="auto"/>
              </w:rPr>
              <w:t>Total net loans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1,657,027</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1,489,851</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At September 30, 2023 and December 31, 2022, the Company had $556.1 million and $ 338.1 million, respectively, of commercial real estate and residential mortgage loans pledged as collateral for lines of credit with the FHLB and the Federal Reserve Bank of Atlanta.</w:t>
      </w:r>
    </w:p>
    <w:p>
      <w:pPr>
        <w:spacing w:after="0" w:line="12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was a participant in the Small Business Administration’s (“SBA”) Paycheck Protection Program (“PPP”) loans. These loans were designed to provide a direct incentive for small businesses to keep their workers on payroll and the funds had to be used towards payroll cost, mortgage interest, rent, utilities and other costs related to COVID-19. These loans are forgivable under specific criteria as determined by the SBA. The Company had PPP loans totaling $295 thousand at September 30, 2023 and $1.3 million at December 31, 2022, which are categorized as commercial and industrial loans.</w:t>
      </w:r>
    </w:p>
    <w:p>
      <w:pPr>
        <w:spacing w:after="0" w:line="133"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Company recognized $6 thousand and $ 1.6 million in PPP loan fees and interest income during the nine months ended September 30, 2023 and 2022, respectively, which is reported under loans, including fees, within the Consolidated Statements of Operations.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Allowance for Credit Losses</w:t>
      </w:r>
    </w:p>
    <w:p>
      <w:pPr>
        <w:spacing w:after="0" w:line="167" w:lineRule="exact"/>
        <w:rPr>
          <w:sz w:val="20"/>
          <w:szCs w:val="20"/>
          <w:color w:val="auto"/>
        </w:rPr>
      </w:pPr>
    </w:p>
    <w:p>
      <w:pPr>
        <w:jc w:val="both"/>
        <w:ind w:left="660" w:right="699" w:firstLine="256"/>
        <w:spacing w:after="0" w:line="260" w:lineRule="auto"/>
        <w:rPr>
          <w:sz w:val="20"/>
          <w:szCs w:val="20"/>
          <w:color w:val="auto"/>
        </w:rPr>
      </w:pPr>
      <w:r>
        <w:rPr>
          <w:rFonts w:ascii="Arial" w:cs="Arial" w:eastAsia="Arial" w:hAnsi="Arial"/>
          <w:sz w:val="14"/>
          <w:szCs w:val="14"/>
          <w:color w:val="auto"/>
        </w:rPr>
        <w:t>In general, the Company utilizes the Discounted Cash Flow (DCF) method or the Remaining Life (WARM) methodology to estimate the quantitative portion of the ACL for loan pools. The DCF uses a loss driver analysis (LDA) and discounted cash flow analyses. Management engaged advisors and consultants with expertise in CECL model development to assist</w:t>
      </w:r>
    </w:p>
    <w:p>
      <w:pPr>
        <w:spacing w:after="0" w:line="27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spacing w:after="0" w:line="248" w:lineRule="auto"/>
        <w:rPr>
          <w:sz w:val="20"/>
          <w:szCs w:val="20"/>
          <w:color w:val="auto"/>
        </w:rPr>
      </w:pPr>
      <w:r>
        <w:rPr>
          <w:rFonts w:ascii="Arial" w:cs="Arial" w:eastAsia="Arial" w:hAnsi="Arial"/>
          <w:sz w:val="14"/>
          <w:szCs w:val="14"/>
          <w:color w:val="auto"/>
        </w:rPr>
        <w:t>in development of a loss driver analysis based on regression models and supportable forecast. Peer group data obtained from FFIEC Call Report filings is used to inform regression analyses to quantify the impact of reasonable and supportable forecasts in projective models. Economic forecasts applied to regression models to estimate probability of default for loan receivables use at least one of the following economic indicators: civilian unemployment rate (national), real gross domestic product growth (national GDP) and/or the HPI. For each of the segments in which the WARM methodology is used, the long-term average loss rate is calculated and applied on a quarterly basis for the remaining life of the pool. Adjustments for economic expectations are made through qualitative factors .</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Qualitative factors (“Q-Factors”) used in the ACL methodology include:</w:t>
      </w:r>
    </w:p>
    <w:p>
      <w:pPr>
        <w:spacing w:after="0" w:line="163" w:lineRule="exact"/>
        <w:rPr>
          <w:sz w:val="20"/>
          <w:szCs w:val="20"/>
          <w:color w:val="auto"/>
        </w:rPr>
      </w:pPr>
    </w:p>
    <w:p>
      <w:pPr>
        <w:ind w:left="1180" w:hanging="261"/>
        <w:spacing w:after="0"/>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Changes in lending policies, procedures, and strategies</w:t>
      </w:r>
    </w:p>
    <w:p>
      <w:pPr>
        <w:spacing w:after="0" w:line="7" w:lineRule="exact"/>
        <w:rPr>
          <w:rFonts w:ascii="Arial" w:cs="Arial" w:eastAsia="Arial" w:hAnsi="Arial"/>
          <w:sz w:val="13"/>
          <w:szCs w:val="13"/>
          <w:color w:val="auto"/>
        </w:rPr>
      </w:pPr>
    </w:p>
    <w:p>
      <w:pPr>
        <w:ind w:left="1180" w:hanging="261"/>
        <w:spacing w:after="0"/>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Changes in international, national, regional, and local conditions</w:t>
      </w:r>
    </w:p>
    <w:p>
      <w:pPr>
        <w:ind w:left="1180" w:hanging="261"/>
        <w:spacing w:after="0"/>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Changes in nature and volume of portfolio</w:t>
      </w:r>
    </w:p>
    <w:p>
      <w:pPr>
        <w:ind w:left="1180" w:hanging="261"/>
        <w:spacing w:after="0"/>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Changes in the volume and severity of past due loans and other similar conditions</w:t>
      </w:r>
    </w:p>
    <w:p>
      <w:pPr>
        <w:ind w:left="1180" w:hanging="261"/>
        <w:spacing w:after="0" w:line="222" w:lineRule="auto"/>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Concentration risk</w:t>
      </w:r>
    </w:p>
    <w:p>
      <w:pPr>
        <w:ind w:left="1180" w:hanging="261"/>
        <w:spacing w:after="0"/>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Changes in the value of underlying collateral</w:t>
      </w:r>
    </w:p>
    <w:p>
      <w:pPr>
        <w:ind w:left="1180" w:hanging="261"/>
        <w:spacing w:after="0"/>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effect of other external factors: e.g., competition, legal, and regulatory requirements</w:t>
      </w:r>
    </w:p>
    <w:p>
      <w:pPr>
        <w:ind w:left="1180" w:hanging="261"/>
        <w:spacing w:after="0"/>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Changes in lending management, among others</w:t>
      </w:r>
    </w:p>
    <w:p>
      <w:pPr>
        <w:spacing w:after="0" w:line="148"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ACL for the three and nine months ended September 30, 2023, was estimated under the CECL methodology, and for all periods in 2022, it was estimated under the incurred loss model.</w:t>
      </w:r>
    </w:p>
    <w:p>
      <w:pPr>
        <w:spacing w:after="0" w:line="133"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Changes in the allowance for credit losses for the three and nine months ended September 30, 2023 and 2022 were as follows (in thousands):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9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Commercial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55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5"/>
              </w:rPr>
              <w:t>Residential</w:t>
            </w:r>
          </w:p>
        </w:tc>
        <w:tc>
          <w:tcPr>
            <w:tcW w:w="60" w:type="dxa"/>
            <w:vAlign w:val="bottom"/>
          </w:tcPr>
          <w:p>
            <w:pPr>
              <w:spacing w:after="0"/>
              <w:rPr>
                <w:sz w:val="12"/>
                <w:szCs w:val="12"/>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Commercial</w:t>
            </w: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70" w:type="dxa"/>
            <w:vAlign w:val="bottom"/>
          </w:tcPr>
          <w:p>
            <w:pPr>
              <w:jc w:val="center"/>
              <w:ind w:right="66"/>
              <w:spacing w:after="0"/>
              <w:rPr>
                <w:sz w:val="20"/>
                <w:szCs w:val="20"/>
                <w:color w:val="auto"/>
              </w:rPr>
            </w:pPr>
            <w:r>
              <w:rPr>
                <w:rFonts w:ascii="Arial" w:cs="Arial" w:eastAsia="Arial" w:hAnsi="Arial"/>
                <w:sz w:val="13"/>
                <w:szCs w:val="13"/>
                <w:b w:val="1"/>
                <w:bCs w:val="1"/>
                <w:color w:val="auto"/>
                <w:w w:val="94"/>
              </w:rPr>
              <w:t>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6"/>
              </w:rPr>
              <w:t>Foreign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Consumer</w:t>
            </w: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55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5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Real Estate</w:t>
            </w:r>
          </w:p>
        </w:tc>
        <w:tc>
          <w:tcPr>
            <w:tcW w:w="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6"/>
              </w:rPr>
              <w:t>Real Estate</w:t>
            </w:r>
          </w:p>
        </w:tc>
        <w:tc>
          <w:tcPr>
            <w:tcW w:w="40" w:type="dxa"/>
            <w:vAlign w:val="bottom"/>
            <w:tcBorders>
              <w:bottom w:val="single" w:sz="8" w:color="CCEEFF"/>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7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w w:val="99"/>
              </w:rPr>
              <w:t>Industrial</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7"/>
              </w:rPr>
              <w:t>Banks</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and Other</w:t>
            </w:r>
          </w:p>
        </w:tc>
        <w:tc>
          <w:tcPr>
            <w:tcW w:w="40" w:type="dxa"/>
            <w:vAlign w:val="bottom"/>
            <w:tcBorders>
              <w:bottom w:val="single" w:sz="8" w:color="CCEEFF"/>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590" w:type="dxa"/>
            <w:vAlign w:val="bottom"/>
            <w:tcBorders>
              <w:bottom w:val="single" w:sz="8" w:color="auto"/>
            </w:tcBorders>
            <w:gridSpan w:val="2"/>
          </w:tcPr>
          <w:p>
            <w:pPr>
              <w:ind w:left="7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58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w w:val="99"/>
              </w:rPr>
              <w:t>Three Months Ended September 30, 2023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69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7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55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80" w:type="dxa"/>
            <w:vAlign w:val="bottom"/>
          </w:tcPr>
          <w:p>
            <w:pPr>
              <w:ind w:left="40"/>
              <w:spacing w:after="0"/>
              <w:rPr>
                <w:sz w:val="20"/>
                <w:szCs w:val="20"/>
                <w:color w:val="auto"/>
              </w:rPr>
            </w:pPr>
            <w:r>
              <w:rPr>
                <w:rFonts w:ascii="Arial" w:cs="Arial" w:eastAsia="Arial" w:hAnsi="Arial"/>
                <w:sz w:val="13"/>
                <w:szCs w:val="13"/>
                <w:color w:val="auto"/>
              </w:rPr>
              <w:t>Beginning balance</w:t>
            </w:r>
          </w:p>
        </w:tc>
        <w:tc>
          <w:tcPr>
            <w:tcW w:w="18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2,673</w:t>
            </w:r>
          </w:p>
        </w:tc>
        <w:tc>
          <w:tcPr>
            <w:tcW w:w="19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90" w:type="dxa"/>
            <w:vAlign w:val="bottom"/>
          </w:tcPr>
          <w:p>
            <w:pPr>
              <w:jc w:val="right"/>
              <w:spacing w:after="0"/>
              <w:rPr>
                <w:sz w:val="20"/>
                <w:szCs w:val="20"/>
                <w:color w:val="auto"/>
              </w:rPr>
            </w:pPr>
            <w:r>
              <w:rPr>
                <w:rFonts w:ascii="Arial" w:cs="Arial" w:eastAsia="Arial" w:hAnsi="Arial"/>
                <w:sz w:val="13"/>
                <w:szCs w:val="13"/>
                <w:color w:val="auto"/>
              </w:rPr>
              <w:t>10,183</w:t>
            </w:r>
          </w:p>
        </w:tc>
        <w:tc>
          <w:tcPr>
            <w:tcW w:w="40" w:type="dxa"/>
            <w:vAlign w:val="bottom"/>
          </w:tcPr>
          <w:p>
            <w:pPr>
              <w:spacing w:after="0"/>
              <w:rPr>
                <w:sz w:val="14"/>
                <w:szCs w:val="14"/>
                <w:color w:val="auto"/>
              </w:rPr>
            </w:pP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70" w:type="dxa"/>
            <w:vAlign w:val="bottom"/>
          </w:tcPr>
          <w:p>
            <w:pPr>
              <w:jc w:val="right"/>
              <w:spacing w:after="0"/>
              <w:rPr>
                <w:sz w:val="20"/>
                <w:szCs w:val="20"/>
                <w:color w:val="auto"/>
              </w:rPr>
            </w:pPr>
            <w:r>
              <w:rPr>
                <w:rFonts w:ascii="Arial" w:cs="Arial" w:eastAsia="Arial" w:hAnsi="Arial"/>
                <w:sz w:val="13"/>
                <w:szCs w:val="13"/>
                <w:color w:val="auto"/>
              </w:rPr>
              <w:t>2,500</w:t>
            </w:r>
          </w:p>
        </w:tc>
        <w:tc>
          <w:tcPr>
            <w:tcW w:w="18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677</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2,782</w:t>
            </w:r>
          </w:p>
        </w:tc>
        <w:tc>
          <w:tcPr>
            <w:tcW w:w="40" w:type="dxa"/>
            <w:vAlign w:val="bottom"/>
          </w:tcPr>
          <w:p>
            <w:pPr>
              <w:spacing w:after="0"/>
              <w:rPr>
                <w:sz w:val="14"/>
                <w:szCs w:val="14"/>
                <w:color w:val="auto"/>
              </w:rPr>
            </w:pP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50" w:type="dxa"/>
            <w:vAlign w:val="bottom"/>
          </w:tcPr>
          <w:p>
            <w:pPr>
              <w:jc w:val="right"/>
              <w:spacing w:after="0"/>
              <w:rPr>
                <w:sz w:val="20"/>
                <w:szCs w:val="20"/>
                <w:color w:val="auto"/>
              </w:rPr>
            </w:pPr>
            <w:r>
              <w:rPr>
                <w:rFonts w:ascii="Arial" w:cs="Arial" w:eastAsia="Arial" w:hAnsi="Arial"/>
                <w:sz w:val="13"/>
                <w:szCs w:val="13"/>
                <w:color w:val="auto"/>
              </w:rPr>
              <w:t>18,815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4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6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77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738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580" w:type="dxa"/>
            <w:vAlign w:val="bottom"/>
          </w:tcPr>
          <w:p>
            <w:pPr>
              <w:ind w:left="40"/>
              <w:spacing w:after="0"/>
              <w:rPr>
                <w:sz w:val="20"/>
                <w:szCs w:val="20"/>
                <w:color w:val="auto"/>
              </w:rPr>
            </w:pPr>
            <w:r>
              <w:rPr>
                <w:rFonts w:ascii="Arial" w:cs="Arial" w:eastAsia="Arial" w:hAnsi="Arial"/>
                <w:sz w:val="13"/>
                <w:szCs w:val="13"/>
                <w:color w:val="auto"/>
              </w:rPr>
              <w:t>Recoveries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jc w:val="right"/>
              <w:ind w:right="16"/>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550" w:type="dxa"/>
            <w:vAlign w:val="bottom"/>
          </w:tcPr>
          <w:p>
            <w:pPr>
              <w:jc w:val="right"/>
              <w:spacing w:after="0"/>
              <w:rPr>
                <w:sz w:val="20"/>
                <w:szCs w:val="20"/>
                <w:color w:val="auto"/>
              </w:rPr>
            </w:pPr>
            <w:r>
              <w:rPr>
                <w:rFonts w:ascii="Arial" w:cs="Arial" w:eastAsia="Arial" w:hAnsi="Arial"/>
                <w:sz w:val="13"/>
                <w:szCs w:val="13"/>
                <w:color w:val="auto"/>
              </w:rPr>
              <w:t>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69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7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5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580" w:type="dxa"/>
            <w:vAlign w:val="bottom"/>
          </w:tcPr>
          <w:p>
            <w:pPr>
              <w:ind w:left="40"/>
              <w:spacing w:after="0" w:line="146" w:lineRule="exact"/>
              <w:rPr>
                <w:sz w:val="20"/>
                <w:szCs w:val="20"/>
                <w:color w:val="auto"/>
              </w:rPr>
            </w:pPr>
            <w:r>
              <w:rPr>
                <w:rFonts w:ascii="Arial" w:cs="Arial" w:eastAsia="Arial" w:hAnsi="Arial"/>
                <w:sz w:val="13"/>
                <w:szCs w:val="13"/>
                <w:color w:val="auto"/>
              </w:rPr>
              <w:t>Ending Balance</w:t>
            </w:r>
          </w:p>
        </w:tc>
        <w:tc>
          <w:tcPr>
            <w:tcW w:w="18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2,511</w:t>
            </w:r>
          </w:p>
        </w:tc>
        <w:tc>
          <w:tcPr>
            <w:tcW w:w="19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90" w:type="dxa"/>
            <w:vAlign w:val="bottom"/>
          </w:tcPr>
          <w:p>
            <w:pPr>
              <w:jc w:val="right"/>
              <w:spacing w:after="0"/>
              <w:rPr>
                <w:sz w:val="20"/>
                <w:szCs w:val="20"/>
                <w:color w:val="auto"/>
              </w:rPr>
            </w:pPr>
            <w:r>
              <w:rPr>
                <w:rFonts w:ascii="Arial" w:cs="Arial" w:eastAsia="Arial" w:hAnsi="Arial"/>
                <w:sz w:val="13"/>
                <w:szCs w:val="13"/>
                <w:color w:val="auto"/>
              </w:rPr>
              <w:t>10,099</w:t>
            </w:r>
          </w:p>
        </w:tc>
        <w:tc>
          <w:tcPr>
            <w:tcW w:w="40" w:type="dxa"/>
            <w:vAlign w:val="bottom"/>
          </w:tcPr>
          <w:p>
            <w:pPr>
              <w:spacing w:after="0"/>
              <w:rPr>
                <w:sz w:val="17"/>
                <w:szCs w:val="17"/>
                <w:color w:val="auto"/>
              </w:rPr>
            </w:pP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70" w:type="dxa"/>
            <w:vAlign w:val="bottom"/>
          </w:tcPr>
          <w:p>
            <w:pPr>
              <w:jc w:val="right"/>
              <w:spacing w:after="0"/>
              <w:rPr>
                <w:sz w:val="20"/>
                <w:szCs w:val="20"/>
                <w:color w:val="auto"/>
              </w:rPr>
            </w:pPr>
            <w:r>
              <w:rPr>
                <w:rFonts w:ascii="Arial" w:cs="Arial" w:eastAsia="Arial" w:hAnsi="Arial"/>
                <w:sz w:val="13"/>
                <w:szCs w:val="13"/>
                <w:color w:val="auto"/>
              </w:rPr>
              <w:t>3,246</w:t>
            </w:r>
          </w:p>
        </w:tc>
        <w:tc>
          <w:tcPr>
            <w:tcW w:w="18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750</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2,887</w:t>
            </w:r>
          </w:p>
        </w:tc>
        <w:tc>
          <w:tcPr>
            <w:tcW w:w="40" w:type="dxa"/>
            <w:vAlign w:val="bottom"/>
          </w:tcPr>
          <w:p>
            <w:pPr>
              <w:spacing w:after="0"/>
              <w:rPr>
                <w:sz w:val="17"/>
                <w:szCs w:val="17"/>
                <w:color w:val="auto"/>
              </w:rPr>
            </w:pP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50" w:type="dxa"/>
            <w:vAlign w:val="bottom"/>
          </w:tcPr>
          <w:p>
            <w:pPr>
              <w:jc w:val="right"/>
              <w:spacing w:after="0"/>
              <w:rPr>
                <w:sz w:val="20"/>
                <w:szCs w:val="20"/>
                <w:color w:val="auto"/>
              </w:rPr>
            </w:pPr>
            <w:r>
              <w:rPr>
                <w:rFonts w:ascii="Arial" w:cs="Arial" w:eastAsia="Arial" w:hAnsi="Arial"/>
                <w:sz w:val="13"/>
                <w:szCs w:val="13"/>
                <w:color w:val="auto"/>
              </w:rPr>
              <w:t>19,493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5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30" w:type="dxa"/>
            <w:vAlign w:val="bottom"/>
            <w:tcBorders>
              <w:top w:val="single" w:sz="8" w:color="auto"/>
            </w:tcBorders>
            <w:shd w:val="clear" w:color="auto" w:fill="CCEEFF"/>
          </w:tcPr>
          <w:p>
            <w:pPr>
              <w:spacing w:after="0"/>
              <w:rPr>
                <w:sz w:val="10"/>
                <w:szCs w:val="10"/>
                <w:color w:val="auto"/>
              </w:rPr>
            </w:pPr>
          </w:p>
        </w:tc>
        <w:tc>
          <w:tcPr>
            <w:tcW w:w="69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30" w:type="dxa"/>
            <w:vAlign w:val="bottom"/>
            <w:tcBorders>
              <w:top w:val="single" w:sz="8" w:color="auto"/>
            </w:tcBorders>
            <w:shd w:val="clear" w:color="auto" w:fill="CCEEFF"/>
          </w:tcPr>
          <w:p>
            <w:pPr>
              <w:spacing w:after="0"/>
              <w:rPr>
                <w:sz w:val="10"/>
                <w:szCs w:val="10"/>
                <w:color w:val="auto"/>
              </w:rPr>
            </w:pPr>
          </w:p>
        </w:tc>
        <w:tc>
          <w:tcPr>
            <w:tcW w:w="77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30" w:type="dxa"/>
            <w:vAlign w:val="bottom"/>
            <w:tcBorders>
              <w:top w:val="single" w:sz="8" w:color="auto"/>
            </w:tcBorders>
            <w:shd w:val="clear" w:color="auto" w:fill="CCEEFF"/>
          </w:tcPr>
          <w:p>
            <w:pPr>
              <w:spacing w:after="0"/>
              <w:rPr>
                <w:sz w:val="10"/>
                <w:szCs w:val="10"/>
                <w:color w:val="auto"/>
              </w:rPr>
            </w:pPr>
          </w:p>
        </w:tc>
        <w:tc>
          <w:tcPr>
            <w:tcW w:w="55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tcPr>
          <w:p>
            <w:pPr>
              <w:ind w:left="40"/>
              <w:spacing w:after="0"/>
              <w:rPr>
                <w:sz w:val="20"/>
                <w:szCs w:val="20"/>
                <w:color w:val="auto"/>
              </w:rPr>
            </w:pPr>
            <w:r>
              <w:rPr>
                <w:rFonts w:ascii="Arial" w:cs="Arial" w:eastAsia="Arial" w:hAnsi="Arial"/>
                <w:sz w:val="13"/>
                <w:szCs w:val="13"/>
                <w:b w:val="1"/>
                <w:bCs w:val="1"/>
                <w:color w:val="auto"/>
              </w:rPr>
              <w:t>Nine Months Ended September 30, 2023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Beginning balance</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shd w:val="clear" w:color="auto" w:fill="CCEEFF"/>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1,352</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7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4,163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shd w:val="clear" w:color="auto" w:fill="CCEEFF"/>
              </w:rPr>
              <w:t>$</w:t>
            </w: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17,487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40"/>
              <w:spacing w:after="0"/>
              <w:rPr>
                <w:sz w:val="20"/>
                <w:szCs w:val="20"/>
                <w:color w:val="auto"/>
              </w:rPr>
            </w:pPr>
            <w:r>
              <w:rPr>
                <w:rFonts w:ascii="Arial" w:cs="Arial" w:eastAsia="Arial" w:hAnsi="Arial"/>
                <w:sz w:val="13"/>
                <w:szCs w:val="13"/>
                <w:color w:val="auto"/>
              </w:rPr>
              <w:t>Cumulative effect of adoption of accounting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40"/>
              <w:spacing w:after="0" w:line="169" w:lineRule="exact"/>
              <w:rPr>
                <w:sz w:val="20"/>
                <w:szCs w:val="20"/>
                <w:color w:val="auto"/>
              </w:rPr>
            </w:pPr>
            <w:r>
              <w:rPr>
                <w:rFonts w:ascii="Arial" w:cs="Arial" w:eastAsia="Arial" w:hAnsi="Arial"/>
                <w:sz w:val="13"/>
                <w:szCs w:val="13"/>
                <w:color w:val="auto"/>
              </w:rPr>
              <w:t xml:space="preserve">principle </w:t>
            </w:r>
            <w:r>
              <w:rPr>
                <w:rFonts w:ascii="Arial" w:cs="Arial" w:eastAsia="Arial" w:hAnsi="Arial"/>
                <w:sz w:val="17"/>
                <w:szCs w:val="17"/>
                <w:color w:val="auto"/>
                <w:vertAlign w:val="superscript"/>
              </w:rPr>
              <w:t>(2)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1,238</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vMerge w:val="restart"/>
          </w:tcPr>
          <w:p>
            <w:pPr>
              <w:jc w:val="right"/>
              <w:spacing w:after="0"/>
              <w:rPr>
                <w:sz w:val="20"/>
                <w:szCs w:val="20"/>
                <w:color w:val="auto"/>
              </w:rPr>
            </w:pPr>
            <w:r>
              <w:rPr>
                <w:rFonts w:ascii="Arial" w:cs="Arial" w:eastAsia="Arial" w:hAnsi="Arial"/>
                <w:sz w:val="13"/>
                <w:szCs w:val="13"/>
                <w:color w:val="auto"/>
              </w:rPr>
              <w:t>1,105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vMerge w:val="restart"/>
          </w:tcPr>
          <w:p>
            <w:pPr>
              <w:jc w:val="right"/>
              <w:spacing w:after="0"/>
              <w:rPr>
                <w:sz w:val="20"/>
                <w:szCs w:val="20"/>
                <w:color w:val="auto"/>
              </w:rPr>
            </w:pPr>
            <w:r>
              <w:rPr>
                <w:rFonts w:ascii="Arial" w:cs="Arial" w:eastAsia="Arial" w:hAnsi="Arial"/>
                <w:sz w:val="13"/>
                <w:szCs w:val="13"/>
                <w:color w:val="auto"/>
              </w:rPr>
              <w:t>(2,158)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858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550" w:type="dxa"/>
            <w:vAlign w:val="bottom"/>
            <w:vMerge w:val="restart"/>
          </w:tcPr>
          <w:p>
            <w:pPr>
              <w:jc w:val="right"/>
              <w:spacing w:after="0"/>
              <w:rPr>
                <w:sz w:val="20"/>
                <w:szCs w:val="20"/>
                <w:color w:val="auto"/>
              </w:rPr>
            </w:pPr>
            <w:r>
              <w:rPr>
                <w:rFonts w:ascii="Arial" w:cs="Arial" w:eastAsia="Arial" w:hAnsi="Arial"/>
                <w:sz w:val="13"/>
                <w:szCs w:val="13"/>
                <w:color w:val="auto"/>
              </w:rPr>
              <w:t>1,066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30" w:type="dxa"/>
            <w:vAlign w:val="bottom"/>
          </w:tcPr>
          <w:p>
            <w:pPr>
              <w:spacing w:after="0"/>
              <w:rPr>
                <w:sz w:val="2"/>
                <w:szCs w:val="2"/>
                <w:color w:val="auto"/>
              </w:rPr>
            </w:pPr>
          </w:p>
        </w:tc>
        <w:tc>
          <w:tcPr>
            <w:tcW w:w="69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 w:type="dxa"/>
            <w:vAlign w:val="bottom"/>
          </w:tcPr>
          <w:p>
            <w:pPr>
              <w:spacing w:after="0"/>
              <w:rPr>
                <w:sz w:val="2"/>
                <w:szCs w:val="2"/>
                <w:color w:val="auto"/>
              </w:rPr>
            </w:pPr>
          </w:p>
        </w:tc>
        <w:tc>
          <w:tcPr>
            <w:tcW w:w="77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 w:type="dxa"/>
            <w:vAlign w:val="bottom"/>
          </w:tcPr>
          <w:p>
            <w:pPr>
              <w:spacing w:after="0"/>
              <w:rPr>
                <w:sz w:val="2"/>
                <w:szCs w:val="2"/>
                <w:color w:val="auto"/>
              </w:rPr>
            </w:pPr>
          </w:p>
        </w:tc>
        <w:tc>
          <w:tcPr>
            <w:tcW w:w="55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580" w:type="dxa"/>
            <w:vAlign w:val="bottom"/>
            <w:tcBorders>
              <w:bottom w:val="single" w:sz="8" w:color="CCEEFF"/>
            </w:tcBorders>
            <w:shd w:val="clear" w:color="auto" w:fill="CCEEFF"/>
          </w:tcPr>
          <w:p>
            <w:pPr>
              <w:ind w:left="40"/>
              <w:spacing w:after="0" w:line="171"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(3)</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0" w:type="dxa"/>
            <w:vAlign w:val="bottom"/>
            <w:tcBorders>
              <w:bottom w:val="single" w:sz="8" w:color="CCEEFF"/>
            </w:tcBorders>
            <w:shd w:val="clear" w:color="auto" w:fill="CCEEFF"/>
          </w:tcPr>
          <w:p>
            <w:pPr>
              <w:spacing w:after="0"/>
              <w:rPr>
                <w:sz w:val="14"/>
                <w:szCs w:val="14"/>
                <w:color w:val="auto"/>
              </w:rPr>
            </w:pPr>
          </w:p>
        </w:tc>
        <w:tc>
          <w:tcPr>
            <w:tcW w:w="130" w:type="dxa"/>
            <w:vAlign w:val="bottom"/>
            <w:tcBorders>
              <w:bottom w:val="single" w:sz="8" w:color="CCEEFF"/>
            </w:tcBorders>
            <w:shd w:val="clear" w:color="auto" w:fill="CCEEFF"/>
          </w:tcPr>
          <w:p>
            <w:pPr>
              <w:spacing w:after="0"/>
              <w:rPr>
                <w:sz w:val="14"/>
                <w:szCs w:val="14"/>
                <w:color w:val="auto"/>
              </w:rPr>
            </w:pPr>
          </w:p>
        </w:tc>
        <w:tc>
          <w:tcPr>
            <w:tcW w:w="69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30" w:type="dxa"/>
            <w:vAlign w:val="bottom"/>
            <w:tcBorders>
              <w:bottom w:val="single" w:sz="8" w:color="CCEEFF"/>
            </w:tcBorders>
            <w:shd w:val="clear" w:color="auto" w:fill="CCEEFF"/>
          </w:tcPr>
          <w:p>
            <w:pPr>
              <w:spacing w:after="0"/>
              <w:rPr>
                <w:sz w:val="14"/>
                <w:szCs w:val="14"/>
                <w:color w:val="auto"/>
              </w:rPr>
            </w:pPr>
          </w:p>
        </w:tc>
        <w:tc>
          <w:tcPr>
            <w:tcW w:w="77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1,181</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30" w:type="dxa"/>
            <w:vAlign w:val="bottom"/>
            <w:tcBorders>
              <w:bottom w:val="single" w:sz="8" w:color="CCEEFF"/>
            </w:tcBorders>
            <w:shd w:val="clear" w:color="auto" w:fill="CCEEFF"/>
          </w:tcPr>
          <w:p>
            <w:pPr>
              <w:spacing w:after="0"/>
              <w:rPr>
                <w:sz w:val="14"/>
                <w:szCs w:val="14"/>
                <w:color w:val="auto"/>
              </w:rPr>
            </w:pPr>
          </w:p>
        </w:tc>
        <w:tc>
          <w:tcPr>
            <w:tcW w:w="55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tcPr>
          <w:p>
            <w:pPr>
              <w:ind w:left="40"/>
              <w:spacing w:after="0"/>
              <w:rPr>
                <w:sz w:val="20"/>
                <w:szCs w:val="20"/>
                <w:color w:val="auto"/>
              </w:rPr>
            </w:pPr>
            <w:r>
              <w:rPr>
                <w:rFonts w:ascii="Arial" w:cs="Arial" w:eastAsia="Arial" w:hAnsi="Arial"/>
                <w:sz w:val="13"/>
                <w:szCs w:val="13"/>
                <w:color w:val="auto"/>
              </w:rPr>
              <w:t>Recoveries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jc w:val="right"/>
              <w:spacing w:after="0"/>
              <w:rPr>
                <w:sz w:val="20"/>
                <w:szCs w:val="20"/>
                <w:color w:val="auto"/>
              </w:rPr>
            </w:pPr>
            <w:r>
              <w:rPr>
                <w:rFonts w:ascii="Arial" w:cs="Arial" w:eastAsia="Arial" w:hAnsi="Arial"/>
                <w:sz w:val="13"/>
                <w:szCs w:val="13"/>
                <w:color w:val="auto"/>
              </w:rPr>
              <w:t>60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550" w:type="dxa"/>
            <w:vAlign w:val="bottom"/>
          </w:tcPr>
          <w:p>
            <w:pPr>
              <w:jc w:val="right"/>
              <w:spacing w:after="0"/>
              <w:rPr>
                <w:sz w:val="20"/>
                <w:szCs w:val="20"/>
                <w:color w:val="auto"/>
              </w:rPr>
            </w:pPr>
            <w:r>
              <w:rPr>
                <w:rFonts w:ascii="Arial" w:cs="Arial" w:eastAsia="Arial" w:hAnsi="Arial"/>
                <w:sz w:val="13"/>
                <w:szCs w:val="13"/>
                <w:color w:val="auto"/>
              </w:rPr>
              <w:t>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69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7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5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580" w:type="dxa"/>
            <w:vAlign w:val="bottom"/>
          </w:tcPr>
          <w:p>
            <w:pPr>
              <w:ind w:left="40"/>
              <w:spacing w:after="0" w:line="146" w:lineRule="exact"/>
              <w:rPr>
                <w:sz w:val="20"/>
                <w:szCs w:val="20"/>
                <w:color w:val="auto"/>
              </w:rPr>
            </w:pPr>
            <w:r>
              <w:rPr>
                <w:rFonts w:ascii="Arial" w:cs="Arial" w:eastAsia="Arial" w:hAnsi="Arial"/>
                <w:sz w:val="13"/>
                <w:szCs w:val="13"/>
                <w:color w:val="auto"/>
              </w:rPr>
              <w:t>Ending Balance</w:t>
            </w:r>
          </w:p>
        </w:tc>
        <w:tc>
          <w:tcPr>
            <w:tcW w:w="18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2,511</w:t>
            </w:r>
          </w:p>
        </w:tc>
        <w:tc>
          <w:tcPr>
            <w:tcW w:w="19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90" w:type="dxa"/>
            <w:vAlign w:val="bottom"/>
          </w:tcPr>
          <w:p>
            <w:pPr>
              <w:jc w:val="right"/>
              <w:spacing w:after="0"/>
              <w:rPr>
                <w:sz w:val="20"/>
                <w:szCs w:val="20"/>
                <w:color w:val="auto"/>
              </w:rPr>
            </w:pPr>
            <w:r>
              <w:rPr>
                <w:rFonts w:ascii="Arial" w:cs="Arial" w:eastAsia="Arial" w:hAnsi="Arial"/>
                <w:sz w:val="13"/>
                <w:szCs w:val="13"/>
                <w:color w:val="auto"/>
              </w:rPr>
              <w:t>10,099</w:t>
            </w:r>
          </w:p>
        </w:tc>
        <w:tc>
          <w:tcPr>
            <w:tcW w:w="40" w:type="dxa"/>
            <w:vAlign w:val="bottom"/>
          </w:tcPr>
          <w:p>
            <w:pPr>
              <w:spacing w:after="0"/>
              <w:rPr>
                <w:sz w:val="14"/>
                <w:szCs w:val="14"/>
                <w:color w:val="auto"/>
              </w:rPr>
            </w:pP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70" w:type="dxa"/>
            <w:vAlign w:val="bottom"/>
          </w:tcPr>
          <w:p>
            <w:pPr>
              <w:jc w:val="right"/>
              <w:spacing w:after="0"/>
              <w:rPr>
                <w:sz w:val="20"/>
                <w:szCs w:val="20"/>
                <w:color w:val="auto"/>
              </w:rPr>
            </w:pPr>
            <w:r>
              <w:rPr>
                <w:rFonts w:ascii="Arial" w:cs="Arial" w:eastAsia="Arial" w:hAnsi="Arial"/>
                <w:sz w:val="13"/>
                <w:szCs w:val="13"/>
                <w:color w:val="auto"/>
              </w:rPr>
              <w:t>3,246</w:t>
            </w:r>
          </w:p>
        </w:tc>
        <w:tc>
          <w:tcPr>
            <w:tcW w:w="18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750</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2,887</w:t>
            </w:r>
          </w:p>
        </w:tc>
        <w:tc>
          <w:tcPr>
            <w:tcW w:w="40" w:type="dxa"/>
            <w:vAlign w:val="bottom"/>
          </w:tcPr>
          <w:p>
            <w:pPr>
              <w:spacing w:after="0"/>
              <w:rPr>
                <w:sz w:val="14"/>
                <w:szCs w:val="14"/>
                <w:color w:val="auto"/>
              </w:rPr>
            </w:pP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50" w:type="dxa"/>
            <w:vAlign w:val="bottom"/>
          </w:tcPr>
          <w:p>
            <w:pPr>
              <w:jc w:val="right"/>
              <w:spacing w:after="0"/>
              <w:rPr>
                <w:sz w:val="20"/>
                <w:szCs w:val="20"/>
                <w:color w:val="auto"/>
              </w:rPr>
            </w:pPr>
            <w:r>
              <w:rPr>
                <w:rFonts w:ascii="Arial" w:cs="Arial" w:eastAsia="Arial" w:hAnsi="Arial"/>
                <w:sz w:val="13"/>
                <w:szCs w:val="13"/>
                <w:color w:val="auto"/>
              </w:rPr>
              <w:t>19,493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69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55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700" w:right="1179" w:hanging="5"/>
        <w:spacing w:after="0" w:line="256" w:lineRule="auto"/>
        <w:tabs>
          <w:tab w:leader="none" w:pos="892" w:val="left"/>
        </w:tabs>
        <w:numPr>
          <w:ilvl w:val="1"/>
          <w:numId w:val="7"/>
        </w:numPr>
        <w:rPr>
          <w:rFonts w:ascii="Arial" w:cs="Arial" w:eastAsia="Arial" w:hAnsi="Arial"/>
          <w:sz w:val="13"/>
          <w:szCs w:val="13"/>
          <w:color w:val="auto"/>
        </w:rPr>
      </w:pPr>
      <w:r>
        <w:rPr>
          <w:rFonts w:ascii="Arial" w:cs="Arial" w:eastAsia="Arial" w:hAnsi="Arial"/>
          <w:sz w:val="13"/>
          <w:szCs w:val="13"/>
          <w:color w:val="auto"/>
        </w:rPr>
        <w:t>Provision for credit losses excludes $17 thousand release due to unfunded commitments included in other liabilities and $3 thousand release due to investment securities held to maturity.</w:t>
      </w:r>
    </w:p>
    <w:p>
      <w:pPr>
        <w:spacing w:after="0" w:line="1" w:lineRule="exact"/>
        <w:rPr>
          <w:rFonts w:ascii="Arial" w:cs="Arial" w:eastAsia="Arial" w:hAnsi="Arial"/>
          <w:sz w:val="13"/>
          <w:szCs w:val="13"/>
          <w:color w:val="auto"/>
        </w:rPr>
      </w:pPr>
    </w:p>
    <w:p>
      <w:pPr>
        <w:ind w:left="880" w:hanging="185"/>
        <w:spacing w:after="0"/>
        <w:tabs>
          <w:tab w:leader="none" w:pos="880" w:val="left"/>
        </w:tabs>
        <w:numPr>
          <w:ilvl w:val="1"/>
          <w:numId w:val="7"/>
        </w:numPr>
        <w:rPr>
          <w:rFonts w:ascii="Arial" w:cs="Arial" w:eastAsia="Arial" w:hAnsi="Arial"/>
          <w:sz w:val="13"/>
          <w:szCs w:val="13"/>
          <w:color w:val="auto"/>
        </w:rPr>
      </w:pPr>
      <w:r>
        <w:rPr>
          <w:rFonts w:ascii="Arial" w:cs="Arial" w:eastAsia="Arial" w:hAnsi="Arial"/>
          <w:sz w:val="13"/>
          <w:szCs w:val="13"/>
          <w:color w:val="auto"/>
        </w:rPr>
        <w:t>Impact of CECL adoption on January 1, 2023</w:t>
      </w:r>
    </w:p>
    <w:p>
      <w:pPr>
        <w:spacing w:after="0" w:line="42" w:lineRule="exact"/>
        <w:rPr>
          <w:rFonts w:ascii="Arial" w:cs="Arial" w:eastAsia="Arial" w:hAnsi="Arial"/>
          <w:sz w:val="13"/>
          <w:szCs w:val="13"/>
          <w:color w:val="auto"/>
        </w:rPr>
      </w:pPr>
    </w:p>
    <w:p>
      <w:pPr>
        <w:ind w:left="660" w:right="1139" w:firstLine="3"/>
        <w:spacing w:after="0" w:line="259" w:lineRule="auto"/>
        <w:tabs>
          <w:tab w:leader="none" w:pos="852" w:val="left"/>
        </w:tabs>
        <w:numPr>
          <w:ilvl w:val="0"/>
          <w:numId w:val="8"/>
        </w:numPr>
        <w:rPr>
          <w:rFonts w:ascii="Arial" w:cs="Arial" w:eastAsia="Arial" w:hAnsi="Arial"/>
          <w:sz w:val="13"/>
          <w:szCs w:val="13"/>
          <w:color w:val="auto"/>
        </w:rPr>
      </w:pPr>
      <w:r>
        <w:rPr>
          <w:rFonts w:ascii="Arial" w:cs="Arial" w:eastAsia="Arial" w:hAnsi="Arial"/>
          <w:sz w:val="13"/>
          <w:szCs w:val="13"/>
          <w:color w:val="auto"/>
        </w:rPr>
        <w:t>Provision for credit losses excludes $39 thousand release due to unfunded commitments included in other liabilities and $16 thousand expense due to investment securities held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00" w:type="dxa"/>
            <w:vAlign w:val="bottom"/>
            <w:gridSpan w:val="16"/>
          </w:tcPr>
          <w:p>
            <w:pPr>
              <w:jc w:val="right"/>
              <w:ind w:right="416"/>
              <w:spacing w:after="0"/>
              <w:rPr>
                <w:sz w:val="20"/>
                <w:szCs w:val="20"/>
                <w:color w:val="auto"/>
              </w:rPr>
            </w:pPr>
            <w:r>
              <w:rPr>
                <w:rFonts w:ascii="Arial" w:cs="Arial" w:eastAsia="Arial" w:hAnsi="Arial"/>
                <w:sz w:val="13"/>
                <w:szCs w:val="13"/>
                <w:color w:val="auto"/>
              </w:rPr>
              <w:t>Notes to the Consolidated Financial Statements - Unaudited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3"/>
                <w:szCs w:val="13"/>
                <w:b w:val="1"/>
                <w:bCs w:val="1"/>
                <w:color w:val="auto"/>
              </w:rPr>
              <w:t>Residential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Commercial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Commercial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Foreign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Consumer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3"/>
                <w:szCs w:val="13"/>
                <w:b w:val="1"/>
                <w:bCs w:val="1"/>
                <w:color w:val="auto"/>
              </w:rPr>
              <w:t>Real Estate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Real Estate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and Industrial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96"/>
              <w:spacing w:after="0"/>
              <w:rPr>
                <w:sz w:val="20"/>
                <w:szCs w:val="20"/>
                <w:color w:val="auto"/>
              </w:rPr>
            </w:pPr>
            <w:r>
              <w:rPr>
                <w:rFonts w:ascii="Arial" w:cs="Arial" w:eastAsia="Arial" w:hAnsi="Arial"/>
                <w:sz w:val="13"/>
                <w:szCs w:val="13"/>
                <w:b w:val="1"/>
                <w:bCs w:val="1"/>
                <w:color w:val="auto"/>
              </w:rPr>
              <w:t>Banks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w w:val="97"/>
              </w:rPr>
              <w:t>Three Months Ended September 30, 2022</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2,366</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9,290</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2,671</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651</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808</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15,786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0" w:type="dxa"/>
            <w:vAlign w:val="bottom"/>
          </w:tcPr>
          <w:p>
            <w:pPr>
              <w:spacing w:after="0"/>
              <w:rPr>
                <w:sz w:val="1"/>
                <w:szCs w:val="1"/>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01"/>
        </w:trPr>
        <w:tc>
          <w:tcPr>
            <w:tcW w:w="252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1,358</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9,985</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3,709</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725</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827</w:t>
            </w:r>
          </w:p>
        </w:tc>
        <w:tc>
          <w:tcPr>
            <w:tcW w:w="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16,604</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25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3"/>
                <w:szCs w:val="13"/>
                <w:b w:val="1"/>
                <w:bCs w:val="1"/>
                <w:color w:val="auto"/>
              </w:rPr>
              <w:t>Nine Months Ended September 30, 2022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w:t>
            </w:r>
          </w:p>
        </w:tc>
        <w:tc>
          <w:tcPr>
            <w:tcW w:w="60" w:type="dxa"/>
            <w:vAlign w:val="bottom"/>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8,758</w:t>
            </w:r>
          </w:p>
        </w:tc>
        <w:tc>
          <w:tcPr>
            <w:tcW w:w="60" w:type="dxa"/>
            <w:vAlign w:val="bottom"/>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2,775</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15,057</w:t>
            </w:r>
          </w:p>
        </w:tc>
        <w:tc>
          <w:tcPr>
            <w:tcW w:w="0" w:type="dxa"/>
            <w:vAlign w:val="bottom"/>
          </w:tcPr>
          <w:p>
            <w:pPr>
              <w:spacing w:after="0"/>
              <w:rPr>
                <w:sz w:val="1"/>
                <w:szCs w:val="1"/>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(1,157)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1,227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Recoveries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Charge-offs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1,358</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9,985</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3,709</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827</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At September 30, 2023 the ACL, under the CECL methodology, was $ 19.5 million compared to $17.5 million at December 31, 2022, under the incurred loss methodology. The increase of $ 2.0 million was composed of a $ 1.1 million impact of adoption of the ASU 2016-13 on loan receivables, a $ 915 thousand increase in the ACL for loan receivables due to loan growth and to net charge-offs.</w:t>
      </w:r>
    </w:p>
    <w:p>
      <w:pPr>
        <w:spacing w:after="0" w:line="143"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had charge offs totaling $3 thousand for the quarter ended September 30, 2023 related to loans originated in 2023. The Company had charge offs totaling $48 thousand for the nine months ended September 30, 2023 related to loans. $27 thousand was related to loans originated in 2023 and $21 thousand of charge offs was related to loans originated in 2015.</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 had charge offs totaling $115.0 thousand for the nine months ended September 30, 2022, on loans.</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$15.6 thousand and $87.7 thousand of charge offs related to loans that were originated in 2004 and 2019, respectively.</w:t>
      </w:r>
    </w:p>
    <w:p>
      <w:pPr>
        <w:ind w:left="660"/>
        <w:spacing w:after="0"/>
        <w:rPr>
          <w:sz w:val="20"/>
          <w:szCs w:val="20"/>
          <w:color w:val="auto"/>
        </w:rPr>
      </w:pPr>
      <w:r>
        <w:rPr>
          <w:rFonts w:ascii="Arial" w:cs="Arial" w:eastAsia="Arial" w:hAnsi="Arial"/>
          <w:sz w:val="14"/>
          <w:szCs w:val="14"/>
          <w:color w:val="auto"/>
        </w:rPr>
        <w:t>$10.9 thousand of charge offs related to loans that were originated in 2022.</w:t>
      </w:r>
    </w:p>
    <w:p>
      <w:pPr>
        <w:spacing w:after="0" w:line="160"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The Federal Open Market Committee (“FOMC”) economic forecasts as of September 30, 2023, showed moderate improvements in unemployment and a slower real GDP growth. Fannie Mae HPI forecast reflected important improvement in national housing prices over the next four quarters. The Company continued to adjust the HPI index effect on 1-4 Family loan portfolio with a qualitative factor because Florida housing prices are performing better than national levels. Q-Factors were reviewed and updated; maximum loss calculations are based on refreshed stress test and risk statuses were updated based on portfolio and external developments during the third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right="679" w:firstLine="256"/>
        <w:spacing w:after="0" w:line="267" w:lineRule="auto"/>
        <w:rPr>
          <w:sz w:val="20"/>
          <w:szCs w:val="20"/>
          <w:color w:val="auto"/>
        </w:rPr>
      </w:pPr>
      <w:r>
        <w:rPr>
          <w:rFonts w:ascii="Arial" w:cs="Arial" w:eastAsia="Arial" w:hAnsi="Arial"/>
          <w:sz w:val="14"/>
          <w:szCs w:val="14"/>
          <w:color w:val="auto"/>
        </w:rPr>
        <w:t>The ACL and the outstanding balances in the specified loan categories as of September 30, 2023 and December 31, 2022 are as follows (in thousands):</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Residential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w w:val="94"/>
              </w:rPr>
              <w:t>Commercial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b w:val="1"/>
                <w:bCs w:val="1"/>
                <w:color w:val="auto"/>
                <w:w w:val="96"/>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100" w:type="dxa"/>
            <w:vAlign w:val="bottom"/>
            <w:tcBorders>
              <w:bottom w:val="single" w:sz="8" w:color="CCEEFF"/>
            </w:tcBorders>
          </w:tcPr>
          <w:p>
            <w:pPr>
              <w:spacing w:after="0"/>
              <w:rPr>
                <w:sz w:val="13"/>
                <w:szCs w:val="13"/>
                <w:color w:val="auto"/>
              </w:rPr>
            </w:pPr>
          </w:p>
        </w:tc>
        <w:tc>
          <w:tcPr>
            <w:tcW w:w="2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and Industrial</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Banks</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7"/>
              </w:rPr>
              <w:t>and Other</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r>
      <w:tr>
        <w:trPr>
          <w:trHeight w:val="15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September 30, 2023: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Individually evaluated for impairment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40" w:type="dxa"/>
            <w:vAlign w:val="bottom"/>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r>
      <w:tr>
        <w:trPr>
          <w:trHeight w:val="171"/>
        </w:trPr>
        <w:tc>
          <w:tcPr>
            <w:tcW w:w="2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Collectively evaluated for impairment</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2,365</w:t>
            </w:r>
          </w:p>
        </w:tc>
        <w:tc>
          <w:tcPr>
            <w:tcW w:w="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10,099</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3,111</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2,887</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19,212</w:t>
            </w:r>
          </w:p>
        </w:tc>
      </w:tr>
      <w:tr>
        <w:trPr>
          <w:trHeight w:val="151"/>
        </w:trPr>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Balances, end of period</w:t>
            </w: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10,099</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3,246</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40" w:type="dxa"/>
            <w:vAlign w:val="bottom"/>
            <w:gridSpan w:val="2"/>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2,887</w:t>
            </w:r>
          </w:p>
        </w:tc>
        <w:tc>
          <w:tcPr>
            <w:tcW w:w="40" w:type="dxa"/>
            <w:vAlign w:val="bottom"/>
            <w:gridSpan w:val="2"/>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19,493</w:t>
            </w:r>
          </w:p>
        </w:tc>
      </w:tr>
      <w:tr>
        <w:trPr>
          <w:trHeight w:val="20"/>
        </w:trPr>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11"/>
        </w:trPr>
        <w:tc>
          <w:tcPr>
            <w:tcW w:w="22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 for impairment</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6,749</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869</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7,618</w:t>
            </w:r>
          </w:p>
        </w:tc>
      </w:tr>
      <w:tr>
        <w:trPr>
          <w:trHeight w:val="171"/>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Collectively evaluated for impairment</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182,131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1,005,280</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212,106</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94,640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173,096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1,667,253</w:t>
            </w:r>
          </w:p>
        </w:tc>
      </w:tr>
      <w:tr>
        <w:trPr>
          <w:trHeight w:val="21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Balances, end of period</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188,880</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1,005,280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212,975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94,640</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173,096</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1,674,871</w:t>
            </w:r>
          </w:p>
        </w:tc>
      </w:tr>
      <w:tr>
        <w:trPr>
          <w:trHeight w:val="91"/>
        </w:trPr>
        <w:tc>
          <w:tcPr>
            <w:tcW w:w="2280" w:type="dxa"/>
            <w:vAlign w:val="bottom"/>
            <w:tcBorders>
              <w:top w:val="single" w:sz="8" w:color="CCEEFF"/>
            </w:tcBorders>
            <w:gridSpan w:val="2"/>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 for impairment</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41</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98</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294</w:t>
            </w:r>
          </w:p>
        </w:tc>
      </w:tr>
      <w:tr>
        <w:trPr>
          <w:trHeight w:val="171"/>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Collectively evaluated for impairment</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10,143</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4,122</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17,193</w:t>
            </w:r>
          </w:p>
        </w:tc>
      </w:tr>
      <w:tr>
        <w:trPr>
          <w:trHeight w:val="19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Balances, end of period</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1,352</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10,143</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4,163</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720</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1,109</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17,487</w:t>
            </w:r>
          </w:p>
        </w:tc>
      </w:tr>
      <w:tr>
        <w:trPr>
          <w:trHeight w:val="111"/>
        </w:trPr>
        <w:tc>
          <w:tcPr>
            <w:tcW w:w="228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3"/>
                <w:szCs w:val="13"/>
                <w:color w:val="auto"/>
              </w:rPr>
              <w:t>Loans: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Individually evaluated for impairment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7,206</w:t>
            </w:r>
          </w:p>
        </w:tc>
        <w:tc>
          <w:tcPr>
            <w:tcW w:w="40" w:type="dxa"/>
            <w:vAlign w:val="bottom"/>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7,877</w:t>
            </w:r>
          </w:p>
        </w:tc>
      </w:tr>
      <w:tr>
        <w:trPr>
          <w:trHeight w:val="171"/>
        </w:trPr>
        <w:tc>
          <w:tcPr>
            <w:tcW w:w="2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Collectively evaluated for impairment</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178,430</w:t>
            </w:r>
          </w:p>
        </w:tc>
        <w:tc>
          <w:tcPr>
            <w:tcW w:w="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970,017</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126,902</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130,233</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1,499,351</w:t>
            </w:r>
          </w:p>
        </w:tc>
      </w:tr>
      <w:tr>
        <w:trPr>
          <w:trHeight w:val="151"/>
        </w:trPr>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Balances, end of period</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93,769</w:t>
            </w:r>
          </w:p>
        </w:tc>
        <w:tc>
          <w:tcPr>
            <w:tcW w:w="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1,507,228</w:t>
            </w:r>
          </w:p>
        </w:tc>
      </w:tr>
      <w:tr>
        <w:trPr>
          <w:trHeight w:val="20"/>
        </w:trPr>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Credit Quality Indicators</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58"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2" w:lineRule="exact"/>
        <w:rPr>
          <w:sz w:val="20"/>
          <w:szCs w:val="20"/>
          <w:color w:val="auto"/>
        </w:rPr>
      </w:pPr>
    </w:p>
    <w:p>
      <w:pPr>
        <w:jc w:val="both"/>
        <w:ind w:left="1180" w:right="819"/>
        <w:spacing w:after="0" w:line="257"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2" w:lineRule="exact"/>
        <w:rPr>
          <w:sz w:val="20"/>
          <w:szCs w:val="20"/>
          <w:color w:val="auto"/>
        </w:rPr>
      </w:pPr>
    </w:p>
    <w:p>
      <w:pPr>
        <w:jc w:val="both"/>
        <w:ind w:left="1180" w:right="719"/>
        <w:spacing w:after="0" w:line="258"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7"/>
              </w:rPr>
              <w:t>As of September 30, 2023</w:t>
            </w: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9"/>
          </w:tcPr>
          <w:p>
            <w:pPr>
              <w:ind w:left="460"/>
              <w:spacing w:after="0"/>
              <w:rPr>
                <w:sz w:val="20"/>
                <w:szCs w:val="20"/>
                <w:color w:val="auto"/>
              </w:rPr>
            </w:pPr>
            <w:r>
              <w:rPr>
                <w:rFonts w:ascii="Arial" w:cs="Arial" w:eastAsia="Arial" w:hAnsi="Arial"/>
                <w:sz w:val="13"/>
                <w:szCs w:val="13"/>
                <w:b w:val="1"/>
                <w:bCs w:val="1"/>
                <w:color w:val="auto"/>
                <w:w w:val="99"/>
              </w:rPr>
              <w:t>Term Loans by Origination Year</w:t>
            </w: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b w:val="1"/>
                <w:bCs w:val="1"/>
                <w:color w:val="auto"/>
                <w:w w:val="93"/>
              </w:rPr>
              <w:t>Revolving</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Prior</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Pass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17,760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36,828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26,315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6,527</w:t>
            </w:r>
          </w:p>
        </w:tc>
        <w:tc>
          <w:tcPr>
            <w:tcW w:w="220" w:type="dxa"/>
            <w:vAlign w:val="bottom"/>
            <w:gridSpan w:val="2"/>
          </w:tcPr>
          <w:p>
            <w:pPr>
              <w:jc w:val="center"/>
              <w:ind w:right="3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9,749</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83,244</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8,457</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188,880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17,760</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36,828</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26,315</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6,527</w:t>
            </w: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9,749</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83,244</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8,457</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188,880</w:t>
            </w:r>
          </w:p>
        </w:tc>
        <w:tc>
          <w:tcPr>
            <w:tcW w:w="0" w:type="dxa"/>
            <w:vAlign w:val="bottom"/>
          </w:tcPr>
          <w:p>
            <w:pPr>
              <w:spacing w:after="0"/>
              <w:rPr>
                <w:sz w:val="1"/>
                <w:szCs w:val="1"/>
                <w:color w:val="auto"/>
              </w:rPr>
            </w:pPr>
          </w:p>
        </w:tc>
      </w:tr>
      <w:tr>
        <w:trPr>
          <w:trHeight w:val="171"/>
        </w:trPr>
        <w:tc>
          <w:tcPr>
            <w:tcW w:w="200" w:type="dxa"/>
            <w:vAlign w:val="bottom"/>
            <w:gridSpan w:val="3"/>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 real estate</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78,285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340,524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210,028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104,816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79,129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186,669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3,314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1,002,765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1,818</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697</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line="146" w:lineRule="exact"/>
              <w:rPr>
                <w:sz w:val="20"/>
                <w:szCs w:val="20"/>
                <w:color w:val="auto"/>
              </w:rPr>
            </w:pPr>
            <w:r>
              <w:rPr>
                <w:rFonts w:ascii="Arial" w:cs="Arial" w:eastAsia="Arial" w:hAnsi="Arial"/>
                <w:sz w:val="13"/>
                <w:szCs w:val="13"/>
                <w:color w:val="auto"/>
              </w:rPr>
              <w:t>Total</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78,285</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340,524</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211,846</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105,513</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79,129</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186,669</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3,314</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1,005,280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400" w:type="dxa"/>
            <w:vAlign w:val="bottom"/>
            <w:gridSpan w:val="4"/>
          </w:tcPr>
          <w:p>
            <w:pPr>
              <w:spacing w:after="0"/>
              <w:rPr>
                <w:sz w:val="20"/>
                <w:szCs w:val="20"/>
                <w:color w:val="auto"/>
              </w:rPr>
            </w:pPr>
            <w:r>
              <w:rPr>
                <w:rFonts w:ascii="Arial" w:cs="Arial" w:eastAsia="Arial" w:hAnsi="Arial"/>
                <w:sz w:val="13"/>
                <w:szCs w:val="13"/>
                <w:color w:val="auto"/>
              </w:rPr>
              <w:t>Commercial and</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0" w:type="dxa"/>
            <w:vAlign w:val="bottom"/>
            <w:gridSpan w:val="4"/>
          </w:tcPr>
          <w:p>
            <w:pPr>
              <w:spacing w:after="0"/>
              <w:rPr>
                <w:sz w:val="20"/>
                <w:szCs w:val="20"/>
                <w:color w:val="auto"/>
              </w:rPr>
            </w:pPr>
            <w:r>
              <w:rPr>
                <w:rFonts w:ascii="Arial" w:cs="Arial" w:eastAsia="Arial" w:hAnsi="Arial"/>
                <w:sz w:val="13"/>
                <w:szCs w:val="13"/>
                <w:color w:val="auto"/>
              </w:rPr>
              <w:t>industrial</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92,156</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38,012</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34,581</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7,141</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14,001</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3,483</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21,617</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210,991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80" w:type="dxa"/>
            <w:vAlign w:val="bottom"/>
            <w:tcBorders>
              <w:bottom w:val="single" w:sz="8" w:color="CCEEFF"/>
            </w:tcBorders>
            <w:gridSpan w:val="3"/>
          </w:tcPr>
          <w:p>
            <w:pPr>
              <w:ind w:left="8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1,344</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92,156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38,012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34,921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15,345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21,917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212,975</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13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Foreign banks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80" w:type="dxa"/>
            <w:vAlign w:val="bottom"/>
            <w:tcBorders>
              <w:bottom w:val="single" w:sz="8" w:color="CCEEFF"/>
            </w:tcBorders>
            <w:gridSpan w:val="3"/>
          </w:tcPr>
          <w:p>
            <w:pPr>
              <w:ind w:left="80"/>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93,515</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1,125</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94,640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93,515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94,640</w:t>
            </w:r>
          </w:p>
        </w:tc>
        <w:tc>
          <w:tcPr>
            <w:tcW w:w="0" w:type="dxa"/>
            <w:vAlign w:val="bottom"/>
          </w:tcPr>
          <w:p>
            <w:pPr>
              <w:spacing w:after="0"/>
              <w:rPr>
                <w:sz w:val="1"/>
                <w:szCs w:val="1"/>
                <w:color w:val="auto"/>
              </w:rPr>
            </w:pPr>
          </w:p>
        </w:tc>
      </w:tr>
      <w:tr>
        <w:trPr>
          <w:trHeight w:val="171"/>
        </w:trPr>
        <w:tc>
          <w:tcPr>
            <w:tcW w:w="140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loans</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50,027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74,961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44,249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529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1,396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173,096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line="146" w:lineRule="exact"/>
              <w:rPr>
                <w:sz w:val="20"/>
                <w:szCs w:val="20"/>
                <w:color w:val="auto"/>
              </w:rPr>
            </w:pPr>
            <w:r>
              <w:rPr>
                <w:rFonts w:ascii="Arial" w:cs="Arial" w:eastAsia="Arial" w:hAnsi="Arial"/>
                <w:sz w:val="13"/>
                <w:szCs w:val="13"/>
                <w:color w:val="auto"/>
              </w:rPr>
              <w:t>Total</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50,027</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74,961</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44,249</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717</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529</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1,396</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1,217</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173,096</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13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3"/>
                <w:szCs w:val="13"/>
                <w:color w:val="auto"/>
              </w:rPr>
              <w:t>Total Loans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331,743</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491,450</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315,173</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119,201</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103,408</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274,792</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34,605</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shd w:val="clear" w:color="auto" w:fill="CCEEFF"/>
              </w:rPr>
              <w:t>1,670,372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Special Mention</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2,158</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697</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4,499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80" w:type="dxa"/>
            <w:vAlign w:val="bottom"/>
            <w:tcBorders>
              <w:bottom w:val="single" w:sz="8" w:color="CCEEFF"/>
            </w:tcBorders>
            <w:gridSpan w:val="3"/>
          </w:tcPr>
          <w:p>
            <w:pPr>
              <w:ind w:left="80"/>
              <w:spacing w:after="0"/>
              <w:rPr>
                <w:sz w:val="20"/>
                <w:szCs w:val="20"/>
                <w:color w:val="auto"/>
              </w:rPr>
            </w:pPr>
            <w:r>
              <w:rPr>
                <w:rFonts w:ascii="Arial" w:cs="Arial" w:eastAsia="Arial" w:hAnsi="Arial"/>
                <w:sz w:val="13"/>
                <w:szCs w:val="13"/>
                <w:color w:val="auto"/>
              </w:rPr>
              <w:t>Doubtful</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Total</w:t>
            </w:r>
          </w:p>
        </w:tc>
        <w:tc>
          <w:tcPr>
            <w:tcW w:w="12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331,743</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491,450</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317,331</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119,898</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center"/>
              <w:ind w:right="56"/>
              <w:spacing w:after="0" w:line="143" w:lineRule="exact"/>
              <w:rPr>
                <w:sz w:val="20"/>
                <w:szCs w:val="20"/>
                <w:color w:val="auto"/>
              </w:rPr>
            </w:pPr>
            <w:r>
              <w:rPr>
                <w:rFonts w:ascii="Arial" w:cs="Arial" w:eastAsia="Arial" w:hAnsi="Arial"/>
                <w:sz w:val="13"/>
                <w:szCs w:val="13"/>
                <w:color w:val="auto"/>
                <w:shd w:val="clear" w:color="auto" w:fill="CCEEFF"/>
              </w:rPr>
              <w:t>$</w:t>
            </w:r>
          </w:p>
        </w:tc>
        <w:tc>
          <w:tcPr>
            <w:tcW w:w="56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104,752</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274,792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8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34,905</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6"/>
              </w:rPr>
              <w:t>1,674,871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80" w:type="dxa"/>
            <w:vAlign w:val="bottom"/>
            <w:gridSpan w:val="9"/>
          </w:tcPr>
          <w:p>
            <w:pPr>
              <w:spacing w:after="0"/>
              <w:rPr>
                <w:sz w:val="20"/>
                <w:szCs w:val="20"/>
                <w:color w:val="auto"/>
              </w:rPr>
            </w:pPr>
            <w:r>
              <w:rPr>
                <w:rFonts w:ascii="Arial" w:cs="Arial" w:eastAsia="Arial" w:hAnsi="Arial"/>
                <w:sz w:val="13"/>
                <w:szCs w:val="13"/>
                <w:color w:val="auto"/>
              </w:rPr>
              <w:t>Notes to the Consolidated Financial Statements - Unaudited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6"/>
        </w:trPr>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ind w:left="560"/>
              <w:spacing w:after="0"/>
              <w:rPr>
                <w:sz w:val="20"/>
                <w:szCs w:val="20"/>
                <w:color w:val="auto"/>
              </w:rPr>
            </w:pPr>
            <w:r>
              <w:rPr>
                <w:rFonts w:ascii="Arial" w:cs="Arial" w:eastAsia="Arial" w:hAnsi="Arial"/>
                <w:sz w:val="13"/>
                <w:szCs w:val="13"/>
                <w:b w:val="1"/>
                <w:bCs w:val="1"/>
                <w:color w:val="auto"/>
              </w:rPr>
              <w:t>As of December 31, 2022</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54"/>
        </w:trPr>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Arial" w:cs="Arial" w:eastAsia="Arial" w:hAnsi="Arial"/>
                <w:sz w:val="13"/>
                <w:szCs w:val="13"/>
                <w:b w:val="1"/>
                <w:bCs w:val="1"/>
                <w:color w:val="auto"/>
              </w:rPr>
              <w:t>Special</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64"/>
        </w:trPr>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Pass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3"/>
                <w:szCs w:val="13"/>
                <w:b w:val="1"/>
                <w:bCs w:val="1"/>
                <w:color w:val="auto"/>
              </w:rPr>
              <w:t>Mention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w w:val="98"/>
              </w:rPr>
              <w:t>Substandard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3"/>
                <w:szCs w:val="13"/>
                <w:b w:val="1"/>
                <w:bCs w:val="1"/>
                <w:color w:val="auto"/>
              </w:rPr>
              <w:t>Doubtful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98"/>
              </w:rPr>
              <w:t>Total Loans</w:t>
            </w:r>
          </w:p>
        </w:tc>
      </w:tr>
      <w:tr>
        <w:trPr>
          <w:trHeight w:val="171"/>
        </w:trPr>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rPr>
                <w:sz w:val="20"/>
                <w:szCs w:val="20"/>
                <w:color w:val="auto"/>
              </w:rPr>
            </w:pPr>
            <w:r>
              <w:rPr>
                <w:rFonts w:ascii="Arial" w:cs="Arial" w:eastAsia="Arial" w:hAnsi="Arial"/>
                <w:sz w:val="13"/>
                <w:szCs w:val="13"/>
                <w:color w:val="auto"/>
                <w:w w:val="98"/>
              </w:rPr>
              <w:t>Home equity line of credit and other</w:t>
            </w:r>
          </w:p>
        </w:tc>
        <w:tc>
          <w:tcPr>
            <w:tcW w:w="8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623</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60" w:type="dxa"/>
            <w:vAlign w:val="bottom"/>
          </w:tcPr>
          <w:p>
            <w:pPr>
              <w:ind w:left="68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7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623</w:t>
            </w: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132,178</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132,178</w:t>
            </w:r>
          </w:p>
        </w:tc>
      </w:tr>
      <w:tr>
        <w:trPr>
          <w:trHeight w:val="171"/>
        </w:trPr>
        <w:tc>
          <w:tcPr>
            <w:tcW w:w="2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Condo residential</w:t>
            </w: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52,835</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52,835</w:t>
            </w:r>
          </w:p>
        </w:tc>
      </w:tr>
      <w:tr>
        <w:trPr>
          <w:trHeight w:val="151"/>
        </w:trPr>
        <w:tc>
          <w:tcPr>
            <w:tcW w:w="1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r>
      <w:tr>
        <w:trPr>
          <w:trHeight w:val="171"/>
        </w:trPr>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7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real estate:</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rPr>
                <w:sz w:val="20"/>
                <w:szCs w:val="20"/>
                <w:color w:val="auto"/>
              </w:rPr>
            </w:pPr>
            <w:r>
              <w:rPr>
                <w:rFonts w:ascii="Arial" w:cs="Arial" w:eastAsia="Arial" w:hAnsi="Arial"/>
                <w:sz w:val="13"/>
                <w:szCs w:val="13"/>
                <w:color w:val="auto"/>
              </w:rPr>
              <w:t>Land and construction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38,687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6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7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38,687</w:t>
            </w: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Multi-family residential</w:t>
            </w: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176,820</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176,820</w:t>
            </w:r>
          </w:p>
        </w:tc>
      </w:tr>
      <w:tr>
        <w:trPr>
          <w:trHeight w:val="171"/>
        </w:trPr>
        <w:tc>
          <w:tcPr>
            <w:tcW w:w="2140" w:type="dxa"/>
            <w:vAlign w:val="bottom"/>
            <w:gridSpan w:val="2"/>
          </w:tcPr>
          <w:p>
            <w:pPr>
              <w:ind w:left="100"/>
              <w:spacing w:after="0"/>
              <w:rPr>
                <w:sz w:val="20"/>
                <w:szCs w:val="20"/>
                <w:color w:val="auto"/>
              </w:rPr>
            </w:pPr>
            <w:r>
              <w:rPr>
                <w:rFonts w:ascii="Arial" w:cs="Arial" w:eastAsia="Arial" w:hAnsi="Arial"/>
                <w:sz w:val="13"/>
                <w:szCs w:val="13"/>
                <w:color w:val="auto"/>
              </w:rPr>
              <w:t>Condo commercial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49,601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6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600"/>
              <w:spacing w:after="0"/>
              <w:rPr>
                <w:sz w:val="20"/>
                <w:szCs w:val="20"/>
                <w:color w:val="auto"/>
              </w:rPr>
            </w:pPr>
            <w:r>
              <w:rPr>
                <w:rFonts w:ascii="Arial" w:cs="Arial" w:eastAsia="Arial" w:hAnsi="Arial"/>
                <w:sz w:val="13"/>
                <w:szCs w:val="13"/>
                <w:color w:val="auto"/>
              </w:rPr>
              <w:t>393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49,994</w:t>
            </w:r>
          </w:p>
        </w:tc>
      </w:tr>
      <w:tr>
        <w:trPr>
          <w:trHeight w:val="171"/>
        </w:trPr>
        <w:tc>
          <w:tcPr>
            <w:tcW w:w="100" w:type="dxa"/>
            <w:vAlign w:val="bottom"/>
            <w:tcBorders>
              <w:bottom w:val="single" w:sz="8" w:color="CCEEFF"/>
            </w:tcBorders>
            <w:shd w:val="clear" w:color="auto" w:fill="CCEEFF"/>
          </w:tcPr>
          <w:p>
            <w:pPr>
              <w:spacing w:after="0"/>
              <w:rPr>
                <w:sz w:val="14"/>
                <w:szCs w:val="14"/>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Commercial property</w:t>
            </w: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702,357</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2,552</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704,909</w:t>
            </w:r>
          </w:p>
        </w:tc>
      </w:tr>
      <w:tr>
        <w:trPr>
          <w:trHeight w:val="151"/>
        </w:trPr>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967,465</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480"/>
              <w:spacing w:after="0"/>
              <w:rPr>
                <w:sz w:val="20"/>
                <w:szCs w:val="20"/>
                <w:color w:val="auto"/>
              </w:rPr>
            </w:pPr>
            <w:r>
              <w:rPr>
                <w:rFonts w:ascii="Arial" w:cs="Arial" w:eastAsia="Arial" w:hAnsi="Arial"/>
                <w:sz w:val="13"/>
                <w:szCs w:val="13"/>
                <w:color w:val="auto"/>
              </w:rPr>
              <w:t>2,945</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970,410</w:t>
            </w:r>
          </w:p>
        </w:tc>
      </w:tr>
      <w:tr>
        <w:trPr>
          <w:trHeight w:val="171"/>
        </w:trPr>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rPr>
                <w:sz w:val="20"/>
                <w:szCs w:val="20"/>
                <w:color w:val="auto"/>
              </w:rPr>
            </w:pPr>
            <w:r>
              <w:rPr>
                <w:rFonts w:ascii="Arial" w:cs="Arial" w:eastAsia="Arial" w:hAnsi="Arial"/>
                <w:sz w:val="13"/>
                <w:szCs w:val="13"/>
                <w:color w:val="auto"/>
              </w:rPr>
              <w:t>Secured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120,873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6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600"/>
              <w:spacing w:after="0"/>
              <w:rPr>
                <w:sz w:val="20"/>
                <w:szCs w:val="20"/>
                <w:color w:val="auto"/>
              </w:rPr>
            </w:pPr>
            <w:r>
              <w:rPr>
                <w:rFonts w:ascii="Arial" w:cs="Arial" w:eastAsia="Arial" w:hAnsi="Arial"/>
                <w:sz w:val="13"/>
                <w:szCs w:val="13"/>
                <w:color w:val="auto"/>
              </w:rPr>
              <w:t>807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121,680</w:t>
            </w:r>
          </w:p>
        </w:tc>
      </w:tr>
      <w:tr>
        <w:trPr>
          <w:trHeight w:val="171"/>
        </w:trPr>
        <w:tc>
          <w:tcPr>
            <w:tcW w:w="100" w:type="dxa"/>
            <w:vAlign w:val="bottom"/>
            <w:tcBorders>
              <w:bottom w:val="single" w:sz="8" w:color="CCEEFF"/>
            </w:tcBorders>
            <w:shd w:val="clear" w:color="auto" w:fill="CCEEFF"/>
          </w:tcPr>
          <w:p>
            <w:pPr>
              <w:spacing w:after="0"/>
              <w:rPr>
                <w:sz w:val="14"/>
                <w:szCs w:val="14"/>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Unsecured</w:t>
            </w: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5,304</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5,304</w:t>
            </w:r>
          </w:p>
        </w:tc>
      </w:tr>
      <w:tr>
        <w:trPr>
          <w:trHeight w:val="151"/>
        </w:trPr>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126,177</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600"/>
              <w:spacing w:after="0"/>
              <w:rPr>
                <w:sz w:val="20"/>
                <w:szCs w:val="20"/>
                <w:color w:val="auto"/>
              </w:rPr>
            </w:pPr>
            <w:r>
              <w:rPr>
                <w:rFonts w:ascii="Arial" w:cs="Arial" w:eastAsia="Arial" w:hAnsi="Arial"/>
                <w:sz w:val="13"/>
                <w:szCs w:val="13"/>
                <w:color w:val="auto"/>
              </w:rPr>
              <w:t>807</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126,984</w:t>
            </w:r>
          </w:p>
        </w:tc>
      </w:tr>
      <w:tr>
        <w:trPr>
          <w:trHeight w:val="171"/>
        </w:trPr>
        <w:tc>
          <w:tcPr>
            <w:tcW w:w="2140" w:type="dxa"/>
            <w:vAlign w:val="bottom"/>
            <w:gridSpan w:val="2"/>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93,769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6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7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93,769</w:t>
            </w:r>
          </w:p>
        </w:tc>
      </w:tr>
      <w:tr>
        <w:trPr>
          <w:trHeight w:val="171"/>
        </w:trPr>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130,233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196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130,429</w:t>
            </w:r>
          </w:p>
        </w:tc>
      </w:tr>
      <w:tr>
        <w:trPr>
          <w:trHeight w:val="171"/>
        </w:trPr>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40" w:type="dxa"/>
            <w:vAlign w:val="bottom"/>
            <w:tcBorders>
              <w:top w:val="single" w:sz="8" w:color="CCEEFF"/>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1,503,280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CCEEFF"/>
            </w:tcBorders>
            <w:shd w:val="clear" w:color="auto" w:fill="CCEEFF"/>
          </w:tcPr>
          <w:p>
            <w:pPr>
              <w:ind w:left="680"/>
              <w:spacing w:after="0" w:line="140"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840" w:type="dxa"/>
            <w:vAlign w:val="bottom"/>
            <w:tcBorders>
              <w:top w:val="single" w:sz="8" w:color="auto"/>
              <w:bottom w:val="single" w:sz="8" w:color="CCEEFF"/>
            </w:tcBorders>
            <w:shd w:val="clear" w:color="auto" w:fill="CCEEFF"/>
          </w:tcPr>
          <w:p>
            <w:pPr>
              <w:ind w:left="480"/>
              <w:spacing w:after="0" w:line="140" w:lineRule="exact"/>
              <w:rPr>
                <w:sz w:val="20"/>
                <w:szCs w:val="20"/>
                <w:color w:val="auto"/>
              </w:rPr>
            </w:pPr>
            <w:r>
              <w:rPr>
                <w:rFonts w:ascii="Arial" w:cs="Arial" w:eastAsia="Arial" w:hAnsi="Arial"/>
                <w:sz w:val="13"/>
                <w:szCs w:val="13"/>
                <w:color w:val="auto"/>
              </w:rPr>
              <w:t>3,948</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ind w:left="20"/>
              <w:spacing w:after="0" w:line="140"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80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1,507,228</w:t>
            </w:r>
          </w:p>
        </w:tc>
      </w:tr>
      <w:tr>
        <w:trPr>
          <w:trHeight w:val="20"/>
        </w:trPr>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Aging</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also considers the performance of loans in grading and in evaluating the credit quality of the loan portfolio. The Company analyzes credit quality and loan grades based on payment performance and the aging status of the loan. The following tables include an aging analysis of accruing loans and total non-accruing loans as of September 30, 2023 and December 31, 2022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Accruing</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15"/>
        </w:trPr>
        <w:tc>
          <w:tcPr>
            <w:tcW w:w="1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3"/>
          </w:tcPr>
          <w:p>
            <w:pPr>
              <w:jc w:val="right"/>
              <w:spacing w:after="0" w:line="115" w:lineRule="exact"/>
              <w:rPr>
                <w:sz w:val="20"/>
                <w:szCs w:val="20"/>
                <w:color w:val="auto"/>
              </w:rPr>
            </w:pPr>
            <w:r>
              <w:rPr>
                <w:rFonts w:ascii="Arial" w:cs="Arial" w:eastAsia="Arial" w:hAnsi="Arial"/>
                <w:sz w:val="13"/>
                <w:szCs w:val="13"/>
                <w:b w:val="1"/>
                <w:bCs w:val="1"/>
                <w:color w:val="auto"/>
              </w:rPr>
              <w:t>Past Due 90</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49"/>
        </w:trPr>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left="76"/>
              <w:spacing w:after="0"/>
              <w:rPr>
                <w:sz w:val="20"/>
                <w:szCs w:val="20"/>
                <w:color w:val="auto"/>
              </w:rPr>
            </w:pPr>
            <w:r>
              <w:rPr>
                <w:rFonts w:ascii="Arial" w:cs="Arial" w:eastAsia="Arial" w:hAnsi="Arial"/>
                <w:sz w:val="13"/>
                <w:szCs w:val="13"/>
                <w:b w:val="1"/>
                <w:bCs w:val="1"/>
                <w:color w:val="auto"/>
                <w:w w:val="98"/>
              </w:rPr>
              <w:t>Days or &gt;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Past Due 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4"/>
        </w:trPr>
        <w:tc>
          <w:tcPr>
            <w:tcW w:w="23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As of September 30, 2023</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Current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89 Days</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Accruing</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Accruing</w:t>
            </w: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Non-Accrual</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36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491</w:t>
            </w:r>
          </w:p>
        </w:tc>
        <w:tc>
          <w:tcPr>
            <w:tcW w:w="180" w:type="dxa"/>
            <w:vAlign w:val="bottom"/>
            <w:gridSpan w:val="3"/>
          </w:tcPr>
          <w:p>
            <w:pPr>
              <w:jc w:val="right"/>
              <w:ind w:right="4"/>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491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491</w:t>
            </w:r>
          </w:p>
        </w:tc>
      </w:tr>
      <w:tr>
        <w:trPr>
          <w:trHeight w:val="171"/>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138,069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138,069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138,069</w:t>
            </w:r>
          </w:p>
        </w:tc>
      </w:tr>
      <w:tr>
        <w:trPr>
          <w:trHeight w:val="171"/>
        </w:trPr>
        <w:tc>
          <w:tcPr>
            <w:tcW w:w="236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Condo residential</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49,949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50,320</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50,320</w:t>
            </w:r>
          </w:p>
        </w:tc>
      </w:tr>
      <w:tr>
        <w:trPr>
          <w:trHeight w:val="151"/>
        </w:trPr>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188,509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188,880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188,880</w:t>
            </w:r>
          </w:p>
        </w:tc>
      </w:tr>
      <w:tr>
        <w:trPr>
          <w:trHeight w:val="168"/>
        </w:trPr>
        <w:tc>
          <w:tcPr>
            <w:tcW w:w="23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3"/>
        </w:trPr>
        <w:tc>
          <w:tcPr>
            <w:tcW w:w="1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30,717</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30,717</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30,717</w:t>
            </w: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Multi-family residential</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177,573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177,573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177,573</w:t>
            </w:r>
          </w:p>
        </w:tc>
      </w:tr>
      <w:tr>
        <w:trPr>
          <w:trHeight w:val="171"/>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58,100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58,100</w:t>
            </w: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Commercial property</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738,849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738,849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738,849</w:t>
            </w:r>
          </w:p>
        </w:tc>
      </w:tr>
      <w:tr>
        <w:trPr>
          <w:trHeight w:val="165"/>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56"/>
        </w:trPr>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1,005,280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1,005,280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1,005,280</w:t>
            </w:r>
          </w:p>
        </w:tc>
      </w:tr>
      <w:tr>
        <w:trPr>
          <w:trHeight w:val="171"/>
        </w:trPr>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Secured</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194,119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194,119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194,598</w:t>
            </w:r>
          </w:p>
        </w:tc>
      </w:tr>
      <w:tr>
        <w:trPr>
          <w:trHeight w:val="165"/>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18,377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18,377</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18,377</w:t>
            </w:r>
          </w:p>
        </w:tc>
      </w:tr>
      <w:tr>
        <w:trPr>
          <w:trHeight w:val="156"/>
        </w:trPr>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212,496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212,496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212,975</w:t>
            </w:r>
          </w:p>
        </w:tc>
      </w:tr>
      <w:tr>
        <w:trPr>
          <w:trHeight w:val="171"/>
        </w:trPr>
        <w:tc>
          <w:tcPr>
            <w:tcW w:w="23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236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94,640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94,640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94,640</w:t>
            </w:r>
          </w:p>
        </w:tc>
      </w:tr>
      <w:tr>
        <w:trPr>
          <w:trHeight w:val="171"/>
        </w:trPr>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173,096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173,096</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173,096</w:t>
            </w:r>
          </w:p>
        </w:tc>
      </w:tr>
      <w:tr>
        <w:trPr>
          <w:trHeight w:val="171"/>
        </w:trPr>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r>
      <w:tr>
        <w:trPr>
          <w:trHeight w:val="161"/>
        </w:trPr>
        <w:tc>
          <w:tcPr>
            <w:tcW w:w="10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1,674,021</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shd w:val="clear" w:color="auto" w:fill="CCEEFF"/>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1,674,392</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1,674,871</w:t>
            </w:r>
          </w:p>
        </w:tc>
      </w:tr>
      <w:tr>
        <w:trPr>
          <w:trHeight w:val="20"/>
        </w:trPr>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760" w:type="dxa"/>
            <w:vAlign w:val="bottom"/>
            <w:gridSpan w:val="17"/>
          </w:tcPr>
          <w:p>
            <w:pPr>
              <w:jc w:val="right"/>
              <w:ind w:right="296"/>
              <w:spacing w:after="0"/>
              <w:rPr>
                <w:sz w:val="20"/>
                <w:szCs w:val="20"/>
                <w:color w:val="auto"/>
              </w:rPr>
            </w:pPr>
            <w:r>
              <w:rPr>
                <w:rFonts w:ascii="Arial" w:cs="Arial" w:eastAsia="Arial" w:hAnsi="Arial"/>
                <w:sz w:val="13"/>
                <w:szCs w:val="13"/>
                <w:color w:val="auto"/>
                <w:w w:val="97"/>
              </w:rPr>
              <w:t>Notes to the Consolidated Financial Statements - Unaudited</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89"/>
        </w:trPr>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ind w:left="460"/>
              <w:spacing w:after="0"/>
              <w:rPr>
                <w:sz w:val="20"/>
                <w:szCs w:val="20"/>
                <w:color w:val="auto"/>
              </w:rPr>
            </w:pPr>
            <w:r>
              <w:rPr>
                <w:rFonts w:ascii="Arial" w:cs="Arial" w:eastAsia="Arial" w:hAnsi="Arial"/>
                <w:sz w:val="13"/>
                <w:szCs w:val="13"/>
                <w:b w:val="1"/>
                <w:bCs w:val="1"/>
                <w:color w:val="auto"/>
              </w:rPr>
              <w:t>Accruing</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4"/>
          </w:tcPr>
          <w:p>
            <w:pPr>
              <w:jc w:val="center"/>
              <w:spacing w:after="0" w:line="115" w:lineRule="exact"/>
              <w:rPr>
                <w:sz w:val="20"/>
                <w:szCs w:val="20"/>
                <w:color w:val="auto"/>
              </w:rPr>
            </w:pPr>
            <w:r>
              <w:rPr>
                <w:rFonts w:ascii="Arial" w:cs="Arial" w:eastAsia="Arial" w:hAnsi="Arial"/>
                <w:sz w:val="13"/>
                <w:szCs w:val="13"/>
                <w:b w:val="1"/>
                <w:bCs w:val="1"/>
                <w:color w:val="auto"/>
                <w:w w:val="97"/>
              </w:rPr>
              <w:t>Past Due 90</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 w:type="dxa"/>
            <w:vAlign w:val="bottom"/>
          </w:tcPr>
          <w:p>
            <w:pPr>
              <w:spacing w:after="0"/>
              <w:rPr>
                <w:sz w:val="9"/>
                <w:szCs w:val="9"/>
                <w:color w:val="auto"/>
              </w:rPr>
            </w:pPr>
          </w:p>
        </w:tc>
        <w:tc>
          <w:tcPr>
            <w:tcW w:w="69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49"/>
        </w:trPr>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Days or &gt;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9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b w:val="1"/>
                <w:bCs w:val="1"/>
                <w:color w:val="auto"/>
              </w:rPr>
              <w:t>Past Due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9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3"/>
        </w:trPr>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As of December 31, 2022: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56"/>
              <w:spacing w:after="0"/>
              <w:rPr>
                <w:sz w:val="20"/>
                <w:szCs w:val="20"/>
                <w:color w:val="auto"/>
              </w:rPr>
            </w:pPr>
            <w:r>
              <w:rPr>
                <w:rFonts w:ascii="Arial" w:cs="Arial" w:eastAsia="Arial" w:hAnsi="Arial"/>
                <w:sz w:val="13"/>
                <w:szCs w:val="13"/>
                <w:b w:val="1"/>
                <w:bCs w:val="1"/>
                <w:color w:val="auto"/>
              </w:rPr>
              <w:t>Current</w:t>
            </w:r>
          </w:p>
        </w:tc>
        <w:tc>
          <w:tcPr>
            <w:tcW w:w="40" w:type="dxa"/>
            <w:vAlign w:val="bottom"/>
          </w:tcPr>
          <w:p>
            <w:pPr>
              <w:spacing w:after="0"/>
              <w:rPr>
                <w:sz w:val="13"/>
                <w:szCs w:val="13"/>
                <w:color w:val="auto"/>
              </w:rPr>
            </w:pPr>
          </w:p>
        </w:tc>
        <w:tc>
          <w:tcPr>
            <w:tcW w:w="8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30-89 Days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Accruing</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b w:val="1"/>
                <w:bCs w:val="1"/>
                <w:color w:val="auto"/>
              </w:rPr>
              <w:t>Accruing</w:t>
            </w:r>
          </w:p>
        </w:tc>
        <w:tc>
          <w:tcPr>
            <w:tcW w:w="6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spacing w:after="0"/>
              <w:rPr>
                <w:sz w:val="13"/>
                <w:szCs w:val="13"/>
                <w:color w:val="auto"/>
              </w:rPr>
            </w:pPr>
          </w:p>
        </w:tc>
        <w:tc>
          <w:tcPr>
            <w:tcW w:w="69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r>
      <w:tr>
        <w:trPr>
          <w:trHeight w:val="171"/>
        </w:trPr>
        <w:tc>
          <w:tcPr>
            <w:tcW w:w="2140" w:type="dxa"/>
            <w:vAlign w:val="bottom"/>
            <w:gridSpan w:val="2"/>
          </w:tcPr>
          <w:p>
            <w:pPr>
              <w:ind w:left="120"/>
              <w:spacing w:after="0"/>
              <w:rPr>
                <w:sz w:val="20"/>
                <w:szCs w:val="20"/>
                <w:color w:val="auto"/>
              </w:rPr>
            </w:pPr>
            <w:r>
              <w:rPr>
                <w:rFonts w:ascii="Arial" w:cs="Arial" w:eastAsia="Arial" w:hAnsi="Arial"/>
                <w:sz w:val="13"/>
                <w:szCs w:val="13"/>
                <w:color w:val="auto"/>
                <w:w w:val="97"/>
              </w:rPr>
              <w:t>Home equity line of credit and other</w:t>
            </w: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623</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623</w:t>
            </w:r>
          </w:p>
        </w:tc>
        <w:tc>
          <w:tcPr>
            <w:tcW w:w="19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623</w:t>
            </w:r>
          </w:p>
        </w:tc>
      </w:tr>
      <w:tr>
        <w:trPr>
          <w:trHeight w:val="171"/>
        </w:trPr>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131,120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1,058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132,178</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132,178</w:t>
            </w:r>
          </w:p>
        </w:tc>
      </w:tr>
      <w:tr>
        <w:trPr>
          <w:trHeight w:val="171"/>
        </w:trPr>
        <w:tc>
          <w:tcPr>
            <w:tcW w:w="214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Condo residential</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50,310</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52,835</w:t>
            </w:r>
          </w:p>
        </w:tc>
        <w:tc>
          <w:tcPr>
            <w:tcW w:w="6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69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52,835</w:t>
            </w:r>
          </w:p>
        </w:tc>
      </w:tr>
      <w:tr>
        <w:trPr>
          <w:trHeight w:val="151"/>
        </w:trPr>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182,053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3,583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6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185,636</w:t>
            </w:r>
          </w:p>
        </w:tc>
      </w:tr>
      <w:tr>
        <w:trPr>
          <w:trHeight w:val="171"/>
        </w:trPr>
        <w:tc>
          <w:tcPr>
            <w:tcW w:w="2140" w:type="dxa"/>
            <w:vAlign w:val="bottom"/>
            <w:gridSpan w:val="2"/>
          </w:tcPr>
          <w:p>
            <w:pPr>
              <w:ind w:left="20"/>
              <w:spacing w:after="0"/>
              <w:rPr>
                <w:sz w:val="20"/>
                <w:szCs w:val="20"/>
                <w:color w:val="auto"/>
              </w:rPr>
            </w:pPr>
            <w:r>
              <w:rPr>
                <w:rFonts w:ascii="Arial" w:cs="Arial" w:eastAsia="Arial" w:hAnsi="Arial"/>
                <w:sz w:val="13"/>
                <w:szCs w:val="13"/>
                <w:color w:val="auto"/>
              </w:rPr>
              <w:t>Commercial real estate: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38,687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38,687</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38,687</w:t>
            </w:r>
          </w:p>
        </w:tc>
      </w:tr>
      <w:tr>
        <w:trPr>
          <w:trHeight w:val="171"/>
        </w:trPr>
        <w:tc>
          <w:tcPr>
            <w:tcW w:w="2140" w:type="dxa"/>
            <w:vAlign w:val="bottom"/>
            <w:gridSpan w:val="2"/>
          </w:tcPr>
          <w:p>
            <w:pPr>
              <w:ind w:left="120"/>
              <w:spacing w:after="0"/>
              <w:rPr>
                <w:sz w:val="20"/>
                <w:szCs w:val="20"/>
                <w:color w:val="auto"/>
              </w:rPr>
            </w:pPr>
            <w:r>
              <w:rPr>
                <w:rFonts w:ascii="Arial" w:cs="Arial" w:eastAsia="Arial" w:hAnsi="Arial"/>
                <w:sz w:val="13"/>
                <w:szCs w:val="13"/>
                <w:color w:val="auto"/>
              </w:rPr>
              <w:t>Multi-family residential</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176,820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176,820</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176,820</w:t>
            </w:r>
          </w:p>
        </w:tc>
      </w:tr>
      <w:tr>
        <w:trPr>
          <w:trHeight w:val="171"/>
        </w:trPr>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49,994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49,994</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49,994</w:t>
            </w:r>
          </w:p>
        </w:tc>
      </w:tr>
      <w:tr>
        <w:trPr>
          <w:trHeight w:val="171"/>
        </w:trPr>
        <w:tc>
          <w:tcPr>
            <w:tcW w:w="2140" w:type="dxa"/>
            <w:vAlign w:val="bottom"/>
            <w:gridSpan w:val="2"/>
          </w:tcPr>
          <w:p>
            <w:pPr>
              <w:ind w:left="120"/>
              <w:spacing w:after="0"/>
              <w:rPr>
                <w:sz w:val="20"/>
                <w:szCs w:val="20"/>
                <w:color w:val="auto"/>
              </w:rPr>
            </w:pPr>
            <w:r>
              <w:rPr>
                <w:rFonts w:ascii="Arial" w:cs="Arial" w:eastAsia="Arial" w:hAnsi="Arial"/>
                <w:sz w:val="13"/>
                <w:szCs w:val="13"/>
                <w:color w:val="auto"/>
              </w:rPr>
              <w:t>Commercial property</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704,884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704,909</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704,909</w:t>
            </w:r>
          </w:p>
        </w:tc>
      </w:tr>
      <w:tr>
        <w:trPr>
          <w:trHeight w:val="171"/>
        </w:trPr>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6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151"/>
        </w:trPr>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970,385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970,410</w:t>
            </w: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970,410</w:t>
            </w:r>
          </w:p>
        </w:tc>
      </w:tr>
      <w:tr>
        <w:trPr>
          <w:trHeight w:val="171"/>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20"/>
              <w:spacing w:after="0"/>
              <w:rPr>
                <w:sz w:val="20"/>
                <w:szCs w:val="20"/>
                <w:color w:val="auto"/>
              </w:rPr>
            </w:pPr>
            <w:r>
              <w:rPr>
                <w:rFonts w:ascii="Arial" w:cs="Arial" w:eastAsia="Arial" w:hAnsi="Arial"/>
                <w:sz w:val="13"/>
                <w:szCs w:val="13"/>
                <w:color w:val="auto"/>
              </w:rPr>
              <w:t>Secured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121,649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121,680</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121,680</w:t>
            </w:r>
          </w:p>
        </w:tc>
      </w:tr>
      <w:tr>
        <w:trPr>
          <w:trHeight w:val="165"/>
        </w:trPr>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4,332</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972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5,304</w:t>
            </w:r>
          </w:p>
        </w:tc>
        <w:tc>
          <w:tcPr>
            <w:tcW w:w="6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6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5,304</w:t>
            </w:r>
          </w:p>
        </w:tc>
      </w:tr>
      <w:tr>
        <w:trPr>
          <w:trHeight w:val="156"/>
        </w:trPr>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125,981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1,003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126,984</w:t>
            </w: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126,984</w:t>
            </w:r>
          </w:p>
        </w:tc>
      </w:tr>
      <w:tr>
        <w:trPr>
          <w:trHeight w:val="171"/>
        </w:trPr>
        <w:tc>
          <w:tcPr>
            <w:tcW w:w="214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20"/>
              <w:spacing w:after="0"/>
              <w:rPr>
                <w:sz w:val="20"/>
                <w:szCs w:val="20"/>
                <w:color w:val="auto"/>
              </w:rPr>
            </w:pPr>
            <w:r>
              <w:rPr>
                <w:rFonts w:ascii="Arial" w:cs="Arial" w:eastAsia="Arial" w:hAnsi="Arial"/>
                <w:sz w:val="13"/>
                <w:szCs w:val="13"/>
                <w:color w:val="auto"/>
              </w:rPr>
              <w:t>Foreign banks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93,769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93,769</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93,769</w:t>
            </w:r>
          </w:p>
        </w:tc>
      </w:tr>
      <w:tr>
        <w:trPr>
          <w:trHeight w:val="171"/>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 and other</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130,169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130,429</w:t>
            </w:r>
          </w:p>
        </w:tc>
      </w:tr>
      <w:tr>
        <w:trPr>
          <w:trHeight w:val="171"/>
        </w:trPr>
        <w:tc>
          <w:tcPr>
            <w:tcW w:w="1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69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1"/>
        </w:trPr>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1,502,357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4,871</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1,507,228</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1,507,228</w:t>
            </w:r>
          </w:p>
        </w:tc>
      </w:tr>
      <w:tr>
        <w:trPr>
          <w:trHeight w:val="20"/>
        </w:trPr>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69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Non-accrual Status</w:t>
      </w:r>
    </w:p>
    <w:p>
      <w:pPr>
        <w:spacing w:after="0" w:line="178"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The following table includes the amortized cost basis of loans on non-accrual status and loans past due over 90 days and still accruing as of September 30, 2023 (in thousands):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3"/>
                <w:szCs w:val="13"/>
                <w:b w:val="1"/>
                <w:bCs w:val="1"/>
                <w:color w:val="auto"/>
              </w:rPr>
              <w:t>September 30, 2023</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w w:val="95"/>
              </w:rPr>
              <w:t>Nonaccrual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center"/>
              <w:ind w:right="36"/>
              <w:spacing w:after="0"/>
              <w:rPr>
                <w:sz w:val="20"/>
                <w:szCs w:val="20"/>
                <w:color w:val="auto"/>
              </w:rPr>
            </w:pPr>
            <w:r>
              <w:rPr>
                <w:rFonts w:ascii="Arial" w:cs="Arial" w:eastAsia="Arial" w:hAnsi="Arial"/>
                <w:sz w:val="13"/>
                <w:szCs w:val="13"/>
                <w:b w:val="1"/>
                <w:bCs w:val="1"/>
                <w:color w:val="auto"/>
                <w:w w:val="97"/>
              </w:rPr>
              <w:t>Loans Past</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6"/>
              </w:rPr>
              <w:t>Loans With No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39" w:lineRule="exact"/>
              <w:rPr>
                <w:sz w:val="20"/>
                <w:szCs w:val="20"/>
                <w:color w:val="auto"/>
              </w:rPr>
            </w:pPr>
            <w:r>
              <w:rPr>
                <w:rFonts w:ascii="Arial" w:cs="Arial" w:eastAsia="Arial" w:hAnsi="Arial"/>
                <w:sz w:val="13"/>
                <w:szCs w:val="13"/>
                <w:b w:val="1"/>
                <w:bCs w:val="1"/>
                <w:color w:val="auto"/>
                <w:w w:val="99"/>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96"/>
              <w:spacing w:after="0"/>
              <w:rPr>
                <w:sz w:val="20"/>
                <w:szCs w:val="20"/>
                <w:color w:val="auto"/>
              </w:rPr>
            </w:pPr>
            <w:r>
              <w:rPr>
                <w:rFonts w:ascii="Arial" w:cs="Arial" w:eastAsia="Arial" w:hAnsi="Arial"/>
                <w:sz w:val="13"/>
                <w:szCs w:val="13"/>
                <w:b w:val="1"/>
                <w:bCs w:val="1"/>
                <w:color w:val="auto"/>
                <w:w w:val="96"/>
              </w:rPr>
              <w:t>Total Non-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6"/>
              <w:spacing w:after="0" w:line="139" w:lineRule="exact"/>
              <w:rPr>
                <w:sz w:val="20"/>
                <w:szCs w:val="20"/>
                <w:color w:val="auto"/>
              </w:rPr>
            </w:pPr>
            <w:r>
              <w:rPr>
                <w:rFonts w:ascii="Arial" w:cs="Arial" w:eastAsia="Arial" w:hAnsi="Arial"/>
                <w:sz w:val="13"/>
                <w:szCs w:val="13"/>
                <w:b w:val="1"/>
                <w:bCs w:val="1"/>
                <w:color w:val="auto"/>
                <w:w w:val="97"/>
              </w:rPr>
              <w:t>Due Over 90</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6"/>
              <w:spacing w:after="0"/>
              <w:rPr>
                <w:sz w:val="20"/>
                <w:szCs w:val="20"/>
                <w:color w:val="auto"/>
              </w:rPr>
            </w:pPr>
            <w:r>
              <w:rPr>
                <w:rFonts w:ascii="Arial" w:cs="Arial" w:eastAsia="Arial" w:hAnsi="Arial"/>
                <w:sz w:val="13"/>
                <w:szCs w:val="13"/>
                <w:b w:val="1"/>
                <w:bCs w:val="1"/>
                <w:color w:val="auto"/>
                <w:w w:val="97"/>
              </w:rPr>
              <w:t>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rPr>
              <w:t>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Days and Still</w:t>
            </w:r>
          </w:p>
        </w:tc>
        <w:tc>
          <w:tcPr>
            <w:tcW w:w="0" w:type="dxa"/>
            <w:vAlign w:val="bottom"/>
          </w:tcPr>
          <w:p>
            <w:pPr>
              <w:spacing w:after="0"/>
              <w:rPr>
                <w:sz w:val="1"/>
                <w:szCs w:val="1"/>
                <w:color w:val="auto"/>
              </w:rPr>
            </w:pPr>
          </w:p>
        </w:tc>
      </w:tr>
      <w:tr>
        <w:trPr>
          <w:trHeight w:val="164"/>
        </w:trPr>
        <w:tc>
          <w:tcPr>
            <w:tcW w:w="100" w:type="dxa"/>
            <w:vAlign w:val="bottom"/>
            <w:tcBorders>
              <w:bottom w:val="single" w:sz="8" w:color="CCEEFF"/>
            </w:tcBorders>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accruals</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9"/>
              </w:rPr>
              <w:t>Accruing</w:t>
            </w:r>
          </w:p>
        </w:tc>
        <w:tc>
          <w:tcPr>
            <w:tcW w:w="0" w:type="dxa"/>
            <w:vAlign w:val="bottom"/>
          </w:tcPr>
          <w:p>
            <w:pPr>
              <w:spacing w:after="0"/>
              <w:rPr>
                <w:sz w:val="1"/>
                <w:szCs w:val="1"/>
                <w:color w:val="auto"/>
              </w:rPr>
            </w:pPr>
          </w:p>
        </w:tc>
      </w:tr>
      <w:tr>
        <w:trPr>
          <w:trHeight w:val="151"/>
        </w:trPr>
        <w:tc>
          <w:tcPr>
            <w:tcW w:w="100" w:type="dxa"/>
            <w:vAlign w:val="bottom"/>
            <w:shd w:val="clear" w:color="auto" w:fill="CCEEFF"/>
          </w:tcPr>
          <w:p>
            <w:pPr>
              <w:spacing w:after="0"/>
              <w:rPr>
                <w:sz w:val="13"/>
                <w:szCs w:val="13"/>
                <w:color w:val="auto"/>
              </w:rPr>
            </w:pPr>
          </w:p>
        </w:tc>
        <w:tc>
          <w:tcPr>
            <w:tcW w:w="36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Residential real estate</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800" w:type="dxa"/>
            <w:vAlign w:val="bottom"/>
            <w:gridSpan w:val="3"/>
          </w:tcPr>
          <w:p>
            <w:pPr>
              <w:ind w:left="100"/>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7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ind w:left="7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74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 did not have loans in nonaccrual status as of December 31, 2022.</w:t>
      </w:r>
    </w:p>
    <w:p>
      <w:pPr>
        <w:spacing w:after="0" w:line="17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Accrued interest receivable is excluded from the estimate of credit losses. There was no interest income recognized attributable to non-accrual loans outstanding during the three months ended September 30, 2023 and 2022. Interest income on these loans for the three months ended September 30, 2023 and 2022, would have been approximately $ 12 thousand and $0 thousand, respectively, had these loans performed in accordance with their original terms. Interest income on these loans for the nine months ended September 30, 2023 and 2022, would have been approximately $ 28 thousand and $0 thousand, respectively, had these loans performed in accordance with their original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Collateral-Dependent Loans</w:t>
      </w:r>
    </w:p>
    <w:p>
      <w:pPr>
        <w:spacing w:after="0" w:line="178"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A loan is collateral dependent when the borrower is experiencing financial difficulty and repayment of the loan is expected to be provided substantially through the sale or operation of the collateral. There were no collateral dependent loans as of September 30, 2023, or as of December 31, 2022.</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Impaired Loans</w:t>
      </w:r>
    </w:p>
    <w:p>
      <w:pPr>
        <w:spacing w:after="0" w:line="178"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The following table includes the unpaid principal balances for impaired loans with the associated allowance amount, if applicable, on the basis of impairment methodology as of December 31, 2022 (in thousands):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49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8"/>
          </w:tcPr>
          <w:p>
            <w:pPr>
              <w:jc w:val="center"/>
              <w:ind w:left="596"/>
              <w:spacing w:after="0"/>
              <w:rPr>
                <w:sz w:val="20"/>
                <w:szCs w:val="20"/>
                <w:color w:val="auto"/>
              </w:rPr>
            </w:pPr>
            <w:r>
              <w:rPr>
                <w:rFonts w:ascii="Arial" w:cs="Arial" w:eastAsia="Arial" w:hAnsi="Arial"/>
                <w:sz w:val="13"/>
                <w:szCs w:val="13"/>
                <w:b w:val="1"/>
                <w:bCs w:val="1"/>
                <w:color w:val="auto"/>
                <w:w w:val="97"/>
              </w:rPr>
              <w:t>December 31, 2022</w:t>
            </w:r>
          </w:p>
        </w:tc>
        <w:tc>
          <w:tcPr>
            <w:tcW w:w="800" w:type="dxa"/>
            <w:vAlign w:val="bottom"/>
            <w:tcBorders>
              <w:bottom w:val="single" w:sz="8" w:color="auto"/>
            </w:tcBorders>
          </w:tcPr>
          <w:p>
            <w:pPr>
              <w:spacing w:after="0"/>
              <w:rPr>
                <w:sz w:val="13"/>
                <w:szCs w:val="13"/>
                <w:color w:val="auto"/>
              </w:rPr>
            </w:pPr>
          </w:p>
        </w:tc>
      </w:tr>
      <w:tr>
        <w:trPr>
          <w:trHeight w:val="243"/>
        </w:trPr>
        <w:tc>
          <w:tcPr>
            <w:tcW w:w="4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6"/>
              <w:spacing w:after="0"/>
              <w:rPr>
                <w:sz w:val="20"/>
                <w:szCs w:val="20"/>
                <w:color w:val="auto"/>
              </w:rPr>
            </w:pPr>
            <w:r>
              <w:rPr>
                <w:rFonts w:ascii="Arial" w:cs="Arial" w:eastAsia="Arial" w:hAnsi="Arial"/>
                <w:sz w:val="13"/>
                <w:szCs w:val="13"/>
                <w:b w:val="1"/>
                <w:bCs w:val="1"/>
                <w:color w:val="auto"/>
                <w:w w:val="99"/>
              </w:rPr>
              <w:t>Unpaid</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center"/>
              <w:ind w:right="36"/>
              <w:spacing w:after="0"/>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49"/>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76"/>
              <w:spacing w:after="0"/>
              <w:rPr>
                <w:sz w:val="20"/>
                <w:szCs w:val="20"/>
                <w:color w:val="auto"/>
              </w:rPr>
            </w:pPr>
            <w:r>
              <w:rPr>
                <w:rFonts w:ascii="Arial" w:cs="Arial" w:eastAsia="Arial" w:hAnsi="Arial"/>
                <w:sz w:val="13"/>
                <w:szCs w:val="13"/>
                <w:b w:val="1"/>
                <w:bCs w:val="1"/>
                <w:color w:val="auto"/>
                <w:w w:val="98"/>
              </w:rPr>
              <w:t>Principal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56"/>
              <w:spacing w:after="0"/>
              <w:rPr>
                <w:sz w:val="20"/>
                <w:szCs w:val="20"/>
                <w:color w:val="auto"/>
              </w:rPr>
            </w:pPr>
            <w:r>
              <w:rPr>
                <w:rFonts w:ascii="Arial" w:cs="Arial" w:eastAsia="Arial" w:hAnsi="Arial"/>
                <w:sz w:val="13"/>
                <w:szCs w:val="13"/>
                <w:b w:val="1"/>
                <w:bCs w:val="1"/>
                <w:color w:val="auto"/>
                <w:w w:val="99"/>
              </w:rPr>
              <w:t>Investment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rPr>
              <w:t>Valuation</w:t>
            </w:r>
          </w:p>
        </w:tc>
      </w:tr>
      <w:tr>
        <w:trPr>
          <w:trHeight w:val="153"/>
        </w:trPr>
        <w:tc>
          <w:tcPr>
            <w:tcW w:w="49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rPr>
              <w:t>Balance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rPr>
              <w:t>Balance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Allowance</w:t>
            </w:r>
          </w:p>
        </w:tc>
      </w:tr>
      <w:tr>
        <w:trPr>
          <w:trHeight w:val="151"/>
        </w:trPr>
        <w:tc>
          <w:tcPr>
            <w:tcW w:w="4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No Specific Allowance:</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4960" w:type="dxa"/>
            <w:vAlign w:val="bottom"/>
          </w:tcPr>
          <w:p>
            <w:pPr>
              <w:ind w:left="100"/>
              <w:spacing w:after="0"/>
              <w:rPr>
                <w:sz w:val="20"/>
                <w:szCs w:val="20"/>
                <w:color w:val="auto"/>
              </w:rPr>
            </w:pPr>
            <w:r>
              <w:rPr>
                <w:rFonts w:ascii="Arial" w:cs="Arial" w:eastAsia="Arial" w:hAnsi="Arial"/>
                <w:sz w:val="13"/>
                <w:szCs w:val="13"/>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3,551</w:t>
            </w:r>
          </w:p>
        </w:tc>
        <w:tc>
          <w:tcPr>
            <w:tcW w:w="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3,544</w:t>
            </w:r>
          </w:p>
        </w:tc>
        <w:tc>
          <w:tcPr>
            <w:tcW w:w="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4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real estate</w:t>
            </w: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3,944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3,937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Specific Allowance:</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4960" w:type="dxa"/>
            <w:vAlign w:val="bottom"/>
          </w:tcPr>
          <w:p>
            <w:pPr>
              <w:ind w:left="100"/>
              <w:spacing w:after="0"/>
              <w:rPr>
                <w:sz w:val="20"/>
                <w:szCs w:val="20"/>
                <w:color w:val="auto"/>
              </w:rPr>
            </w:pPr>
            <w:r>
              <w:rPr>
                <w:rFonts w:ascii="Arial" w:cs="Arial" w:eastAsia="Arial" w:hAnsi="Arial"/>
                <w:sz w:val="13"/>
                <w:szCs w:val="13"/>
                <w:color w:val="auto"/>
              </w:rPr>
              <w:t>Residential real estate</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3,655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3,626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155</w:t>
            </w:r>
          </w:p>
        </w:tc>
      </w:tr>
      <w:tr>
        <w:trPr>
          <w:trHeight w:val="171"/>
        </w:trPr>
        <w:tc>
          <w:tcPr>
            <w:tcW w:w="4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71"/>
        </w:trPr>
        <w:tc>
          <w:tcPr>
            <w:tcW w:w="49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r>
      <w:tr>
        <w:trPr>
          <w:trHeight w:val="151"/>
        </w:trPr>
        <w:tc>
          <w:tcPr>
            <w:tcW w:w="49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r>
      <w:tr>
        <w:trPr>
          <w:trHeight w:val="161"/>
        </w:trPr>
        <w:tc>
          <w:tcPr>
            <w:tcW w:w="4960" w:type="dxa"/>
            <w:vAlign w:val="bottom"/>
          </w:tcPr>
          <w:p>
            <w:pPr>
              <w:ind w:left="100"/>
              <w:spacing w:after="0"/>
              <w:rPr>
                <w:sz w:val="20"/>
                <w:szCs w:val="20"/>
                <w:color w:val="auto"/>
              </w:rPr>
            </w:pPr>
            <w:r>
              <w:rPr>
                <w:rFonts w:ascii="Arial" w:cs="Arial" w:eastAsia="Arial" w:hAnsi="Arial"/>
                <w:sz w:val="13"/>
                <w:szCs w:val="13"/>
                <w:color w:val="auto"/>
              </w:rPr>
              <w:t>Total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7,877</w:t>
            </w:r>
          </w:p>
        </w:tc>
        <w:tc>
          <w:tcPr>
            <w:tcW w:w="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7,841</w:t>
            </w:r>
          </w:p>
        </w:tc>
        <w:tc>
          <w:tcPr>
            <w:tcW w:w="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294</w:t>
            </w:r>
          </w:p>
        </w:tc>
      </w:tr>
      <w:tr>
        <w:trPr>
          <w:trHeight w:val="20"/>
        </w:trPr>
        <w:tc>
          <w:tcPr>
            <w:tcW w:w="4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Net investment balance is the unpaid principal balance of the loan adjusted for the remaining net deferred loan fees.</w:t>
      </w:r>
    </w:p>
    <w:p>
      <w:pPr>
        <w:spacing w:after="0" w:line="170" w:lineRule="exact"/>
        <w:rPr>
          <w:sz w:val="20"/>
          <w:szCs w:val="20"/>
          <w:color w:val="auto"/>
        </w:rPr>
      </w:pPr>
    </w:p>
    <w:p>
      <w:pPr>
        <w:ind w:left="660" w:right="679" w:firstLine="256"/>
        <w:spacing w:after="0" w:line="267" w:lineRule="auto"/>
        <w:rPr>
          <w:sz w:val="20"/>
          <w:szCs w:val="20"/>
          <w:color w:val="auto"/>
        </w:rPr>
      </w:pPr>
      <w:r>
        <w:rPr>
          <w:rFonts w:ascii="Arial" w:cs="Arial" w:eastAsia="Arial" w:hAnsi="Arial"/>
          <w:sz w:val="14"/>
          <w:szCs w:val="14"/>
          <w:color w:val="auto"/>
        </w:rPr>
        <w:t>The following table presents the average recorded investment balance on impaired loans for the periods indicated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7"/>
              </w:rPr>
              <w:t>Three Months Ended September 30, 2022</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99"/>
              </w:rPr>
              <w:t>Nine Months Ended September 30, 2022</w:t>
            </w:r>
          </w:p>
        </w:tc>
      </w:tr>
      <w:tr>
        <w:trPr>
          <w:trHeight w:val="151"/>
        </w:trPr>
        <w:tc>
          <w:tcPr>
            <w:tcW w:w="204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7,282</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7,732</w:t>
            </w:r>
          </w:p>
        </w:tc>
      </w:tr>
      <w:tr>
        <w:trPr>
          <w:trHeight w:val="171"/>
        </w:trPr>
        <w:tc>
          <w:tcPr>
            <w:tcW w:w="204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Arial" w:cs="Arial" w:eastAsia="Arial" w:hAnsi="Arial"/>
                <w:sz w:val="13"/>
                <w:szCs w:val="13"/>
                <w:color w:val="auto"/>
              </w:rPr>
              <w:t>590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Arial" w:cs="Arial" w:eastAsia="Arial" w:hAnsi="Arial"/>
                <w:sz w:val="13"/>
                <w:szCs w:val="13"/>
                <w:color w:val="auto"/>
              </w:rPr>
              <w:t>619</w:t>
            </w:r>
          </w:p>
        </w:tc>
      </w:tr>
      <w:tr>
        <w:trPr>
          <w:trHeight w:val="171"/>
        </w:trPr>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71"/>
        </w:trPr>
        <w:tc>
          <w:tcPr>
            <w:tcW w:w="20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r>
      <w:tr>
        <w:trPr>
          <w:trHeight w:val="161"/>
        </w:trPr>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8,174</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8,681</w:t>
            </w:r>
          </w:p>
        </w:tc>
      </w:tr>
      <w:tr>
        <w:trPr>
          <w:trHeight w:val="20"/>
        </w:trPr>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Interest income recognized on impaired loans for the three months ended September 30, 2022 was $90 thousand and for the nine months ended September 30, 2022 was $ 271 thousand.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Modifications to Borrowers Experiencing Financial  Difficulties</w:t>
      </w:r>
    </w:p>
    <w:p>
      <w:pPr>
        <w:spacing w:after="0" w:line="178"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The following table present newly restructured loans, by type of modification, which occurred during the nine months ended September 30, 2023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640" w:type="dxa"/>
            <w:vAlign w:val="bottom"/>
          </w:tcPr>
          <w:p>
            <w:pPr>
              <w:spacing w:after="0"/>
              <w:rPr>
                <w:sz w:val="14"/>
                <w:szCs w:val="14"/>
                <w:color w:val="auto"/>
              </w:rPr>
            </w:pPr>
          </w:p>
        </w:tc>
        <w:tc>
          <w:tcPr>
            <w:tcW w:w="3000" w:type="dxa"/>
            <w:vAlign w:val="bottom"/>
            <w:tcBorders>
              <w:bottom w:val="single" w:sz="8" w:color="auto"/>
            </w:tcBorders>
            <w:gridSpan w:val="8"/>
          </w:tcPr>
          <w:p>
            <w:pPr>
              <w:jc w:val="right"/>
              <w:ind w:right="136"/>
              <w:spacing w:after="0"/>
              <w:rPr>
                <w:sz w:val="20"/>
                <w:szCs w:val="20"/>
                <w:color w:val="auto"/>
              </w:rPr>
            </w:pPr>
            <w:r>
              <w:rPr>
                <w:rFonts w:ascii="Arial" w:cs="Arial" w:eastAsia="Arial" w:hAnsi="Arial"/>
                <w:sz w:val="13"/>
                <w:szCs w:val="13"/>
                <w:b w:val="1"/>
                <w:bCs w:val="1"/>
                <w:color w:val="auto"/>
              </w:rPr>
              <w:t>Recorded Investment Prior to Modification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Borders>
              <w:bottom w:val="single" w:sz="8" w:color="auto"/>
            </w:tcBorders>
            <w:gridSpan w:val="9"/>
          </w:tcPr>
          <w:p>
            <w:pPr>
              <w:jc w:val="right"/>
              <w:ind w:right="236"/>
              <w:spacing w:after="0"/>
              <w:rPr>
                <w:sz w:val="20"/>
                <w:szCs w:val="20"/>
                <w:color w:val="auto"/>
              </w:rPr>
            </w:pPr>
            <w:r>
              <w:rPr>
                <w:rFonts w:ascii="Arial" w:cs="Arial" w:eastAsia="Arial" w:hAnsi="Arial"/>
                <w:sz w:val="13"/>
                <w:szCs w:val="13"/>
                <w:b w:val="1"/>
                <w:bCs w:val="1"/>
                <w:color w:val="auto"/>
              </w:rPr>
              <w:t>Recorded Investment After Modification</w:t>
            </w:r>
          </w:p>
        </w:tc>
      </w:tr>
      <w:tr>
        <w:trPr>
          <w:trHeight w:val="168"/>
        </w:trPr>
        <w:tc>
          <w:tcPr>
            <w:tcW w:w="16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Combination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76"/>
              <w:spacing w:after="0"/>
              <w:rPr>
                <w:sz w:val="20"/>
                <w:szCs w:val="20"/>
                <w:color w:val="auto"/>
              </w:rPr>
            </w:pPr>
            <w:r>
              <w:rPr>
                <w:rFonts w:ascii="Arial" w:cs="Arial" w:eastAsia="Arial" w:hAnsi="Arial"/>
                <w:sz w:val="13"/>
                <w:szCs w:val="13"/>
                <w:b w:val="1"/>
                <w:bCs w:val="1"/>
                <w:color w:val="auto"/>
              </w:rPr>
              <w:t>Combination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r>
      <w:tr>
        <w:trPr>
          <w:trHeight w:val="164"/>
        </w:trPr>
        <w:tc>
          <w:tcPr>
            <w:tcW w:w="16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Loans</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Modifications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Modifications</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7"/>
              </w:rPr>
              <w:t>Modifications</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7"/>
              </w:rPr>
              <w:t>Modifications</w:t>
            </w:r>
          </w:p>
        </w:tc>
      </w:tr>
      <w:tr>
        <w:trPr>
          <w:trHeight w:val="151"/>
        </w:trPr>
        <w:tc>
          <w:tcPr>
            <w:tcW w:w="16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Residential real estate</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16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60" w:type="dxa"/>
            <w:vAlign w:val="bottom"/>
            <w:gridSpan w:val="2"/>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r>
      <w:tr>
        <w:trPr>
          <w:trHeight w:val="171"/>
        </w:trPr>
        <w:tc>
          <w:tcPr>
            <w:tcW w:w="1640" w:type="dxa"/>
            <w:vAlign w:val="bottom"/>
          </w:tcPr>
          <w:p>
            <w:pPr>
              <w:spacing w:after="0"/>
              <w:rPr>
                <w:sz w:val="20"/>
                <w:szCs w:val="20"/>
                <w:color w:val="auto"/>
              </w:rPr>
            </w:pPr>
            <w:r>
              <w:rPr>
                <w:rFonts w:ascii="Arial" w:cs="Arial" w:eastAsia="Arial" w:hAnsi="Arial"/>
                <w:sz w:val="13"/>
                <w:szCs w:val="13"/>
                <w:color w:val="auto"/>
              </w:rPr>
              <w:t>Consumer and other</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6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w:t>
            </w:r>
          </w:p>
        </w:tc>
      </w:tr>
      <w:tr>
        <w:trPr>
          <w:trHeight w:val="20"/>
        </w:trPr>
        <w:tc>
          <w:tcPr>
            <w:tcW w:w="1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59" w:firstLine="256"/>
        <w:spacing w:after="0" w:line="260" w:lineRule="auto"/>
        <w:rPr>
          <w:sz w:val="20"/>
          <w:szCs w:val="20"/>
          <w:color w:val="auto"/>
        </w:rPr>
      </w:pPr>
      <w:r>
        <w:rPr>
          <w:rFonts w:ascii="Arial" w:cs="Arial" w:eastAsia="Arial" w:hAnsi="Arial"/>
          <w:sz w:val="14"/>
          <w:szCs w:val="14"/>
          <w:color w:val="auto"/>
        </w:rPr>
        <w:t>The Company had no new modifications and one new modifications to borrowers experiencing financial difficulties for the three and nine months ended September 30, 2023, respectively. There were no existing loan modifications that subsequently defaulted during the three and nine months ended September 30, 2023.</w:t>
      </w:r>
    </w:p>
    <w:p>
      <w:pPr>
        <w:spacing w:after="0" w:line="120" w:lineRule="exact"/>
        <w:rPr>
          <w:sz w:val="20"/>
          <w:szCs w:val="20"/>
          <w:color w:val="auto"/>
        </w:rPr>
      </w:pPr>
    </w:p>
    <w:p>
      <w:pPr>
        <w:ind w:left="1040" w:hanging="377"/>
        <w:spacing w:after="0"/>
        <w:tabs>
          <w:tab w:leader="none" w:pos="104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Company’s provision for income taxes is presented in the following table for the dates indicated (in thousands):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176"/>
              <w:spacing w:after="0"/>
              <w:rPr>
                <w:sz w:val="20"/>
                <w:szCs w:val="20"/>
                <w:color w:val="auto"/>
              </w:rPr>
            </w:pPr>
            <w:r>
              <w:rPr>
                <w:rFonts w:ascii="Arial" w:cs="Arial" w:eastAsia="Arial" w:hAnsi="Arial"/>
                <w:sz w:val="13"/>
                <w:szCs w:val="13"/>
                <w:b w:val="1"/>
                <w:bCs w:val="1"/>
                <w:color w:val="auto"/>
              </w:rPr>
              <w:t>Nine Months Ended September 30,</w:t>
            </w:r>
          </w:p>
        </w:tc>
      </w:tr>
      <w:tr>
        <w:trPr>
          <w:trHeight w:val="151"/>
        </w:trPr>
        <w:tc>
          <w:tcPr>
            <w:tcW w:w="1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2023</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416"/>
              <w:spacing w:after="0"/>
              <w:rPr>
                <w:sz w:val="20"/>
                <w:szCs w:val="20"/>
                <w:color w:val="auto"/>
              </w:rPr>
            </w:pPr>
            <w:r>
              <w:rPr>
                <w:rFonts w:ascii="Arial" w:cs="Arial" w:eastAsia="Arial" w:hAnsi="Arial"/>
                <w:sz w:val="13"/>
                <w:szCs w:val="13"/>
                <w:b w:val="1"/>
                <w:bCs w:val="1"/>
                <w:color w:val="auto"/>
              </w:rPr>
              <w:t>2022</w:t>
            </w:r>
          </w:p>
        </w:tc>
      </w:tr>
      <w:tr>
        <w:trPr>
          <w:trHeight w:val="151"/>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Current:</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r>
      <w:tr>
        <w:trPr>
          <w:trHeight w:val="171"/>
        </w:trPr>
        <w:tc>
          <w:tcPr>
            <w:tcW w:w="512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100" w:type="dxa"/>
            <w:vAlign w:val="bottom"/>
            <w:shd w:val="clear" w:color="auto" w:fill="CCEEFF"/>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State</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5120" w:type="dxa"/>
            <w:vAlign w:val="bottom"/>
            <w:gridSpan w:val="2"/>
          </w:tcPr>
          <w:p>
            <w:pPr>
              <w:spacing w:after="0"/>
              <w:rPr>
                <w:sz w:val="20"/>
                <w:szCs w:val="20"/>
                <w:color w:val="auto"/>
              </w:rPr>
            </w:pPr>
            <w:r>
              <w:rPr>
                <w:rFonts w:ascii="Arial" w:cs="Arial" w:eastAsia="Arial" w:hAnsi="Arial"/>
                <w:sz w:val="13"/>
                <w:szCs w:val="13"/>
                <w:color w:val="auto"/>
              </w:rPr>
              <w:t>Total current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1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1"/>
        </w:trPr>
        <w:tc>
          <w:tcPr>
            <w:tcW w:w="512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3,510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4,342</w:t>
            </w:r>
          </w:p>
        </w:tc>
      </w:tr>
      <w:tr>
        <w:trPr>
          <w:trHeight w:val="171"/>
        </w:trPr>
        <w:tc>
          <w:tcPr>
            <w:tcW w:w="100" w:type="dxa"/>
            <w:vAlign w:val="bottom"/>
            <w:shd w:val="clear" w:color="auto" w:fill="CCEEFF"/>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State</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954</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1,187</w:t>
            </w:r>
          </w:p>
        </w:tc>
      </w:tr>
      <w:tr>
        <w:trPr>
          <w:trHeight w:val="151"/>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deferred</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4,464</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5,529</w:t>
            </w:r>
          </w:p>
        </w:tc>
      </w:tr>
      <w:tr>
        <w:trPr>
          <w:trHeight w:val="161"/>
        </w:trPr>
        <w:tc>
          <w:tcPr>
            <w:tcW w:w="100" w:type="dxa"/>
            <w:vAlign w:val="bottom"/>
            <w:shd w:val="clear" w:color="auto" w:fill="CCEEFF"/>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Total tax expense</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4,464</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5,529</w:t>
            </w:r>
          </w:p>
        </w:tc>
      </w:tr>
      <w:tr>
        <w:trPr>
          <w:trHeight w:val="20"/>
        </w:trPr>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actual income tax expense for the nine months ended September 30, 2023 and 2022 differs from the statutory tax expense for the period (computed by applying the U.S. federal corporate tax rate of 21% for 2023 and 2022 to income before provision for income taxes) as follows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176"/>
              <w:spacing w:after="0"/>
              <w:rPr>
                <w:sz w:val="20"/>
                <w:szCs w:val="20"/>
                <w:color w:val="auto"/>
              </w:rPr>
            </w:pPr>
            <w:r>
              <w:rPr>
                <w:rFonts w:ascii="Arial" w:cs="Arial" w:eastAsia="Arial" w:hAnsi="Arial"/>
                <w:sz w:val="13"/>
                <w:szCs w:val="13"/>
                <w:b w:val="1"/>
                <w:bCs w:val="1"/>
                <w:color w:val="auto"/>
              </w:rPr>
              <w:t>Nine Months Ended September 30,</w:t>
            </w:r>
          </w:p>
        </w:tc>
      </w:tr>
      <w:tr>
        <w:trPr>
          <w:trHeight w:val="161"/>
        </w:trPr>
        <w:tc>
          <w:tcPr>
            <w:tcW w:w="1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2023</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16"/>
              <w:spacing w:after="0"/>
              <w:rPr>
                <w:sz w:val="20"/>
                <w:szCs w:val="20"/>
                <w:color w:val="auto"/>
              </w:rPr>
            </w:pPr>
            <w:r>
              <w:rPr>
                <w:rFonts w:ascii="Arial" w:cs="Arial" w:eastAsia="Arial" w:hAnsi="Arial"/>
                <w:sz w:val="13"/>
                <w:szCs w:val="13"/>
                <w:b w:val="1"/>
                <w:bCs w:val="1"/>
                <w:color w:val="auto"/>
              </w:rPr>
              <w:t>2022</w:t>
            </w:r>
          </w:p>
        </w:tc>
      </w:tr>
      <w:tr>
        <w:trPr>
          <w:trHeight w:val="151"/>
        </w:trPr>
        <w:tc>
          <w:tcPr>
            <w:tcW w:w="5120" w:type="dxa"/>
            <w:vAlign w:val="bottom"/>
            <w:tcBorders>
              <w:top w:val="single" w:sz="8" w:color="CCEEFF"/>
            </w:tcBorders>
            <w:gridSpan w:val="2"/>
            <w:shd w:val="clear" w:color="auto" w:fill="CCEEFF"/>
          </w:tcPr>
          <w:p>
            <w:pPr>
              <w:spacing w:after="0" w:line="146" w:lineRule="exact"/>
              <w:rPr>
                <w:sz w:val="20"/>
                <w:szCs w:val="20"/>
                <w:color w:val="auto"/>
              </w:rPr>
            </w:pPr>
            <w:r>
              <w:rPr>
                <w:rFonts w:ascii="Arial" w:cs="Arial" w:eastAsia="Arial" w:hAnsi="Arial"/>
                <w:sz w:val="13"/>
                <w:szCs w:val="13"/>
                <w:color w:val="auto"/>
              </w:rPr>
              <w:t>Federal taxes at statutory rate</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3,840</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4,460</w:t>
            </w:r>
          </w:p>
        </w:tc>
      </w:tr>
      <w:tr>
        <w:trPr>
          <w:trHeight w:val="171"/>
        </w:trPr>
        <w:tc>
          <w:tcPr>
            <w:tcW w:w="5120" w:type="dxa"/>
            <w:vAlign w:val="bottom"/>
            <w:gridSpan w:val="2"/>
          </w:tcPr>
          <w:p>
            <w:pPr>
              <w:spacing w:after="0"/>
              <w:rPr>
                <w:sz w:val="20"/>
                <w:szCs w:val="20"/>
                <w:color w:val="auto"/>
              </w:rPr>
            </w:pPr>
            <w:r>
              <w:rPr>
                <w:rFonts w:ascii="Arial" w:cs="Arial" w:eastAsia="Arial" w:hAnsi="Arial"/>
                <w:sz w:val="13"/>
                <w:szCs w:val="13"/>
                <w:color w:val="auto"/>
              </w:rPr>
              <w:t>State income taxes, net of federal tax benefit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795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923</w:t>
            </w:r>
          </w:p>
        </w:tc>
      </w:tr>
      <w:tr>
        <w:trPr>
          <w:trHeight w:val="171"/>
        </w:trPr>
        <w:tc>
          <w:tcPr>
            <w:tcW w:w="5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owned life insurance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r>
      <w:tr>
        <w:trPr>
          <w:trHeight w:val="171"/>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net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w:t>
            </w:r>
          </w:p>
        </w:tc>
      </w:tr>
      <w:tr>
        <w:trPr>
          <w:trHeight w:val="161"/>
        </w:trPr>
        <w:tc>
          <w:tcPr>
            <w:tcW w:w="100" w:type="dxa"/>
            <w:vAlign w:val="bottom"/>
            <w:tcBorders>
              <w:bottom w:val="single" w:sz="8" w:color="CCEEFF"/>
            </w:tcBorders>
            <w:shd w:val="clear" w:color="auto" w:fill="CCEEFF"/>
          </w:tcPr>
          <w:p>
            <w:pPr>
              <w:spacing w:after="0"/>
              <w:rPr>
                <w:sz w:val="14"/>
                <w:szCs w:val="14"/>
                <w:color w:val="auto"/>
              </w:rPr>
            </w:pPr>
          </w:p>
        </w:tc>
        <w:tc>
          <w:tcPr>
            <w:tcW w:w="502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 tax expense</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4,464</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114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5,529</w:t>
            </w:r>
          </w:p>
        </w:tc>
      </w:tr>
      <w:tr>
        <w:trPr>
          <w:trHeight w:val="20"/>
        </w:trPr>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deferred tax assets and deferred tax liabilities as of the dates indicated were (in thousands):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September 30, 2023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3"/>
                <w:szCs w:val="13"/>
                <w:color w:val="auto"/>
              </w:rPr>
              <w:t>Net operating loss</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17,588</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21,720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Allowance for credit losses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3"/>
                <w:szCs w:val="13"/>
                <w:color w:val="auto"/>
              </w:rPr>
              <w:t>Lease liability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3,084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3,648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Unrealized losses on available for sale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17,723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3"/>
                <w:szCs w:val="13"/>
                <w:color w:val="auto"/>
              </w:rPr>
              <w:t>Depreciable property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Equity compensation</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3"/>
                <w:szCs w:val="13"/>
                <w:color w:val="auto"/>
              </w:rPr>
              <w:t>Accruals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CECL Adoption</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5040" w:type="dxa"/>
            <w:vAlign w:val="bottom"/>
            <w:gridSpan w:val="2"/>
          </w:tcPr>
          <w:p>
            <w:pPr>
              <w:spacing w:after="0" w:line="146" w:lineRule="exact"/>
              <w:rPr>
                <w:sz w:val="20"/>
                <w:szCs w:val="20"/>
                <w:color w:val="auto"/>
              </w:rPr>
            </w:pPr>
            <w:r>
              <w:rPr>
                <w:rFonts w:ascii="Arial" w:cs="Arial" w:eastAsia="Arial" w:hAnsi="Arial"/>
                <w:sz w:val="13"/>
                <w:szCs w:val="13"/>
                <w:color w:val="auto"/>
              </w:rPr>
              <w:t>Deferred tax assets: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44,558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46,247</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3"/>
                <w:szCs w:val="13"/>
                <w:b w:val="1"/>
                <w:bCs w:val="1"/>
                <w:color w:val="auto"/>
              </w:rPr>
              <w:t>Deferred tax liability: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Deferred loan cost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3"/>
                <w:szCs w:val="13"/>
                <w:color w:val="auto"/>
              </w:rPr>
              <w:t>Lease right of use asset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(3,084)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(3,648)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Deferred expenses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3"/>
                <w:szCs w:val="13"/>
                <w:color w:val="auto"/>
              </w:rPr>
              <w:t>Cash flow hedge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(332)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net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1"/>
        </w:trPr>
        <w:tc>
          <w:tcPr>
            <w:tcW w:w="5040" w:type="dxa"/>
            <w:vAlign w:val="bottom"/>
            <w:gridSpan w:val="2"/>
          </w:tcPr>
          <w:p>
            <w:pPr>
              <w:spacing w:after="0" w:line="146" w:lineRule="exact"/>
              <w:rPr>
                <w:sz w:val="20"/>
                <w:szCs w:val="20"/>
                <w:color w:val="auto"/>
              </w:rPr>
            </w:pPr>
            <w:r>
              <w:rPr>
                <w:rFonts w:ascii="Arial" w:cs="Arial" w:eastAsia="Arial" w:hAnsi="Arial"/>
                <w:sz w:val="13"/>
                <w:szCs w:val="13"/>
                <w:color w:val="auto"/>
              </w:rPr>
              <w:t>Deferred tax liability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(4,128)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(3,887)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40" w:type="dxa"/>
            <w:vAlign w:val="bottom"/>
            <w:gridSpan w:val="2"/>
          </w:tcPr>
          <w:p>
            <w:pPr>
              <w:spacing w:after="0"/>
              <w:rPr>
                <w:sz w:val="20"/>
                <w:szCs w:val="20"/>
                <w:color w:val="auto"/>
              </w:rPr>
            </w:pPr>
            <w:r>
              <w:rPr>
                <w:rFonts w:ascii="Arial" w:cs="Arial" w:eastAsia="Arial" w:hAnsi="Arial"/>
                <w:sz w:val="13"/>
                <w:szCs w:val="13"/>
                <w:color w:val="auto"/>
              </w:rPr>
              <w:t>Net deferred tax assets</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40,430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42,360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Company has approximately $65.5 million of federal and $88.2 million of state net operating loss carryforwards expiring in various amounts between 2031 and 2036 and which are limited to offset, to the extent permitted, future taxable earnings of the Company.</w:t>
      </w:r>
    </w:p>
    <w:p>
      <w:pPr>
        <w:spacing w:after="0" w:line="12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33"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major tax jurisdictions where the Company files income tax returns are the U.S. federal jurisdiction and the State of Florida. With few exceptions, the Company is no longer subject to U.S. federal and state income tax examinations by tax authorities for years before 2019.</w:t>
      </w:r>
    </w:p>
    <w:p>
      <w:pPr>
        <w:spacing w:after="0" w:line="13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For the three and nine months ended September 30, 2023 and 2022, the Company did not have any unrecognized tax benefits as a result of tax positions taken during a prior period or during the current period. Additionally, no interest or penalties were recorded as a result of tax uncertainties.</w:t>
      </w:r>
    </w:p>
    <w:p>
      <w:pPr>
        <w:spacing w:after="0" w:line="136" w:lineRule="exact"/>
        <w:rPr>
          <w:sz w:val="20"/>
          <w:szCs w:val="20"/>
          <w:color w:val="auto"/>
        </w:rPr>
      </w:pPr>
    </w:p>
    <w:p>
      <w:pPr>
        <w:ind w:left="1040" w:hanging="377"/>
        <w:spacing w:after="0"/>
        <w:tabs>
          <w:tab w:leader="none" w:pos="104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1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 sheet instruments.</w:t>
      </w:r>
    </w:p>
    <w:p>
      <w:pPr>
        <w:spacing w:after="0" w:line="135" w:lineRule="exact"/>
        <w:rPr>
          <w:sz w:val="20"/>
          <w:szCs w:val="20"/>
          <w:color w:val="auto"/>
        </w:rPr>
      </w:pPr>
    </w:p>
    <w:p>
      <w:pPr>
        <w:jc w:val="both"/>
        <w:ind w:left="660" w:right="699" w:firstLine="256"/>
        <w:spacing w:after="0" w:line="283"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September 30, 2023 and December 31, 2022 (in thousands):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Borders>
              <w:bottom w:val="single" w:sz="8" w:color="CCEEFF"/>
            </w:tcBorders>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8"/>
              </w:rPr>
              <w:t>September 30, 2023</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December 31, 2022</w:t>
            </w:r>
          </w:p>
        </w:tc>
      </w:tr>
      <w:tr>
        <w:trPr>
          <w:trHeight w:val="151"/>
        </w:trPr>
        <w:tc>
          <w:tcPr>
            <w:tcW w:w="48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100,661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95,461</w:t>
            </w:r>
          </w:p>
        </w:tc>
      </w:tr>
      <w:tr>
        <w:trPr>
          <w:trHeight w:val="171"/>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6,490</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4,320</w:t>
            </w:r>
          </w:p>
        </w:tc>
      </w:tr>
      <w:tr>
        <w:trPr>
          <w:trHeight w:val="161"/>
        </w:trPr>
        <w:tc>
          <w:tcPr>
            <w:tcW w:w="10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107,151</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99,781</w:t>
            </w: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660" w:right="719" w:firstLine="256"/>
        <w:spacing w:after="0" w:line="267"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33"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committed.</w:t>
      </w:r>
    </w:p>
    <w:p>
      <w:pPr>
        <w:spacing w:after="0" w:line="12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since many of them expire without being drawn upon, they do not generally present a significant liquidity risk to the Company.</w:t>
      </w:r>
    </w:p>
    <w:p>
      <w:pPr>
        <w:spacing w:after="0" w:line="135" w:lineRule="exact"/>
        <w:rPr>
          <w:sz w:val="20"/>
          <w:szCs w:val="20"/>
          <w:color w:val="auto"/>
        </w:rPr>
      </w:pPr>
    </w:p>
    <w:p>
      <w:pPr>
        <w:ind w:left="1040" w:hanging="377"/>
        <w:spacing w:after="0"/>
        <w:tabs>
          <w:tab w:leader="none" w:pos="10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1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utilizes interest rate swap agreements as part of its asset-liability management strategy to help manage its interest rate risk exposure. The notional amount of the interest rate swaps does not represent actual amounts exchanged by the parties. The amounts exchanged are determined by reference to the notional amount and the other terms of the individual interest rate swap agreements.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a Cash Flow Hedge</w:t>
      </w:r>
    </w:p>
    <w:p>
      <w:pPr>
        <w:spacing w:after="0" w:line="26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338"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As of September 30, 2023, the Company had two interest rate swap agreements with a notional aggregate amount of $50 million that were designated as cash flow hedges of certificates of deposit. The interest rate swap agreements have an average maturity of 2.63 years, the weighted average fixed rate paid is 3.59%, with the weighted average 3-month compound SOFR being received. The Company had no cash flow hedges outstanding on December 31, 2022.</w:t>
      </w:r>
    </w:p>
    <w:p>
      <w:pPr>
        <w:spacing w:after="0" w:line="143"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other comprehensive income (loss) and subsequently reclassified to earnings when gains or losses are realized.</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Fair Value Hedge</w:t>
      </w:r>
    </w:p>
    <w:p>
      <w:pPr>
        <w:spacing w:after="0" w:line="170"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As of September 30, 2023, the Company had four interest rate swap agreements with a notional aggregate amount of $200 million that were designated as fair value hedges on loans. The interest rate swap agreements have an average maturity of 2.48 years, the weighted average fixed rate paid is 4.74%, with the weighted average 3-month compound SOFR being received.</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w:t>
      </w:r>
    </w:p>
    <w:p>
      <w:pPr>
        <w:spacing w:after="0" w:line="159"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The Company enters into interest rate swaps with its loan customers. The Company had 20 and 15 interest rate swaps with loan customers with an aggregate notional amount of $46.7 million and $33.9 million at September 30, 2023 and December 31, 2022, respectively. These interest rate swaps mature between 2025 and 2051. The Company entered into corresponding and offsetting derivatives with third parties. The fair value of liability on these derivatives requires the Company to provide the counterparty with funds to be held as collateral which the Company reports as other assets under the Consolidated Balance Sheets. While these derivatives represent economic hedges, they do not qualify as hedges for accounting purposes.</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Company’s interest rate swaps at the dates indicated (in thousands):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76"/>
              <w:spacing w:after="0"/>
              <w:rPr>
                <w:sz w:val="20"/>
                <w:szCs w:val="20"/>
                <w:color w:val="auto"/>
              </w:rPr>
            </w:pPr>
            <w:r>
              <w:rPr>
                <w:rFonts w:ascii="Arial" w:cs="Arial" w:eastAsia="Arial" w:hAnsi="Arial"/>
                <w:sz w:val="13"/>
                <w:szCs w:val="13"/>
                <w:b w:val="1"/>
                <w:bCs w:val="1"/>
                <w:color w:val="auto"/>
                <w:w w:val="99"/>
              </w:rPr>
              <w:t>Notional</w:t>
            </w:r>
          </w:p>
        </w:tc>
        <w:tc>
          <w:tcPr>
            <w:tcW w:w="40" w:type="dxa"/>
            <w:vAlign w:val="bottom"/>
          </w:tcPr>
          <w:p>
            <w:pPr>
              <w:spacing w:after="0"/>
              <w:rPr>
                <w:sz w:val="13"/>
                <w:szCs w:val="13"/>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Collateral</w:t>
            </w:r>
          </w:p>
        </w:tc>
        <w:tc>
          <w:tcPr>
            <w:tcW w:w="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7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3"/>
                <w:szCs w:val="13"/>
                <w:b w:val="1"/>
                <w:bCs w:val="1"/>
                <w:color w:val="auto"/>
              </w:rPr>
              <w:t>Balance Sheet Location</w:t>
            </w:r>
          </w:p>
        </w:tc>
        <w:tc>
          <w:tcPr>
            <w:tcW w:w="1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3"/>
                <w:szCs w:val="13"/>
                <w:b w:val="1"/>
                <w:bCs w:val="1"/>
                <w:color w:val="auto"/>
              </w:rPr>
              <w:t>Asset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Liability</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September 30, 2023:</w:t>
            </w: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80" w:type="dxa"/>
            <w:vAlign w:val="bottom"/>
          </w:tcPr>
          <w:p>
            <w:pPr>
              <w:ind w:left="80"/>
              <w:spacing w:after="0"/>
              <w:rPr>
                <w:sz w:val="20"/>
                <w:szCs w:val="20"/>
                <w:color w:val="auto"/>
              </w:rPr>
            </w:pPr>
            <w:r>
              <w:rPr>
                <w:rFonts w:ascii="Arial" w:cs="Arial" w:eastAsia="Arial" w:hAnsi="Arial"/>
                <w:sz w:val="13"/>
                <w:szCs w:val="13"/>
                <w:color w:val="auto"/>
              </w:rPr>
              <w:t>Derivatives designated as hedging instruments: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Interest rate swaps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w w:val="98"/>
              </w:rPr>
              <w:t>1,450</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Derivatives not designated as hedging instruments:</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ind w:left="180"/>
              <w:spacing w:after="0"/>
              <w:rPr>
                <w:sz w:val="20"/>
                <w:szCs w:val="20"/>
                <w:color w:val="auto"/>
              </w:rPr>
            </w:pPr>
            <w:r>
              <w:rPr>
                <w:rFonts w:ascii="Arial" w:cs="Arial" w:eastAsia="Arial" w:hAnsi="Arial"/>
                <w:sz w:val="13"/>
                <w:szCs w:val="13"/>
                <w:color w:val="auto"/>
              </w:rPr>
              <w:t>Interest rate swaps related to customer loans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46,717</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1,297</w:t>
            </w:r>
          </w:p>
        </w:tc>
        <w:tc>
          <w:tcPr>
            <w:tcW w:w="60" w:type="dxa"/>
            <w:vAlign w:val="bottom"/>
          </w:tcPr>
          <w:p>
            <w:pPr>
              <w:spacing w:after="0"/>
              <w:rPr>
                <w:sz w:val="14"/>
                <w:szCs w:val="14"/>
                <w:color w:val="auto"/>
              </w:rPr>
            </w:pPr>
          </w:p>
        </w:tc>
        <w:tc>
          <w:tcPr>
            <w:tcW w:w="1660" w:type="dxa"/>
            <w:vAlign w:val="bottom"/>
            <w:gridSpan w:val="2"/>
          </w:tcPr>
          <w:p>
            <w:pPr>
              <w:spacing w:after="0"/>
              <w:rPr>
                <w:sz w:val="20"/>
                <w:szCs w:val="20"/>
                <w:color w:val="auto"/>
              </w:rPr>
            </w:pPr>
            <w:r>
              <w:rPr>
                <w:rFonts w:ascii="Arial" w:cs="Arial" w:eastAsia="Arial" w:hAnsi="Arial"/>
                <w:sz w:val="13"/>
                <w:szCs w:val="13"/>
                <w:color w:val="auto"/>
              </w:rPr>
              <w:t>Other assets/Other liabilities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ind w:left="180"/>
              <w:spacing w:after="0"/>
              <w:rPr>
                <w:sz w:val="20"/>
                <w:szCs w:val="20"/>
                <w:color w:val="auto"/>
              </w:rPr>
            </w:pPr>
            <w:r>
              <w:rPr>
                <w:rFonts w:ascii="Arial" w:cs="Arial" w:eastAsia="Arial" w:hAnsi="Arial"/>
                <w:sz w:val="13"/>
                <w:szCs w:val="13"/>
                <w:color w:val="auto"/>
                <w:w w:val="98"/>
              </w:rPr>
              <w:t>5,623</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5,623</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Derivatives not designated as hedging instruments:</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80" w:type="dxa"/>
            <w:vAlign w:val="bottom"/>
          </w:tcPr>
          <w:p>
            <w:pPr>
              <w:ind w:left="180"/>
              <w:spacing w:after="0"/>
              <w:rPr>
                <w:sz w:val="20"/>
                <w:szCs w:val="20"/>
                <w:color w:val="auto"/>
              </w:rPr>
            </w:pPr>
            <w:r>
              <w:rPr>
                <w:rFonts w:ascii="Arial" w:cs="Arial" w:eastAsia="Arial" w:hAnsi="Arial"/>
                <w:sz w:val="13"/>
                <w:szCs w:val="13"/>
                <w:color w:val="auto"/>
              </w:rPr>
              <w:t>Interest rate swaps related to customer loans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33,893</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1,278</w:t>
            </w:r>
          </w:p>
        </w:tc>
        <w:tc>
          <w:tcPr>
            <w:tcW w:w="6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3"/>
                <w:szCs w:val="13"/>
                <w:color w:val="auto"/>
              </w:rPr>
              <w:t>Other assets/Other liabilities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ind w:left="180"/>
              <w:spacing w:after="0"/>
              <w:rPr>
                <w:sz w:val="20"/>
                <w:szCs w:val="20"/>
                <w:color w:val="auto"/>
              </w:rPr>
            </w:pPr>
            <w:r>
              <w:rPr>
                <w:rFonts w:ascii="Arial" w:cs="Arial" w:eastAsia="Arial" w:hAnsi="Arial"/>
                <w:sz w:val="13"/>
                <w:szCs w:val="13"/>
                <w:color w:val="auto"/>
                <w:w w:val="98"/>
              </w:rPr>
              <w:t>5,011</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5,011</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040" w:hanging="377"/>
        <w:spacing w:after="0"/>
        <w:tabs>
          <w:tab w:leader="none" w:pos="104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Determination of Fair Value</w:t>
      </w:r>
    </w:p>
    <w:p>
      <w:pPr>
        <w:spacing w:after="0" w:line="17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47" w:lineRule="exact"/>
        <w:rPr>
          <w:sz w:val="20"/>
          <w:szCs w:val="20"/>
          <w:color w:val="auto"/>
        </w:rPr>
      </w:pPr>
    </w:p>
    <w:p>
      <w:pPr>
        <w:jc w:val="both"/>
        <w:ind w:left="660" w:right="699" w:firstLine="256"/>
        <w:spacing w:after="0" w:line="306" w:lineRule="auto"/>
        <w:rPr>
          <w:sz w:val="20"/>
          <w:szCs w:val="20"/>
          <w:color w:val="auto"/>
        </w:rPr>
      </w:pPr>
      <w:r>
        <w:rPr>
          <w:rFonts w:ascii="Arial" w:cs="Arial" w:eastAsia="Arial" w:hAnsi="Arial"/>
          <w:sz w:val="13"/>
          <w:szCs w:val="13"/>
          <w:color w:val="auto"/>
        </w:rPr>
        <w:t>The fair value guidance provides a consistent definition of fair value, which focuses on exit price in an orderly transaction (that is, not a forced liquidation or distressed sale) between market participants at the measurement date under current</w:t>
      </w:r>
    </w:p>
    <w:p>
      <w:pPr>
        <w:spacing w:after="0" w:line="25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spacing w:after="0" w:line="249" w:lineRule="auto"/>
        <w:rPr>
          <w:sz w:val="20"/>
          <w:szCs w:val="20"/>
          <w:color w:val="auto"/>
        </w:rPr>
      </w:pPr>
      <w:r>
        <w:rPr>
          <w:rFonts w:ascii="Arial" w:cs="Arial" w:eastAsia="Arial" w:hAnsi="Arial"/>
          <w:sz w:val="14"/>
          <w:szCs w:val="14"/>
          <w:color w:val="auto"/>
        </w:rPr>
        <w:t>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Hierarchy</w:t>
      </w:r>
    </w:p>
    <w:p>
      <w:pPr>
        <w:spacing w:after="0" w:line="178"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36" w:lineRule="exact"/>
        <w:rPr>
          <w:sz w:val="20"/>
          <w:szCs w:val="20"/>
          <w:color w:val="auto"/>
        </w:rPr>
      </w:pPr>
    </w:p>
    <w:p>
      <w:pPr>
        <w:jc w:val="both"/>
        <w:ind w:left="1180" w:right="679"/>
        <w:spacing w:after="0" w:line="257"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132" w:lineRule="exact"/>
        <w:rPr>
          <w:sz w:val="20"/>
          <w:szCs w:val="20"/>
          <w:color w:val="auto"/>
        </w:rPr>
      </w:pPr>
    </w:p>
    <w:p>
      <w:pPr>
        <w:jc w:val="both"/>
        <w:ind w:left="1180" w:right="679"/>
        <w:spacing w:after="0" w:line="257"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21" w:lineRule="exact"/>
        <w:rPr>
          <w:sz w:val="20"/>
          <w:szCs w:val="20"/>
          <w:color w:val="auto"/>
        </w:rPr>
      </w:pPr>
    </w:p>
    <w:p>
      <w:pPr>
        <w:jc w:val="both"/>
        <w:ind w:left="1180" w:right="699"/>
        <w:spacing w:after="0" w:line="257"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40"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b w:val="1"/>
          <w:bCs w:val="1"/>
          <w:color w:val="auto"/>
        </w:rPr>
        <w:t xml:space="preserve">AFS investment securities: </w:t>
      </w:r>
      <w:r>
        <w:rPr>
          <w:rFonts w:ascii="Arial" w:cs="Arial" w:eastAsia="Arial" w:hAnsi="Arial"/>
          <w:sz w:val="14"/>
          <w:szCs w:val="14"/>
          <w:color w:val="auto"/>
        </w:rPr>
        <w:t>When instruments are traded in secondary markets and quoted market prices do not exist</w:t>
      </w:r>
      <w:r>
        <w:rPr>
          <w:rFonts w:ascii="Arial" w:cs="Arial" w:eastAsia="Arial" w:hAnsi="Arial"/>
          <w:sz w:val="14"/>
          <w:szCs w:val="14"/>
          <w:b w:val="1"/>
          <w:bCs w:val="1"/>
          <w:color w:val="auto"/>
        </w:rPr>
        <w:t xml:space="preserve"> </w:t>
      </w:r>
      <w:r>
        <w:rPr>
          <w:rFonts w:ascii="Arial" w:cs="Arial" w:eastAsia="Arial" w:hAnsi="Arial"/>
          <w:sz w:val="14"/>
          <w:szCs w:val="14"/>
          <w:color w:val="auto"/>
        </w:rPr>
        <w:t>for 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39" w:lineRule="exact"/>
        <w:rPr>
          <w:sz w:val="20"/>
          <w:szCs w:val="20"/>
          <w:color w:val="auto"/>
        </w:rPr>
      </w:pPr>
    </w:p>
    <w:p>
      <w:pPr>
        <w:jc w:val="both"/>
        <w:ind w:left="660" w:right="699" w:firstLine="256"/>
        <w:spacing w:after="0" w:line="279"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represents the Company's assets and liabilities measured at fair value on a recurring basis at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September 30, 2023 and December 31, 2022 for each of the fair value hierarchy levels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w w:val="98"/>
              </w:rPr>
              <w:t>September 30, 2023</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3"/>
                <w:szCs w:val="13"/>
                <w:b w:val="1"/>
                <w:bCs w:val="1"/>
                <w:color w:val="auto"/>
              </w:rPr>
              <w:t>December 31, 2022</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540" w:type="dxa"/>
            <w:vAlign w:val="bottom"/>
          </w:tcPr>
          <w:p>
            <w:pPr>
              <w:spacing w:after="0"/>
              <w:rPr>
                <w:sz w:val="13"/>
                <w:szCs w:val="13"/>
                <w:color w:val="auto"/>
              </w:rPr>
            </w:pPr>
          </w:p>
        </w:tc>
        <w:tc>
          <w:tcPr>
            <w:tcW w:w="640" w:type="dxa"/>
            <w:vAlign w:val="bottom"/>
            <w:gridSpan w:val="4"/>
          </w:tcPr>
          <w:p>
            <w:pPr>
              <w:jc w:val="right"/>
              <w:ind w:right="112"/>
              <w:spacing w:after="0"/>
              <w:rPr>
                <w:sz w:val="20"/>
                <w:szCs w:val="20"/>
                <w:color w:val="auto"/>
              </w:rPr>
            </w:pPr>
            <w:r>
              <w:rPr>
                <w:rFonts w:ascii="Arial" w:cs="Arial" w:eastAsia="Arial" w:hAnsi="Arial"/>
                <w:sz w:val="13"/>
                <w:szCs w:val="13"/>
                <w:b w:val="1"/>
                <w:bCs w:val="1"/>
                <w:color w:val="auto"/>
              </w:rPr>
              <w:t>Level 1</w:t>
            </w:r>
          </w:p>
        </w:tc>
        <w:tc>
          <w:tcPr>
            <w:tcW w:w="640" w:type="dxa"/>
            <w:vAlign w:val="bottom"/>
          </w:tcPr>
          <w:p>
            <w:pPr>
              <w:ind w:left="60"/>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Level 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Investment securities available for sale:</w:t>
            </w: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U.S. Government Agency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3"/>
          </w:tcPr>
          <w:p>
            <w:pPr>
              <w:ind w:left="36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8,025</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tcPr>
          <w:p>
            <w:pPr>
              <w:ind w:left="36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8,025</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8,655</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8,655</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78,571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78,571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95,541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95,541</w:t>
            </w:r>
          </w:p>
        </w:tc>
        <w:tc>
          <w:tcPr>
            <w:tcW w:w="0" w:type="dxa"/>
            <w:vAlign w:val="bottom"/>
          </w:tcPr>
          <w:p>
            <w:pPr>
              <w:spacing w:after="0"/>
              <w:rPr>
                <w:sz w:val="1"/>
                <w:szCs w:val="1"/>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51,157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51,157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60,879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60,879</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40,564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40,564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27,954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27,954</w:t>
            </w:r>
          </w:p>
        </w:tc>
        <w:tc>
          <w:tcPr>
            <w:tcW w:w="0" w:type="dxa"/>
            <w:vAlign w:val="bottom"/>
          </w:tcPr>
          <w:p>
            <w:pPr>
              <w:spacing w:after="0"/>
              <w:rPr>
                <w:sz w:val="1"/>
                <w:szCs w:val="1"/>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Municipal securities</w:t>
            </w:r>
          </w:p>
        </w:tc>
        <w:tc>
          <w:tcPr>
            <w:tcW w:w="10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18,116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18,116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18,483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18,483</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22,176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22,176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14,919</w:t>
            </w: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Corporate bonds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3,709</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3,709</w:t>
            </w:r>
          </w:p>
        </w:tc>
        <w:tc>
          <w:tcPr>
            <w:tcW w:w="0" w:type="dxa"/>
            <w:vAlign w:val="bottom"/>
          </w:tcPr>
          <w:p>
            <w:pPr>
              <w:spacing w:after="0"/>
              <w:rPr>
                <w:sz w:val="1"/>
                <w:szCs w:val="1"/>
                <w:color w:val="auto"/>
              </w:rPr>
            </w:pPr>
          </w:p>
        </w:tc>
      </w:tr>
      <w:tr>
        <w:trPr>
          <w:trHeight w:val="151"/>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218,609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218,609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230,140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230,140</w:t>
            </w: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Derivative assets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7,073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7,073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5,011</w:t>
            </w:r>
          </w:p>
        </w:tc>
        <w:tc>
          <w:tcPr>
            <w:tcW w:w="0" w:type="dxa"/>
            <w:vAlign w:val="bottom"/>
          </w:tcPr>
          <w:p>
            <w:pPr>
              <w:spacing w:after="0"/>
              <w:rPr>
                <w:sz w:val="1"/>
                <w:szCs w:val="1"/>
                <w:color w:val="auto"/>
              </w:rPr>
            </w:pPr>
          </w:p>
        </w:tc>
      </w:tr>
      <w:tr>
        <w:trPr>
          <w:trHeight w:val="161"/>
        </w:trPr>
        <w:tc>
          <w:tcPr>
            <w:tcW w:w="2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225,682</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225,682</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235,151</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235,151</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3"/>
                <w:szCs w:val="13"/>
                <w:color w:val="auto"/>
              </w:rPr>
              <w:t>Derivative liabilities</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540" w:type="dxa"/>
            <w:vAlign w:val="bottom"/>
            <w:vMerge w:val="continue"/>
          </w:tcPr>
          <w:p>
            <w:pPr>
              <w:spacing w:after="0"/>
              <w:rPr>
                <w:sz w:val="10"/>
                <w:szCs w:val="10"/>
                <w:color w:val="auto"/>
              </w:rPr>
            </w:pPr>
          </w:p>
        </w:tc>
        <w:tc>
          <w:tcPr>
            <w:tcW w:w="100" w:type="dxa"/>
            <w:vAlign w:val="bottom"/>
          </w:tcPr>
          <w:p>
            <w:pPr>
              <w:jc w:val="right"/>
              <w:spacing w:after="0" w:line="121" w:lineRule="exact"/>
              <w:rPr>
                <w:sz w:val="20"/>
                <w:szCs w:val="20"/>
                <w:color w:val="auto"/>
              </w:rPr>
            </w:pPr>
            <w:r>
              <w:rPr>
                <w:rFonts w:ascii="Arial" w:cs="Arial" w:eastAsia="Arial" w:hAnsi="Arial"/>
                <w:sz w:val="13"/>
                <w:szCs w:val="13"/>
                <w:color w:val="auto"/>
                <w:w w:val="82"/>
              </w:rPr>
              <w:t>$</w:t>
            </w:r>
          </w:p>
        </w:tc>
        <w:tc>
          <w:tcPr>
            <w:tcW w:w="540" w:type="dxa"/>
            <w:vAlign w:val="bottom"/>
            <w:gridSpan w:val="3"/>
          </w:tcPr>
          <w:p>
            <w:pPr>
              <w:ind w:left="360"/>
              <w:spacing w:after="0" w:line="121" w:lineRule="exact"/>
              <w:rPr>
                <w:sz w:val="20"/>
                <w:szCs w:val="20"/>
                <w:color w:val="auto"/>
              </w:rPr>
            </w:pPr>
            <w:r>
              <w:rPr>
                <w:rFonts w:ascii="Arial" w:cs="Arial" w:eastAsia="Arial" w:hAnsi="Arial"/>
                <w:sz w:val="13"/>
                <w:szCs w:val="13"/>
                <w:color w:val="auto"/>
              </w:rPr>
              <w:t>- $</w:t>
            </w: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5,917</w:t>
            </w:r>
          </w:p>
        </w:tc>
        <w:tc>
          <w:tcPr>
            <w:tcW w:w="1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440" w:type="dxa"/>
            <w:vAlign w:val="bottom"/>
          </w:tcPr>
          <w:p>
            <w:pPr>
              <w:ind w:left="360"/>
              <w:spacing w:after="0" w:line="121" w:lineRule="exact"/>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5,917</w:t>
            </w:r>
          </w:p>
        </w:tc>
        <w:tc>
          <w:tcPr>
            <w:tcW w:w="1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gridSpan w:val="3"/>
          </w:tcPr>
          <w:p>
            <w:pPr>
              <w:jc w:val="right"/>
              <w:spacing w:after="0" w:line="121"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5,011</w:t>
            </w:r>
          </w:p>
        </w:tc>
        <w:tc>
          <w:tcPr>
            <w:tcW w:w="1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5,011</w:t>
            </w:r>
          </w:p>
        </w:tc>
        <w:tc>
          <w:tcPr>
            <w:tcW w:w="0" w:type="dxa"/>
            <w:vAlign w:val="bottom"/>
          </w:tcPr>
          <w:p>
            <w:pPr>
              <w:spacing w:after="0"/>
              <w:rPr>
                <w:sz w:val="1"/>
                <w:szCs w:val="1"/>
                <w:color w:val="auto"/>
              </w:rPr>
            </w:pPr>
          </w:p>
        </w:tc>
      </w:tr>
      <w:tr>
        <w:trPr>
          <w:trHeight w:val="161"/>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 liabilities at fair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5,917</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5,917</w:t>
            </w:r>
          </w:p>
        </w:tc>
        <w:tc>
          <w:tcPr>
            <w:tcW w:w="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Measured at Fair Value  on a Non-recurring Basis</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b w:val="1"/>
          <w:bCs w:val="1"/>
          <w:color w:val="auto"/>
        </w:rPr>
        <w:t xml:space="preserve">Individually Evaluated Loans and Impaired Loans: </w:t>
      </w:r>
      <w:r>
        <w:rPr>
          <w:rFonts w:ascii="Arial" w:cs="Arial" w:eastAsia="Arial" w:hAnsi="Arial"/>
          <w:sz w:val="14"/>
          <w:szCs w:val="14"/>
          <w:color w:val="auto"/>
        </w:rPr>
        <w:t>ASC 326 eliminates the current accounting model for impaired</w:t>
      </w:r>
      <w:r>
        <w:rPr>
          <w:rFonts w:ascii="Arial" w:cs="Arial" w:eastAsia="Arial" w:hAnsi="Arial"/>
          <w:sz w:val="14"/>
          <w:szCs w:val="14"/>
          <w:b w:val="1"/>
          <w:bCs w:val="1"/>
          <w:color w:val="auto"/>
        </w:rPr>
        <w:t xml:space="preserve"> </w:t>
      </w:r>
      <w:r>
        <w:rPr>
          <w:rFonts w:ascii="Arial" w:cs="Arial" w:eastAsia="Arial" w:hAnsi="Arial"/>
          <w:sz w:val="14"/>
          <w:szCs w:val="14"/>
          <w:color w:val="auto"/>
        </w:rPr>
        <w:t>loans effective as of January 1, 2023. At December 31, 2022, in accordance with provisions of the loan impairment guidance, individual loans with a carrying amount of approximately $3.9 million were written down to their fair value of approximately $3.6 million, resulting in an impairment charge of $294 thousand, which was included in the allowance for credit losses at December 31, 2022. Loans subject to write-downs, or impaired loans, are estimated using the present value of expected cash flows or the appraised value of the underlying collateral discounted as necessary due to management's estimates of changes in economic conditions and are considered a Level 3 valuation.</w:t>
      </w:r>
    </w:p>
    <w:p>
      <w:pPr>
        <w:spacing w:after="0" w:line="12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b w:val="1"/>
          <w:bCs w:val="1"/>
          <w:color w:val="auto"/>
        </w:rPr>
        <w:t xml:space="preserve">Other Real Estate: </w:t>
      </w:r>
      <w:r>
        <w:rPr>
          <w:rFonts w:ascii="Arial" w:cs="Arial" w:eastAsia="Arial" w:hAnsi="Arial"/>
          <w:sz w:val="14"/>
          <w:szCs w:val="14"/>
          <w:color w:val="auto"/>
        </w:rPr>
        <w:t>Other real estate owned is valued at the lesser of the third-party appraisals less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estimate of the costs to sell or the carrying cost of the other real estate owned. Appraisals generally use the market approach valuation technique and use market observable data to formulate an opinion of the fair value of the properties. However, the appraiser uses professional judgment in determining the fair value of the property and the Company may also adjust the value for changes in market conditions subsequent to the valuation date when current appraisals are not available. As a consequence of the carrying cost or the third-party appraisal and adjustments therein, the fair values of the properties are considered a Level 3 valuation.</w:t>
      </w:r>
    </w:p>
    <w:p>
      <w:pPr>
        <w:spacing w:after="0" w:line="146" w:lineRule="exact"/>
        <w:rPr>
          <w:sz w:val="20"/>
          <w:szCs w:val="20"/>
          <w:color w:val="auto"/>
        </w:rPr>
      </w:pPr>
    </w:p>
    <w:p>
      <w:pPr>
        <w:ind w:left="660" w:right="679" w:firstLine="256"/>
        <w:spacing w:after="0" w:line="267" w:lineRule="auto"/>
        <w:rPr>
          <w:sz w:val="20"/>
          <w:szCs w:val="20"/>
          <w:color w:val="auto"/>
        </w:rPr>
      </w:pPr>
      <w:r>
        <w:rPr>
          <w:rFonts w:ascii="Arial" w:cs="Arial" w:eastAsia="Arial" w:hAnsi="Arial"/>
          <w:sz w:val="14"/>
          <w:szCs w:val="14"/>
          <w:color w:val="auto"/>
        </w:rPr>
        <w:t>The following table represents the Company’s assets measured at fair value on a non-recurring basis at September 30, 2023 and December 31, 2022 for each of the fair value hierarchy levels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1</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2</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3</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September 30, 2023:</w:t>
            </w: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00" w:type="dxa"/>
            <w:vAlign w:val="bottom"/>
            <w:gridSpan w:val="2"/>
          </w:tcPr>
          <w:p>
            <w:pPr>
              <w:spacing w:after="0"/>
              <w:rPr>
                <w:sz w:val="20"/>
                <w:szCs w:val="20"/>
                <w:color w:val="auto"/>
              </w:rPr>
            </w:pPr>
            <w:r>
              <w:rPr>
                <w:rFonts w:ascii="Arial" w:cs="Arial" w:eastAsia="Arial" w:hAnsi="Arial"/>
                <w:sz w:val="13"/>
                <w:szCs w:val="13"/>
                <w:color w:val="auto"/>
              </w:rPr>
              <w:t>Individually evaluated loans</w:t>
            </w:r>
          </w:p>
        </w:tc>
        <w:tc>
          <w:tcPr>
            <w:tcW w:w="124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26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Impaired loans</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The following table presents quantified information about Level 3 fair value measurements for assets measured at fair value on a non-recurring basis at December 31, 2022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740" w:type="dxa"/>
            <w:vAlign w:val="bottom"/>
            <w:vMerge w:val="restart"/>
          </w:tcPr>
          <w:p>
            <w:pPr>
              <w:spacing w:after="0"/>
              <w:rPr>
                <w:sz w:val="20"/>
                <w:szCs w:val="20"/>
                <w:color w:val="auto"/>
              </w:rPr>
            </w:pPr>
            <w:r>
              <w:rPr>
                <w:rFonts w:ascii="Arial" w:cs="Arial" w:eastAsia="Arial" w:hAnsi="Arial"/>
                <w:sz w:val="13"/>
                <w:szCs w:val="13"/>
                <w:b w:val="1"/>
                <w:bCs w:val="1"/>
                <w:color w:val="auto"/>
              </w:rPr>
              <w:t>December 31, 2022:</w:t>
            </w:r>
          </w:p>
        </w:tc>
        <w:tc>
          <w:tcPr>
            <w:tcW w:w="8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4"/>
                <w:szCs w:val="14"/>
                <w:color w:val="auto"/>
              </w:rPr>
            </w:pPr>
          </w:p>
        </w:tc>
        <w:tc>
          <w:tcPr>
            <w:tcW w:w="17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Valuation Technique(s)</w:t>
            </w:r>
          </w:p>
        </w:tc>
        <w:tc>
          <w:tcPr>
            <w:tcW w:w="60" w:type="dxa"/>
            <w:vAlign w:val="bottom"/>
          </w:tcPr>
          <w:p>
            <w:pPr>
              <w:spacing w:after="0"/>
              <w:rPr>
                <w:sz w:val="14"/>
                <w:szCs w:val="14"/>
                <w:color w:val="auto"/>
              </w:rPr>
            </w:pPr>
          </w:p>
        </w:tc>
        <w:tc>
          <w:tcPr>
            <w:tcW w:w="332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Unobservable Input(s)</w:t>
            </w:r>
          </w:p>
        </w:tc>
        <w:tc>
          <w:tcPr>
            <w:tcW w:w="0" w:type="dxa"/>
            <w:vAlign w:val="bottom"/>
          </w:tcPr>
          <w:p>
            <w:pPr>
              <w:spacing w:after="0"/>
              <w:rPr>
                <w:sz w:val="1"/>
                <w:szCs w:val="1"/>
                <w:color w:val="auto"/>
              </w:rPr>
            </w:pPr>
          </w:p>
        </w:tc>
      </w:tr>
      <w:tr>
        <w:trPr>
          <w:trHeight w:val="151"/>
        </w:trPr>
        <w:tc>
          <w:tcPr>
            <w:tcW w:w="1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comparison approach</w:t>
            </w:r>
          </w:p>
        </w:tc>
        <w:tc>
          <w:tcPr>
            <w:tcW w:w="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Adj. for differences between comparable sales</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20"/>
                <w:szCs w:val="20"/>
                <w:color w:val="auto"/>
              </w:rPr>
            </w:pPr>
            <w:r>
              <w:rPr>
                <w:rFonts w:ascii="Arial" w:cs="Arial" w:eastAsia="Arial" w:hAnsi="Arial"/>
                <w:sz w:val="13"/>
                <w:szCs w:val="13"/>
                <w:color w:val="auto"/>
              </w:rPr>
              <w:t>Commercial and industrial</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w:t>
            </w:r>
          </w:p>
        </w:tc>
        <w:tc>
          <w:tcPr>
            <w:tcW w:w="4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Arial" w:cs="Arial" w:eastAsia="Arial" w:hAnsi="Arial"/>
                <w:sz w:val="13"/>
                <w:szCs w:val="13"/>
                <w:color w:val="auto"/>
              </w:rPr>
              <w:t>Discounted cash flow</w:t>
            </w:r>
          </w:p>
        </w:tc>
        <w:tc>
          <w:tcPr>
            <w:tcW w:w="6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Adj. for differences in net operating income expectations</w:t>
            </w: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Adj. for differences in net operating income expectations</w:t>
            </w:r>
          </w:p>
        </w:tc>
        <w:tc>
          <w:tcPr>
            <w:tcW w:w="0" w:type="dxa"/>
            <w:vAlign w:val="bottom"/>
          </w:tcPr>
          <w:p>
            <w:pPr>
              <w:spacing w:after="0"/>
              <w:rPr>
                <w:sz w:val="1"/>
                <w:szCs w:val="1"/>
                <w:color w:val="auto"/>
              </w:rPr>
            </w:pPr>
          </w:p>
        </w:tc>
      </w:tr>
      <w:tr>
        <w:trPr>
          <w:trHeight w:val="161"/>
        </w:trPr>
        <w:tc>
          <w:tcPr>
            <w:tcW w:w="1740" w:type="dxa"/>
            <w:vAlign w:val="bottom"/>
          </w:tcPr>
          <w:p>
            <w:pPr>
              <w:ind w:left="100"/>
              <w:spacing w:after="0"/>
              <w:rPr>
                <w:sz w:val="20"/>
                <w:szCs w:val="20"/>
                <w:color w:val="auto"/>
              </w:rPr>
            </w:pPr>
            <w:r>
              <w:rPr>
                <w:rFonts w:ascii="Arial" w:cs="Arial" w:eastAsia="Arial" w:hAnsi="Arial"/>
                <w:sz w:val="13"/>
                <w:szCs w:val="13"/>
                <w:color w:val="auto"/>
              </w:rPr>
              <w:t>Total impaired loans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3,639</w:t>
            </w: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right="719" w:firstLine="256"/>
        <w:spacing w:after="0" w:line="267" w:lineRule="auto"/>
        <w:rPr>
          <w:sz w:val="20"/>
          <w:szCs w:val="20"/>
          <w:color w:val="auto"/>
        </w:rPr>
      </w:pPr>
      <w:r>
        <w:rPr>
          <w:rFonts w:ascii="Arial" w:cs="Arial" w:eastAsia="Arial" w:hAnsi="Arial"/>
          <w:sz w:val="14"/>
          <w:szCs w:val="14"/>
          <w:color w:val="auto"/>
        </w:rPr>
        <w:t>There were no financial liabilities measured at fair value on a non-recurring basis at September 30, 2023 and December 31, 2022.</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Not Measured at Fair Value</w:t>
      </w:r>
    </w:p>
    <w:p>
      <w:pPr>
        <w:spacing w:after="0" w:line="178"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The following table presents the carrying amounts and estimated fair values of financial instruments not carried at fair value as of September 30, 2023 and December 31, 2022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Fair Value Hierarchy</w:t>
            </w: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90"/>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36"/>
              <w:spacing w:after="0"/>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Fair Value</w:t>
            </w:r>
          </w:p>
        </w:tc>
      </w:tr>
      <w:tr>
        <w:trPr>
          <w:trHeight w:val="153"/>
        </w:trPr>
        <w:tc>
          <w:tcPr>
            <w:tcW w:w="26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1</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2</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3</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Amount</w:t>
            </w:r>
          </w:p>
        </w:tc>
      </w:tr>
      <w:tr>
        <w:trPr>
          <w:trHeight w:val="151"/>
        </w:trPr>
        <w:tc>
          <w:tcPr>
            <w:tcW w:w="2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September 30, 2023:</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8"/>
        </w:trPr>
        <w:tc>
          <w:tcPr>
            <w:tcW w:w="2640" w:type="dxa"/>
            <w:vAlign w:val="bottom"/>
          </w:tcPr>
          <w:p>
            <w:pPr>
              <w:spacing w:after="0"/>
              <w:rPr>
                <w:sz w:val="20"/>
                <w:szCs w:val="20"/>
                <w:color w:val="auto"/>
              </w:rPr>
            </w:pPr>
            <w:r>
              <w:rPr>
                <w:rFonts w:ascii="Arial" w:cs="Arial" w:eastAsia="Arial" w:hAnsi="Arial"/>
                <w:sz w:val="13"/>
                <w:szCs w:val="13"/>
                <w:color w:val="auto"/>
              </w:rPr>
              <w:t>Financial Assets: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3"/>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5,074</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deposits in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28,361</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28,361</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28,361</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 net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197,311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171,294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171,294</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1,657,027</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1,606,440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1,606,440</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8,920</w:t>
            </w:r>
          </w:p>
        </w:tc>
      </w:tr>
      <w:tr>
        <w:trPr>
          <w:trHeight w:val="171"/>
        </w:trPr>
        <w:tc>
          <w:tcPr>
            <w:tcW w:w="2640" w:type="dxa"/>
            <w:vAlign w:val="bottom"/>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Demand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573,546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573,546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573,546</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Money market and savings accounts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1,016,564</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1,016,564</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1,016,564</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checking accounts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46,537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46,537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46,537</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284,275</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282,062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282,062</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98,718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98,718</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Accrued interest payable</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1,206</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469</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737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1,206</w:t>
            </w:r>
          </w:p>
        </w:tc>
      </w:tr>
      <w:tr>
        <w:trPr>
          <w:trHeight w:val="171"/>
        </w:trPr>
        <w:tc>
          <w:tcPr>
            <w:tcW w:w="2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64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Cash and due from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6,605</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6,605</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6,605</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deposits in banks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47,563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47,563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47,563</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Investment securities held to maturity</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188,699</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169,088</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169,088</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held for investment, net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1,489,851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1,436,877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1,436,877</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Accrued interest receivable</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7,546</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1,183</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6,363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7,546</w:t>
            </w:r>
          </w:p>
        </w:tc>
      </w:tr>
      <w:tr>
        <w:trPr>
          <w:trHeight w:val="171"/>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Demand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629,776</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629,776</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629,776</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and savings accounts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915,853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915,853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915,853</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checking accounts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66,675</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66,675</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66,675</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Time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216,977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211,406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211,406</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FHLB advances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46,000</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44,547</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44,547</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r>
    </w:tbl>
    <w:p>
      <w:pPr>
        <w:spacing w:after="0" w:line="313" w:lineRule="exact"/>
        <w:rPr>
          <w:sz w:val="20"/>
          <w:szCs w:val="20"/>
          <w:color w:val="auto"/>
        </w:rPr>
      </w:pPr>
    </w:p>
    <w:p>
      <w:pPr>
        <w:ind w:left="1040" w:hanging="377"/>
        <w:spacing w:after="0"/>
        <w:tabs>
          <w:tab w:leader="none" w:pos="10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Common Stock</w:t>
      </w:r>
    </w:p>
    <w:p>
      <w:pPr>
        <w:spacing w:after="0" w:line="17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In July 2021, the Bank completed the initial public offering of its Class A common stock, in which it issued and sold 4,600,000 shares of Class A common stock at a price of $10.00 per share. The Bank received total net proceeds of $40.0 million after deducting underwriting discounts and expenses.</w:t>
      </w:r>
    </w:p>
    <w:p>
      <w:pPr>
        <w:spacing w:after="0" w:line="144"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In December 2021, the Company acquired all the issued and outstanding shares of the Class A common stock of the Bank, which at the time were the only issued and outstanding shares of the Bank’s capital stock, in a share exchange (the “Reorganization”) effected under the Florida Business Corporation Act. Each outstanding share of the Bank’s Class A common stock, par value $1.00 per share, formerly held by its Shareholders was converted into and exchanged for one newly issued share of the Company’s Class A common stock, par value $1.00 per share, and the Bank became the Company’s wholly owned subsidiary.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In the Reorganization, each shareholder of the Bank received securities of the same class, having substantially the same designations, rights, powers, preferences, qualifications, limitations and restrictions, as those that the shareholder held in the Bank, and the Company’s then current shareholders owned the same percentages of the Company’s common stock as they previously owned of the Bank’s common stock.</w:t>
      </w:r>
    </w:p>
    <w:p>
      <w:pPr>
        <w:spacing w:after="0" w:line="143"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In March 2023, the Company issued 121,627 shares of Class A common stock to employees and directors as restricted stock awards pursuant to the Company’s 2015 equity incentive plan. There were no stock awards issued during the quarter ended September 30, 2023 nor during the three and nine months ended September 30, 2022.</w:t>
      </w:r>
    </w:p>
    <w:p>
      <w:pPr>
        <w:spacing w:after="0" w:line="144"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During the nine months ended September 30, 2023 the Company repurchased 577,603 shares of Class A common stock at a weighted average price per share of $9.77. The aggregate purchase price for these transactions was approximately $6.6 million, including transaction costs. These repurchases were made through open market purchases pursuant to the Company’s publicly announced repurchase program. No shares were repurchased during the three months ended September 30, 2023. As of September 30, 2023, 172,397 shares remained authorized for repurchase under this program.</w:t>
      </w:r>
    </w:p>
    <w:p>
      <w:pPr>
        <w:spacing w:after="0" w:line="135" w:lineRule="exact"/>
        <w:rPr>
          <w:sz w:val="20"/>
          <w:szCs w:val="20"/>
          <w:color w:val="auto"/>
        </w:rPr>
      </w:pPr>
    </w:p>
    <w:p>
      <w:pPr>
        <w:jc w:val="both"/>
        <w:ind w:left="660" w:right="679" w:firstLine="256"/>
        <w:spacing w:after="0" w:line="283" w:lineRule="auto"/>
        <w:rPr>
          <w:sz w:val="20"/>
          <w:szCs w:val="20"/>
          <w:color w:val="auto"/>
        </w:rPr>
      </w:pPr>
      <w:r>
        <w:rPr>
          <w:rFonts w:ascii="Arial" w:cs="Arial" w:eastAsia="Arial" w:hAnsi="Arial"/>
          <w:sz w:val="14"/>
          <w:szCs w:val="14"/>
          <w:color w:val="auto"/>
        </w:rPr>
        <w:t>Shares of the Company’s Class A common stock issued and outstanding as of September 30, 2023 and December 31, 2022 were 19,542,290 and 20,000,753, respectively.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8"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Declaration of dividends by the Board is required before dividend payments are made. No dividends were approved by the Board for the common stock classes for the three months ended September 30, 2023 and 2022. Additionally, there were no dividends declared and unpaid as of September 30, 2023 and 2022.</w:t>
      </w:r>
    </w:p>
    <w:p>
      <w:pPr>
        <w:spacing w:after="0" w:line="128" w:lineRule="exact"/>
        <w:rPr>
          <w:sz w:val="20"/>
          <w:szCs w:val="20"/>
          <w:color w:val="auto"/>
        </w:rPr>
      </w:pPr>
    </w:p>
    <w:p>
      <w:pPr>
        <w:jc w:val="both"/>
        <w:ind w:left="660" w:right="659" w:firstLine="256"/>
        <w:spacing w:after="0" w:line="260" w:lineRule="auto"/>
        <w:rPr>
          <w:sz w:val="20"/>
          <w:szCs w:val="20"/>
          <w:color w:val="auto"/>
        </w:rPr>
      </w:pPr>
      <w:r>
        <w:rPr>
          <w:rFonts w:ascii="Arial" w:cs="Arial" w:eastAsia="Arial" w:hAnsi="Arial"/>
          <w:sz w:val="14"/>
          <w:szCs w:val="14"/>
          <w:color w:val="auto"/>
        </w:rPr>
        <w:t>The Company and the Bank exceeded all regulatory capital requirements and remained above “well-capitalized” guidelines as of September 30, 2023 and December 31, 2022. At September 30, 2023, the total risk-based capital ratios for the Company and the Bank were 13.10% and 13.06%, respectively.</w:t>
      </w:r>
    </w:p>
    <w:p>
      <w:pPr>
        <w:spacing w:after="0" w:line="120" w:lineRule="exact"/>
        <w:rPr>
          <w:sz w:val="20"/>
          <w:szCs w:val="20"/>
          <w:color w:val="auto"/>
        </w:rPr>
      </w:pPr>
    </w:p>
    <w:p>
      <w:pPr>
        <w:ind w:left="1040" w:hanging="377"/>
        <w:spacing w:after="0"/>
        <w:tabs>
          <w:tab w:leader="none" w:pos="104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20" w:lineRule="exact"/>
        <w:rPr>
          <w:sz w:val="20"/>
          <w:szCs w:val="20"/>
          <w:color w:val="auto"/>
        </w:rPr>
      </w:pPr>
    </w:p>
    <w:p>
      <w:pPr>
        <w:jc w:val="both"/>
        <w:ind w:left="660" w:right="679" w:firstLine="256"/>
        <w:spacing w:after="0" w:line="270" w:lineRule="auto"/>
        <w:rPr>
          <w:sz w:val="20"/>
          <w:szCs w:val="20"/>
          <w:color w:val="auto"/>
        </w:rPr>
      </w:pPr>
      <w:r>
        <w:rPr>
          <w:rFonts w:ascii="Arial" w:cs="Arial" w:eastAsia="Arial" w:hAnsi="Arial"/>
          <w:sz w:val="13"/>
          <w:szCs w:val="13"/>
          <w:color w:val="auto"/>
        </w:rPr>
        <w:t>Earnings per share (“EPS”) for common stock is calculated using the two-class method required for participating securities. Basic EPS is calculated by dividing net income (loss) available to common shareholders by the weighted-average number of common shares outstanding for the period, without consideration for common stock equivalents. Diluted EPS is computed by dividing net income (loss) available to common shareholders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35"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The following table reflects the calculation of net income available to common shareholders for the three and nine months ended September 30, 2023 and 2022 (in thousands):</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5"/>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5"/>
          </w:tcPr>
          <w:p>
            <w:pPr>
              <w:jc w:val="right"/>
              <w:ind w:right="416"/>
              <w:spacing w:after="0"/>
              <w:rPr>
                <w:sz w:val="20"/>
                <w:szCs w:val="20"/>
                <w:color w:val="auto"/>
              </w:rPr>
            </w:pPr>
            <w:r>
              <w:rPr>
                <w:rFonts w:ascii="Arial" w:cs="Arial" w:eastAsia="Arial" w:hAnsi="Arial"/>
                <w:sz w:val="13"/>
                <w:szCs w:val="13"/>
                <w:b w:val="1"/>
                <w:bCs w:val="1"/>
                <w:color w:val="auto"/>
              </w:rPr>
              <w:t>Nine Months Ended</w:t>
            </w:r>
          </w:p>
        </w:tc>
      </w:tr>
      <w:tr>
        <w:trPr>
          <w:trHeight w:val="164"/>
        </w:trPr>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176"/>
              <w:spacing w:after="0"/>
              <w:rPr>
                <w:sz w:val="20"/>
                <w:szCs w:val="20"/>
                <w:color w:val="auto"/>
              </w:rPr>
            </w:pPr>
            <w:r>
              <w:rPr>
                <w:rFonts w:ascii="Arial" w:cs="Arial" w:eastAsia="Arial" w:hAnsi="Arial"/>
                <w:sz w:val="13"/>
                <w:szCs w:val="13"/>
                <w:b w:val="1"/>
                <w:bCs w:val="1"/>
                <w:color w:val="auto"/>
              </w:rPr>
              <w:t>September 30,</w:t>
            </w: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576"/>
              <w:spacing w:after="0"/>
              <w:rPr>
                <w:sz w:val="20"/>
                <w:szCs w:val="20"/>
                <w:color w:val="auto"/>
              </w:rPr>
            </w:pPr>
            <w:r>
              <w:rPr>
                <w:rFonts w:ascii="Arial" w:cs="Arial" w:eastAsia="Arial" w:hAnsi="Arial"/>
                <w:sz w:val="13"/>
                <w:szCs w:val="13"/>
                <w:b w:val="1"/>
                <w:bCs w:val="1"/>
                <w:color w:val="auto"/>
              </w:rPr>
              <w:t>September 30,</w:t>
            </w:r>
          </w:p>
        </w:tc>
      </w:tr>
      <w:tr>
        <w:trPr>
          <w:trHeight w:val="151"/>
        </w:trPr>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36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2022</w:t>
            </w:r>
          </w:p>
        </w:tc>
      </w:tr>
      <w:tr>
        <w:trPr>
          <w:trHeight w:val="151"/>
        </w:trPr>
        <w:tc>
          <w:tcPr>
            <w:tcW w:w="33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Net Income</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3,819</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5,558</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13,824</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15,707</w:t>
            </w:r>
          </w:p>
        </w:tc>
      </w:tr>
      <w:tr>
        <w:trPr>
          <w:trHeight w:val="161"/>
        </w:trPr>
        <w:tc>
          <w:tcPr>
            <w:tcW w:w="3380" w:type="dxa"/>
            <w:vAlign w:val="bottom"/>
          </w:tcPr>
          <w:p>
            <w:pPr>
              <w:ind w:left="100"/>
              <w:spacing w:after="0" w:line="146" w:lineRule="exact"/>
              <w:rPr>
                <w:sz w:val="20"/>
                <w:szCs w:val="20"/>
                <w:color w:val="auto"/>
              </w:rPr>
            </w:pPr>
            <w:r>
              <w:rPr>
                <w:rFonts w:ascii="Arial" w:cs="Arial" w:eastAsia="Arial" w:hAnsi="Arial"/>
                <w:sz w:val="13"/>
                <w:szCs w:val="13"/>
                <w:color w:val="auto"/>
              </w:rPr>
              <w:t>Net income available to common shareholders</w:t>
            </w:r>
          </w:p>
        </w:tc>
        <w:tc>
          <w:tcPr>
            <w:tcW w:w="140" w:type="dxa"/>
            <w:vAlign w:val="bottom"/>
            <w:gridSpan w:val="2"/>
          </w:tcPr>
          <w:p>
            <w:pPr>
              <w:jc w:val="right"/>
              <w:ind w:right="4"/>
              <w:spacing w:after="0"/>
              <w:rPr>
                <w:sz w:val="20"/>
                <w:szCs w:val="20"/>
                <w:color w:val="auto"/>
              </w:rPr>
            </w:pPr>
            <w:r>
              <w:rPr>
                <w:rFonts w:ascii="Arial" w:cs="Arial" w:eastAsia="Arial" w:hAnsi="Arial"/>
                <w:sz w:val="13"/>
                <w:szCs w:val="13"/>
                <w:color w:val="auto"/>
                <w:w w:val="82"/>
              </w:rPr>
              <w:t>$</w:t>
            </w:r>
          </w:p>
        </w:tc>
        <w:tc>
          <w:tcPr>
            <w:tcW w:w="5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2"/>
              </w:rPr>
              <w:t>3,819</w:t>
            </w:r>
          </w:p>
        </w:tc>
        <w:tc>
          <w:tcPr>
            <w:tcW w:w="720" w:type="dxa"/>
            <w:vAlign w:val="bottom"/>
            <w:gridSpan w:val="3"/>
          </w:tcPr>
          <w:p>
            <w:pPr>
              <w:jc w:val="right"/>
              <w:ind w:right="516"/>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5,558</w:t>
            </w:r>
          </w:p>
        </w:tc>
        <w:tc>
          <w:tcPr>
            <w:tcW w:w="260" w:type="dxa"/>
            <w:vAlign w:val="bottom"/>
            <w:gridSpan w:val="3"/>
          </w:tcPr>
          <w:p>
            <w:pPr>
              <w:jc w:val="right"/>
              <w:ind w:right="92"/>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13,824</w:t>
            </w:r>
          </w:p>
        </w:tc>
        <w:tc>
          <w:tcPr>
            <w:tcW w:w="28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15,707</w:t>
            </w:r>
          </w:p>
        </w:tc>
      </w:tr>
      <w:tr>
        <w:trPr>
          <w:trHeight w:val="20"/>
        </w:trPr>
        <w:tc>
          <w:tcPr>
            <w:tcW w:w="3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right="679" w:firstLine="256"/>
        <w:spacing w:after="0" w:line="267" w:lineRule="auto"/>
        <w:rPr>
          <w:sz w:val="20"/>
          <w:szCs w:val="20"/>
          <w:color w:val="auto"/>
        </w:rPr>
      </w:pPr>
      <w:r>
        <w:rPr>
          <w:rFonts w:ascii="Arial" w:cs="Arial" w:eastAsia="Arial" w:hAnsi="Arial"/>
          <w:sz w:val="14"/>
          <w:szCs w:val="14"/>
          <w:color w:val="auto"/>
        </w:rPr>
        <w:t>The following table reflects the calculation of basic and diluted earnings per common share class for the three and nine months ended September 30, 2023 and 2022 (in thousands, except per share amounts):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5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3"/>
                <w:szCs w:val="13"/>
                <w:b w:val="1"/>
                <w:bCs w:val="1"/>
                <w:color w:val="auto"/>
                <w:w w:val="98"/>
              </w:rPr>
              <w:t>Three Months Ended September 30,</w:t>
            </w:r>
          </w:p>
        </w:tc>
      </w:tr>
      <w:tr>
        <w:trPr>
          <w:trHeight w:val="151"/>
        </w:trPr>
        <w:tc>
          <w:tcPr>
            <w:tcW w:w="5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r>
      <w:tr>
        <w:trPr>
          <w:trHeight w:val="151"/>
        </w:trPr>
        <w:tc>
          <w:tcPr>
            <w:tcW w:w="5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Class A</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Class A</w:t>
            </w:r>
          </w:p>
        </w:tc>
      </w:tr>
      <w:tr>
        <w:trPr>
          <w:trHeight w:val="161"/>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3"/>
                <w:szCs w:val="13"/>
                <w:color w:val="auto"/>
              </w:rPr>
              <w:t>Numerator:</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5,558</w:t>
            </w:r>
          </w:p>
        </w:tc>
      </w:tr>
      <w:tr>
        <w:trPr>
          <w:trHeight w:val="171"/>
        </w:trPr>
        <w:tc>
          <w:tcPr>
            <w:tcW w:w="5200" w:type="dxa"/>
            <w:vAlign w:val="bottom"/>
          </w:tcPr>
          <w:p>
            <w:pPr>
              <w:spacing w:after="0"/>
              <w:rPr>
                <w:sz w:val="20"/>
                <w:szCs w:val="20"/>
                <w:color w:val="auto"/>
              </w:rPr>
            </w:pPr>
            <w:r>
              <w:rPr>
                <w:rFonts w:ascii="Arial" w:cs="Arial" w:eastAsia="Arial" w:hAnsi="Arial"/>
                <w:sz w:val="13"/>
                <w:szCs w:val="13"/>
                <w:color w:val="auto"/>
              </w:rPr>
              <w:t>Denominator:</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19,542,723</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20,000,753</w:t>
            </w:r>
          </w:p>
        </w:tc>
      </w:tr>
      <w:tr>
        <w:trPr>
          <w:trHeight w:val="212"/>
        </w:trPr>
        <w:tc>
          <w:tcPr>
            <w:tcW w:w="5200" w:type="dxa"/>
            <w:vAlign w:val="bottom"/>
          </w:tcPr>
          <w:p>
            <w:pPr>
              <w:spacing w:after="0"/>
              <w:rPr>
                <w:sz w:val="20"/>
                <w:szCs w:val="20"/>
                <w:color w:val="auto"/>
              </w:rPr>
            </w:pPr>
            <w:r>
              <w:rPr>
                <w:rFonts w:ascii="Arial" w:cs="Arial" w:eastAsia="Arial" w:hAnsi="Arial"/>
                <w:sz w:val="13"/>
                <w:szCs w:val="13"/>
                <w:b w:val="1"/>
                <w:bCs w:val="1"/>
                <w:color w:val="auto"/>
              </w:rPr>
              <w:t>Earnings per share, basic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0.20</w:t>
            </w:r>
          </w:p>
        </w:tc>
        <w:tc>
          <w:tcPr>
            <w:tcW w:w="28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0.28</w:t>
            </w:r>
          </w:p>
        </w:tc>
      </w:tr>
      <w:tr>
        <w:trPr>
          <w:trHeight w:val="121"/>
        </w:trPr>
        <w:tc>
          <w:tcPr>
            <w:tcW w:w="5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3"/>
                <w:szCs w:val="13"/>
                <w:b w:val="1"/>
                <w:bCs w:val="1"/>
                <w:color w:val="auto"/>
              </w:rPr>
              <w:t>Diluted EPS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1"/>
        </w:trPr>
        <w:tc>
          <w:tcPr>
            <w:tcW w:w="5200" w:type="dxa"/>
            <w:vAlign w:val="bottom"/>
          </w:tcPr>
          <w:p>
            <w:pPr>
              <w:ind w:left="100"/>
              <w:spacing w:after="0"/>
              <w:rPr>
                <w:sz w:val="20"/>
                <w:szCs w:val="20"/>
                <w:color w:val="auto"/>
              </w:rPr>
            </w:pPr>
            <w:r>
              <w:rPr>
                <w:rFonts w:ascii="Arial" w:cs="Arial" w:eastAsia="Arial" w:hAnsi="Arial"/>
                <w:sz w:val="13"/>
                <w:szCs w:val="13"/>
                <w:color w:val="auto"/>
              </w:rPr>
              <w:t>Net income available to common shares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3,819</w:t>
            </w:r>
          </w:p>
        </w:tc>
        <w:tc>
          <w:tcPr>
            <w:tcW w:w="28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5,558</w:t>
            </w:r>
          </w:p>
        </w:tc>
      </w:tr>
      <w:tr>
        <w:trPr>
          <w:trHeight w:val="171"/>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1"/>
        </w:trPr>
        <w:tc>
          <w:tcPr>
            <w:tcW w:w="5200" w:type="dxa"/>
            <w:vAlign w:val="bottom"/>
          </w:tcPr>
          <w:p>
            <w:pPr>
              <w:ind w:left="100"/>
              <w:spacing w:after="0"/>
              <w:rPr>
                <w:sz w:val="20"/>
                <w:szCs w:val="20"/>
                <w:color w:val="auto"/>
              </w:rPr>
            </w:pPr>
            <w:r>
              <w:rPr>
                <w:rFonts w:ascii="Arial" w:cs="Arial" w:eastAsia="Arial" w:hAnsi="Arial"/>
                <w:sz w:val="13"/>
                <w:szCs w:val="13"/>
                <w:color w:val="auto"/>
              </w:rPr>
              <w:t>Weighted average shares outstanding for basic EPS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19,542,723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20,000,753</w:t>
            </w:r>
          </w:p>
        </w:tc>
      </w:tr>
      <w:tr>
        <w:trPr>
          <w:trHeight w:val="171"/>
        </w:trPr>
        <w:tc>
          <w:tcPr>
            <w:tcW w:w="5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69,174</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147,455</w:t>
            </w:r>
          </w:p>
        </w:tc>
      </w:tr>
      <w:tr>
        <w:trPr>
          <w:trHeight w:val="151"/>
        </w:trPr>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Weighted avg. shares including dilutive potential common shares</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19,611,897</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20,148,208</w:t>
            </w:r>
          </w:p>
        </w:tc>
      </w:tr>
      <w:tr>
        <w:trPr>
          <w:trHeight w:val="172"/>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per share,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0.19</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0.28</w:t>
            </w: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1"/>
        </w:trPr>
        <w:tc>
          <w:tcPr>
            <w:tcW w:w="5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71"/>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720,500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r>
    </w:tbl>
    <w:p>
      <w:pPr>
        <w:spacing w:after="0" w:line="177" w:lineRule="exact"/>
        <w:rPr>
          <w:sz w:val="20"/>
          <w:szCs w:val="20"/>
          <w:color w:val="auto"/>
        </w:rPr>
      </w:pPr>
    </w:p>
    <w:p>
      <w:pPr>
        <w:jc w:val="both"/>
        <w:ind w:left="660" w:right="899"/>
        <w:spacing w:after="0" w:line="260" w:lineRule="auto"/>
        <w:rPr>
          <w:sz w:val="20"/>
          <w:szCs w:val="20"/>
          <w:color w:val="auto"/>
        </w:rPr>
      </w:pPr>
      <w:r>
        <w:rPr>
          <w:rFonts w:ascii="Arial" w:cs="Arial" w:eastAsia="Arial" w:hAnsi="Arial"/>
          <w:sz w:val="11"/>
          <w:szCs w:val="11"/>
          <w:color w:val="auto"/>
        </w:rPr>
        <w:t>Net income has not been allocated to unvested restrictedstock awards that are participating securities because the amounts that would be allocated are not material to net income per share of common stock. Unvested restricted stock awards that are participating securities represent less than one percent of all of the outstanding shares of common stock for each of the periods presented.</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Class A</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Class A</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40" w:type="dxa"/>
            <w:vAlign w:val="bottom"/>
            <w:gridSpan w:val="2"/>
          </w:tcPr>
          <w:p>
            <w:pPr>
              <w:spacing w:after="0"/>
              <w:rPr>
                <w:sz w:val="20"/>
                <w:szCs w:val="20"/>
                <w:color w:val="auto"/>
              </w:rPr>
            </w:pPr>
            <w:r>
              <w:rPr>
                <w:rFonts w:ascii="Arial" w:cs="Arial" w:eastAsia="Arial" w:hAnsi="Arial"/>
                <w:sz w:val="13"/>
                <w:szCs w:val="13"/>
                <w:color w:val="auto"/>
              </w:rPr>
              <w:t>Numerator: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income available to common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15,707</w:t>
            </w:r>
          </w:p>
        </w:tc>
        <w:tc>
          <w:tcPr>
            <w:tcW w:w="0" w:type="dxa"/>
            <w:vAlign w:val="bottom"/>
          </w:tcPr>
          <w:p>
            <w:pPr>
              <w:spacing w:after="0"/>
              <w:rPr>
                <w:sz w:val="1"/>
                <w:szCs w:val="1"/>
                <w:color w:val="auto"/>
              </w:rPr>
            </w:pPr>
          </w:p>
        </w:tc>
      </w:tr>
      <w:tr>
        <w:trPr>
          <w:trHeight w:val="168"/>
        </w:trPr>
        <w:tc>
          <w:tcPr>
            <w:tcW w:w="5240" w:type="dxa"/>
            <w:vAlign w:val="bottom"/>
            <w:gridSpan w:val="2"/>
          </w:tcPr>
          <w:p>
            <w:pPr>
              <w:spacing w:after="0"/>
              <w:rPr>
                <w:sz w:val="20"/>
                <w:szCs w:val="20"/>
                <w:color w:val="auto"/>
              </w:rPr>
            </w:pPr>
            <w:r>
              <w:rPr>
                <w:rFonts w:ascii="Arial" w:cs="Arial" w:eastAsia="Arial" w:hAnsi="Arial"/>
                <w:sz w:val="13"/>
                <w:szCs w:val="13"/>
                <w:color w:val="auto"/>
              </w:rPr>
              <w:t>Denominator: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Weighted average shares outstanding</w:t>
            </w: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19,661,685</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19,998,841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3"/>
                <w:szCs w:val="13"/>
                <w:b w:val="1"/>
                <w:bCs w:val="1"/>
                <w:color w:val="auto"/>
              </w:rPr>
              <w:t>Earnings per share, basic</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0.70</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0.79</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5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5220" w:type="dxa"/>
            <w:vAlign w:val="bottom"/>
          </w:tcPr>
          <w:p>
            <w:pPr>
              <w:spacing w:after="0"/>
              <w:rPr>
                <w:sz w:val="20"/>
                <w:szCs w:val="20"/>
                <w:color w:val="auto"/>
              </w:rPr>
            </w:pPr>
            <w:r>
              <w:rPr>
                <w:rFonts w:ascii="Arial" w:cs="Arial" w:eastAsia="Arial" w:hAnsi="Arial"/>
                <w:sz w:val="13"/>
                <w:szCs w:val="13"/>
                <w:b w:val="1"/>
                <w:bCs w:val="1"/>
                <w:color w:val="auto"/>
              </w:rPr>
              <w:t>Diluted EPS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ind w:left="80"/>
              <w:spacing w:after="0"/>
              <w:rPr>
                <w:sz w:val="20"/>
                <w:szCs w:val="20"/>
                <w:color w:val="auto"/>
              </w:rPr>
            </w:pPr>
            <w:r>
              <w:rPr>
                <w:rFonts w:ascii="Arial" w:cs="Arial" w:eastAsia="Arial" w:hAnsi="Arial"/>
                <w:sz w:val="13"/>
                <w:szCs w:val="13"/>
                <w:color w:val="auto"/>
              </w:rPr>
              <w:t>Net income available to common shares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13,824</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15,707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ind w:left="80"/>
              <w:spacing w:after="0"/>
              <w:rPr>
                <w:sz w:val="20"/>
                <w:szCs w:val="20"/>
                <w:color w:val="auto"/>
              </w:rPr>
            </w:pPr>
            <w:r>
              <w:rPr>
                <w:rFonts w:ascii="Arial" w:cs="Arial" w:eastAsia="Arial" w:hAnsi="Arial"/>
                <w:sz w:val="13"/>
                <w:szCs w:val="13"/>
                <w:color w:val="auto"/>
              </w:rPr>
              <w:t>Weighted average shares outstanding for basic EPS</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19,661,685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19,998,841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Add: Dilutive effects of assumed exercises of stock options</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67,496</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179,248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Borders>
              <w:bottom w:val="single" w:sz="8" w:color="CCEEFF"/>
            </w:tcBorders>
          </w:tcPr>
          <w:p>
            <w:pPr>
              <w:ind w:left="80"/>
              <w:spacing w:after="0" w:line="146" w:lineRule="exact"/>
              <w:rPr>
                <w:sz w:val="20"/>
                <w:szCs w:val="20"/>
                <w:color w:val="auto"/>
              </w:rPr>
            </w:pPr>
            <w:r>
              <w:rPr>
                <w:rFonts w:ascii="Arial" w:cs="Arial" w:eastAsia="Arial" w:hAnsi="Arial"/>
                <w:sz w:val="13"/>
                <w:szCs w:val="13"/>
                <w:color w:val="auto"/>
              </w:rPr>
              <w:t>Weighted avg. shares including dilutive potential common shares</w:t>
            </w: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19,729,181</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20,178,089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per share,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0.70</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0.78</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vMerge w:val="restart"/>
          </w:tcPr>
          <w:p>
            <w:pPr>
              <w:spacing w:after="0"/>
              <w:rPr>
                <w:sz w:val="10"/>
                <w:szCs w:val="10"/>
                <w:color w:val="auto"/>
              </w:rPr>
            </w:pPr>
          </w:p>
        </w:tc>
        <w:tc>
          <w:tcPr>
            <w:tcW w:w="5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720,500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660" w:right="699"/>
        <w:spacing w:after="0" w:line="271" w:lineRule="auto"/>
        <w:rPr>
          <w:sz w:val="20"/>
          <w:szCs w:val="20"/>
          <w:color w:val="auto"/>
        </w:rPr>
      </w:pPr>
      <w:r>
        <w:rPr>
          <w:rFonts w:ascii="Arial" w:cs="Arial" w:eastAsia="Arial" w:hAnsi="Arial"/>
          <w:sz w:val="11"/>
          <w:szCs w:val="11"/>
          <w:color w:val="auto"/>
        </w:rPr>
        <w:t>Net income has not been allocated to unvested restricted stock awards that are participating securitiesbecause the amounts that would be allocated are not material to net income per share of common stock. Unvested restricted stock awards that are participatingsecurities represent less than one percent of all of the outstanding shares of common stock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1060" w:hanging="397"/>
        <w:spacing w:after="0"/>
        <w:tabs>
          <w:tab w:leader="none" w:pos="106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LOSS CONTINGENCIES</w:t>
      </w:r>
    </w:p>
    <w:p>
      <w:pPr>
        <w:spacing w:after="0" w:line="210" w:lineRule="exact"/>
        <w:rPr>
          <w:sz w:val="20"/>
          <w:szCs w:val="20"/>
          <w:color w:val="auto"/>
        </w:rPr>
      </w:pPr>
    </w:p>
    <w:p>
      <w:pPr>
        <w:jc w:val="both"/>
        <w:ind w:left="660" w:right="699" w:firstLine="256"/>
        <w:spacing w:after="0" w:line="260"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12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As previously disclosed, on July 13, 2023, three individual shareholders (“The Plaintiffs”) filed a complaint against six board members serving in July 2021, without naming the Bank as a party, alleging the named directors did not have the authority to approve the exchange of preferred stock in July 2021 as part of the Bank’s initial public offering and that further, such action breached their fiduciary duties. The Plaintiffs claim this exchange was not permitted by the Bank’s Articles of Incorporation. The Company believes that the allegations in the lawsuit are legally and factually without merit, and the Company intends to vigorously defend against the allegations in the lawsuit. Despite the Company’s belief the lawsuit lacks merit, if the plaintiffs were successful, the Court could award substantial compensatory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2.</w:t>
        <w:tab/>
        <w:t>Management's Discussion and Analysis of Financial Condition  and Results of Operations</w:t>
      </w:r>
    </w:p>
    <w:p>
      <w:pPr>
        <w:spacing w:after="0" w:line="163"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i w:val="1"/>
          <w:iCs w:val="1"/>
          <w:color w:val="auto"/>
        </w:rPr>
        <w:t>The following discussion and analysis is designed to provide a better understanding of the consolidated financial condition and results of operations of the Company and the Bank, its wholly owned subsidiary, for the quarter and nine months ended September 30, 2023. This discussion and analysis is best read in conjunction with the unaudited consolidated financial statements and related footnotes included in this Quarterly Report on Form 10-Q (“Form 10-Q”) and the audited consolidated financial statements and related footnotes included in the Annual Report on Form 10-K/A (“2022 Form 10-K/A”) filed with the Securities and Exchange Commission (“SEC”) for the year ended December 31, 2022.</w:t>
      </w:r>
    </w:p>
    <w:p>
      <w:pPr>
        <w:spacing w:after="0" w:line="142"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i w:val="1"/>
          <w:iCs w:val="1"/>
          <w:color w:val="auto"/>
        </w:rPr>
        <w:t>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below and in the 2022 Form 10-K/A filed with the SEC which is available at the SEC’s website www.sec.gov.</w:t>
      </w:r>
    </w:p>
    <w:p>
      <w:pPr>
        <w:spacing w:after="0" w:line="137" w:lineRule="exact"/>
        <w:rPr>
          <w:sz w:val="20"/>
          <w:szCs w:val="20"/>
          <w:color w:val="auto"/>
        </w:rPr>
      </w:pPr>
    </w:p>
    <w:p>
      <w:pPr>
        <w:ind w:left="660" w:right="719" w:firstLine="256"/>
        <w:spacing w:after="0" w:line="273" w:lineRule="auto"/>
        <w:rPr>
          <w:sz w:val="20"/>
          <w:szCs w:val="20"/>
          <w:color w:val="auto"/>
        </w:rPr>
      </w:pPr>
      <w:r>
        <w:rPr>
          <w:rFonts w:ascii="Arial" w:cs="Arial" w:eastAsia="Arial" w:hAnsi="Arial"/>
          <w:sz w:val="14"/>
          <w:szCs w:val="14"/>
          <w:i w:val="1"/>
          <w:iCs w:val="1"/>
          <w:color w:val="auto"/>
        </w:rPr>
        <w:t>Throughout this document, references to “we,” “us,” “our,” and “the Company” generally refer to USCB Financial Holdings, Inc.</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Forward-Looking Statements</w:t>
      </w:r>
    </w:p>
    <w:p>
      <w:pPr>
        <w:spacing w:after="0" w:line="17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This Form 10-Q contains statements that are not historical in nature and are intended to be, and are hereby identified as, forward-looking statements for purposes of the safe harbor provided by Section 21E of the Securities Exchange Act of 1934, as amended (Exchange Act”). The words “may,” “will,” “anticipate,” “should,” “would,” “believe,” “contemplate,” “expect,” “aim,” “plan,” “estimate,” “continue,” and “intend,” as well as other similar words and expressions of the future, are intended to identify forward-looking statements.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balance sheet restructuring.</w:t>
      </w:r>
    </w:p>
    <w:p>
      <w:pPr>
        <w:spacing w:after="0" w:line="135" w:lineRule="exact"/>
        <w:rPr>
          <w:sz w:val="20"/>
          <w:szCs w:val="20"/>
          <w:color w:val="auto"/>
        </w:rPr>
      </w:pPr>
    </w:p>
    <w:p>
      <w:pPr>
        <w:ind w:left="660" w:right="679" w:firstLine="256"/>
        <w:spacing w:after="0" w:line="283"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15" w:lineRule="exact"/>
        <w:rPr>
          <w:sz w:val="20"/>
          <w:szCs w:val="20"/>
          <w:color w:val="auto"/>
        </w:rPr>
      </w:pPr>
    </w:p>
    <w:p>
      <w:pPr>
        <w:ind w:left="1180" w:hanging="261"/>
        <w:spacing w:after="0"/>
        <w:tabs>
          <w:tab w:leader="none" w:pos="11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strength of the United States economy in general and the strength of the local economies in which we conduct operations;</w:t>
      </w:r>
    </w:p>
    <w:p>
      <w:pPr>
        <w:spacing w:after="0" w:line="19" w:lineRule="exact"/>
        <w:rPr>
          <w:rFonts w:ascii="Arial" w:cs="Arial" w:eastAsia="Arial" w:hAnsi="Arial"/>
          <w:sz w:val="12"/>
          <w:szCs w:val="12"/>
          <w:color w:val="auto"/>
        </w:rPr>
      </w:pP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successfully manage interest rate risk, credit risk, liquidity risk, and other risks inherent to our industry;</w:t>
      </w:r>
    </w:p>
    <w:p>
      <w:pPr>
        <w:ind w:left="1180" w:right="659" w:hanging="261"/>
        <w:spacing w:after="0" w:line="239"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accuracy of our financial statement estimates and assumptions, including the estimates used for our credit loss reserve and deferred tax asset valuation allowance;</w:t>
      </w:r>
    </w:p>
    <w:p>
      <w:pPr>
        <w:ind w:left="1180" w:hanging="261"/>
        <w:spacing w:after="0" w:line="222"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efficiency and effectiveness of our internal control procedures and processes;</w:t>
      </w:r>
    </w:p>
    <w:p>
      <w:pPr>
        <w:ind w:left="1180" w:right="699" w:hanging="261"/>
        <w:spacing w:after="0" w:line="239"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comply with the extensive laws and regulations to which we are subject, including the laws for each jurisdiction where we operate;</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adverse changes or conditions in capital and financial markets, including actual or potential stresses in the banking industry;</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deposit attrition and the level of our uninsured deposits;</w:t>
      </w:r>
    </w:p>
    <w:p>
      <w:pPr>
        <w:ind w:left="1180" w:right="679" w:hanging="261"/>
        <w:spacing w:after="0" w:line="231"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legislative or regulatory changes and changes in accounting principles, policies, practices or guidelines, including the on-going effects of the implementation of the Current Expected Credit Losses (“CECL”) standard;</w:t>
      </w:r>
    </w:p>
    <w:p>
      <w:pPr>
        <w:jc w:val="both"/>
        <w:ind w:left="1180" w:right="659" w:hanging="261"/>
        <w:spacing w:after="0" w:line="239"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lack of a significantly diversified loan portfolio and the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Arial" w:cs="Arial" w:eastAsia="Arial" w:hAnsi="Arial"/>
          <w:sz w:val="13"/>
          <w:szCs w:val="13"/>
          <w:color w:val="auto"/>
        </w:rPr>
      </w:pP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effects of climate change;</w:t>
      </w:r>
    </w:p>
    <w:p>
      <w:pPr>
        <w:ind w:left="1180" w:hanging="261"/>
        <w:spacing w:after="0" w:line="222"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concentration of ownership of our common stock;</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fluctuations in the price of our common stock;</w:t>
      </w:r>
    </w:p>
    <w:p>
      <w:pPr>
        <w:ind w:left="1180" w:right="679" w:hanging="261"/>
        <w:spacing w:after="0" w:line="239"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inflation, interest rate, unemployment rate, market and monetary fluctuations;</w:t>
      </w:r>
    </w:p>
    <w:p>
      <w:pPr>
        <w:ind w:left="1180" w:hanging="261"/>
        <w:spacing w:after="0" w:line="222"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impacts of international hostilities and geopolitical events;</w:t>
      </w:r>
    </w:p>
    <w:p>
      <w:pPr>
        <w:ind w:left="1180" w:right="659" w:hanging="261"/>
        <w:spacing w:after="0" w:line="239"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increased competition and its effect on the pricing of our products and services as well as our interest rate spread and net interest margin;</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loss of key employees;</w:t>
      </w:r>
    </w:p>
    <w:p>
      <w:pPr>
        <w:ind w:left="1180" w:right="679" w:hanging="261"/>
        <w:spacing w:after="0" w:line="231"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effectiveness of our risk management strategies, including operational risks, including, but not limited to, client, employee, or third-party fraud and security breaches; and</w:t>
      </w:r>
    </w:p>
    <w:p>
      <w:pPr>
        <w:ind w:left="1180" w:right="699" w:hanging="261"/>
        <w:spacing w:after="0" w:line="246"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other risks described in this Form 10-Q, the 2022 Form 10-K/A and other filings we make with the Securities and Exchange Commission (“SEC”).</w:t>
      </w:r>
    </w:p>
    <w:p>
      <w:pPr>
        <w:spacing w:after="0" w:line="290"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w:t>
      </w:r>
    </w:p>
    <w:p>
      <w:pPr>
        <w:spacing w:after="0" w:line="21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9" w:lineRule="auto"/>
        <w:rPr>
          <w:sz w:val="20"/>
          <w:szCs w:val="20"/>
          <w:color w:val="auto"/>
        </w:rPr>
      </w:pPr>
      <w:r>
        <w:rPr>
          <w:rFonts w:ascii="Arial" w:cs="Arial" w:eastAsia="Arial" w:hAnsi="Arial"/>
          <w:sz w:val="14"/>
          <w:szCs w:val="14"/>
          <w:color w:val="auto"/>
        </w:rPr>
        <w:t>forward-looking statements. Further, forward-looking statements included in this Form 10-Q are made only as of the date hereof, and we undertake no obligation to update or revise any forward-looking statement to reflect events or circumstances after the date on which the statements are made or to reflect the occurrence of unanticipated events, unless required to do so under the federal securities laws. You should also review the risk factors described in the reports the Company has filed or will file with the SEC.</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8" w:lineRule="exact"/>
        <w:rPr>
          <w:sz w:val="20"/>
          <w:szCs w:val="20"/>
          <w:color w:val="auto"/>
        </w:rPr>
      </w:pPr>
    </w:p>
    <w:p>
      <w:pPr>
        <w:jc w:val="both"/>
        <w:ind w:left="660" w:right="699" w:firstLine="256"/>
        <w:spacing w:after="0" w:line="249" w:lineRule="auto"/>
        <w:rPr>
          <w:sz w:val="20"/>
          <w:szCs w:val="20"/>
          <w:color w:val="auto"/>
        </w:rPr>
      </w:pPr>
      <w:r>
        <w:rPr>
          <w:rFonts w:ascii="Arial" w:cs="Arial" w:eastAsia="Arial" w:hAnsi="Arial"/>
          <w:sz w:val="14"/>
          <w:szCs w:val="14"/>
          <w:color w:val="auto"/>
        </w:rPr>
        <w:t>The Company reported net income of $3.8 million or $0.19 per diluted share of common stock for the three months ended September 30, 2023 compared to $5.6 million or $0.28 per diluted share of common stock for the three months ended September 30, 2022. Net income for the nine months ended September 30, 2023 was $13.8 million or $0.70 per diluted share of common stock compared to $15.7 million or $0.78 per diluted share of common stock for the same period in 2022.</w:t>
      </w:r>
    </w:p>
    <w:p>
      <w:pPr>
        <w:spacing w:after="0" w:line="14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No shares were repurchased during the third quarter 2023. Year-to-date, the Company has repurchased 577,603 of Class Acommon stock shares at a weighted average price per share of $9.77. These repurchases were made through open market purchases pursuant to the Company’s publicly announced repurchase program. As of September 30, 2023, 172,397 shares remained authorized for repurchase under this program.</w:t>
      </w:r>
    </w:p>
    <w:p>
      <w:pPr>
        <w:spacing w:after="0" w:line="145"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In evaluating our financial performance, the Company considers the level of and trends in net interest income, the net interest margin, the cost of deposits, levels and composition of non-interest income and non-interest expense, performance ratios, asset quality ratios, regulatory capital ratios, and any significant event or transaction.</w:t>
      </w:r>
    </w:p>
    <w:p>
      <w:pPr>
        <w:spacing w:after="0" w:line="128" w:lineRule="exact"/>
        <w:rPr>
          <w:sz w:val="20"/>
          <w:szCs w:val="20"/>
          <w:color w:val="auto"/>
        </w:rPr>
      </w:pPr>
    </w:p>
    <w:p>
      <w:pPr>
        <w:jc w:val="both"/>
        <w:ind w:left="660" w:right="659" w:firstLine="256"/>
        <w:spacing w:after="0" w:line="260" w:lineRule="auto"/>
        <w:rPr>
          <w:sz w:val="20"/>
          <w:szCs w:val="20"/>
          <w:color w:val="auto"/>
        </w:rPr>
      </w:pPr>
      <w:r>
        <w:rPr>
          <w:rFonts w:ascii="Arial" w:cs="Arial" w:eastAsia="Arial" w:hAnsi="Arial"/>
          <w:sz w:val="14"/>
          <w:szCs w:val="14"/>
          <w:color w:val="auto"/>
        </w:rPr>
        <w:t>Unless otherwise stated, all period comparisons in the bullet points below are calculated for the quarter ended September 30, 2023 compared to the quarter ended September 30, 2022 and to December 31, 2022, and annualized where appropriate:</w:t>
      </w:r>
    </w:p>
    <w:p>
      <w:pPr>
        <w:spacing w:after="0" w:line="142" w:lineRule="exact"/>
        <w:rPr>
          <w:sz w:val="20"/>
          <w:szCs w:val="20"/>
          <w:color w:val="auto"/>
        </w:rPr>
      </w:pPr>
    </w:p>
    <w:p>
      <w:pPr>
        <w:ind w:left="1180" w:right="639" w:hanging="261"/>
        <w:spacing w:after="0" w:line="241"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Net interest income for the three months ended September 30, 2023 decreased $2.8 million or 16.4% to $14.0 million from $16.8 million for the quarter ended September 30, 2022. Net interest income for the nine months ended in September 30, 2023 decreased $2.6 million or 5.6% to $44.2 million compared to the same period ended September 30, 2022.</w:t>
      </w:r>
    </w:p>
    <w:p>
      <w:pPr>
        <w:spacing w:after="0" w:line="136" w:lineRule="exact"/>
        <w:rPr>
          <w:rFonts w:ascii="Arial" w:cs="Arial" w:eastAsia="Arial" w:hAnsi="Arial"/>
          <w:sz w:val="13"/>
          <w:szCs w:val="13"/>
          <w:color w:val="auto"/>
        </w:rPr>
      </w:pPr>
    </w:p>
    <w:p>
      <w:pPr>
        <w:jc w:val="both"/>
        <w:ind w:left="1180" w:right="659" w:hanging="261"/>
        <w:spacing w:after="0" w:line="24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Net interest margin (“NIM”) was 2.60% for the three months ended September 30, 2023 compared to 3.47% for the three months ended September 30, 2022. NIM was 2.84% for the nine months ended in September 30, 2023compared to 3.36% for the same period in 2022.</w:t>
      </w:r>
    </w:p>
    <w:p>
      <w:pPr>
        <w:spacing w:after="0" w:line="121" w:lineRule="exact"/>
        <w:rPr>
          <w:rFonts w:ascii="Arial" w:cs="Arial" w:eastAsia="Arial" w:hAnsi="Arial"/>
          <w:sz w:val="13"/>
          <w:szCs w:val="13"/>
          <w:color w:val="auto"/>
        </w:rPr>
      </w:pPr>
    </w:p>
    <w:p>
      <w:pPr>
        <w:ind w:left="1180" w:right="679" w:hanging="261"/>
        <w:spacing w:after="0" w:line="25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Total assets were $2.2 billion at September 30, 2023, representing an increase of $207.1 million or 10.2% from September 30, 2022 and an increase of $158.8 million or 10.2% annualized from December 31, 2022.</w:t>
      </w:r>
    </w:p>
    <w:p>
      <w:pPr>
        <w:spacing w:after="0" w:line="136" w:lineRule="exact"/>
        <w:rPr>
          <w:rFonts w:ascii="Arial" w:cs="Arial" w:eastAsia="Arial" w:hAnsi="Arial"/>
          <w:sz w:val="13"/>
          <w:szCs w:val="13"/>
          <w:color w:val="auto"/>
        </w:rPr>
      </w:pPr>
    </w:p>
    <w:p>
      <w:pPr>
        <w:ind w:left="1180" w:right="659" w:hanging="261"/>
        <w:spacing w:after="0" w:line="25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Total loans were $1.7 billion at September 30, 2023, representing an increase of $245.0 million or 17.1% from September 30, 2022 and an increase of $169.2 million or 15.0% annualized from December 31, 2022.</w:t>
      </w:r>
    </w:p>
    <w:p>
      <w:pPr>
        <w:spacing w:after="0" w:line="136" w:lineRule="exact"/>
        <w:rPr>
          <w:rFonts w:ascii="Arial" w:cs="Arial" w:eastAsia="Arial" w:hAnsi="Arial"/>
          <w:sz w:val="13"/>
          <w:szCs w:val="13"/>
          <w:color w:val="auto"/>
        </w:rPr>
      </w:pPr>
    </w:p>
    <w:p>
      <w:pPr>
        <w:ind w:left="1180" w:right="679" w:hanging="261"/>
        <w:spacing w:after="0" w:line="25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Total deposits were $1.9 billion at September 30, 2023, representing an increase of $124.3 million or 6.9% from September 30, 2022 and an increase of $91.6 million or 6.7% annualized from December 31, 2022.</w:t>
      </w:r>
    </w:p>
    <w:p>
      <w:pPr>
        <w:spacing w:after="0" w:line="136" w:lineRule="exact"/>
        <w:rPr>
          <w:rFonts w:ascii="Arial" w:cs="Arial" w:eastAsia="Arial" w:hAnsi="Arial"/>
          <w:sz w:val="13"/>
          <w:szCs w:val="13"/>
          <w:color w:val="auto"/>
        </w:rPr>
      </w:pPr>
    </w:p>
    <w:p>
      <w:pPr>
        <w:ind w:left="1180" w:right="679" w:hanging="261"/>
        <w:spacing w:after="0" w:line="25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Annualized return on average assets for the quarter ended September 30, 2023 was 0.67% compared to 1.09% for the quarter ended September 30, 2022.</w:t>
      </w:r>
    </w:p>
    <w:p>
      <w:pPr>
        <w:spacing w:after="0" w:line="114" w:lineRule="exact"/>
        <w:rPr>
          <w:rFonts w:ascii="Arial" w:cs="Arial" w:eastAsia="Arial" w:hAnsi="Arial"/>
          <w:sz w:val="13"/>
          <w:szCs w:val="13"/>
          <w:color w:val="auto"/>
        </w:rPr>
      </w:pPr>
    </w:p>
    <w:p>
      <w:pPr>
        <w:ind w:left="1180" w:right="679" w:hanging="261"/>
        <w:spacing w:after="0" w:line="25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Annualized return on average stockholders’ equity for the quarter ended September 30, 2023 was 8.19% compared to 11.90% for quarter ended September 30, 2022.</w:t>
      </w:r>
    </w:p>
    <w:p>
      <w:pPr>
        <w:spacing w:after="0" w:line="125" w:lineRule="exact"/>
        <w:rPr>
          <w:rFonts w:ascii="Arial" w:cs="Arial" w:eastAsia="Arial" w:hAnsi="Arial"/>
          <w:sz w:val="13"/>
          <w:szCs w:val="13"/>
          <w:color w:val="auto"/>
        </w:rPr>
      </w:pPr>
    </w:p>
    <w:p>
      <w:pPr>
        <w:ind w:left="1180" w:right="659" w:hanging="261"/>
        <w:spacing w:after="0" w:line="301" w:lineRule="auto"/>
        <w:tabs>
          <w:tab w:leader="none" w:pos="11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ACL to total loans was 1.16% at both September 30, 2023 and December 31, 2022. ACL was calculated under the CECL methodology for three and nine months ended September 30, 2023 and the incurred loss methodology for all periods in 2022.</w:t>
      </w:r>
    </w:p>
    <w:p>
      <w:pPr>
        <w:spacing w:after="0" w:line="112" w:lineRule="exact"/>
        <w:rPr>
          <w:rFonts w:ascii="Arial" w:cs="Arial" w:eastAsia="Arial" w:hAnsi="Arial"/>
          <w:sz w:val="12"/>
          <w:szCs w:val="12"/>
          <w:color w:val="auto"/>
        </w:rPr>
      </w:pPr>
    </w:p>
    <w:p>
      <w:pPr>
        <w:ind w:left="1180" w:hanging="261"/>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Non-performing loans to total loans was 0.03% at September 30, 2023 compared to 0.00% at December 31, 2022.</w:t>
      </w:r>
    </w:p>
    <w:p>
      <w:pPr>
        <w:spacing w:after="0" w:line="159" w:lineRule="exact"/>
        <w:rPr>
          <w:rFonts w:ascii="Arial" w:cs="Arial" w:eastAsia="Arial" w:hAnsi="Arial"/>
          <w:sz w:val="13"/>
          <w:szCs w:val="13"/>
          <w:color w:val="auto"/>
        </w:rPr>
      </w:pPr>
    </w:p>
    <w:p>
      <w:pPr>
        <w:ind w:left="1180" w:hanging="261"/>
        <w:spacing w:after="0"/>
        <w:tabs>
          <w:tab w:leader="none" w:pos="11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At September 30, 2023, the total risk-based capital ratios for the Company and the Bank were 13.10% and 13.06%, respectively.</w:t>
      </w:r>
    </w:p>
    <w:p>
      <w:pPr>
        <w:spacing w:after="0" w:line="150" w:lineRule="exact"/>
        <w:rPr>
          <w:rFonts w:ascii="Arial" w:cs="Arial" w:eastAsia="Arial" w:hAnsi="Arial"/>
          <w:sz w:val="12"/>
          <w:szCs w:val="12"/>
          <w:color w:val="auto"/>
        </w:rPr>
      </w:pPr>
    </w:p>
    <w:p>
      <w:pPr>
        <w:jc w:val="both"/>
        <w:ind w:left="1180" w:right="659" w:hanging="261"/>
        <w:spacing w:after="0" w:line="244"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Tangible book value per common share (a non-GAAP financialmeasurement) of $9.36 as of September 30, 2023 was negatively affected by $2.62 due to accumulated comprehensive loss of $51.2 million at September 30, 2023. At September 30, 2022, tangible book value of $8.87 per common share was negatively affected by $2.26 due to $45.2 million accumulated other comprehensive loss. See “Reconciliation and Management Explanation for Non-GAAP Financial Measures” for a reconciliation of this non-GAAP financial measure.</w:t>
      </w:r>
    </w:p>
    <w:p>
      <w:pPr>
        <w:spacing w:after="0" w:line="200" w:lineRule="exact"/>
        <w:rPr>
          <w:sz w:val="20"/>
          <w:szCs w:val="20"/>
          <w:color w:val="auto"/>
        </w:rPr>
      </w:pPr>
    </w:p>
    <w:p>
      <w:pPr>
        <w:spacing w:after="0" w:line="37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67"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3"/>
          <w:szCs w:val="13"/>
          <w:color w:val="auto"/>
        </w:rPr>
        <w:t>The consolidated financial statements are prepared based on the application of U.S. GAAP, the most significant of which are described in Note 1 “Summary of Significant Accounting Policies” in the Company’s 2022 Form 10-K/A. To prepare financial statements in conformity with US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and Risk Committee of our Board of Directors.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76"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On January 1, 2023, the Company adopted ASU 2016-13 Financial Instruments - Credit Losses (Topic 326): Measurement of Credit Losses on Financial Instruments, as amended, which replaces the incurred loss methodology with an expected loss methodology that is referred to as the current expected credit loss (CECL) methodology. See Note 1 “Summary of Significant Accounting Policies” in Item 1 of Part I of this Form 10-Q for more information on the adoption ASC 326 and the allowance for credit losses.</w:t>
      </w:r>
    </w:p>
    <w:p>
      <w:pPr>
        <w:spacing w:after="0" w:line="14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Our ACL included residential loans. To assess the potential impact of changes in qualitative factors related to these loans, management performed a sensitivity analysis. The Company evaluated the impact of the HPI used in calculating expected losses on the residential loan segment. As of September 30, 2023, for every 100 basis points increase in the HPI index, the forecast reduces reserves by approximately $217 thousand and about 1 basis point to the reserve coverage ratio, everything else being constant. This sensitivity analysis provides a hypothetical result to assess the sensitivity of the ACL and does not represent a change in management’s judgement.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Income Taxes</w:t>
      </w:r>
    </w:p>
    <w:p>
      <w:pPr>
        <w:spacing w:after="0" w:line="165"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6"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assets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32"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7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This Form 10-Q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section “Reconciliation and Management Explanation of Non-GAAP Financial Measures” included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Segment Reporting</w:t>
      </w:r>
    </w:p>
    <w:p>
      <w:pPr>
        <w:spacing w:after="0" w:line="167"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Management monitors the revenue streams for all its various products and services. The identifiable segments are not material and operations are managed and financial performance is evaluated on an overall Company-wide basis. Accordingly, all the financial service operations are considered by management to be aggregated in one reportable operating segment.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65" w:lineRule="exact"/>
        <w:rPr>
          <w:sz w:val="20"/>
          <w:szCs w:val="20"/>
          <w:color w:val="auto"/>
        </w:rPr>
      </w:pPr>
    </w:p>
    <w:p>
      <w:pPr>
        <w:ind w:left="660" w:right="699" w:firstLine="256"/>
        <w:spacing w:after="0" w:line="283"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indicated (in thousands, except ratios):</w:t>
      </w:r>
    </w:p>
    <w:p>
      <w:pPr>
        <w:spacing w:after="0" w:line="139"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September 30, 2023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2022</w:t>
            </w:r>
          </w:p>
        </w:tc>
      </w:tr>
      <w:tr>
        <w:trPr>
          <w:trHeight w:val="151"/>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2,244,602</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2,085,834</w:t>
            </w:r>
          </w:p>
        </w:tc>
        <w:tc>
          <w:tcPr>
            <w:tcW w:w="20" w:type="dxa"/>
            <w:vAlign w:val="bottom"/>
          </w:tcPr>
          <w:p>
            <w:pPr>
              <w:spacing w:after="0"/>
              <w:rPr>
                <w:sz w:val="14"/>
                <w:szCs w:val="14"/>
                <w:color w:val="auto"/>
              </w:rPr>
            </w:pPr>
          </w:p>
        </w:tc>
      </w:tr>
      <w:tr>
        <w:trPr>
          <w:trHeight w:val="160"/>
        </w:trPr>
        <w:tc>
          <w:tcPr>
            <w:tcW w:w="4920" w:type="dxa"/>
            <w:vAlign w:val="bottom"/>
            <w:shd w:val="clear" w:color="auto" w:fill="CCEEFF"/>
          </w:tcPr>
          <w:p>
            <w:pPr>
              <w:ind w:left="100"/>
              <w:spacing w:after="0" w:line="150"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7"/>
                <w:szCs w:val="17"/>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1,676,520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1,507,338</w:t>
            </w:r>
          </w:p>
        </w:tc>
        <w:tc>
          <w:tcPr>
            <w:tcW w:w="20" w:type="dxa"/>
            <w:vAlign w:val="bottom"/>
            <w:shd w:val="clear" w:color="auto" w:fill="CCEEFF"/>
          </w:tcPr>
          <w:p>
            <w:pPr>
              <w:spacing w:after="0"/>
              <w:rPr>
                <w:sz w:val="13"/>
                <w:szCs w:val="13"/>
                <w:color w:val="auto"/>
              </w:rPr>
            </w:pPr>
          </w:p>
        </w:tc>
      </w:tr>
      <w:tr>
        <w:trPr>
          <w:trHeight w:val="160"/>
        </w:trPr>
        <w:tc>
          <w:tcPr>
            <w:tcW w:w="492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1,920,922</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1,829,281</w:t>
            </w:r>
          </w:p>
        </w:tc>
        <w:tc>
          <w:tcPr>
            <w:tcW w:w="20" w:type="dxa"/>
            <w:vAlign w:val="bottom"/>
          </w:tcPr>
          <w:p>
            <w:pPr>
              <w:spacing w:after="0"/>
              <w:rPr>
                <w:sz w:val="13"/>
                <w:szCs w:val="13"/>
                <w:color w:val="auto"/>
              </w:rPr>
            </w:pPr>
          </w:p>
        </w:tc>
      </w:tr>
      <w:tr>
        <w:trPr>
          <w:trHeight w:val="160"/>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182,884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182,428</w:t>
            </w:r>
          </w:p>
        </w:tc>
        <w:tc>
          <w:tcPr>
            <w:tcW w:w="20" w:type="dxa"/>
            <w:vAlign w:val="bottom"/>
            <w:shd w:val="clear" w:color="auto" w:fill="CCEEFF"/>
          </w:tcPr>
          <w:p>
            <w:pPr>
              <w:spacing w:after="0"/>
              <w:rPr>
                <w:sz w:val="13"/>
                <w:szCs w:val="13"/>
                <w:color w:val="auto"/>
              </w:rPr>
            </w:pPr>
          </w:p>
        </w:tc>
      </w:tr>
    </w:tbl>
    <w:p>
      <w:pPr>
        <w:spacing w:after="0" w:line="140" w:lineRule="exact"/>
        <w:rPr>
          <w:sz w:val="20"/>
          <w:szCs w:val="20"/>
          <w:color w:val="auto"/>
        </w:rPr>
      </w:pPr>
    </w:p>
    <w:tbl>
      <w:tblPr>
        <w:tblLayout w:type="fixed"/>
        <w:tblInd w:w="660" w:type="dxa"/>
        <w:tblCellMar>
          <w:top w:w="0" w:type="dxa"/>
          <w:left w:w="0" w:type="dxa"/>
          <w:bottom w:w="0" w:type="dxa"/>
          <w:right w:w="0" w:type="dxa"/>
        </w:tblCellMar>
      </w:tblPr>
      <w:tr>
        <w:trPr>
          <w:trHeight w:val="156"/>
        </w:trPr>
        <w:tc>
          <w:tcPr>
            <w:tcW w:w="316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(1) Loan amounts include deferred fees/costs.</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3160" w:type="dxa"/>
            <w:vAlign w:val="bottom"/>
          </w:tcPr>
          <w:p>
            <w:pPr>
              <w:spacing w:after="0"/>
              <w:rPr>
                <w:sz w:val="24"/>
                <w:szCs w:val="24"/>
                <w:color w:val="auto"/>
              </w:rPr>
            </w:pPr>
          </w:p>
        </w:tc>
        <w:tc>
          <w:tcPr>
            <w:tcW w:w="22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3"/>
                <w:szCs w:val="13"/>
                <w:b w:val="1"/>
                <w:bCs w:val="1"/>
                <w:color w:val="auto"/>
                <w:w w:val="99"/>
              </w:rPr>
              <w:t>Three Months Ended September 30,</w:t>
            </w:r>
          </w:p>
        </w:tc>
        <w:tc>
          <w:tcPr>
            <w:tcW w:w="40" w:type="dxa"/>
            <w:vAlign w:val="bottom"/>
          </w:tcPr>
          <w:p>
            <w:pPr>
              <w:spacing w:after="0"/>
              <w:rPr>
                <w:sz w:val="24"/>
                <w:szCs w:val="2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20" w:type="dxa"/>
            <w:vAlign w:val="bottom"/>
          </w:tcPr>
          <w:p>
            <w:pPr>
              <w:spacing w:after="0"/>
              <w:rPr>
                <w:sz w:val="24"/>
                <w:szCs w:val="24"/>
                <w:color w:val="auto"/>
              </w:rPr>
            </w:pPr>
          </w:p>
        </w:tc>
      </w:tr>
      <w:tr>
        <w:trPr>
          <w:trHeight w:val="151"/>
        </w:trPr>
        <w:tc>
          <w:tcPr>
            <w:tcW w:w="3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r>
      <w:tr>
        <w:trPr>
          <w:trHeight w:val="151"/>
        </w:trPr>
        <w:tc>
          <w:tcPr>
            <w:tcW w:w="3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16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14,022</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16,774</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44,192</w:t>
            </w:r>
          </w:p>
        </w:tc>
        <w:tc>
          <w:tcPr>
            <w:tcW w:w="200" w:type="dxa"/>
            <w:vAlign w:val="bottom"/>
            <w:gridSpan w:val="2"/>
          </w:tcPr>
          <w:p>
            <w:pPr>
              <w:jc w:val="right"/>
              <w:ind w:right="32"/>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46,795</w:t>
            </w:r>
          </w:p>
        </w:tc>
        <w:tc>
          <w:tcPr>
            <w:tcW w:w="20" w:type="dxa"/>
            <w:vAlign w:val="bottom"/>
          </w:tcPr>
          <w:p>
            <w:pPr>
              <w:spacing w:after="0"/>
              <w:rPr>
                <w:sz w:val="13"/>
                <w:szCs w:val="13"/>
                <w:color w:val="auto"/>
              </w:rPr>
            </w:pPr>
          </w:p>
        </w:tc>
      </w:tr>
      <w:tr>
        <w:trPr>
          <w:trHeight w:val="160"/>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1,789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5,351</w:t>
            </w:r>
          </w:p>
        </w:tc>
        <w:tc>
          <w:tcPr>
            <w:tcW w:w="20" w:type="dxa"/>
            <w:vAlign w:val="bottom"/>
            <w:shd w:val="clear" w:color="auto" w:fill="CCEEFF"/>
          </w:tcPr>
          <w:p>
            <w:pPr>
              <w:spacing w:after="0"/>
              <w:rPr>
                <w:sz w:val="13"/>
                <w:szCs w:val="13"/>
                <w:color w:val="auto"/>
              </w:rPr>
            </w:pPr>
          </w:p>
        </w:tc>
      </w:tr>
      <w:tr>
        <w:trPr>
          <w:trHeight w:val="171"/>
        </w:trPr>
        <w:tc>
          <w:tcPr>
            <w:tcW w:w="3160" w:type="dxa"/>
            <w:vAlign w:val="bottom"/>
          </w:tcPr>
          <w:p>
            <w:pPr>
              <w:ind w:left="100"/>
              <w:spacing w:after="0"/>
              <w:rPr>
                <w:sz w:val="20"/>
                <w:szCs w:val="20"/>
                <w:color w:val="auto"/>
              </w:rPr>
            </w:pPr>
            <w:r>
              <w:rPr>
                <w:rFonts w:ascii="Arial" w:cs="Arial" w:eastAsia="Arial" w:hAnsi="Arial"/>
                <w:sz w:val="13"/>
                <w:szCs w:val="13"/>
                <w:color w:val="auto"/>
              </w:rPr>
              <w:t>Total non-interest expense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10,461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10,132</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31,089</w:t>
            </w:r>
          </w:p>
        </w:tc>
        <w:tc>
          <w:tcPr>
            <w:tcW w:w="200" w:type="dxa"/>
            <w:vAlign w:val="bottom"/>
            <w:gridSpan w:val="2"/>
          </w:tcPr>
          <w:p>
            <w:pPr>
              <w:jc w:val="right"/>
              <w:ind w:right="32"/>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29,295</w:t>
            </w:r>
          </w:p>
        </w:tc>
        <w:tc>
          <w:tcPr>
            <w:tcW w:w="20" w:type="dxa"/>
            <w:vAlign w:val="bottom"/>
          </w:tcPr>
          <w:p>
            <w:pPr>
              <w:spacing w:after="0"/>
              <w:rPr>
                <w:sz w:val="14"/>
                <w:szCs w:val="14"/>
                <w:color w:val="auto"/>
              </w:rPr>
            </w:pPr>
          </w:p>
        </w:tc>
      </w:tr>
      <w:tr>
        <w:trPr>
          <w:trHeight w:val="160"/>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5,558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15,707</w:t>
            </w:r>
          </w:p>
        </w:tc>
        <w:tc>
          <w:tcPr>
            <w:tcW w:w="20" w:type="dxa"/>
            <w:vAlign w:val="bottom"/>
            <w:shd w:val="clear" w:color="auto" w:fill="CCEEFF"/>
          </w:tcPr>
          <w:p>
            <w:pPr>
              <w:spacing w:after="0"/>
              <w:rPr>
                <w:sz w:val="13"/>
                <w:szCs w:val="13"/>
                <w:color w:val="auto"/>
              </w:rPr>
            </w:pPr>
          </w:p>
        </w:tc>
      </w:tr>
      <w:tr>
        <w:trPr>
          <w:trHeight w:val="171"/>
        </w:trPr>
        <w:tc>
          <w:tcPr>
            <w:tcW w:w="3160" w:type="dxa"/>
            <w:vAlign w:val="bottom"/>
          </w:tcPr>
          <w:p>
            <w:pPr>
              <w:spacing w:after="0"/>
              <w:rPr>
                <w:sz w:val="20"/>
                <w:szCs w:val="20"/>
                <w:color w:val="auto"/>
              </w:rPr>
            </w:pPr>
            <w:r>
              <w:rPr>
                <w:rFonts w:ascii="Arial" w:cs="Arial" w:eastAsia="Arial" w:hAnsi="Arial"/>
                <w:sz w:val="13"/>
                <w:szCs w:val="13"/>
                <w:b w:val="1"/>
                <w:bCs w:val="1"/>
                <w:color w:val="auto"/>
              </w:rPr>
              <w:t>Profitability: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Efficiency ratio</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54.58%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56.18%</w:t>
            </w:r>
          </w:p>
        </w:tc>
        <w:tc>
          <w:tcPr>
            <w:tcW w:w="20" w:type="dxa"/>
            <w:vAlign w:val="bottom"/>
            <w:shd w:val="clear" w:color="auto" w:fill="CCEEFF"/>
          </w:tcPr>
          <w:p>
            <w:pPr>
              <w:spacing w:after="0"/>
              <w:rPr>
                <w:sz w:val="13"/>
                <w:szCs w:val="13"/>
                <w:color w:val="auto"/>
              </w:rPr>
            </w:pPr>
          </w:p>
        </w:tc>
      </w:tr>
      <w:tr>
        <w:trPr>
          <w:trHeight w:val="166"/>
        </w:trPr>
        <w:tc>
          <w:tcPr>
            <w:tcW w:w="3160" w:type="dxa"/>
            <w:vAlign w:val="bottom"/>
          </w:tcPr>
          <w:p>
            <w:pPr>
              <w:ind w:left="100"/>
              <w:spacing w:after="0"/>
              <w:rPr>
                <w:sz w:val="20"/>
                <w:szCs w:val="20"/>
                <w:color w:val="auto"/>
              </w:rPr>
            </w:pPr>
            <w:r>
              <w:rPr>
                <w:rFonts w:ascii="Arial" w:cs="Arial" w:eastAsia="Arial" w:hAnsi="Arial"/>
                <w:sz w:val="13"/>
                <w:szCs w:val="13"/>
                <w:color w:val="auto"/>
              </w:rPr>
              <w:t>Net interest margin</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3.47%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3.36%</w:t>
            </w:r>
          </w:p>
        </w:tc>
        <w:tc>
          <w:tcPr>
            <w:tcW w:w="20" w:type="dxa"/>
            <w:vAlign w:val="bottom"/>
          </w:tcPr>
          <w:p>
            <w:pPr>
              <w:spacing w:after="0"/>
              <w:rPr>
                <w:sz w:val="14"/>
                <w:szCs w:val="14"/>
                <w:color w:val="auto"/>
              </w:rPr>
            </w:pPr>
          </w:p>
        </w:tc>
      </w:tr>
    </w:tbl>
    <w:p>
      <w:pPr>
        <w:spacing w:after="0" w:line="155"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The Company’s results of operations depend substantially on net interest income and non-interest income. Other factors contributing to the results of operations include our provision for credit losses, the level of non-interest expense, and the provision for income taxes.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2023 compared to the three months ended September 30, 2022</w:t>
      </w:r>
    </w:p>
    <w:p>
      <w:pPr>
        <w:spacing w:after="0" w:line="174"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Net income decreased to $3.8 million for the three months ended September 30, 2023 from $5.6 million for the same period in 2022 mainly due to higher weighted average deposit costs.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2023 compared to nine months ended September 30, 2022</w:t>
      </w:r>
    </w:p>
    <w:p>
      <w:pPr>
        <w:spacing w:after="0" w:line="163"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Net income decreased to $13.8 million for the nine months ended September 30, 2023 from $15.7 million for the same period in 2022. The main drivers of the variance of net income was a $25.1 million increase in interest expense mainly due to increases in the cost of deposits partially offset by a $22.5 million increase in interest income generated from higher loan yields and a larger loan portfolio.</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76"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Net interest income is the difference between interest earned on interest-earning assets and interest paid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311" w:lineRule="exact"/>
        <w:rPr>
          <w:sz w:val="20"/>
          <w:szCs w:val="20"/>
          <w:color w:val="auto"/>
        </w:rPr>
      </w:pPr>
    </w:p>
    <w:p>
      <w:pPr>
        <w:jc w:val="both"/>
        <w:ind w:left="660" w:right="679" w:firstLine="256"/>
        <w:spacing w:after="0" w:line="281" w:lineRule="auto"/>
        <w:rPr>
          <w:sz w:val="20"/>
          <w:szCs w:val="20"/>
          <w:color w:val="auto"/>
        </w:rPr>
      </w:pPr>
      <w:r>
        <w:rPr>
          <w:rFonts w:ascii="Arial" w:cs="Arial" w:eastAsia="Arial" w:hAnsi="Arial"/>
          <w:sz w:val="13"/>
          <w:szCs w:val="13"/>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yields earned on interest-earning assets and rates paid on interest-bearing liabilities. Net interest</w:t>
      </w:r>
    </w:p>
    <w:p>
      <w:pPr>
        <w:spacing w:after="0" w:line="20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2" w:lineRule="auto"/>
        <w:rPr>
          <w:sz w:val="20"/>
          <w:szCs w:val="20"/>
          <w:color w:val="auto"/>
        </w:rPr>
      </w:pPr>
      <w:r>
        <w:rPr>
          <w:rFonts w:ascii="Arial" w:cs="Arial" w:eastAsia="Arial" w:hAnsi="Arial"/>
          <w:sz w:val="14"/>
          <w:szCs w:val="14"/>
          <w:color w:val="auto"/>
        </w:rPr>
        <w:t>margin is equal to the annualized net interest income divided by average interest -earning assets. Because non-interest-bearing sources of funds, such as non-interest-bearing deposits and stockholders’ equity, also fund interest-earning assets, net interest margin includes the indirect benefit of these non-interest-bearing funding sources.</w:t>
      </w:r>
    </w:p>
    <w:p>
      <w:pPr>
        <w:spacing w:after="0" w:line="144"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Changes in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Our asset 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67" w:lineRule="auto"/>
        <w:rPr>
          <w:sz w:val="20"/>
          <w:szCs w:val="20"/>
          <w:color w:val="auto"/>
        </w:rPr>
      </w:pPr>
      <w:r>
        <w:rPr>
          <w:rFonts w:ascii="Arial" w:cs="Arial" w:eastAsia="Arial" w:hAnsi="Arial"/>
          <w:sz w:val="14"/>
          <w:szCs w:val="14"/>
          <w:color w:val="auto"/>
        </w:rPr>
        <w:t>The following table contains information related to average balances, average yields earned on assets, and average costs of liabilities for the periods indicated (dollars in thousands):</w:t>
      </w:r>
    </w:p>
    <w:p>
      <w:pPr>
        <w:spacing w:after="0" w:line="345"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12"/>
          </w:tcPr>
          <w:p>
            <w:pPr>
              <w:ind w:left="520"/>
              <w:spacing w:after="0"/>
              <w:rPr>
                <w:sz w:val="20"/>
                <w:szCs w:val="20"/>
                <w:color w:val="auto"/>
              </w:rPr>
            </w:pPr>
            <w:r>
              <w:rPr>
                <w:rFonts w:ascii="Arial" w:cs="Arial" w:eastAsia="Arial" w:hAnsi="Arial"/>
                <w:sz w:val="11"/>
                <w:szCs w:val="11"/>
                <w:b w:val="1"/>
                <w:bCs w:val="1"/>
                <w:color w:val="auto"/>
              </w:rPr>
              <w:t>Three Months Ended September 30,</w:t>
            </w: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2023</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83"/>
              <w:spacing w:after="0" w:line="119" w:lineRule="exact"/>
              <w:rPr>
                <w:sz w:val="20"/>
                <w:szCs w:val="20"/>
                <w:color w:val="auto"/>
              </w:rPr>
            </w:pPr>
            <w:r>
              <w:rPr>
                <w:rFonts w:ascii="Arial" w:cs="Arial" w:eastAsia="Arial" w:hAnsi="Arial"/>
                <w:sz w:val="11"/>
                <w:szCs w:val="11"/>
                <w:b w:val="1"/>
                <w:bCs w:val="1"/>
                <w:color w:val="auto"/>
              </w:rPr>
              <w:t xml:space="preserve">Average </w:t>
            </w:r>
            <w:r>
              <w:rPr>
                <w:rFonts w:ascii="Arial" w:cs="Arial" w:eastAsia="Arial" w:hAnsi="Arial"/>
                <w:sz w:val="13"/>
                <w:szCs w:val="13"/>
                <w:b w:val="1"/>
                <w:bCs w:val="1"/>
                <w:color w:val="auto"/>
                <w:vertAlign w:val="superscript"/>
              </w:rPr>
              <w:t>(1)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color w:val="auto"/>
                <w:vertAlign w:val="superscript"/>
              </w:rPr>
              <w:t>(2)</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83"/>
              <w:spacing w:after="0" w:line="119" w:lineRule="exact"/>
              <w:rPr>
                <w:sz w:val="20"/>
                <w:szCs w:val="20"/>
                <w:color w:val="auto"/>
              </w:rPr>
            </w:pPr>
            <w:r>
              <w:rPr>
                <w:rFonts w:ascii="Arial" w:cs="Arial" w:eastAsia="Arial" w:hAnsi="Arial"/>
                <w:sz w:val="11"/>
                <w:szCs w:val="11"/>
                <w:b w:val="1"/>
                <w:bCs w:val="1"/>
                <w:color w:val="auto"/>
              </w:rPr>
              <w:t xml:space="preserve">Average </w:t>
            </w:r>
            <w:r>
              <w:rPr>
                <w:rFonts w:ascii="Arial" w:cs="Arial" w:eastAsia="Arial" w:hAnsi="Arial"/>
                <w:sz w:val="13"/>
                <w:szCs w:val="13"/>
                <w:b w:val="1"/>
                <w:bCs w:val="1"/>
                <w:color w:val="auto"/>
                <w:vertAlign w:val="superscript"/>
              </w:rPr>
              <w:t>(1)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 xml:space="preserve">Yield/Rate </w:t>
            </w:r>
            <w:r>
              <w:rPr>
                <w:rFonts w:ascii="Arial" w:cs="Arial" w:eastAsia="Arial" w:hAnsi="Arial"/>
                <w:sz w:val="14"/>
                <w:szCs w:val="14"/>
                <w:color w:val="auto"/>
                <w:w w:val="97"/>
                <w:vertAlign w:val="superscript"/>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Interest-earning 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1,610,864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22,523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1,398,761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15,954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4.53%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445,828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2,833</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2.52%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450,514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2,201</w:t>
            </w:r>
          </w:p>
        </w:tc>
        <w:tc>
          <w:tcPr>
            <w:tcW w:w="740" w:type="dxa"/>
            <w:vAlign w:val="bottom"/>
            <w:gridSpan w:val="3"/>
          </w:tcPr>
          <w:p>
            <w:pPr>
              <w:ind w:left="380"/>
              <w:spacing w:after="0"/>
              <w:rPr>
                <w:sz w:val="20"/>
                <w:szCs w:val="20"/>
                <w:color w:val="auto"/>
              </w:rPr>
            </w:pPr>
            <w:r>
              <w:rPr>
                <w:rFonts w:ascii="Arial" w:cs="Arial" w:eastAsia="Arial" w:hAnsi="Arial"/>
                <w:sz w:val="11"/>
                <w:szCs w:val="11"/>
                <w:color w:val="auto"/>
              </w:rPr>
              <w:t>1.94%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interest-earnings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83,479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70,540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1.81%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interest-earning 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2,140,171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26,382</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4.89%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1,919,815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18,477</w:t>
            </w:r>
          </w:p>
        </w:tc>
        <w:tc>
          <w:tcPr>
            <w:tcW w:w="740" w:type="dxa"/>
            <w:vAlign w:val="bottom"/>
            <w:gridSpan w:val="3"/>
          </w:tcPr>
          <w:p>
            <w:pPr>
              <w:ind w:left="380"/>
              <w:spacing w:after="0"/>
              <w:rPr>
                <w:sz w:val="20"/>
                <w:szCs w:val="20"/>
                <w:color w:val="auto"/>
              </w:rPr>
            </w:pPr>
            <w:r>
              <w:rPr>
                <w:rFonts w:ascii="Arial" w:cs="Arial" w:eastAsia="Arial" w:hAnsi="Arial"/>
                <w:sz w:val="11"/>
                <w:szCs w:val="11"/>
                <w:color w:val="auto"/>
              </w:rPr>
              <w:t>3.82%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110,087</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106,976</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0"/>
              <w:spacing w:after="0"/>
              <w:rPr>
                <w:sz w:val="20"/>
                <w:szCs w:val="20"/>
                <w:color w:val="auto"/>
              </w:rPr>
            </w:pPr>
            <w:r>
              <w:rPr>
                <w:rFonts w:ascii="Arial" w:cs="Arial" w:eastAsia="Arial" w:hAnsi="Arial"/>
                <w:sz w:val="11"/>
                <w:szCs w:val="11"/>
                <w:color w:val="auto"/>
              </w:rPr>
              <w:t>Total assets</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2,250,258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2,026,791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62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Interest-bearing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52,080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66,585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0.11%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Arial" w:cs="Arial" w:eastAsia="Arial" w:hAnsi="Arial"/>
                <w:sz w:val="11"/>
                <w:szCs w:val="11"/>
                <w:color w:val="auto"/>
              </w:rPr>
              <w:t>Saving and money market deposits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1,011,164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8,779</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3.44%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823,521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1,141</w:t>
            </w:r>
          </w:p>
        </w:tc>
        <w:tc>
          <w:tcPr>
            <w:tcW w:w="740" w:type="dxa"/>
            <w:vAlign w:val="bottom"/>
            <w:gridSpan w:val="3"/>
          </w:tcPr>
          <w:p>
            <w:pPr>
              <w:ind w:left="380"/>
              <w:spacing w:after="0"/>
              <w:rPr>
                <w:sz w:val="20"/>
                <w:szCs w:val="20"/>
                <w:color w:val="auto"/>
              </w:rPr>
            </w:pPr>
            <w:r>
              <w:rPr>
                <w:rFonts w:ascii="Arial" w:cs="Arial" w:eastAsia="Arial" w:hAnsi="Arial"/>
                <w:sz w:val="11"/>
                <w:szCs w:val="11"/>
                <w:color w:val="auto"/>
              </w:rPr>
              <w:t>0.55%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290,272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2,565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217,023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0.66%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deposits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1,353,516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11,675</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3.42%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1,107,129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1,523</w:t>
            </w:r>
          </w:p>
        </w:tc>
        <w:tc>
          <w:tcPr>
            <w:tcW w:w="740" w:type="dxa"/>
            <w:vAlign w:val="bottom"/>
            <w:gridSpan w:val="3"/>
          </w:tcPr>
          <w:p>
            <w:pPr>
              <w:ind w:left="380"/>
              <w:spacing w:after="0"/>
              <w:rPr>
                <w:sz w:val="20"/>
                <w:szCs w:val="20"/>
                <w:color w:val="auto"/>
              </w:rPr>
            </w:pPr>
            <w:r>
              <w:rPr>
                <w:rFonts w:ascii="Arial" w:cs="Arial" w:eastAsia="Arial" w:hAnsi="Arial"/>
                <w:sz w:val="11"/>
                <w:szCs w:val="11"/>
                <w:color w:val="auto"/>
              </w:rPr>
              <w:t>0.55%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FHLB advances and other borrowings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85,326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43,935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1.63%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1,438,842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12,360</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3.41%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1,151,064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1,703</w:t>
            </w:r>
          </w:p>
        </w:tc>
        <w:tc>
          <w:tcPr>
            <w:tcW w:w="740" w:type="dxa"/>
            <w:vAlign w:val="bottom"/>
            <w:gridSpan w:val="3"/>
          </w:tcPr>
          <w:p>
            <w:pPr>
              <w:ind w:left="380"/>
              <w:spacing w:after="0"/>
              <w:rPr>
                <w:sz w:val="20"/>
                <w:szCs w:val="20"/>
                <w:color w:val="auto"/>
              </w:rPr>
            </w:pPr>
            <w:r>
              <w:rPr>
                <w:rFonts w:ascii="Arial" w:cs="Arial" w:eastAsia="Arial" w:hAnsi="Arial"/>
                <w:sz w:val="11"/>
                <w:szCs w:val="11"/>
                <w:color w:val="auto"/>
              </w:rPr>
              <w:t>0.59%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Non-interest-bearing demand deposits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587,917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655,853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20" w:type="dxa"/>
            <w:vAlign w:val="bottom"/>
          </w:tcPr>
          <w:p>
            <w:pPr>
              <w:ind w:left="100"/>
              <w:spacing w:after="0"/>
              <w:rPr>
                <w:sz w:val="20"/>
                <w:szCs w:val="20"/>
                <w:color w:val="auto"/>
              </w:rPr>
            </w:pPr>
            <w:r>
              <w:rPr>
                <w:rFonts w:ascii="Arial" w:cs="Arial" w:eastAsia="Arial" w:hAnsi="Arial"/>
                <w:sz w:val="11"/>
                <w:szCs w:val="11"/>
                <w:color w:val="auto"/>
              </w:rPr>
              <w:t>Other non-interest-bearing liabilities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38,598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34,586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liabilities</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2,065,357</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1,841,503</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Stockholders' equity</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184,901</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185,288</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6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2,250,258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gridSpan w:val="3"/>
            <w:shd w:val="clear" w:color="auto" w:fill="CCEEFF"/>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2,026,791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1"/>
                <w:szCs w:val="11"/>
                <w:color w:val="auto"/>
              </w:rPr>
              <w:t>Net interest income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gridSpan w:val="3"/>
          </w:tcPr>
          <w:p>
            <w:pPr>
              <w:jc w:val="right"/>
              <w:ind w:right="2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14,022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gridSpan w:val="4"/>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16,774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62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0"/>
                <w:szCs w:val="10"/>
                <w:color w:val="auto"/>
              </w:rPr>
              <w:t xml:space="preserve">Net interest spread </w:t>
            </w:r>
            <w:r>
              <w:rPr>
                <w:rFonts w:ascii="Arial" w:cs="Arial" w:eastAsia="Arial" w:hAnsi="Arial"/>
                <w:sz w:val="12"/>
                <w:szCs w:val="12"/>
                <w:color w:val="auto"/>
                <w:vertAlign w:val="superscript"/>
              </w:rPr>
              <w:t>(5)</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CCEEFF"/>
            </w:tcBorders>
            <w:gridSpan w:val="2"/>
            <w:shd w:val="clear" w:color="auto" w:fill="CCEEFF"/>
          </w:tcPr>
          <w:p>
            <w:pPr>
              <w:jc w:val="right"/>
              <w:spacing w:after="0" w:line="112" w:lineRule="exact"/>
              <w:rPr>
                <w:sz w:val="20"/>
                <w:szCs w:val="20"/>
                <w:color w:val="auto"/>
              </w:rPr>
            </w:pPr>
            <w:r>
              <w:rPr>
                <w:rFonts w:ascii="Arial" w:cs="Arial" w:eastAsia="Arial" w:hAnsi="Arial"/>
                <w:sz w:val="11"/>
                <w:szCs w:val="11"/>
                <w:color w:val="auto"/>
              </w:rPr>
              <w:t>1.48%</w:t>
            </w: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CCEEFF"/>
            </w:tcBorders>
            <w:gridSpan w:val="2"/>
            <w:shd w:val="clear" w:color="auto" w:fill="CCEEFF"/>
          </w:tcPr>
          <w:p>
            <w:pPr>
              <w:ind w:left="360"/>
              <w:spacing w:after="0" w:line="112" w:lineRule="exact"/>
              <w:rPr>
                <w:sz w:val="20"/>
                <w:szCs w:val="20"/>
                <w:color w:val="auto"/>
              </w:rPr>
            </w:pPr>
            <w:r>
              <w:rPr>
                <w:rFonts w:ascii="Arial" w:cs="Arial" w:eastAsia="Arial" w:hAnsi="Arial"/>
                <w:sz w:val="11"/>
                <w:szCs w:val="11"/>
                <w:color w:val="auto"/>
              </w:rPr>
              <w:t>3.23%</w:t>
            </w: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620" w:type="dxa"/>
            <w:vAlign w:val="bottom"/>
          </w:tcPr>
          <w:p>
            <w:pPr>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2.60%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3"/>
          </w:tcPr>
          <w:p>
            <w:pPr>
              <w:ind w:left="380"/>
              <w:spacing w:after="0"/>
              <w:rPr>
                <w:sz w:val="20"/>
                <w:szCs w:val="20"/>
                <w:color w:val="auto"/>
              </w:rPr>
            </w:pPr>
            <w:r>
              <w:rPr>
                <w:rFonts w:ascii="Arial" w:cs="Arial" w:eastAsia="Arial" w:hAnsi="Arial"/>
                <w:sz w:val="11"/>
                <w:szCs w:val="11"/>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860" w:hanging="197"/>
        <w:spacing w:after="0"/>
        <w:tabs>
          <w:tab w:leader="none" w:pos="8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22" w:lineRule="exact"/>
        <w:rPr>
          <w:rFonts w:ascii="Arial" w:cs="Arial" w:eastAsia="Arial" w:hAnsi="Arial"/>
          <w:sz w:val="11"/>
          <w:szCs w:val="11"/>
          <w:color w:val="auto"/>
        </w:rPr>
      </w:pPr>
    </w:p>
    <w:p>
      <w:pPr>
        <w:ind w:left="860" w:hanging="197"/>
        <w:spacing w:after="0"/>
        <w:tabs>
          <w:tab w:leader="none" w:pos="8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Annualized.</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22" w:lineRule="exact"/>
        <w:rPr>
          <w:rFonts w:ascii="Arial" w:cs="Arial" w:eastAsia="Arial" w:hAnsi="Arial"/>
          <w:sz w:val="11"/>
          <w:szCs w:val="11"/>
          <w:color w:val="auto"/>
        </w:rPr>
      </w:pPr>
    </w:p>
    <w:p>
      <w:pPr>
        <w:ind w:left="860" w:hanging="197"/>
        <w:spacing w:after="0"/>
        <w:tabs>
          <w:tab w:leader="none" w:pos="8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Net interest spread is the weighted average yield on total interest-earning assets minus the weightedaverage rate on total interest-bearing liabilities.</w:t>
      </w:r>
    </w:p>
    <w:p>
      <w:pPr>
        <w:spacing w:after="0" w:line="65" w:lineRule="exact"/>
        <w:rPr>
          <w:rFonts w:ascii="Arial" w:cs="Arial" w:eastAsia="Arial" w:hAnsi="Arial"/>
          <w:sz w:val="11"/>
          <w:szCs w:val="11"/>
          <w:color w:val="auto"/>
        </w:rPr>
      </w:pPr>
    </w:p>
    <w:p>
      <w:pPr>
        <w:ind w:left="860" w:hanging="197"/>
        <w:spacing w:after="0"/>
        <w:tabs>
          <w:tab w:leader="none" w:pos="8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13"/>
          </w:tcPr>
          <w:p>
            <w:pPr>
              <w:ind w:left="20"/>
              <w:spacing w:after="0"/>
              <w:rPr>
                <w:sz w:val="20"/>
                <w:szCs w:val="20"/>
                <w:color w:val="auto"/>
              </w:rPr>
            </w:pPr>
            <w:r>
              <w:rPr>
                <w:rFonts w:ascii="Arial" w:cs="Arial" w:eastAsia="Arial" w:hAnsi="Arial"/>
                <w:sz w:val="11"/>
                <w:szCs w:val="11"/>
                <w:b w:val="1"/>
                <w:bCs w:val="1"/>
                <w:color w:val="auto"/>
              </w:rPr>
              <w:t>Nine Months Ended September 30,</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51"/>
        </w:trPr>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5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50" w:type="dxa"/>
            <w:vAlign w:val="bottom"/>
          </w:tcPr>
          <w:p>
            <w:pPr>
              <w:jc w:val="right"/>
              <w:ind w:right="143"/>
              <w:spacing w:after="0"/>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103"/>
              <w:spacing w:after="0" w:line="137" w:lineRule="exact"/>
              <w:rPr>
                <w:sz w:val="20"/>
                <w:szCs w:val="20"/>
                <w:color w:val="auto"/>
              </w:rPr>
            </w:pPr>
            <w:r>
              <w:rPr>
                <w:rFonts w:ascii="Arial" w:cs="Arial" w:eastAsia="Arial" w:hAnsi="Arial"/>
                <w:sz w:val="11"/>
                <w:szCs w:val="11"/>
                <w:b w:val="1"/>
                <w:bCs w:val="1"/>
                <w:color w:val="auto"/>
                <w:w w:val="98"/>
              </w:rPr>
              <w:t xml:space="preserve">Balance </w:t>
            </w:r>
            <w:r>
              <w:rPr>
                <w:rFonts w:ascii="Arial" w:cs="Arial" w:eastAsia="Arial" w:hAnsi="Arial"/>
                <w:sz w:val="14"/>
                <w:szCs w:val="14"/>
                <w:b w:val="1"/>
                <w:bCs w:val="1"/>
                <w:color w:val="auto"/>
                <w:w w:val="98"/>
                <w:vertAlign w:val="superscript"/>
              </w:rPr>
              <w:t>(1)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63"/>
              <w:spacing w:after="0"/>
              <w:rPr>
                <w:sz w:val="20"/>
                <w:szCs w:val="20"/>
                <w:color w:val="auto"/>
              </w:rPr>
            </w:pPr>
            <w:r>
              <w:rPr>
                <w:rFonts w:ascii="Arial" w:cs="Arial" w:eastAsia="Arial" w:hAnsi="Arial"/>
                <w:sz w:val="11"/>
                <w:szCs w:val="11"/>
                <w:b w:val="1"/>
                <w:bCs w:val="1"/>
                <w:color w:val="auto"/>
              </w:rPr>
              <w:t>Interest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ind w:right="23"/>
              <w:spacing w:after="0" w:line="137" w:lineRule="exact"/>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b w:val="1"/>
                <w:bCs w:val="1"/>
                <w:color w:val="auto"/>
                <w:vertAlign w:val="superscript"/>
              </w:rPr>
              <w:t>(2)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jc w:val="center"/>
              <w:ind w:right="140"/>
              <w:spacing w:after="0" w:line="137" w:lineRule="exact"/>
              <w:rPr>
                <w:sz w:val="20"/>
                <w:szCs w:val="20"/>
                <w:color w:val="auto"/>
              </w:rPr>
            </w:pPr>
            <w:r>
              <w:rPr>
                <w:rFonts w:ascii="Arial" w:cs="Arial" w:eastAsia="Arial" w:hAnsi="Arial"/>
                <w:sz w:val="11"/>
                <w:szCs w:val="11"/>
                <w:b w:val="1"/>
                <w:bCs w:val="1"/>
                <w:color w:val="auto"/>
                <w:w w:val="98"/>
              </w:rPr>
              <w:t xml:space="preserve">Balance </w:t>
            </w:r>
            <w:r>
              <w:rPr>
                <w:rFonts w:ascii="Arial" w:cs="Arial" w:eastAsia="Arial" w:hAnsi="Arial"/>
                <w:sz w:val="14"/>
                <w:szCs w:val="14"/>
                <w:b w:val="1"/>
                <w:bCs w:val="1"/>
                <w:color w:val="auto"/>
                <w:w w:val="98"/>
                <w:vertAlign w:val="superscript"/>
              </w:rPr>
              <w:t>(1)</w:t>
            </w:r>
          </w:p>
        </w:tc>
        <w:tc>
          <w:tcPr>
            <w:tcW w:w="80" w:type="dxa"/>
            <w:vAlign w:val="bottom"/>
          </w:tcPr>
          <w:p>
            <w:pPr>
              <w:spacing w:after="0"/>
              <w:rPr>
                <w:sz w:val="13"/>
                <w:szCs w:val="13"/>
                <w:color w:val="auto"/>
              </w:rPr>
            </w:pPr>
          </w:p>
        </w:tc>
        <w:tc>
          <w:tcPr>
            <w:tcW w:w="660" w:type="dxa"/>
            <w:vAlign w:val="bottom"/>
          </w:tcPr>
          <w:p>
            <w:pPr>
              <w:jc w:val="right"/>
              <w:ind w:right="103"/>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ind w:left="60"/>
              <w:spacing w:after="0" w:line="137" w:lineRule="exact"/>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b w:val="1"/>
                <w:bCs w:val="1"/>
                <w:color w:val="auto"/>
                <w:vertAlign w:val="superscript"/>
              </w:rPr>
              <w:t>(2)</w:t>
            </w:r>
          </w:p>
        </w:tc>
        <w:tc>
          <w:tcPr>
            <w:tcW w:w="20" w:type="dxa"/>
            <w:vAlign w:val="bottom"/>
          </w:tcPr>
          <w:p>
            <w:pPr>
              <w:spacing w:after="0"/>
              <w:rPr>
                <w:sz w:val="13"/>
                <w:szCs w:val="13"/>
                <w:color w:val="auto"/>
              </w:rPr>
            </w:pPr>
          </w:p>
        </w:tc>
      </w:tr>
      <w:tr>
        <w:trPr>
          <w:trHeight w:val="131"/>
        </w:trPr>
        <w:tc>
          <w:tcPr>
            <w:tcW w:w="25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Assets</w:t>
            </w:r>
          </w:p>
        </w:tc>
        <w:tc>
          <w:tcPr>
            <w:tcW w:w="20" w:type="dxa"/>
            <w:vAlign w:val="bottom"/>
            <w:tcBorders>
              <w:top w:val="single" w:sz="8" w:color="auto"/>
            </w:tcBorders>
            <w:shd w:val="clear" w:color="auto" w:fill="CCEEFF"/>
          </w:tcPr>
          <w:p>
            <w:pPr>
              <w:spacing w:after="0"/>
              <w:rPr>
                <w:sz w:val="11"/>
                <w:szCs w:val="11"/>
                <w:color w:val="auto"/>
              </w:rPr>
            </w:pPr>
          </w:p>
        </w:tc>
        <w:tc>
          <w:tcPr>
            <w:tcW w:w="110" w:type="dxa"/>
            <w:vAlign w:val="bottom"/>
            <w:tcBorders>
              <w:top w:val="single" w:sz="8" w:color="auto"/>
            </w:tcBorders>
            <w:shd w:val="clear" w:color="auto" w:fill="CCEEFF"/>
          </w:tcPr>
          <w:p>
            <w:pPr>
              <w:spacing w:after="0"/>
              <w:rPr>
                <w:sz w:val="11"/>
                <w:szCs w:val="11"/>
                <w:color w:val="auto"/>
              </w:rPr>
            </w:pPr>
          </w:p>
        </w:tc>
        <w:tc>
          <w:tcPr>
            <w:tcW w:w="75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60"/>
        </w:trPr>
        <w:tc>
          <w:tcPr>
            <w:tcW w:w="2520" w:type="dxa"/>
            <w:vAlign w:val="bottom"/>
            <w:gridSpan w:val="2"/>
          </w:tcPr>
          <w:p>
            <w:pPr>
              <w:ind w:left="40"/>
              <w:spacing w:after="0"/>
              <w:rPr>
                <w:sz w:val="20"/>
                <w:szCs w:val="20"/>
                <w:color w:val="auto"/>
              </w:rPr>
            </w:pPr>
            <w:r>
              <w:rPr>
                <w:rFonts w:ascii="Arial" w:cs="Arial" w:eastAsia="Arial" w:hAnsi="Arial"/>
                <w:sz w:val="11"/>
                <w:szCs w:val="11"/>
                <w:b w:val="1"/>
                <w:bCs w:val="1"/>
                <w:color w:val="auto"/>
              </w:rPr>
              <w:t>Interest-earning assets: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12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(3)</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5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1,576,074</w:t>
            </w:r>
          </w:p>
        </w:tc>
        <w:tc>
          <w:tcPr>
            <w:tcW w:w="60" w:type="dxa"/>
            <w:vAlign w:val="bottom"/>
            <w:gridSpan w:val="3"/>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63,081</w:t>
            </w:r>
          </w:p>
        </w:tc>
        <w:tc>
          <w:tcPr>
            <w:tcW w:w="100" w:type="dxa"/>
            <w:vAlign w:val="bottom"/>
            <w:gridSpan w:val="4"/>
            <w:shd w:val="clear" w:color="auto" w:fill="CCEEFF"/>
          </w:tcPr>
          <w:p>
            <w:pPr>
              <w:spacing w:after="0"/>
              <w:rPr>
                <w:sz w:val="14"/>
                <w:szCs w:val="14"/>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5.35</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1,302,909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42,989</w:t>
            </w:r>
          </w:p>
        </w:tc>
        <w:tc>
          <w:tcPr>
            <w:tcW w:w="60" w:type="dxa"/>
            <w:vAlign w:val="bottom"/>
            <w:gridSpan w:val="3"/>
            <w:shd w:val="clear" w:color="auto" w:fill="CCEEFF"/>
          </w:tcPr>
          <w:p>
            <w:pPr>
              <w:spacing w:after="0"/>
              <w:rPr>
                <w:sz w:val="14"/>
                <w:szCs w:val="14"/>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4.41</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4"/>
                <w:szCs w:val="14"/>
                <w:color w:val="auto"/>
              </w:rPr>
            </w:pPr>
          </w:p>
        </w:tc>
      </w:tr>
      <w:tr>
        <w:trPr>
          <w:trHeight w:val="160"/>
        </w:trPr>
        <w:tc>
          <w:tcPr>
            <w:tcW w:w="12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(4)</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430,118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7,501</w:t>
            </w:r>
          </w:p>
        </w:tc>
        <w:tc>
          <w:tcPr>
            <w:tcW w:w="800" w:type="dxa"/>
            <w:vAlign w:val="bottom"/>
            <w:gridSpan w:val="5"/>
          </w:tcPr>
          <w:p>
            <w:pPr>
              <w:ind w:left="480"/>
              <w:spacing w:after="0"/>
              <w:rPr>
                <w:sz w:val="20"/>
                <w:szCs w:val="20"/>
                <w:color w:val="auto"/>
              </w:rPr>
            </w:pPr>
            <w:r>
              <w:rPr>
                <w:rFonts w:ascii="Arial" w:cs="Arial" w:eastAsia="Arial" w:hAnsi="Arial"/>
                <w:sz w:val="11"/>
                <w:szCs w:val="11"/>
                <w:color w:val="auto"/>
              </w:rPr>
              <w:t>2.33</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484,489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7,040</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1.94</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interest-earnings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71,514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2,459</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4.60</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76,655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474</w:t>
            </w:r>
          </w:p>
        </w:tc>
        <w:tc>
          <w:tcPr>
            <w:tcW w:w="60" w:type="dxa"/>
            <w:vAlign w:val="bottom"/>
            <w:gridSpan w:val="3"/>
            <w:shd w:val="clear" w:color="auto" w:fill="CCEEFF"/>
          </w:tcPr>
          <w:p>
            <w:pPr>
              <w:spacing w:after="0"/>
              <w:rPr>
                <w:sz w:val="13"/>
                <w:szCs w:val="13"/>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0.83</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3"/>
                <w:szCs w:val="13"/>
                <w:color w:val="auto"/>
              </w:rPr>
            </w:pPr>
          </w:p>
        </w:tc>
      </w:tr>
      <w:tr>
        <w:trPr>
          <w:trHeight w:val="161"/>
        </w:trPr>
        <w:tc>
          <w:tcPr>
            <w:tcW w:w="120" w:type="dxa"/>
            <w:vAlign w:val="bottom"/>
          </w:tcPr>
          <w:p>
            <w:pPr>
              <w:spacing w:after="0"/>
              <w:rPr>
                <w:sz w:val="14"/>
                <w:szCs w:val="14"/>
                <w:color w:val="auto"/>
              </w:rPr>
            </w:pPr>
          </w:p>
        </w:tc>
        <w:tc>
          <w:tcPr>
            <w:tcW w:w="2400" w:type="dxa"/>
            <w:vAlign w:val="bottom"/>
          </w:tcPr>
          <w:p>
            <w:pPr>
              <w:ind w:left="100"/>
              <w:spacing w:after="0"/>
              <w:rPr>
                <w:sz w:val="20"/>
                <w:szCs w:val="20"/>
                <w:color w:val="auto"/>
              </w:rPr>
            </w:pPr>
            <w:r>
              <w:rPr>
                <w:rFonts w:ascii="Arial" w:cs="Arial" w:eastAsia="Arial" w:hAnsi="Arial"/>
                <w:sz w:val="11"/>
                <w:szCs w:val="11"/>
                <w:color w:val="auto"/>
              </w:rPr>
              <w:t>Total interest-earning assets</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2,077,706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73,041</w:t>
            </w:r>
          </w:p>
        </w:tc>
        <w:tc>
          <w:tcPr>
            <w:tcW w:w="800" w:type="dxa"/>
            <w:vAlign w:val="bottom"/>
            <w:gridSpan w:val="5"/>
          </w:tcPr>
          <w:p>
            <w:pPr>
              <w:ind w:left="480"/>
              <w:spacing w:after="0"/>
              <w:rPr>
                <w:sz w:val="20"/>
                <w:szCs w:val="20"/>
                <w:color w:val="auto"/>
              </w:rPr>
            </w:pPr>
            <w:r>
              <w:rPr>
                <w:rFonts w:ascii="Arial" w:cs="Arial" w:eastAsia="Arial" w:hAnsi="Arial"/>
                <w:sz w:val="11"/>
                <w:szCs w:val="11"/>
                <w:color w:val="auto"/>
              </w:rPr>
              <w:t>4.70</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1,864,053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50,503</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3.62</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r>
      <w:tr>
        <w:trPr>
          <w:trHeight w:val="155"/>
        </w:trPr>
        <w:tc>
          <w:tcPr>
            <w:tcW w:w="120" w:type="dxa"/>
            <w:vAlign w:val="bottom"/>
            <w:tcBorders>
              <w:bottom w:val="single" w:sz="8" w:color="CCEEFF"/>
            </w:tcBorders>
            <w:shd w:val="clear" w:color="auto" w:fill="CCEEFF"/>
          </w:tcPr>
          <w:p>
            <w:pPr>
              <w:spacing w:after="0"/>
              <w:rPr>
                <w:sz w:val="13"/>
                <w:szCs w:val="13"/>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Non-interest 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107,443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105,914</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07"/>
        </w:trPr>
        <w:tc>
          <w:tcPr>
            <w:tcW w:w="120" w:type="dxa"/>
            <w:vAlign w:val="bottom"/>
          </w:tcPr>
          <w:p>
            <w:pPr>
              <w:spacing w:after="0"/>
              <w:rPr>
                <w:sz w:val="17"/>
                <w:szCs w:val="17"/>
                <w:color w:val="auto"/>
              </w:rPr>
            </w:pPr>
          </w:p>
        </w:tc>
        <w:tc>
          <w:tcPr>
            <w:tcW w:w="2400" w:type="dxa"/>
            <w:vAlign w:val="bottom"/>
          </w:tcPr>
          <w:p>
            <w:pPr>
              <w:ind w:left="100"/>
              <w:spacing w:after="0"/>
              <w:rPr>
                <w:sz w:val="20"/>
                <w:szCs w:val="20"/>
                <w:color w:val="auto"/>
              </w:rPr>
            </w:pPr>
            <w:r>
              <w:rPr>
                <w:rFonts w:ascii="Arial" w:cs="Arial" w:eastAsia="Arial" w:hAnsi="Arial"/>
                <w:sz w:val="11"/>
                <w:szCs w:val="11"/>
                <w:color w:val="auto"/>
              </w:rPr>
              <w:t>Total assets</w:t>
            </w:r>
          </w:p>
        </w:tc>
        <w:tc>
          <w:tcPr>
            <w:tcW w:w="13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2,185,149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1,969,967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11"/>
        </w:trPr>
        <w:tc>
          <w:tcPr>
            <w:tcW w:w="2520" w:type="dxa"/>
            <w:vAlign w:val="bottom"/>
            <w:tcBorders>
              <w:top w:val="single" w:sz="8" w:color="CCEEFF"/>
            </w:tcBorders>
            <w:gridSpan w:val="2"/>
            <w:shd w:val="clear" w:color="auto" w:fill="CCEEFF"/>
          </w:tcPr>
          <w:p>
            <w:pPr>
              <w:ind w:left="40"/>
              <w:spacing w:after="0" w:line="111" w:lineRule="exact"/>
              <w:rPr>
                <w:sz w:val="20"/>
                <w:szCs w:val="20"/>
                <w:color w:val="auto"/>
              </w:rPr>
            </w:pPr>
            <w:r>
              <w:rPr>
                <w:rFonts w:ascii="Arial" w:cs="Arial" w:eastAsia="Arial" w:hAnsi="Arial"/>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9"/>
                <w:szCs w:val="9"/>
                <w:color w:val="auto"/>
              </w:rPr>
            </w:pPr>
          </w:p>
        </w:tc>
        <w:tc>
          <w:tcPr>
            <w:tcW w:w="110" w:type="dxa"/>
            <w:vAlign w:val="bottom"/>
            <w:tcBorders>
              <w:top w:val="single" w:sz="8" w:color="auto"/>
            </w:tcBorders>
            <w:shd w:val="clear" w:color="auto" w:fill="CCEEFF"/>
          </w:tcPr>
          <w:p>
            <w:pPr>
              <w:spacing w:after="0"/>
              <w:rPr>
                <w:sz w:val="9"/>
                <w:szCs w:val="9"/>
                <w:color w:val="auto"/>
              </w:rPr>
            </w:pPr>
          </w:p>
        </w:tc>
        <w:tc>
          <w:tcPr>
            <w:tcW w:w="75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170"/>
        </w:trPr>
        <w:tc>
          <w:tcPr>
            <w:tcW w:w="2520" w:type="dxa"/>
            <w:vAlign w:val="bottom"/>
            <w:gridSpan w:val="2"/>
          </w:tcPr>
          <w:p>
            <w:pPr>
              <w:ind w:left="40"/>
              <w:spacing w:after="0"/>
              <w:rPr>
                <w:sz w:val="20"/>
                <w:szCs w:val="20"/>
                <w:color w:val="auto"/>
              </w:rPr>
            </w:pPr>
            <w:r>
              <w:rPr>
                <w:rFonts w:ascii="Arial" w:cs="Arial" w:eastAsia="Arial" w:hAnsi="Arial"/>
                <w:sz w:val="11"/>
                <w:szCs w:val="11"/>
                <w:b w:val="1"/>
                <w:bCs w:val="1"/>
                <w:color w:val="auto"/>
              </w:rPr>
              <w:t>Interest-bearing liabilities:</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120" w:type="dxa"/>
            <w:vAlign w:val="bottom"/>
            <w:shd w:val="clear" w:color="auto" w:fill="CCEEFF"/>
          </w:tcPr>
          <w:p>
            <w:pPr>
              <w:spacing w:after="0"/>
              <w:rPr>
                <w:sz w:val="13"/>
                <w:szCs w:val="1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5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54,554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w:t>
            </w:r>
          </w:p>
        </w:tc>
        <w:tc>
          <w:tcPr>
            <w:tcW w:w="100" w:type="dxa"/>
            <w:vAlign w:val="bottom"/>
            <w:gridSpan w:val="4"/>
            <w:shd w:val="clear" w:color="auto" w:fill="CCEEFF"/>
          </w:tcPr>
          <w:p>
            <w:pPr>
              <w:spacing w:after="0"/>
              <w:rPr>
                <w:sz w:val="13"/>
                <w:szCs w:val="13"/>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1.41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65,798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w:t>
            </w:r>
          </w:p>
        </w:tc>
        <w:tc>
          <w:tcPr>
            <w:tcW w:w="60" w:type="dxa"/>
            <w:vAlign w:val="bottom"/>
            <w:gridSpan w:val="3"/>
            <w:shd w:val="clear" w:color="auto" w:fill="CCEEFF"/>
          </w:tcPr>
          <w:p>
            <w:pPr>
              <w:spacing w:after="0"/>
              <w:rPr>
                <w:sz w:val="13"/>
                <w:szCs w:val="13"/>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0.11</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949,858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20,532</w:t>
            </w:r>
          </w:p>
        </w:tc>
        <w:tc>
          <w:tcPr>
            <w:tcW w:w="800" w:type="dxa"/>
            <w:vAlign w:val="bottom"/>
            <w:gridSpan w:val="5"/>
          </w:tcPr>
          <w:p>
            <w:pPr>
              <w:ind w:left="480"/>
              <w:spacing w:after="0"/>
              <w:rPr>
                <w:sz w:val="20"/>
                <w:szCs w:val="20"/>
                <w:color w:val="auto"/>
              </w:rPr>
            </w:pPr>
            <w:r>
              <w:rPr>
                <w:rFonts w:ascii="Arial" w:cs="Arial" w:eastAsia="Arial" w:hAnsi="Arial"/>
                <w:sz w:val="11"/>
                <w:szCs w:val="11"/>
                <w:color w:val="auto"/>
              </w:rPr>
              <w:t>2.89</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780,564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2,307</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0.40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264,241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5,767</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2.92</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221,504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893</w:t>
            </w:r>
          </w:p>
        </w:tc>
        <w:tc>
          <w:tcPr>
            <w:tcW w:w="60" w:type="dxa"/>
            <w:vAlign w:val="bottom"/>
            <w:gridSpan w:val="3"/>
            <w:shd w:val="clear" w:color="auto" w:fill="CCEEFF"/>
          </w:tcPr>
          <w:p>
            <w:pPr>
              <w:spacing w:after="0"/>
              <w:rPr>
                <w:sz w:val="13"/>
                <w:szCs w:val="13"/>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0.54</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3"/>
                <w:szCs w:val="13"/>
                <w:color w:val="auto"/>
              </w:rPr>
            </w:pPr>
          </w:p>
        </w:tc>
      </w:tr>
      <w:tr>
        <w:trPr>
          <w:trHeight w:val="151"/>
        </w:trPr>
        <w:tc>
          <w:tcPr>
            <w:tcW w:w="120" w:type="dxa"/>
            <w:vAlign w:val="bottom"/>
          </w:tcPr>
          <w:p>
            <w:pPr>
              <w:spacing w:after="0"/>
              <w:rPr>
                <w:sz w:val="13"/>
                <w:szCs w:val="13"/>
                <w:color w:val="auto"/>
              </w:rPr>
            </w:pPr>
          </w:p>
        </w:tc>
        <w:tc>
          <w:tcPr>
            <w:tcW w:w="2400" w:type="dxa"/>
            <w:vAlign w:val="bottom"/>
          </w:tcPr>
          <w:p>
            <w:pPr>
              <w:ind w:left="100"/>
              <w:spacing w:after="0"/>
              <w:rPr>
                <w:sz w:val="20"/>
                <w:szCs w:val="20"/>
                <w:color w:val="auto"/>
              </w:rPr>
            </w:pPr>
            <w:r>
              <w:rPr>
                <w:rFonts w:ascii="Arial" w:cs="Arial" w:eastAsia="Arial" w:hAnsi="Arial"/>
                <w:sz w:val="11"/>
                <w:szCs w:val="11"/>
                <w:color w:val="auto"/>
              </w:rPr>
              <w:t>Total interest-bearing deposits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1,268,653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26,873</w:t>
            </w:r>
          </w:p>
        </w:tc>
        <w:tc>
          <w:tcPr>
            <w:tcW w:w="800" w:type="dxa"/>
            <w:vAlign w:val="bottom"/>
            <w:gridSpan w:val="5"/>
          </w:tcPr>
          <w:p>
            <w:pPr>
              <w:ind w:left="480"/>
              <w:spacing w:after="0"/>
              <w:rPr>
                <w:sz w:val="20"/>
                <w:szCs w:val="20"/>
                <w:color w:val="auto"/>
              </w:rPr>
            </w:pPr>
            <w:r>
              <w:rPr>
                <w:rFonts w:ascii="Arial" w:cs="Arial" w:eastAsia="Arial" w:hAnsi="Arial"/>
                <w:sz w:val="11"/>
                <w:szCs w:val="11"/>
                <w:color w:val="auto"/>
              </w:rPr>
              <w:t>2.83</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1,067,866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3,252</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0.30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55"/>
        </w:trPr>
        <w:tc>
          <w:tcPr>
            <w:tcW w:w="120" w:type="dxa"/>
            <w:vAlign w:val="bottom"/>
            <w:shd w:val="clear" w:color="auto" w:fill="CCEEFF"/>
          </w:tcPr>
          <w:p>
            <w:pPr>
              <w:spacing w:after="0"/>
              <w:rPr>
                <w:sz w:val="13"/>
                <w:szCs w:val="1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Borrowings and repurchase agreements</w:t>
            </w: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80,087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1,976</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3.30</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38,788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456</w:t>
            </w:r>
          </w:p>
        </w:tc>
        <w:tc>
          <w:tcPr>
            <w:tcW w:w="60" w:type="dxa"/>
            <w:vAlign w:val="bottom"/>
            <w:gridSpan w:val="3"/>
            <w:shd w:val="clear" w:color="auto" w:fill="CCEEFF"/>
          </w:tcPr>
          <w:p>
            <w:pPr>
              <w:spacing w:after="0"/>
              <w:rPr>
                <w:sz w:val="13"/>
                <w:szCs w:val="13"/>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1.57</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3"/>
                <w:szCs w:val="13"/>
                <w:color w:val="auto"/>
              </w:rPr>
            </w:pPr>
          </w:p>
        </w:tc>
      </w:tr>
    </w:tbl>
    <w:p>
      <w:pPr>
        <w:spacing w:after="0" w:line="17" w:lineRule="exact"/>
        <w:rPr>
          <w:sz w:val="20"/>
          <w:szCs w:val="20"/>
          <w:color w:val="auto"/>
        </w:rPr>
      </w:pPr>
    </w:p>
    <w:p>
      <w:pPr>
        <w:sectPr>
          <w:pgSz w:w="11900" w:h="16838" w:orient="portrait"/>
          <w:cols w:equalWidth="0" w:num="1">
            <w:col w:w="9019"/>
          </w:cols>
          <w:pgMar w:left="1440" w:top="481" w:right="1440" w:bottom="1440" w:gutter="0" w:footer="0" w:header="0"/>
        </w:sectPr>
      </w:pPr>
    </w:p>
    <w:p>
      <w:pPr>
        <w:ind w:left="880"/>
        <w:spacing w:after="0"/>
        <w:rPr>
          <w:sz w:val="20"/>
          <w:szCs w:val="20"/>
          <w:color w:val="auto"/>
        </w:rPr>
      </w:pPr>
      <w:r>
        <w:rPr>
          <w:rFonts w:ascii="Arial" w:cs="Arial" w:eastAsia="Arial" w:hAnsi="Arial"/>
          <w:sz w:val="11"/>
          <w:szCs w:val="11"/>
          <w:color w:val="auto"/>
        </w:rPr>
        <w:t>Total interest-bearing liabilities</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Non-interest bearing demand deposits</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Other non-interest-bearing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1,348,740</w:t>
            </w:r>
          </w:p>
        </w:tc>
        <w:tc>
          <w:tcPr>
            <w:tcW w:w="960" w:type="dxa"/>
            <w:vAlign w:val="bottom"/>
          </w:tcPr>
          <w:p>
            <w:pPr>
              <w:jc w:val="right"/>
              <w:ind w:right="203"/>
              <w:spacing w:after="0"/>
              <w:rPr>
                <w:sz w:val="20"/>
                <w:szCs w:val="20"/>
                <w:color w:val="auto"/>
              </w:rPr>
            </w:pPr>
            <w:r>
              <w:rPr>
                <w:rFonts w:ascii="Arial" w:cs="Arial" w:eastAsia="Arial" w:hAnsi="Arial"/>
                <w:sz w:val="11"/>
                <w:szCs w:val="11"/>
                <w:color w:val="auto"/>
              </w:rPr>
              <w:t>28,849</w:t>
            </w:r>
          </w:p>
        </w:tc>
        <w:tc>
          <w:tcPr>
            <w:tcW w:w="880" w:type="dxa"/>
            <w:vAlign w:val="bottom"/>
          </w:tcPr>
          <w:p>
            <w:pPr>
              <w:jc w:val="right"/>
              <w:ind w:right="163"/>
              <w:spacing w:after="0"/>
              <w:rPr>
                <w:sz w:val="20"/>
                <w:szCs w:val="20"/>
                <w:color w:val="auto"/>
              </w:rPr>
            </w:pPr>
            <w:r>
              <w:rPr>
                <w:rFonts w:ascii="Arial" w:cs="Arial" w:eastAsia="Arial" w:hAnsi="Arial"/>
                <w:sz w:val="11"/>
                <w:szCs w:val="11"/>
                <w:color w:val="auto"/>
              </w:rPr>
              <w:t>2.87  %</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1,106,654</w:t>
            </w:r>
          </w:p>
        </w:tc>
        <w:tc>
          <w:tcPr>
            <w:tcW w:w="960" w:type="dxa"/>
            <w:vAlign w:val="bottom"/>
          </w:tcPr>
          <w:p>
            <w:pPr>
              <w:jc w:val="right"/>
              <w:ind w:right="203"/>
              <w:spacing w:after="0"/>
              <w:rPr>
                <w:sz w:val="20"/>
                <w:szCs w:val="20"/>
                <w:color w:val="auto"/>
              </w:rPr>
            </w:pPr>
            <w:r>
              <w:rPr>
                <w:rFonts w:ascii="Arial" w:cs="Arial" w:eastAsia="Arial" w:hAnsi="Arial"/>
                <w:sz w:val="11"/>
                <w:szCs w:val="11"/>
                <w:color w:val="auto"/>
              </w:rPr>
              <w:t>3,708</w:t>
            </w:r>
          </w:p>
        </w:tc>
        <w:tc>
          <w:tcPr>
            <w:tcW w:w="660" w:type="dxa"/>
            <w:vAlign w:val="bottom"/>
          </w:tcPr>
          <w:p>
            <w:pPr>
              <w:jc w:val="right"/>
              <w:spacing w:after="0"/>
              <w:rPr>
                <w:sz w:val="20"/>
                <w:szCs w:val="20"/>
                <w:color w:val="auto"/>
              </w:rPr>
            </w:pPr>
            <w:r>
              <w:rPr>
                <w:rFonts w:ascii="Arial" w:cs="Arial" w:eastAsia="Arial" w:hAnsi="Arial"/>
                <w:sz w:val="11"/>
                <w:szCs w:val="11"/>
                <w:color w:val="auto"/>
              </w:rPr>
              <w:t>0.45  %</w:t>
            </w:r>
          </w:p>
        </w:tc>
      </w:tr>
      <w:tr>
        <w:trPr>
          <w:trHeight w:val="147"/>
        </w:trPr>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617,741</w:t>
            </w:r>
          </w:p>
        </w:tc>
        <w:tc>
          <w:tcPr>
            <w:tcW w:w="100" w:type="dxa"/>
            <w:vAlign w:val="bottom"/>
            <w:tcBorders>
              <w:right w:val="single" w:sz="8" w:color="CCEEFF"/>
            </w:tcBorders>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642,396</w:t>
            </w:r>
          </w:p>
        </w:tc>
        <w:tc>
          <w:tcPr>
            <w:tcW w:w="100" w:type="dxa"/>
            <w:vAlign w:val="bottom"/>
            <w:tcBorders>
              <w:right w:val="single" w:sz="8" w:color="CCEEFF"/>
            </w:tcBorders>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0"/>
        </w:trPr>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34,492</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29,608</w:t>
            </w: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2740" w:space="600"/>
            <w:col w:w="5679"/>
          </w:cols>
          <w:pgMar w:left="1440" w:top="481" w:right="1440" w:bottom="1440" w:gutter="0" w:footer="0" w:header="0"/>
          <w:type w:val="continuous"/>
        </w:sectPr>
      </w:pPr>
    </w:p>
    <w:tbl>
      <w:tblPr>
        <w:tblLayout w:type="fixed"/>
        <w:tblInd w:w="660" w:type="dxa"/>
        <w:tblCellMar>
          <w:top w:w="0" w:type="dxa"/>
          <w:left w:w="0" w:type="dxa"/>
          <w:bottom w:w="0" w:type="dxa"/>
          <w:right w:w="0" w:type="dxa"/>
        </w:tblCellMar>
      </w:tblPr>
      <w:tr>
        <w:trPr>
          <w:trHeight w:val="161"/>
        </w:trPr>
        <w:tc>
          <w:tcPr>
            <w:tcW w:w="22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liabilities</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2,000,973</w:t>
            </w:r>
          </w:p>
        </w:tc>
        <w:tc>
          <w:tcPr>
            <w:tcW w:w="2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1,778,658</w:t>
            </w:r>
          </w:p>
        </w:tc>
        <w:tc>
          <w:tcPr>
            <w:tcW w:w="2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CCEEFF"/>
            </w:tcBorders>
            <w:shd w:val="clear" w:color="auto" w:fill="CCEEFF"/>
          </w:tcPr>
          <w:p>
            <w:pPr>
              <w:spacing w:after="0"/>
              <w:rPr>
                <w:sz w:val="14"/>
                <w:szCs w:val="14"/>
                <w:color w:val="auto"/>
              </w:rPr>
            </w:pPr>
          </w:p>
        </w:tc>
      </w:tr>
      <w:tr>
        <w:trPr>
          <w:trHeight w:val="160"/>
        </w:trPr>
        <w:tc>
          <w:tcPr>
            <w:tcW w:w="2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color w:val="auto"/>
              </w:rPr>
              <w:t>Stockholders' equity</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184,176</w:t>
            </w:r>
          </w:p>
        </w:tc>
        <w:tc>
          <w:tcPr>
            <w:tcW w:w="20" w:type="dxa"/>
            <w:vAlign w:val="bottom"/>
            <w:tcBorders>
              <w:bottom w:val="single" w:sz="8" w:color="CCEEFF"/>
            </w:tcBorders>
          </w:tcPr>
          <w:p>
            <w:pPr>
              <w:spacing w:after="0"/>
              <w:rPr>
                <w:sz w:val="13"/>
                <w:szCs w:val="13"/>
                <w:color w:val="auto"/>
              </w:rPr>
            </w:pPr>
          </w:p>
        </w:tc>
        <w:tc>
          <w:tcPr>
            <w:tcW w:w="17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191,309</w:t>
            </w:r>
          </w:p>
        </w:tc>
        <w:tc>
          <w:tcPr>
            <w:tcW w:w="20" w:type="dxa"/>
            <w:vAlign w:val="bottom"/>
            <w:tcBorders>
              <w:bottom w:val="single" w:sz="8" w:color="CCEEFF"/>
            </w:tcBorders>
          </w:tcPr>
          <w:p>
            <w:pPr>
              <w:spacing w:after="0"/>
              <w:rPr>
                <w:sz w:val="13"/>
                <w:szCs w:val="13"/>
                <w:color w:val="auto"/>
              </w:rPr>
            </w:pPr>
          </w:p>
        </w:tc>
        <w:tc>
          <w:tcPr>
            <w:tcW w:w="1680" w:type="dxa"/>
            <w:vAlign w:val="bottom"/>
            <w:tcBorders>
              <w:bottom w:val="single" w:sz="8" w:color="CCEEFF"/>
            </w:tcBorders>
          </w:tcPr>
          <w:p>
            <w:pPr>
              <w:spacing w:after="0"/>
              <w:rPr>
                <w:sz w:val="13"/>
                <w:szCs w:val="13"/>
                <w:color w:val="auto"/>
              </w:rPr>
            </w:pPr>
          </w:p>
        </w:tc>
      </w:tr>
      <w:tr>
        <w:trPr>
          <w:trHeight w:val="161"/>
        </w:trPr>
        <w:tc>
          <w:tcPr>
            <w:tcW w:w="2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2,185,149</w:t>
            </w:r>
          </w:p>
        </w:tc>
        <w:tc>
          <w:tcPr>
            <w:tcW w:w="20" w:type="dxa"/>
            <w:vAlign w:val="bottom"/>
            <w:tcBorders>
              <w:bottom w:val="single" w:sz="8" w:color="auto"/>
            </w:tcBorders>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1,969,967</w:t>
            </w:r>
          </w:p>
        </w:tc>
        <w:tc>
          <w:tcPr>
            <w:tcW w:w="20" w:type="dxa"/>
            <w:vAlign w:val="bottom"/>
            <w:tcBorders>
              <w:bottom w:val="single" w:sz="8" w:color="auto"/>
            </w:tcBorders>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20"/>
        </w:trPr>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6" w:lineRule="exact"/>
        <w:rPr>
          <w:sz w:val="20"/>
          <w:szCs w:val="20"/>
          <w:color w:val="auto"/>
        </w:rPr>
      </w:pPr>
    </w:p>
    <w:tbl>
      <w:tblPr>
        <w:tblLayout w:type="fixed"/>
        <w:tblInd w:w="660" w:type="dxa"/>
        <w:tblCellMar>
          <w:top w:w="0" w:type="dxa"/>
          <w:left w:w="0" w:type="dxa"/>
          <w:bottom w:w="0" w:type="dxa"/>
          <w:right w:w="0" w:type="dxa"/>
        </w:tblCellMar>
      </w:tblPr>
      <w:tr>
        <w:trPr>
          <w:trHeight w:val="204"/>
        </w:trPr>
        <w:tc>
          <w:tcPr>
            <w:tcW w:w="2500" w:type="dxa"/>
            <w:vAlign w:val="bottom"/>
          </w:tcPr>
          <w:p>
            <w:pPr>
              <w:ind w:left="40"/>
              <w:spacing w:after="0"/>
              <w:rPr>
                <w:sz w:val="20"/>
                <w:szCs w:val="20"/>
                <w:color w:val="auto"/>
              </w:rPr>
            </w:pPr>
            <w:r>
              <w:rPr>
                <w:rFonts w:ascii="Arial" w:cs="Arial" w:eastAsia="Arial" w:hAnsi="Arial"/>
                <w:sz w:val="11"/>
                <w:szCs w:val="11"/>
                <w:color w:val="auto"/>
              </w:rPr>
              <w:t>Net interest income</w:t>
            </w:r>
          </w:p>
        </w:tc>
        <w:tc>
          <w:tcPr>
            <w:tcW w:w="10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44,192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46,795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01"/>
        </w:trPr>
        <w:tc>
          <w:tcPr>
            <w:tcW w:w="2500" w:type="dxa"/>
            <w:vAlign w:val="bottom"/>
            <w:tcBorders>
              <w:top w:val="single" w:sz="8" w:color="CCEEFF"/>
            </w:tcBorders>
            <w:shd w:val="clear" w:color="auto" w:fill="CCEEFF"/>
          </w:tcPr>
          <w:p>
            <w:pPr>
              <w:ind w:left="40"/>
              <w:spacing w:after="0" w:line="91" w:lineRule="exact"/>
              <w:rPr>
                <w:sz w:val="20"/>
                <w:szCs w:val="20"/>
                <w:color w:val="auto"/>
              </w:rPr>
            </w:pPr>
            <w:r>
              <w:rPr>
                <w:rFonts w:ascii="Arial" w:cs="Arial" w:eastAsia="Arial" w:hAnsi="Arial"/>
                <w:sz w:val="8"/>
                <w:szCs w:val="8"/>
                <w:color w:val="auto"/>
              </w:rPr>
              <w:t xml:space="preserve">Net interest spread </w:t>
            </w:r>
            <w:r>
              <w:rPr>
                <w:rFonts w:ascii="Arial" w:cs="Arial" w:eastAsia="Arial" w:hAnsi="Arial"/>
                <w:sz w:val="10"/>
                <w:szCs w:val="10"/>
                <w:color w:val="auto"/>
                <w:vertAlign w:val="superscript"/>
              </w:rPr>
              <w:t>(5)</w:t>
            </w:r>
          </w:p>
        </w:tc>
        <w:tc>
          <w:tcPr>
            <w:tcW w:w="9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ind w:left="380"/>
              <w:spacing w:after="0" w:line="91" w:lineRule="exact"/>
              <w:rPr>
                <w:sz w:val="20"/>
                <w:szCs w:val="20"/>
                <w:color w:val="auto"/>
              </w:rPr>
            </w:pPr>
            <w:r>
              <w:rPr>
                <w:rFonts w:ascii="Arial" w:cs="Arial" w:eastAsia="Arial" w:hAnsi="Arial"/>
                <w:sz w:val="10"/>
                <w:szCs w:val="10"/>
                <w:color w:val="auto"/>
              </w:rPr>
              <w:t>1.83</w:t>
            </w: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jc w:val="right"/>
              <w:spacing w:after="0" w:line="91" w:lineRule="exact"/>
              <w:rPr>
                <w:sz w:val="20"/>
                <w:szCs w:val="20"/>
                <w:color w:val="auto"/>
              </w:rPr>
            </w:pPr>
            <w:r>
              <w:rPr>
                <w:rFonts w:ascii="Arial" w:cs="Arial" w:eastAsia="Arial" w:hAnsi="Arial"/>
                <w:sz w:val="10"/>
                <w:szCs w:val="10"/>
                <w:color w:val="auto"/>
                <w:w w:val="89"/>
                <w:shd w:val="clear" w:color="auto" w:fill="CCEEFF"/>
              </w:rPr>
              <w:t>%</w:t>
            </w:r>
          </w:p>
        </w:tc>
        <w:tc>
          <w:tcPr>
            <w:tcW w:w="9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ind w:left="380"/>
              <w:spacing w:after="0" w:line="91" w:lineRule="exact"/>
              <w:rPr>
                <w:sz w:val="20"/>
                <w:szCs w:val="20"/>
                <w:color w:val="auto"/>
              </w:rPr>
            </w:pPr>
            <w:r>
              <w:rPr>
                <w:rFonts w:ascii="Arial" w:cs="Arial" w:eastAsia="Arial" w:hAnsi="Arial"/>
                <w:sz w:val="10"/>
                <w:szCs w:val="10"/>
                <w:color w:val="auto"/>
              </w:rPr>
              <w:t>3.17</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line="91" w:lineRule="exact"/>
              <w:rPr>
                <w:sz w:val="20"/>
                <w:szCs w:val="20"/>
                <w:color w:val="auto"/>
              </w:rPr>
            </w:pPr>
            <w:r>
              <w:rPr>
                <w:rFonts w:ascii="Arial" w:cs="Arial" w:eastAsia="Arial" w:hAnsi="Arial"/>
                <w:sz w:val="10"/>
                <w:szCs w:val="10"/>
                <w:color w:val="auto"/>
                <w:w w:val="89"/>
                <w:shd w:val="clear" w:color="auto" w:fill="CCEEFF"/>
              </w:rPr>
              <w:t>%</w:t>
            </w:r>
          </w:p>
        </w:tc>
        <w:tc>
          <w:tcPr>
            <w:tcW w:w="40" w:type="dxa"/>
            <w:vAlign w:val="bottom"/>
            <w:tcBorders>
              <w:top w:val="single" w:sz="8" w:color="CCEEFF"/>
            </w:tcBorders>
            <w:shd w:val="clear" w:color="auto" w:fill="CCEEFF"/>
          </w:tcPr>
          <w:p>
            <w:pPr>
              <w:spacing w:after="0"/>
              <w:rPr>
                <w:sz w:val="8"/>
                <w:szCs w:val="8"/>
                <w:color w:val="auto"/>
              </w:rPr>
            </w:pPr>
          </w:p>
        </w:tc>
      </w:tr>
      <w:tr>
        <w:trPr>
          <w:trHeight w:val="203"/>
        </w:trPr>
        <w:tc>
          <w:tcPr>
            <w:tcW w:w="2500" w:type="dxa"/>
            <w:vAlign w:val="bottom"/>
          </w:tcPr>
          <w:p>
            <w:pPr>
              <w:ind w:left="40"/>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(6)</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5"/>
          </w:tcPr>
          <w:p>
            <w:pPr>
              <w:ind w:left="1060"/>
              <w:spacing w:after="0"/>
              <w:rPr>
                <w:sz w:val="20"/>
                <w:szCs w:val="20"/>
                <w:color w:val="auto"/>
              </w:rPr>
            </w:pPr>
            <w:r>
              <w:rPr>
                <w:rFonts w:ascii="Arial" w:cs="Arial" w:eastAsia="Arial" w:hAnsi="Arial"/>
                <w:sz w:val="11"/>
                <w:szCs w:val="11"/>
                <w:color w:val="auto"/>
              </w:rPr>
              <w:t>2.84</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5"/>
          </w:tcPr>
          <w:p>
            <w:pPr>
              <w:ind w:left="1060"/>
              <w:spacing w:after="0"/>
              <w:rPr>
                <w:sz w:val="20"/>
                <w:szCs w:val="20"/>
                <w:color w:val="auto"/>
              </w:rPr>
            </w:pPr>
            <w:r>
              <w:rPr>
                <w:rFonts w:ascii="Arial" w:cs="Arial" w:eastAsia="Arial" w:hAnsi="Arial"/>
                <w:sz w:val="11"/>
                <w:szCs w:val="11"/>
                <w:color w:val="auto"/>
              </w:rPr>
              <w:t>3.36</w:t>
            </w:r>
          </w:p>
        </w:tc>
        <w:tc>
          <w:tcPr>
            <w:tcW w:w="140" w:type="dxa"/>
            <w:vAlign w:val="bottom"/>
            <w:gridSpan w:val="2"/>
          </w:tcPr>
          <w:p>
            <w:pPr>
              <w:spacing w:after="0"/>
              <w:rPr>
                <w:sz w:val="20"/>
                <w:szCs w:val="20"/>
                <w:color w:val="auto"/>
              </w:rPr>
            </w:pPr>
            <w:r>
              <w:rPr>
                <w:rFonts w:ascii="Arial" w:cs="Arial" w:eastAsia="Arial" w:hAnsi="Arial"/>
                <w:sz w:val="11"/>
                <w:szCs w:val="11"/>
                <w:color w:val="auto"/>
              </w:rPr>
              <w:t>%</w:t>
            </w:r>
          </w:p>
        </w:tc>
      </w:tr>
    </w:tbl>
    <w:p>
      <w:pPr>
        <w:spacing w:after="0" w:line="134" w:lineRule="exact"/>
        <w:rPr>
          <w:sz w:val="20"/>
          <w:szCs w:val="20"/>
          <w:color w:val="auto"/>
        </w:rPr>
      </w:pPr>
    </w:p>
    <w:p>
      <w:pPr>
        <w:ind w:left="900" w:hanging="205"/>
        <w:spacing w:after="0"/>
        <w:tabs>
          <w:tab w:leader="none" w:pos="9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Annualized.</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33" w:lineRule="exact"/>
        <w:rPr>
          <w:rFonts w:ascii="Arial" w:cs="Arial" w:eastAsia="Arial" w:hAnsi="Arial"/>
          <w:sz w:val="11"/>
          <w:szCs w:val="11"/>
          <w:color w:val="auto"/>
        </w:rPr>
      </w:pPr>
    </w:p>
    <w:p>
      <w:pPr>
        <w:ind w:left="900" w:hanging="205"/>
        <w:spacing w:after="0"/>
        <w:tabs>
          <w:tab w:leader="none" w:pos="9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Includes FHLB stock.</w:t>
      </w:r>
    </w:p>
    <w:p>
      <w:pPr>
        <w:spacing w:after="0" w:line="33" w:lineRule="exact"/>
        <w:rPr>
          <w:rFonts w:ascii="Arial" w:cs="Arial" w:eastAsia="Arial" w:hAnsi="Arial"/>
          <w:sz w:val="11"/>
          <w:szCs w:val="11"/>
          <w:color w:val="auto"/>
        </w:rPr>
      </w:pPr>
    </w:p>
    <w:p>
      <w:pPr>
        <w:ind w:left="700" w:right="1159" w:hanging="5"/>
        <w:spacing w:after="0" w:line="259" w:lineRule="auto"/>
        <w:tabs>
          <w:tab w:leader="none" w:pos="904" w:val="left"/>
        </w:tabs>
        <w:numPr>
          <w:ilvl w:val="0"/>
          <w:numId w:val="19"/>
        </w:numPr>
        <w:rPr>
          <w:rFonts w:ascii="Arial" w:cs="Arial" w:eastAsia="Arial" w:hAnsi="Arial"/>
          <w:sz w:val="11"/>
          <w:szCs w:val="11"/>
          <w:color w:val="auto"/>
        </w:rPr>
      </w:pPr>
      <w:r>
        <w:rPr>
          <w:rFonts w:ascii="Arial" w:cs="Arial" w:eastAsia="Arial" w:hAnsi="Arial"/>
          <w:sz w:val="11"/>
          <w:szCs w:val="11"/>
          <w:color w:val="auto"/>
        </w:rPr>
        <w:t>Net interest spread is the weighted average yield on total interest-earning assets minus the weightedaverage rate on total interest-bearing liabilities.</w:t>
      </w:r>
    </w:p>
    <w:p>
      <w:pPr>
        <w:ind w:left="900" w:hanging="205"/>
        <w:spacing w:after="0"/>
        <w:tabs>
          <w:tab w:leader="none" w:pos="9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2023 compared to the three months ended September 30, 2022</w:t>
      </w:r>
    </w:p>
    <w:p>
      <w:pPr>
        <w:spacing w:after="0" w:line="174"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Net interest income before the provision for credit losses was $14.0 million for the three months ended September 30, 2023, a decrease of $2.8 million or 16.4%, from $16.8 million for the same period in 2022. The decrease was primarily attributable to the $10.7 million increase in interest expense, which was a result to the prevailing market interest rate conditions which offset the increase in interest income.</w:t>
      </w:r>
    </w:p>
    <w:p>
      <w:pPr>
        <w:spacing w:after="0" w:line="143"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Net interest margin was 2.60% for the quarter ended September 30, 2023 and 3.47% for the same period in 2022. The increase in loan yields as well as yields on other interest-earning assets was offset by higher deposit and borrowing costs.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2023 compared to nine months ended September 30, 2022</w:t>
      </w:r>
    </w:p>
    <w:p>
      <w:pPr>
        <w:spacing w:after="0" w:line="174"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Net interest income before the provision for credit losses was $44.2 million for the nine months ended September 30, 2023, a decrease of $2.6 million or 5.6%, from $46.8 million for the same period in 2022. The decrease was primarily attributable to the $25.1 million increase in interest expense, which was a result to the prevailing market interest rate conditions which partially offset by the increase in interest income.</w:t>
      </w:r>
    </w:p>
    <w:p>
      <w:pPr>
        <w:spacing w:after="0" w:line="145" w:lineRule="exact"/>
        <w:rPr>
          <w:sz w:val="20"/>
          <w:szCs w:val="20"/>
          <w:color w:val="auto"/>
        </w:rPr>
      </w:pPr>
    </w:p>
    <w:p>
      <w:pPr>
        <w:ind w:left="660" w:right="679" w:firstLine="256"/>
        <w:spacing w:after="0" w:line="267" w:lineRule="auto"/>
        <w:rPr>
          <w:sz w:val="20"/>
          <w:szCs w:val="20"/>
          <w:color w:val="auto"/>
        </w:rPr>
      </w:pPr>
      <w:r>
        <w:rPr>
          <w:rFonts w:ascii="Arial" w:cs="Arial" w:eastAsia="Arial" w:hAnsi="Arial"/>
          <w:sz w:val="14"/>
          <w:szCs w:val="14"/>
          <w:color w:val="auto"/>
        </w:rPr>
        <w:t>Net interest margin decreased to 2.84% for the nine months ended September 30, 2023 from 3.36% for the same period in 2022. Overall interest-bearing asset yields grew but were outpaced by the increase in the cost of funds.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76" w:lineRule="exact"/>
        <w:rPr>
          <w:sz w:val="20"/>
          <w:szCs w:val="20"/>
          <w:color w:val="auto"/>
        </w:rPr>
      </w:pPr>
    </w:p>
    <w:p>
      <w:pPr>
        <w:ind w:left="660" w:right="679" w:firstLine="256"/>
        <w:spacing w:after="0" w:line="267" w:lineRule="auto"/>
        <w:rPr>
          <w:sz w:val="20"/>
          <w:szCs w:val="20"/>
          <w:color w:val="auto"/>
        </w:rPr>
      </w:pPr>
      <w:r>
        <w:rPr>
          <w:rFonts w:ascii="Arial" w:cs="Arial" w:eastAsia="Arial" w:hAnsi="Arial"/>
          <w:sz w:val="14"/>
          <w:szCs w:val="14"/>
          <w:color w:val="auto"/>
        </w:rPr>
        <w:t>The provision for credit losses represents a charge to earnings necessary to maintain an allowance for credit losses that, in management's evaluation, is adequate to provide coverage for all expected credit losses. The provision for credit</w:t>
      </w:r>
    </w:p>
    <w:p>
      <w:pPr>
        <w:spacing w:after="0" w:line="17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type w:val="continuous"/>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2" w:lineRule="auto"/>
        <w:rPr>
          <w:sz w:val="20"/>
          <w:szCs w:val="20"/>
          <w:color w:val="auto"/>
        </w:rPr>
      </w:pPr>
      <w:r>
        <w:rPr>
          <w:rFonts w:ascii="Arial" w:cs="Arial" w:eastAsia="Arial" w:hAnsi="Arial"/>
          <w:sz w:val="14"/>
          <w:szCs w:val="14"/>
          <w:color w:val="auto"/>
        </w:rPr>
        <w:t>losses is impacted by variations in the size and composition of our loan and debt securities portfolio, recent historical and projected future economic conditions, our internal assessment of the credit quality of the loan and debt securities portfolios and net charge-offs.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2023 compared to the three months ended September 30, 2022</w:t>
      </w:r>
    </w:p>
    <w:p>
      <w:pPr>
        <w:spacing w:after="0" w:line="174"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provision for credit loss was $653 thousand for the three months ended September 30, 2023 compared to $910 thousand for the same period in 2022. Growth in the loan portfolio was the primary driver of the provision expense during the three months ended September 30, 2023 period. The decrease in provision for credit losses in the 2023 period compared to the September 30, 2022 quarter was due to greater loan growth in third quarter 2022.</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2023 compared to nine months ended September 30, 2022</w:t>
      </w:r>
    </w:p>
    <w:p>
      <w:pPr>
        <w:spacing w:after="0" w:line="174" w:lineRule="exact"/>
        <w:rPr>
          <w:sz w:val="20"/>
          <w:szCs w:val="20"/>
          <w:color w:val="auto"/>
        </w:rPr>
      </w:pPr>
    </w:p>
    <w:p>
      <w:pPr>
        <w:ind w:left="660" w:right="619" w:firstLine="256"/>
        <w:spacing w:after="0" w:line="255" w:lineRule="auto"/>
        <w:rPr>
          <w:sz w:val="20"/>
          <w:szCs w:val="20"/>
          <w:color w:val="auto"/>
        </w:rPr>
      </w:pPr>
      <w:r>
        <w:rPr>
          <w:rFonts w:ascii="Arial" w:cs="Arial" w:eastAsia="Arial" w:hAnsi="Arial"/>
          <w:sz w:val="14"/>
          <w:szCs w:val="14"/>
          <w:color w:val="auto"/>
        </w:rPr>
        <w:t>The provision for credit loss was $892 thousand for the nine months ended September 30, 2023 compared to $1.6 million for the same period in 2022. Decrease of $723 thousand due to higher loan growth in the nine months ended September 30, 2022. The ACL as a percentage of total loans was 1.16% at September 30, 2023 and at September 30, 2022.</w:t>
      </w:r>
    </w:p>
    <w:p>
      <w:pPr>
        <w:spacing w:after="0" w:line="308"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ACL for the three and nine months ended September 30, 2023, was estimated under the CECL methodology, and for all periods in 2022, it was estimated under the incurred loss model. See “Allowance for Credit Losses” below for further discussion on how the ACL is calculated.</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76"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Our services and products generate service charges and fees, mainly from our depository accounts. We also generate income from gain on sale of loans though our swap and SBA programs. In addition, we own and are beneficiaries of the life insurance policies on some of our employees and generate income from the increase in the cash surrender value of these policies.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dates indicated (in thousands):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160" w:type="dxa"/>
            <w:vAlign w:val="bottom"/>
          </w:tcPr>
          <w:p>
            <w:pPr>
              <w:spacing w:after="0"/>
              <w:rPr>
                <w:sz w:val="14"/>
                <w:szCs w:val="14"/>
                <w:color w:val="auto"/>
              </w:rPr>
            </w:pPr>
          </w:p>
        </w:tc>
        <w:tc>
          <w:tcPr>
            <w:tcW w:w="2280" w:type="dxa"/>
            <w:vAlign w:val="bottom"/>
            <w:gridSpan w:val="6"/>
          </w:tcPr>
          <w:p>
            <w:pPr>
              <w:ind w:left="40"/>
              <w:spacing w:after="0"/>
              <w:rPr>
                <w:sz w:val="20"/>
                <w:szCs w:val="20"/>
                <w:color w:val="auto"/>
              </w:rPr>
            </w:pPr>
            <w:r>
              <w:rPr>
                <w:rFonts w:ascii="Arial" w:cs="Arial" w:eastAsia="Arial" w:hAnsi="Arial"/>
                <w:sz w:val="13"/>
                <w:szCs w:val="13"/>
                <w:b w:val="1"/>
                <w:bCs w:val="1"/>
                <w:color w:val="auto"/>
              </w:rPr>
              <w:t>Three Months Ended September 30,</w:t>
            </w:r>
          </w:p>
        </w:tc>
        <w:tc>
          <w:tcPr>
            <w:tcW w:w="2260" w:type="dxa"/>
            <w:vAlign w:val="bottom"/>
            <w:gridSpan w:val="6"/>
          </w:tcPr>
          <w:p>
            <w:pPr>
              <w:jc w:val="right"/>
              <w:ind w:right="80"/>
              <w:spacing w:after="0"/>
              <w:rPr>
                <w:sz w:val="20"/>
                <w:szCs w:val="20"/>
                <w:color w:val="auto"/>
              </w:rPr>
            </w:pPr>
            <w:r>
              <w:rPr>
                <w:rFonts w:ascii="Arial" w:cs="Arial" w:eastAsia="Arial" w:hAnsi="Arial"/>
                <w:sz w:val="13"/>
                <w:szCs w:val="13"/>
                <w:b w:val="1"/>
                <w:bCs w:val="1"/>
                <w:color w:val="auto"/>
              </w:rPr>
              <w:t>Nine Months Ended September 30,</w:t>
            </w:r>
          </w:p>
        </w:tc>
      </w:tr>
      <w:tr>
        <w:trPr>
          <w:trHeight w:val="151"/>
        </w:trPr>
        <w:tc>
          <w:tcPr>
            <w:tcW w:w="316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3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r>
      <w:tr>
        <w:trPr>
          <w:trHeight w:val="140"/>
        </w:trPr>
        <w:tc>
          <w:tcPr>
            <w:tcW w:w="31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Service fees</w:t>
            </w:r>
          </w:p>
        </w:tc>
        <w:tc>
          <w:tcPr>
            <w:tcW w:w="720" w:type="dxa"/>
            <w:vAlign w:val="bottom"/>
            <w:shd w:val="clear" w:color="auto" w:fill="CCEEFF"/>
          </w:tcPr>
          <w:p>
            <w:pPr>
              <w:jc w:val="right"/>
              <w:ind w:right="576"/>
              <w:spacing w:after="0" w:line="140"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8"/>
              </w:rPr>
              <w:t>1,329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934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3,707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2,917</w:t>
            </w:r>
          </w:p>
        </w:tc>
        <w:tc>
          <w:tcPr>
            <w:tcW w:w="20" w:type="dxa"/>
            <w:vAlign w:val="bottom"/>
            <w:shd w:val="clear" w:color="auto" w:fill="CCEEFF"/>
          </w:tcPr>
          <w:p>
            <w:pPr>
              <w:spacing w:after="0"/>
              <w:rPr>
                <w:sz w:val="12"/>
                <w:szCs w:val="12"/>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3"/>
                <w:szCs w:val="13"/>
                <w:color w:val="auto"/>
              </w:rPr>
              <w:t>Gain (loss) on sale of securities available for sale, net</w:t>
            </w:r>
          </w:p>
        </w:tc>
        <w:tc>
          <w:tcPr>
            <w:tcW w:w="7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(955)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(976)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3"/>
                <w:szCs w:val="13"/>
                <w:color w:val="auto"/>
              </w:rPr>
              <w:t>(540)</w:t>
            </w:r>
          </w:p>
        </w:tc>
      </w:tr>
      <w:tr>
        <w:trPr>
          <w:trHeight w:val="171"/>
        </w:trPr>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rPr>
              <w:t>Gain on sale of loans held for sale, net</w:t>
            </w: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w:t>
            </w:r>
          </w:p>
        </w:tc>
        <w:tc>
          <w:tcPr>
            <w:tcW w:w="20" w:type="dxa"/>
            <w:vAlign w:val="bottom"/>
            <w:shd w:val="clear" w:color="auto" w:fill="CCEEFF"/>
          </w:tcPr>
          <w:p>
            <w:pPr>
              <w:spacing w:after="0"/>
              <w:rPr>
                <w:sz w:val="14"/>
                <w:szCs w:val="14"/>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3"/>
                <w:szCs w:val="13"/>
                <w:color w:val="auto"/>
              </w:rPr>
              <w:t>Loan settlement</w:t>
            </w:r>
          </w:p>
        </w:tc>
        <w:tc>
          <w:tcPr>
            <w:tcW w:w="7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161</w:t>
            </w:r>
          </w:p>
        </w:tc>
        <w:tc>
          <w:tcPr>
            <w:tcW w:w="20" w:type="dxa"/>
            <w:vAlign w:val="bottom"/>
          </w:tcPr>
          <w:p>
            <w:pPr>
              <w:spacing w:after="0"/>
              <w:rPr>
                <w:sz w:val="13"/>
                <w:szCs w:val="13"/>
                <w:color w:val="auto"/>
              </w:rPr>
            </w:pPr>
          </w:p>
        </w:tc>
      </w:tr>
      <w:tr>
        <w:trPr>
          <w:trHeight w:val="160"/>
        </w:trPr>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rPr>
              <w:t>Other non-interest income</w:t>
            </w:r>
          </w:p>
        </w:tc>
        <w:tc>
          <w:tcPr>
            <w:tcW w:w="7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1,532</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1,083</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2,650</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w:t>
            </w:r>
          </w:p>
        </w:tc>
        <w:tc>
          <w:tcPr>
            <w:tcW w:w="20" w:type="dxa"/>
            <w:vAlign w:val="bottom"/>
            <w:shd w:val="clear" w:color="auto" w:fill="CCEEFF"/>
          </w:tcPr>
          <w:p>
            <w:pPr>
              <w:spacing w:after="0"/>
              <w:rPr>
                <w:sz w:val="13"/>
                <w:szCs w:val="13"/>
                <w:color w:val="auto"/>
              </w:rPr>
            </w:pPr>
          </w:p>
        </w:tc>
      </w:tr>
      <w:tr>
        <w:trPr>
          <w:trHeight w:val="140"/>
        </w:trPr>
        <w:tc>
          <w:tcPr>
            <w:tcW w:w="3160" w:type="dxa"/>
            <w:vAlign w:val="bottom"/>
          </w:tcPr>
          <w:p>
            <w:pPr>
              <w:ind w:left="100"/>
              <w:spacing w:after="0" w:line="140" w:lineRule="exact"/>
              <w:rPr>
                <w:sz w:val="20"/>
                <w:szCs w:val="20"/>
                <w:color w:val="auto"/>
              </w:rPr>
            </w:pPr>
            <w:r>
              <w:rPr>
                <w:rFonts w:ascii="Arial" w:cs="Arial" w:eastAsia="Arial" w:hAnsi="Arial"/>
                <w:sz w:val="13"/>
                <w:szCs w:val="13"/>
                <w:color w:val="auto"/>
              </w:rPr>
              <w:t>Total non-interest income</w:t>
            </w:r>
          </w:p>
        </w:tc>
        <w:tc>
          <w:tcPr>
            <w:tcW w:w="720" w:type="dxa"/>
            <w:vAlign w:val="bottom"/>
            <w:tcBorders>
              <w:bottom w:val="single" w:sz="8" w:color="auto"/>
            </w:tcBorders>
          </w:tcPr>
          <w:p>
            <w:pPr>
              <w:jc w:val="right"/>
              <w:ind w:right="576"/>
              <w:spacing w:after="0" w:line="140" w:lineRule="exact"/>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w w:val="98"/>
              </w:rPr>
              <w:t>2,161</w:t>
            </w: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1,789</w:t>
            </w: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6,077</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5,351</w:t>
            </w:r>
          </w:p>
        </w:tc>
        <w:tc>
          <w:tcPr>
            <w:tcW w:w="20" w:type="dxa"/>
            <w:vAlign w:val="bottom"/>
            <w:tcBorders>
              <w:bottom w:val="single" w:sz="8" w:color="auto"/>
            </w:tcBorders>
          </w:tcPr>
          <w:p>
            <w:pPr>
              <w:spacing w:after="0"/>
              <w:rPr>
                <w:sz w:val="12"/>
                <w:szCs w:val="12"/>
                <w:color w:val="auto"/>
              </w:rPr>
            </w:pPr>
          </w:p>
        </w:tc>
      </w:tr>
      <w:tr>
        <w:trPr>
          <w:trHeight w:val="20"/>
        </w:trPr>
        <w:tc>
          <w:tcPr>
            <w:tcW w:w="3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2023 compared to the three months ended September 30, 2022</w:t>
      </w:r>
    </w:p>
    <w:p>
      <w:pPr>
        <w:spacing w:after="0" w:line="174"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Non-interest income for the three months ended September 30, 2023 increased $372 thousand or 20.8%, compared to the same period in 2022. This increase was primarily driven by growth in service fees from a larger deposit portfolio and an increase in wire and treasury management fees. A strategic restructuring of bank owned life insurance increased other income by $982 thousand. However, there was a $955 thousand securities loss experienced during the period. The Company sold $7.7 million in lower-yielding securities to reinvest the funds in higher-return investments.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2023 compared to the nine months ended September 30, 2022</w:t>
      </w:r>
    </w:p>
    <w:p>
      <w:pPr>
        <w:spacing w:after="0" w:line="174"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Non-interest income for the nine months ended September 30, 2023 increased $726 thousand or 13.6%, compared to the same period in 2022. This increase was primarily driven by an increase in service fees from a larger deposit portfolio and an increase in wire and treasury management fees. A strategic restructuring of bank owned life insurance increased other income by $982 thousand experienced during the period. However, there was a $976 thousand securities loss. The Company sold $16.4 million in lower-yielding securities to reinvest the funds in higher-return investments. For the period ended September 30, 2022, the Company recognized $161 thousand interest recovery from a prior lending customer of the Bank. This payment reflected the final payment and settlement of lien judgements against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dates indicated (in thousands):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8"/>
              </w:rPr>
              <w:t>Three Months Ended September 30,</w:t>
            </w:r>
          </w:p>
        </w:tc>
        <w:tc>
          <w:tcPr>
            <w:tcW w:w="40" w:type="dxa"/>
            <w:vAlign w:val="bottom"/>
          </w:tcPr>
          <w:p>
            <w:pPr>
              <w:spacing w:after="0"/>
              <w:rPr>
                <w:sz w:val="14"/>
                <w:szCs w:val="1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20" w:type="dxa"/>
            <w:vAlign w:val="bottom"/>
          </w:tcPr>
          <w:p>
            <w:pPr>
              <w:spacing w:after="0"/>
              <w:rPr>
                <w:sz w:val="14"/>
                <w:szCs w:val="14"/>
                <w:color w:val="auto"/>
              </w:rPr>
            </w:pPr>
          </w:p>
        </w:tc>
      </w:tr>
      <w:tr>
        <w:trPr>
          <w:trHeight w:val="151"/>
        </w:trPr>
        <w:tc>
          <w:tcPr>
            <w:tcW w:w="10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r>
      <w:tr>
        <w:trPr>
          <w:trHeight w:val="140"/>
        </w:trPr>
        <w:tc>
          <w:tcPr>
            <w:tcW w:w="316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Salaries and employee benefits</w:t>
            </w:r>
          </w:p>
        </w:tc>
        <w:tc>
          <w:tcPr>
            <w:tcW w:w="1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6,066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6,075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18,325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17,863</w:t>
            </w:r>
          </w:p>
        </w:tc>
        <w:tc>
          <w:tcPr>
            <w:tcW w:w="20" w:type="dxa"/>
            <w:vAlign w:val="bottom"/>
            <w:shd w:val="clear" w:color="auto" w:fill="CCEEFF"/>
          </w:tcPr>
          <w:p>
            <w:pPr>
              <w:spacing w:after="0"/>
              <w:rPr>
                <w:sz w:val="12"/>
                <w:szCs w:val="12"/>
                <w:color w:val="auto"/>
              </w:rPr>
            </w:pPr>
          </w:p>
        </w:tc>
      </w:tr>
      <w:tr>
        <w:trPr>
          <w:trHeight w:val="160"/>
        </w:trPr>
        <w:tc>
          <w:tcPr>
            <w:tcW w:w="3160" w:type="dxa"/>
            <w:vAlign w:val="bottom"/>
            <w:gridSpan w:val="2"/>
          </w:tcPr>
          <w:p>
            <w:pPr>
              <w:spacing w:after="0"/>
              <w:rPr>
                <w:sz w:val="20"/>
                <w:szCs w:val="20"/>
                <w:color w:val="auto"/>
              </w:rPr>
            </w:pPr>
            <w:r>
              <w:rPr>
                <w:rFonts w:ascii="Arial" w:cs="Arial" w:eastAsia="Arial" w:hAnsi="Arial"/>
                <w:sz w:val="13"/>
                <w:szCs w:val="13"/>
                <w:color w:val="auto"/>
              </w:rPr>
              <w:t>Occupancy</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1,350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1,281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3,968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3,802</w:t>
            </w:r>
          </w:p>
        </w:tc>
        <w:tc>
          <w:tcPr>
            <w:tcW w:w="20" w:type="dxa"/>
            <w:vAlign w:val="bottom"/>
          </w:tcPr>
          <w:p>
            <w:pPr>
              <w:spacing w:after="0"/>
              <w:rPr>
                <w:sz w:val="13"/>
                <w:szCs w:val="13"/>
                <w:color w:val="auto"/>
              </w:rPr>
            </w:pPr>
          </w:p>
        </w:tc>
      </w:tr>
      <w:tr>
        <w:trPr>
          <w:trHeight w:val="17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Regulatory assessment and fees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20" w:type="dxa"/>
            <w:vAlign w:val="bottom"/>
            <w:shd w:val="clear" w:color="auto" w:fill="CCEEFF"/>
          </w:tcPr>
          <w:p>
            <w:pPr>
              <w:spacing w:after="0"/>
              <w:rPr>
                <w:sz w:val="14"/>
                <w:szCs w:val="14"/>
                <w:color w:val="auto"/>
              </w:rPr>
            </w:pPr>
          </w:p>
        </w:tc>
      </w:tr>
      <w:tr>
        <w:trPr>
          <w:trHeight w:val="160"/>
        </w:trPr>
        <w:tc>
          <w:tcPr>
            <w:tcW w:w="3160" w:type="dxa"/>
            <w:vAlign w:val="bottom"/>
            <w:gridSpan w:val="2"/>
          </w:tcPr>
          <w:p>
            <w:pPr>
              <w:spacing w:after="0"/>
              <w:rPr>
                <w:sz w:val="20"/>
                <w:szCs w:val="20"/>
                <w:color w:val="auto"/>
              </w:rPr>
            </w:pPr>
            <w:r>
              <w:rPr>
                <w:rFonts w:ascii="Arial" w:cs="Arial" w:eastAsia="Arial" w:hAnsi="Arial"/>
                <w:sz w:val="13"/>
                <w:szCs w:val="13"/>
                <w:color w:val="auto"/>
              </w:rPr>
              <w:t>Consulting and legal fees</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513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604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1,257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1,519</w:t>
            </w:r>
          </w:p>
        </w:tc>
        <w:tc>
          <w:tcPr>
            <w:tcW w:w="20" w:type="dxa"/>
            <w:vAlign w:val="bottom"/>
          </w:tcPr>
          <w:p>
            <w:pPr>
              <w:spacing w:after="0"/>
              <w:rPr>
                <w:sz w:val="13"/>
                <w:szCs w:val="13"/>
                <w:color w:val="auto"/>
              </w:rPr>
            </w:pPr>
          </w:p>
        </w:tc>
      </w:tr>
      <w:tr>
        <w:trPr>
          <w:trHeight w:val="160"/>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Network and information technology services</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20" w:type="dxa"/>
            <w:vAlign w:val="bottom"/>
            <w:shd w:val="clear" w:color="auto" w:fill="CCEEFF"/>
          </w:tcPr>
          <w:p>
            <w:pPr>
              <w:spacing w:after="0"/>
              <w:rPr>
                <w:sz w:val="13"/>
                <w:szCs w:val="13"/>
                <w:color w:val="auto"/>
              </w:rPr>
            </w:pPr>
          </w:p>
        </w:tc>
      </w:tr>
      <w:tr>
        <w:trPr>
          <w:trHeight w:val="160"/>
        </w:trPr>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operating</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1,686</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1,415</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5,034</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4,080</w:t>
            </w:r>
          </w:p>
        </w:tc>
        <w:tc>
          <w:tcPr>
            <w:tcW w:w="20" w:type="dxa"/>
            <w:vAlign w:val="bottom"/>
          </w:tcPr>
          <w:p>
            <w:pPr>
              <w:spacing w:after="0"/>
              <w:rPr>
                <w:sz w:val="13"/>
                <w:szCs w:val="13"/>
                <w:color w:val="auto"/>
              </w:rPr>
            </w:pPr>
          </w:p>
        </w:tc>
      </w:tr>
      <w:tr>
        <w:trPr>
          <w:trHeight w:val="161"/>
        </w:trPr>
        <w:tc>
          <w:tcPr>
            <w:tcW w:w="10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Total non-interest expense</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10,461</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10,132</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31,089</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29,295</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2023 compared to the three months ended September 30, 2022</w:t>
      </w:r>
    </w:p>
    <w:p>
      <w:pPr>
        <w:spacing w:after="0" w:line="174"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Non-interest expense for the three months ended September 30, 2023 increased $329 thousand or 3.2%, compared to the same period in 2022. The increase was primarily driven by an increase in the audit and tax services, legal expenses, FDIC deposit insurance assessment, and was partially offset by a decrease in the professional fees.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2023 compared to the nine months ended September 30, 2022</w:t>
      </w:r>
    </w:p>
    <w:p>
      <w:pPr>
        <w:spacing w:after="0" w:line="163"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Non-interest expense for the nine months ended September 30, 2023 increased $1.8 million or 6.1%, compared to the same period in 2022. The increase was primarily driven by higher salaries and employee benefits expense due to new hires, increased salary compensation and seasonal payroll taxes as well as increases in the FDIC deposit insurance assessment rate, and audit and tax services expense.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76"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expenses for income tax purposes. Therefore, future decisions on the investments we choose will affect our effective tax rate. The cash surrender value of bank-owned life insurance policies covering key employees, purchasing municipal bonds, and overall levels of taxable income will be important elements in determining our effective tax rate.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2023 compared to the three months ended September 30, 2022</w:t>
      </w:r>
    </w:p>
    <w:p>
      <w:pPr>
        <w:spacing w:after="0" w:line="174" w:lineRule="exact"/>
        <w:rPr>
          <w:sz w:val="20"/>
          <w:szCs w:val="20"/>
          <w:color w:val="auto"/>
        </w:rPr>
      </w:pPr>
    </w:p>
    <w:p>
      <w:pPr>
        <w:jc w:val="both"/>
        <w:ind w:left="660" w:right="679" w:firstLine="299"/>
        <w:spacing w:after="0" w:line="260" w:lineRule="auto"/>
        <w:rPr>
          <w:sz w:val="20"/>
          <w:szCs w:val="20"/>
          <w:color w:val="auto"/>
        </w:rPr>
      </w:pPr>
      <w:r>
        <w:rPr>
          <w:rFonts w:ascii="Arial" w:cs="Arial" w:eastAsia="Arial" w:hAnsi="Arial"/>
          <w:sz w:val="14"/>
          <w:szCs w:val="14"/>
          <w:color w:val="auto"/>
        </w:rPr>
        <w:t>Income tax expense for the quarter ended September 30, 2023 was $1.3 million as compared to $2.0 million for the same period in 2022. The effective tax rate for the three months ended September 30, 2023 was 24.7% compared to 26.1% for the same period in 2022.</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2023 compared to the nine months ended September 30, 2022</w:t>
      </w:r>
    </w:p>
    <w:p>
      <w:pPr>
        <w:spacing w:after="0" w:line="174"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Income tax expense for the nine months ended September 30, 2023 decreased to $4.5 million from $5.5 million for the same period in 2022. The Company’s effective tax rate was 24.4% for the 2023 period compared to 26.0% for the same period in 2022.</w:t>
      </w:r>
    </w:p>
    <w:p>
      <w:pPr>
        <w:spacing w:after="0" w:line="128" w:lineRule="exact"/>
        <w:rPr>
          <w:sz w:val="20"/>
          <w:szCs w:val="20"/>
          <w:color w:val="auto"/>
        </w:rPr>
      </w:pPr>
    </w:p>
    <w:p>
      <w:pPr>
        <w:ind w:left="660" w:right="719" w:firstLine="256"/>
        <w:spacing w:after="0" w:line="267" w:lineRule="auto"/>
        <w:rPr>
          <w:sz w:val="20"/>
          <w:szCs w:val="20"/>
          <w:color w:val="auto"/>
        </w:rPr>
      </w:pPr>
      <w:r>
        <w:rPr>
          <w:rFonts w:ascii="Arial" w:cs="Arial" w:eastAsia="Arial" w:hAnsi="Arial"/>
          <w:sz w:val="14"/>
          <w:szCs w:val="14"/>
          <w:color w:val="auto"/>
        </w:rPr>
        <w:t>For a further discussion of income taxes, see Note 4 “Income Taxes” to the unaudited Consolidated Financial Statements in Item 1 of Part I of this Form 10-Q.</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Total assets at September 30, 2023 were $2.2 billion, an increase of $158.8 million, or 10.2% annualized, over total assets of $2.1 billion at December 31, 2022. Total loans, net of unearned fees/cost, increased $169.2 million, or 15.0% annualized, to $1.7 billion at September 30, 2023 compared to $1.5 billion at December 31, 2022. Total deposits increased by $91.6 million, or 6.7% annualized, to $1.9 billion at September 30, 2023 compared to December 31, 2022.</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65"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philosophy of the portfolio is to maximize the Company’s profitability taking into</w:t>
      </w:r>
    </w:p>
    <w:p>
      <w:pPr>
        <w:spacing w:after="0" w:line="18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67" w:lineRule="auto"/>
        <w:rPr>
          <w:sz w:val="20"/>
          <w:szCs w:val="20"/>
          <w:color w:val="auto"/>
        </w:rPr>
      </w:pPr>
      <w:r>
        <w:rPr>
          <w:rFonts w:ascii="Arial" w:cs="Arial" w:eastAsia="Arial" w:hAnsi="Arial"/>
          <w:sz w:val="14"/>
          <w:szCs w:val="14"/>
          <w:color w:val="auto"/>
        </w:rPr>
        <w:t>consideration the Company’s risk appetite and tolerance, manage the asset composition and diversification, and maintain adequate risk-based capital ratios.</w:t>
      </w:r>
    </w:p>
    <w:p>
      <w:pPr>
        <w:spacing w:after="0" w:line="133" w:lineRule="exact"/>
        <w:rPr>
          <w:sz w:val="20"/>
          <w:szCs w:val="20"/>
          <w:color w:val="auto"/>
        </w:rPr>
      </w:pPr>
    </w:p>
    <w:p>
      <w:pPr>
        <w:jc w:val="both"/>
        <w:ind w:left="660" w:right="699" w:firstLine="256"/>
        <w:spacing w:after="0" w:line="248" w:lineRule="auto"/>
        <w:rPr>
          <w:sz w:val="20"/>
          <w:szCs w:val="20"/>
          <w:color w:val="auto"/>
        </w:rPr>
      </w:pPr>
      <w:r>
        <w:rPr>
          <w:rFonts w:ascii="Arial" w:cs="Arial" w:eastAsia="Arial" w:hAnsi="Arial"/>
          <w:sz w:val="14"/>
          <w:szCs w:val="14"/>
          <w:color w:val="auto"/>
        </w:rPr>
        <w:t>The investment portfolio is managed in accordance with the Board approved Asset and Liability Management (“ALM”) policy, which includes investment guidelines.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 directed by the Asset-Liability Comittee (“ALCO”). The portfolio of investments also can be used to modify the duration of the balance sheet. The allocation of cash into securities takes into consideration anticipated future cash flows (uses and sources) and all available sources of credit.</w:t>
      </w:r>
    </w:p>
    <w:p>
      <w:pPr>
        <w:spacing w:after="0" w:line="137"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Our investment portfolio consists primarily of securities issued by U.S. government-sponsored agencies, U.S. agency mortgage-backed securities, collateralized mortgage obligation securities, municipal securities, and other debt securities, all with varying contractual maturities and coupons. Due to the optionality embedded in these securities, the final maturities do not necessarily represent the expected life of the portfolio. Some of these securities will be called or paid down prior to maturity depending on capital market conditions and expectations. The investment portfolio is regularly reviewed by the Chief Financial Officer, Treasurer, and the ALCO of the Company to ensure an appropriate risk and return profile as well as for adherence to the investment policy.</w:t>
      </w:r>
    </w:p>
    <w:p>
      <w:pPr>
        <w:spacing w:after="0" w:line="14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ASC Topic 326 amended the existing other-than-temporary-impairment guidance for AFS securities, requiring credit losses to be recorded as an allowance rather than through a permanent write-down. When evaluating AFS debt securities under ASC Topic 326, the Company has evaluated whether the decline in fair value is attributable to credit losses or other factors like interest rate risk, using both quantitative and qualitative analyses, including company performance analysis, review of credit ratings, remaining payment terms, prepayment speeds and analysis of macro-economic conditions. Each investment is expected to recover its price depreciations over its holding period as it moves to maturity and the Company has the intent and ability to hold these securities to maturity if necessary. As a result of this evaluation, the Company concluded that no allowance was required on AFS securities.</w:t>
      </w:r>
    </w:p>
    <w:p>
      <w:pPr>
        <w:spacing w:after="0" w:line="136"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AFS and HTM investment securities decreased $2.9 million, or 0.9% annualized, to $415.9 million at September 30, 2023 from $418.8 million at December 31, 2022. Investment securities increased due to reinvestment of payments received and investment of excess in cash balances into high credit quality investments to increase the Company’s profitability and modify the Company’s balance sheet duration according to the ALM policy. As of September 30, 2023, investment securities with a market value of $107.7 million were pledged to secure public deposits and the BTFP. The investment portfolio does not have any tax-exempt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(in thousands):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96"/>
              <w:spacing w:after="0"/>
              <w:rPr>
                <w:sz w:val="20"/>
                <w:szCs w:val="20"/>
                <w:color w:val="auto"/>
              </w:rPr>
            </w:pPr>
            <w:r>
              <w:rPr>
                <w:rFonts w:ascii="Arial" w:cs="Arial" w:eastAsia="Arial" w:hAnsi="Arial"/>
                <w:sz w:val="13"/>
                <w:szCs w:val="13"/>
                <w:b w:val="1"/>
                <w:bCs w:val="1"/>
                <w:color w:val="auto"/>
              </w:rPr>
              <w:t>September 30, 2023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316"/>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3"/>
                <w:szCs w:val="13"/>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3"/>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3"/>
                <w:szCs w:val="13"/>
                <w:color w:val="auto"/>
              </w:rPr>
            </w:pPr>
          </w:p>
        </w:tc>
      </w:tr>
      <w:tr>
        <w:trPr>
          <w:trHeight w:val="140"/>
        </w:trPr>
        <w:tc>
          <w:tcPr>
            <w:tcW w:w="20" w:type="dxa"/>
            <w:vAlign w:val="bottom"/>
          </w:tcPr>
          <w:p>
            <w:pPr>
              <w:spacing w:after="0"/>
              <w:rPr>
                <w:sz w:val="12"/>
                <w:szCs w:val="12"/>
                <w:color w:val="auto"/>
              </w:rPr>
            </w:pPr>
          </w:p>
        </w:tc>
        <w:tc>
          <w:tcPr>
            <w:tcW w:w="37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U.S. Government Agency</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9,913</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8,025</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10,177</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8,655</w:t>
            </w:r>
          </w:p>
        </w:tc>
        <w:tc>
          <w:tcPr>
            <w:tcW w:w="20" w:type="dxa"/>
            <w:vAlign w:val="bottom"/>
            <w:shd w:val="clear" w:color="auto" w:fill="CCEEFF"/>
          </w:tcPr>
          <w:p>
            <w:pPr>
              <w:spacing w:after="0"/>
              <w:rPr>
                <w:sz w:val="12"/>
                <w:szCs w:val="12"/>
                <w:color w:val="auto"/>
              </w:rPr>
            </w:pPr>
          </w:p>
        </w:tc>
      </w:tr>
      <w:tr>
        <w:trPr>
          <w:trHeight w:val="181"/>
        </w:trPr>
        <w:tc>
          <w:tcPr>
            <w:tcW w:w="380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105,547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78,571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118,951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95,541</w:t>
            </w:r>
          </w:p>
        </w:tc>
        <w:tc>
          <w:tcPr>
            <w:tcW w:w="20" w:type="dxa"/>
            <w:vAlign w:val="bottom"/>
          </w:tcPr>
          <w:p>
            <w:pPr>
              <w:spacing w:after="0"/>
              <w:rPr>
                <w:sz w:val="15"/>
                <w:szCs w:val="15"/>
                <w:color w:val="auto"/>
              </w:rPr>
            </w:pPr>
          </w:p>
        </w:tc>
      </w:tr>
      <w:tr>
        <w:trPr>
          <w:trHeight w:val="140"/>
        </w:trPr>
        <w:tc>
          <w:tcPr>
            <w:tcW w:w="20" w:type="dxa"/>
            <w:vAlign w:val="bottom"/>
          </w:tcPr>
          <w:p>
            <w:pPr>
              <w:spacing w:after="0"/>
              <w:rPr>
                <w:sz w:val="12"/>
                <w:szCs w:val="12"/>
                <w:color w:val="auto"/>
              </w:rPr>
            </w:pPr>
          </w:p>
        </w:tc>
        <w:tc>
          <w:tcPr>
            <w:tcW w:w="378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3"/>
                <w:szCs w:val="13"/>
                <w:color w:val="auto"/>
              </w:rPr>
              <w:t>Mortgage-backed securities - residential</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66,024</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51,157</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73,838</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60,879</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48,010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40,564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32,244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27,954</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25,024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18,116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18,483</w:t>
            </w:r>
          </w:p>
        </w:tc>
        <w:tc>
          <w:tcPr>
            <w:tcW w:w="20" w:type="dxa"/>
            <w:vAlign w:val="bottom"/>
            <w:shd w:val="clear" w:color="auto" w:fill="CCEEFF"/>
          </w:tcPr>
          <w:p>
            <w:pPr>
              <w:spacing w:after="0"/>
              <w:rPr>
                <w:sz w:val="13"/>
                <w:szCs w:val="13"/>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24,417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22,176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15,964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14,919</w:t>
            </w: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4,037</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3,709</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278,935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218,609</w:t>
            </w:r>
          </w:p>
        </w:tc>
        <w:tc>
          <w:tcPr>
            <w:tcW w:w="40" w:type="dxa"/>
            <w:vAlign w:val="bottom"/>
            <w:gridSpan w:val="2"/>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280,295</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230,140</w:t>
            </w:r>
          </w:p>
        </w:tc>
        <w:tc>
          <w:tcPr>
            <w:tcW w:w="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44,087</w:t>
            </w:r>
          </w:p>
        </w:tc>
        <w:tc>
          <w:tcPr>
            <w:tcW w:w="20" w:type="dxa"/>
            <w:vAlign w:val="bottom"/>
          </w:tcPr>
          <w:p>
            <w:pPr>
              <w:spacing w:after="0"/>
              <w:rPr>
                <w:sz w:val="14"/>
                <w:szCs w:val="14"/>
                <w:color w:val="auto"/>
              </w:rPr>
            </w:pPr>
          </w:p>
        </w:tc>
        <w:tc>
          <w:tcPr>
            <w:tcW w:w="16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37,049</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44,914</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39,062</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U.S. Treasury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9,828</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64,094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53,786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68,727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60,925</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44,302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38,214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42,685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38,483</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15,467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13,884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11,442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10,777</w:t>
            </w: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9,443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8,455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10,013</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197,327</w:t>
            </w:r>
          </w:p>
        </w:tc>
        <w:tc>
          <w:tcPr>
            <w:tcW w:w="20" w:type="dxa"/>
            <w:vAlign w:val="bottom"/>
          </w:tcPr>
          <w:p>
            <w:pPr>
              <w:spacing w:after="0"/>
              <w:rPr>
                <w:sz w:val="18"/>
                <w:szCs w:val="18"/>
                <w:color w:val="auto"/>
              </w:rPr>
            </w:pPr>
          </w:p>
        </w:tc>
        <w:tc>
          <w:tcPr>
            <w:tcW w:w="16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171,294</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188,699</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169,088</w:t>
            </w:r>
          </w:p>
        </w:tc>
        <w:tc>
          <w:tcPr>
            <w:tcW w:w="20" w:type="dxa"/>
            <w:vAlign w:val="bottom"/>
          </w:tcPr>
          <w:p>
            <w:pPr>
              <w:spacing w:after="0"/>
              <w:rPr>
                <w:sz w:val="18"/>
                <w:szCs w:val="18"/>
                <w:color w:val="auto"/>
              </w:rPr>
            </w:pPr>
          </w:p>
        </w:tc>
      </w:tr>
      <w:tr>
        <w:trPr>
          <w:trHeight w:val="111"/>
        </w:trPr>
        <w:tc>
          <w:tcPr>
            <w:tcW w:w="20" w:type="dxa"/>
            <w:vAlign w:val="bottom"/>
          </w:tcPr>
          <w:p>
            <w:pPr>
              <w:spacing w:after="0"/>
              <w:rPr>
                <w:sz w:val="9"/>
                <w:szCs w:val="9"/>
                <w:color w:val="auto"/>
              </w:rPr>
            </w:pPr>
          </w:p>
        </w:tc>
        <w:tc>
          <w:tcPr>
            <w:tcW w:w="378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2"/>
                <w:szCs w:val="12"/>
                <w:color w:val="auto"/>
              </w:rPr>
              <w:t>Allowance for credit losses - securities held-to-maturity</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gridSpan w:val="2"/>
            <w:shd w:val="clear" w:color="auto" w:fill="CCEEFF"/>
          </w:tcPr>
          <w:p>
            <w:pPr>
              <w:jc w:val="right"/>
              <w:ind w:right="20"/>
              <w:spacing w:after="0" w:line="111" w:lineRule="exact"/>
              <w:rPr>
                <w:sz w:val="20"/>
                <w:szCs w:val="20"/>
                <w:color w:val="auto"/>
              </w:rPr>
            </w:pPr>
            <w:r>
              <w:rPr>
                <w:rFonts w:ascii="Arial" w:cs="Arial" w:eastAsia="Arial" w:hAnsi="Arial"/>
                <w:sz w:val="12"/>
                <w:szCs w:val="12"/>
                <w:color w:val="auto"/>
              </w:rPr>
              <w:t>(16)</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61"/>
        </w:trPr>
        <w:tc>
          <w:tcPr>
            <w:tcW w:w="3800" w:type="dxa"/>
            <w:vAlign w:val="bottom"/>
            <w:gridSpan w:val="2"/>
          </w:tcPr>
          <w:p>
            <w:pPr>
              <w:spacing w:after="0"/>
              <w:rPr>
                <w:sz w:val="20"/>
                <w:szCs w:val="20"/>
                <w:color w:val="auto"/>
              </w:rPr>
            </w:pPr>
            <w:r>
              <w:rPr>
                <w:rFonts w:ascii="Arial" w:cs="Arial" w:eastAsia="Arial" w:hAnsi="Arial"/>
                <w:sz w:val="13"/>
                <w:szCs w:val="13"/>
                <w:color w:val="auto"/>
              </w:rPr>
              <w:t>Securities held-to maturity, net of allowance for credit losses</w:t>
            </w:r>
          </w:p>
        </w:tc>
        <w:tc>
          <w:tcPr>
            <w:tcW w:w="14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197,311</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September 30, 2023 (in thousands, except ratios):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80" w:type="dxa"/>
            <w:vAlign w:val="bottom"/>
            <w:gridSpan w:val="13"/>
          </w:tcPr>
          <w:p>
            <w:pPr>
              <w:jc w:val="right"/>
              <w:ind w:right="87"/>
              <w:spacing w:after="0"/>
              <w:rPr>
                <w:sz w:val="20"/>
                <w:szCs w:val="20"/>
                <w:color w:val="auto"/>
              </w:rPr>
            </w:pPr>
            <w:r>
              <w:rPr>
                <w:rFonts w:ascii="Arial" w:cs="Arial" w:eastAsia="Arial" w:hAnsi="Arial"/>
                <w:sz w:val="11"/>
                <w:szCs w:val="11"/>
                <w:b w:val="1"/>
                <w:bCs w:val="1"/>
                <w:color w:val="auto"/>
              </w:rPr>
              <w:t>After 1 year through  After 5 years through</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jc w:val="right"/>
              <w:ind w:right="326"/>
              <w:spacing w:after="0"/>
              <w:rPr>
                <w:sz w:val="20"/>
                <w:szCs w:val="20"/>
                <w:color w:val="auto"/>
              </w:rPr>
            </w:pPr>
            <w:r>
              <w:rPr>
                <w:rFonts w:ascii="Arial" w:cs="Arial" w:eastAsia="Arial" w:hAnsi="Arial"/>
                <w:sz w:val="11"/>
                <w:szCs w:val="11"/>
                <w:b w:val="1"/>
                <w:bCs w:val="1"/>
                <w:color w:val="auto"/>
              </w:rPr>
              <w:t>Within 1 year</w:t>
            </w:r>
          </w:p>
        </w:tc>
        <w:tc>
          <w:tcPr>
            <w:tcW w:w="640" w:type="dxa"/>
            <w:vAlign w:val="bottom"/>
            <w:gridSpan w:val="3"/>
          </w:tcPr>
          <w:p>
            <w:pPr>
              <w:ind w:left="240"/>
              <w:spacing w:after="0"/>
              <w:rPr>
                <w:sz w:val="20"/>
                <w:szCs w:val="20"/>
                <w:color w:val="auto"/>
              </w:rPr>
            </w:pPr>
            <w:r>
              <w:rPr>
                <w:rFonts w:ascii="Arial" w:cs="Arial" w:eastAsia="Arial" w:hAnsi="Arial"/>
                <w:sz w:val="11"/>
                <w:szCs w:val="11"/>
                <w:b w:val="1"/>
                <w:bCs w:val="1"/>
                <w:color w:val="auto"/>
              </w:rPr>
              <w:t>5 years</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5"/>
          </w:tcPr>
          <w:p>
            <w:pPr>
              <w:jc w:val="right"/>
              <w:ind w:right="447"/>
              <w:spacing w:after="0"/>
              <w:rPr>
                <w:sz w:val="20"/>
                <w:szCs w:val="20"/>
                <w:color w:val="auto"/>
              </w:rPr>
            </w:pPr>
            <w:r>
              <w:rPr>
                <w:rFonts w:ascii="Arial" w:cs="Arial" w:eastAsia="Arial" w:hAnsi="Arial"/>
                <w:sz w:val="11"/>
                <w:szCs w:val="11"/>
                <w:b w:val="1"/>
                <w:bCs w:val="1"/>
                <w:color w:val="auto"/>
              </w:rPr>
              <w:t>10 years</w:t>
            </w:r>
          </w:p>
        </w:tc>
        <w:tc>
          <w:tcPr>
            <w:tcW w:w="1180" w:type="dxa"/>
            <w:vAlign w:val="bottom"/>
            <w:gridSpan w:val="5"/>
          </w:tcPr>
          <w:p>
            <w:pPr>
              <w:ind w:left="80"/>
              <w:spacing w:after="0"/>
              <w:rPr>
                <w:sz w:val="20"/>
                <w:szCs w:val="20"/>
                <w:color w:val="auto"/>
              </w:rPr>
            </w:pPr>
            <w:r>
              <w:rPr>
                <w:rFonts w:ascii="Arial" w:cs="Arial" w:eastAsia="Arial" w:hAnsi="Arial"/>
                <w:sz w:val="11"/>
                <w:szCs w:val="11"/>
                <w:b w:val="1"/>
                <w:bCs w:val="1"/>
                <w:color w:val="auto"/>
              </w:rPr>
              <w:t>After 10 years</w:t>
            </w:r>
          </w:p>
        </w:tc>
        <w:tc>
          <w:tcPr>
            <w:tcW w:w="600" w:type="dxa"/>
            <w:vAlign w:val="bottom"/>
            <w:gridSpan w:val="4"/>
          </w:tcPr>
          <w:p>
            <w:pPr>
              <w:ind w:left="300"/>
              <w:spacing w:after="0"/>
              <w:rPr>
                <w:sz w:val="20"/>
                <w:szCs w:val="20"/>
                <w:color w:val="auto"/>
              </w:rPr>
            </w:pPr>
            <w:r>
              <w:rPr>
                <w:rFonts w:ascii="Arial" w:cs="Arial" w:eastAsia="Arial" w:hAnsi="Arial"/>
                <w:sz w:val="11"/>
                <w:szCs w:val="11"/>
                <w:b w:val="1"/>
                <w:bCs w:val="1"/>
                <w:color w:val="auto"/>
              </w:rPr>
              <w:t>Total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1"/>
                <w:szCs w:val="11"/>
                <w:b w:val="1"/>
                <w:bCs w:val="1"/>
                <w:color w:val="auto"/>
              </w:rPr>
              <w:t>Amortized</w:t>
            </w:r>
          </w:p>
        </w:tc>
        <w:tc>
          <w:tcPr>
            <w:tcW w:w="3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gridSpan w:val="5"/>
          </w:tcPr>
          <w:p>
            <w:pPr>
              <w:jc w:val="center"/>
              <w:ind w:right="100"/>
              <w:spacing w:after="0"/>
              <w:rPr>
                <w:sz w:val="20"/>
                <w:szCs w:val="20"/>
                <w:color w:val="auto"/>
              </w:rPr>
            </w:pPr>
            <w:r>
              <w:rPr>
                <w:rFonts w:ascii="Arial" w:cs="Arial" w:eastAsia="Arial" w:hAnsi="Arial"/>
                <w:sz w:val="11"/>
                <w:szCs w:val="11"/>
                <w:b w:val="1"/>
                <w:bCs w:val="1"/>
                <w:color w:val="auto"/>
              </w:rPr>
              <w:t>Amortized</w:t>
            </w: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640" w:type="dxa"/>
            <w:vAlign w:val="bottom"/>
            <w:gridSpan w:val="3"/>
          </w:tcPr>
          <w:p>
            <w:pPr>
              <w:jc w:val="right"/>
              <w:ind w:right="206"/>
              <w:spacing w:after="0"/>
              <w:rPr>
                <w:sz w:val="20"/>
                <w:szCs w:val="20"/>
                <w:color w:val="auto"/>
              </w:rPr>
            </w:pPr>
            <w:r>
              <w:rPr>
                <w:rFonts w:ascii="Arial" w:cs="Arial" w:eastAsia="Arial" w:hAnsi="Arial"/>
                <w:sz w:val="11"/>
                <w:szCs w:val="11"/>
                <w:b w:val="1"/>
                <w:bCs w:val="1"/>
                <w:color w:val="auto"/>
              </w:rPr>
              <w:t>Yield</w:t>
            </w:r>
          </w:p>
        </w:tc>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Cost</w:t>
            </w:r>
          </w:p>
        </w:tc>
        <w:tc>
          <w:tcPr>
            <w:tcW w:w="440" w:type="dxa"/>
            <w:vAlign w:val="bottom"/>
            <w:gridSpan w:val="4"/>
          </w:tcPr>
          <w:p>
            <w:pPr>
              <w:jc w:val="right"/>
              <w:ind w:right="157"/>
              <w:spacing w:after="0"/>
              <w:rPr>
                <w:sz w:val="20"/>
                <w:szCs w:val="20"/>
                <w:color w:val="auto"/>
              </w:rPr>
            </w:pPr>
            <w:r>
              <w:rPr>
                <w:rFonts w:ascii="Arial" w:cs="Arial" w:eastAsia="Arial" w:hAnsi="Arial"/>
                <w:sz w:val="11"/>
                <w:szCs w:val="11"/>
                <w:b w:val="1"/>
                <w:bCs w:val="1"/>
                <w:color w:val="auto"/>
                <w:w w:val="91"/>
              </w:rPr>
              <w:t>Yield</w:t>
            </w:r>
          </w:p>
        </w:tc>
        <w:tc>
          <w:tcPr>
            <w:tcW w:w="62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620" w:type="dxa"/>
            <w:vAlign w:val="bottom"/>
            <w:gridSpan w:val="3"/>
          </w:tcPr>
          <w:p>
            <w:pPr>
              <w:jc w:val="right"/>
              <w:ind w:right="187"/>
              <w:spacing w:after="0"/>
              <w:rPr>
                <w:sz w:val="20"/>
                <w:szCs w:val="20"/>
                <w:color w:val="auto"/>
              </w:rPr>
            </w:pPr>
            <w:r>
              <w:rPr>
                <w:rFonts w:ascii="Arial" w:cs="Arial" w:eastAsia="Arial" w:hAnsi="Arial"/>
                <w:sz w:val="11"/>
                <w:szCs w:val="11"/>
                <w:b w:val="1"/>
                <w:bCs w:val="1"/>
                <w:color w:val="auto"/>
              </w:rPr>
              <w:t>Yield</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640" w:type="dxa"/>
            <w:vAlign w:val="bottom"/>
            <w:gridSpan w:val="3"/>
          </w:tcPr>
          <w:p>
            <w:pPr>
              <w:jc w:val="right"/>
              <w:ind w:right="207"/>
              <w:spacing w:after="0"/>
              <w:rPr>
                <w:sz w:val="20"/>
                <w:szCs w:val="20"/>
                <w:color w:val="auto"/>
              </w:rPr>
            </w:pPr>
            <w:r>
              <w:rPr>
                <w:rFonts w:ascii="Arial" w:cs="Arial" w:eastAsia="Arial" w:hAnsi="Arial"/>
                <w:sz w:val="11"/>
                <w:szCs w:val="11"/>
                <w:b w:val="1"/>
                <w:bCs w:val="1"/>
                <w:color w:val="auto"/>
              </w:rPr>
              <w:t>Yield</w:t>
            </w:r>
          </w:p>
        </w:tc>
        <w:tc>
          <w:tcPr>
            <w:tcW w:w="60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97"/>
              </w:rPr>
              <w:t>Cost</w:t>
            </w:r>
          </w:p>
        </w:tc>
        <w:tc>
          <w:tcPr>
            <w:tcW w:w="4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Yield</w:t>
            </w:r>
          </w:p>
        </w:tc>
        <w:tc>
          <w:tcPr>
            <w:tcW w:w="0" w:type="dxa"/>
            <w:vAlign w:val="bottom"/>
          </w:tcPr>
          <w:p>
            <w:pPr>
              <w:spacing w:after="0"/>
              <w:rPr>
                <w:sz w:val="1"/>
                <w:szCs w:val="1"/>
                <w:color w:val="auto"/>
              </w:rPr>
            </w:pPr>
          </w:p>
        </w:tc>
      </w:tr>
      <w:tr>
        <w:trPr>
          <w:trHeight w:val="129"/>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Available-for-sale:</w:t>
            </w: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tcPr>
          <w:p>
            <w:pPr>
              <w:jc w:val="right"/>
              <w:ind w:right="26"/>
              <w:spacing w:after="0"/>
              <w:rPr>
                <w:sz w:val="20"/>
                <w:szCs w:val="20"/>
                <w:color w:val="auto"/>
              </w:rPr>
            </w:pPr>
            <w:r>
              <w:rPr>
                <w:rFonts w:ascii="Arial" w:cs="Arial" w:eastAsia="Arial" w:hAnsi="Arial"/>
                <w:sz w:val="11"/>
                <w:szCs w:val="11"/>
                <w:color w:val="auto"/>
              </w:rPr>
              <w:t>0.00% $</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4"/>
          </w:tcPr>
          <w:p>
            <w:pPr>
              <w:jc w:val="right"/>
              <w:spacing w:after="0"/>
              <w:rPr>
                <w:sz w:val="20"/>
                <w:szCs w:val="20"/>
                <w:color w:val="auto"/>
              </w:rPr>
            </w:pPr>
            <w:r>
              <w:rPr>
                <w:rFonts w:ascii="Arial" w:cs="Arial" w:eastAsia="Arial" w:hAnsi="Arial"/>
                <w:sz w:val="11"/>
                <w:szCs w:val="11"/>
                <w:color w:val="auto"/>
              </w:rPr>
              <w:t>0.00% $</w:t>
            </w:r>
          </w:p>
        </w:tc>
        <w:tc>
          <w:tcPr>
            <w:tcW w:w="620" w:type="dxa"/>
            <w:vAlign w:val="bottom"/>
          </w:tcPr>
          <w:p>
            <w:pPr>
              <w:jc w:val="right"/>
              <w:spacing w:after="0"/>
              <w:rPr>
                <w:sz w:val="20"/>
                <w:szCs w:val="20"/>
                <w:color w:val="auto"/>
              </w:rPr>
            </w:pPr>
            <w:r>
              <w:rPr>
                <w:rFonts w:ascii="Arial" w:cs="Arial" w:eastAsia="Arial" w:hAnsi="Arial"/>
                <w:sz w:val="11"/>
                <w:szCs w:val="11"/>
                <w:color w:val="auto"/>
              </w:rPr>
              <w:t>1,983</w:t>
            </w:r>
          </w:p>
        </w:tc>
        <w:tc>
          <w:tcPr>
            <w:tcW w:w="640" w:type="dxa"/>
            <w:vAlign w:val="bottom"/>
            <w:gridSpan w:val="4"/>
          </w:tcPr>
          <w:p>
            <w:pPr>
              <w:jc w:val="right"/>
              <w:ind w:right="7"/>
              <w:spacing w:after="0"/>
              <w:rPr>
                <w:sz w:val="20"/>
                <w:szCs w:val="20"/>
                <w:color w:val="auto"/>
              </w:rPr>
            </w:pPr>
            <w:r>
              <w:rPr>
                <w:rFonts w:ascii="Arial" w:cs="Arial" w:eastAsia="Arial" w:hAnsi="Arial"/>
                <w:sz w:val="11"/>
                <w:szCs w:val="11"/>
                <w:color w:val="auto"/>
              </w:rPr>
              <w:t>3.17% $</w:t>
            </w:r>
          </w:p>
        </w:tc>
        <w:tc>
          <w:tcPr>
            <w:tcW w:w="520" w:type="dxa"/>
            <w:vAlign w:val="bottom"/>
          </w:tcPr>
          <w:p>
            <w:pPr>
              <w:jc w:val="right"/>
              <w:spacing w:after="0"/>
              <w:rPr>
                <w:sz w:val="20"/>
                <w:szCs w:val="20"/>
                <w:color w:val="auto"/>
              </w:rPr>
            </w:pPr>
            <w:r>
              <w:rPr>
                <w:rFonts w:ascii="Arial" w:cs="Arial" w:eastAsia="Arial" w:hAnsi="Arial"/>
                <w:sz w:val="11"/>
                <w:szCs w:val="11"/>
                <w:color w:val="auto"/>
              </w:rPr>
              <w:t>6,042</w:t>
            </w:r>
          </w:p>
        </w:tc>
        <w:tc>
          <w:tcPr>
            <w:tcW w:w="660" w:type="dxa"/>
            <w:vAlign w:val="bottom"/>
            <w:gridSpan w:val="4"/>
          </w:tcPr>
          <w:p>
            <w:pPr>
              <w:jc w:val="right"/>
              <w:ind w:right="27"/>
              <w:spacing w:after="0"/>
              <w:rPr>
                <w:sz w:val="20"/>
                <w:szCs w:val="20"/>
                <w:color w:val="auto"/>
              </w:rPr>
            </w:pPr>
            <w:r>
              <w:rPr>
                <w:rFonts w:ascii="Arial" w:cs="Arial" w:eastAsia="Arial" w:hAnsi="Arial"/>
                <w:sz w:val="11"/>
                <w:szCs w:val="11"/>
                <w:color w:val="auto"/>
              </w:rPr>
              <w:t>1.53% $</w:t>
            </w:r>
          </w:p>
        </w:tc>
        <w:tc>
          <w:tcPr>
            <w:tcW w:w="500" w:type="dxa"/>
            <w:vAlign w:val="bottom"/>
          </w:tcPr>
          <w:p>
            <w:pPr>
              <w:jc w:val="right"/>
              <w:spacing w:after="0"/>
              <w:rPr>
                <w:sz w:val="20"/>
                <w:szCs w:val="20"/>
                <w:color w:val="auto"/>
              </w:rPr>
            </w:pPr>
            <w:r>
              <w:rPr>
                <w:rFonts w:ascii="Arial" w:cs="Arial" w:eastAsia="Arial" w:hAnsi="Arial"/>
                <w:sz w:val="11"/>
                <w:szCs w:val="11"/>
                <w:color w:val="auto"/>
              </w:rPr>
              <w:t>8,025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1.93%</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78,571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78,571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1.39%</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20"/>
                <w:szCs w:val="20"/>
                <w:color w:val="auto"/>
              </w:rPr>
            </w:pPr>
            <w:r>
              <w:rPr>
                <w:rFonts w:ascii="Arial" w:cs="Arial" w:eastAsia="Arial" w:hAnsi="Arial"/>
                <w:sz w:val="11"/>
                <w:szCs w:val="11"/>
                <w:color w:val="auto"/>
              </w:rPr>
              <w:t>MBS - residential</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51,157</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1.62%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51,157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1.62%</w:t>
            </w:r>
          </w:p>
        </w:tc>
        <w:tc>
          <w:tcPr>
            <w:tcW w:w="0" w:type="dxa"/>
            <w:vAlign w:val="bottom"/>
          </w:tcPr>
          <w:p>
            <w:pPr>
              <w:spacing w:after="0"/>
              <w:rPr>
                <w:sz w:val="1"/>
                <w:szCs w:val="1"/>
                <w:color w:val="auto"/>
              </w:rPr>
            </w:pPr>
          </w:p>
        </w:tc>
      </w:tr>
      <w:tr>
        <w:trPr>
          <w:trHeight w:val="139"/>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40,564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40,564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2.58%</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20"/>
                <w:szCs w:val="20"/>
                <w:color w:val="auto"/>
              </w:rPr>
            </w:pPr>
            <w:r>
              <w:rPr>
                <w:rFonts w:ascii="Arial" w:cs="Arial" w:eastAsia="Arial" w:hAnsi="Arial"/>
                <w:sz w:val="11"/>
                <w:szCs w:val="11"/>
                <w:color w:val="auto"/>
              </w:rPr>
              <w:t>Municipal securities</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2,720</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1.69%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15,396</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1.75%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18,116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Bank subordinated debt securities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16,199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4.88%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22,176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5.12%</w:t>
            </w:r>
          </w:p>
        </w:tc>
        <w:tc>
          <w:tcPr>
            <w:tcW w:w="0" w:type="dxa"/>
            <w:vAlign w:val="bottom"/>
          </w:tcPr>
          <w:p>
            <w:pPr>
              <w:spacing w:after="0"/>
              <w:rPr>
                <w:sz w:val="1"/>
                <w:szCs w:val="1"/>
                <w:color w:val="auto"/>
              </w:rPr>
            </w:pPr>
          </w:p>
        </w:tc>
      </w:tr>
      <w:tr>
        <w:trPr>
          <w:trHeight w:val="139"/>
        </w:trPr>
        <w:tc>
          <w:tcPr>
            <w:tcW w:w="18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 bonds</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140"/>
        </w:trPr>
        <w:tc>
          <w:tcPr>
            <w:tcW w:w="18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5,977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20,902</w:t>
            </w:r>
          </w:p>
        </w:tc>
        <w:tc>
          <w:tcPr>
            <w:tcW w:w="520" w:type="dxa"/>
            <w:vAlign w:val="bottom"/>
            <w:gridSpan w:val="3"/>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191,730</w:t>
            </w:r>
          </w:p>
        </w:tc>
        <w:tc>
          <w:tcPr>
            <w:tcW w:w="520" w:type="dxa"/>
            <w:vAlign w:val="bottom"/>
            <w:gridSpan w:val="3"/>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218,609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Arial" w:cs="Arial" w:eastAsia="Arial" w:hAnsi="Arial"/>
                <w:sz w:val="11"/>
                <w:szCs w:val="11"/>
                <w:b w:val="1"/>
                <w:bCs w:val="1"/>
                <w:color w:val="auto"/>
              </w:rPr>
              <w:t>Held-to-maturity:</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shd w:val="clear" w:color="auto" w:fill="CCEEFF"/>
          </w:tcPr>
          <w:p>
            <w:pPr>
              <w:jc w:val="right"/>
              <w:ind w:right="26"/>
              <w:spacing w:after="0"/>
              <w:rPr>
                <w:sz w:val="20"/>
                <w:szCs w:val="20"/>
                <w:color w:val="auto"/>
              </w:rPr>
            </w:pPr>
            <w:r>
              <w:rPr>
                <w:rFonts w:ascii="Arial" w:cs="Arial" w:eastAsia="Arial" w:hAnsi="Arial"/>
                <w:sz w:val="11"/>
                <w:szCs w:val="11"/>
                <w:color w:val="auto"/>
              </w:rPr>
              <w:t>0.00% $</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7,921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1.02% $</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20,141</w:t>
            </w:r>
          </w:p>
        </w:tc>
        <w:tc>
          <w:tcPr>
            <w:tcW w:w="640" w:type="dxa"/>
            <w:vAlign w:val="bottom"/>
            <w:gridSpan w:val="4"/>
            <w:shd w:val="clear" w:color="auto" w:fill="CCEEFF"/>
          </w:tcPr>
          <w:p>
            <w:pPr>
              <w:jc w:val="right"/>
              <w:ind w:right="7"/>
              <w:spacing w:after="0"/>
              <w:rPr>
                <w:sz w:val="20"/>
                <w:szCs w:val="20"/>
                <w:color w:val="auto"/>
              </w:rPr>
            </w:pPr>
            <w:r>
              <w:rPr>
                <w:rFonts w:ascii="Arial" w:cs="Arial" w:eastAsia="Arial" w:hAnsi="Arial"/>
                <w:sz w:val="11"/>
                <w:szCs w:val="11"/>
                <w:color w:val="auto"/>
              </w:rPr>
              <w:t>1.38% $</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16,025</w:t>
            </w:r>
          </w:p>
        </w:tc>
        <w:tc>
          <w:tcPr>
            <w:tcW w:w="660" w:type="dxa"/>
            <w:vAlign w:val="bottom"/>
            <w:gridSpan w:val="4"/>
            <w:shd w:val="clear" w:color="auto" w:fill="CCEEFF"/>
          </w:tcPr>
          <w:p>
            <w:pPr>
              <w:jc w:val="right"/>
              <w:ind w:right="27"/>
              <w:spacing w:after="0"/>
              <w:rPr>
                <w:sz w:val="20"/>
                <w:szCs w:val="20"/>
                <w:color w:val="auto"/>
              </w:rPr>
            </w:pPr>
            <w:r>
              <w:rPr>
                <w:rFonts w:ascii="Arial" w:cs="Arial" w:eastAsia="Arial" w:hAnsi="Arial"/>
                <w:sz w:val="11"/>
                <w:szCs w:val="11"/>
                <w:color w:val="auto"/>
              </w:rPr>
              <w:t>2.01% $</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44,087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r>
        <w:trPr>
          <w:trHeight w:val="139"/>
        </w:trPr>
        <w:tc>
          <w:tcPr>
            <w:tcW w:w="1860" w:type="dxa"/>
            <w:vAlign w:val="bottom"/>
          </w:tcPr>
          <w:p>
            <w:pPr>
              <w:spacing w:after="0"/>
              <w:rPr>
                <w:sz w:val="20"/>
                <w:szCs w:val="20"/>
                <w:color w:val="auto"/>
              </w:rPr>
            </w:pPr>
            <w:r>
              <w:rPr>
                <w:rFonts w:ascii="Arial" w:cs="Arial" w:eastAsia="Arial" w:hAnsi="Arial"/>
                <w:sz w:val="11"/>
                <w:szCs w:val="11"/>
                <w:color w:val="auto"/>
              </w:rPr>
              <w:t>U.S. Treasury</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19,934</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5.20%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19,934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5.20%</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64,094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64,094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1.66%</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20"/>
                <w:szCs w:val="20"/>
                <w:color w:val="auto"/>
              </w:rPr>
            </w:pPr>
            <w:r>
              <w:rPr>
                <w:rFonts w:ascii="Arial" w:cs="Arial" w:eastAsia="Arial" w:hAnsi="Arial"/>
                <w:sz w:val="11"/>
                <w:szCs w:val="11"/>
                <w:color w:val="auto"/>
              </w:rPr>
              <w:t>MBS - residential</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4,468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1.85%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5,925</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1.75%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33,909</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2.40%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44,302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2.26%</w:t>
            </w:r>
          </w:p>
        </w:tc>
        <w:tc>
          <w:tcPr>
            <w:tcW w:w="0" w:type="dxa"/>
            <w:vAlign w:val="bottom"/>
          </w:tcPr>
          <w:p>
            <w:pPr>
              <w:spacing w:after="0"/>
              <w:rPr>
                <w:sz w:val="1"/>
                <w:szCs w:val="1"/>
                <w:color w:val="auto"/>
              </w:rPr>
            </w:pPr>
          </w:p>
        </w:tc>
      </w:tr>
      <w:tr>
        <w:trPr>
          <w:trHeight w:val="139"/>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12,391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15,467</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2.40%</w:t>
            </w:r>
          </w:p>
        </w:tc>
        <w:tc>
          <w:tcPr>
            <w:tcW w:w="0" w:type="dxa"/>
            <w:vAlign w:val="bottom"/>
          </w:tcPr>
          <w:p>
            <w:pPr>
              <w:spacing w:after="0"/>
              <w:rPr>
                <w:sz w:val="1"/>
                <w:szCs w:val="1"/>
                <w:color w:val="auto"/>
              </w:rPr>
            </w:pPr>
          </w:p>
        </w:tc>
      </w:tr>
      <w:tr>
        <w:trPr>
          <w:trHeight w:val="129"/>
        </w:trPr>
        <w:tc>
          <w:tcPr>
            <w:tcW w:w="18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 bonds</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9,443</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2.80%</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9,443</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1"/>
                <w:szCs w:val="11"/>
                <w:color w:val="auto"/>
              </w:rPr>
              <w:t>2.80%</w:t>
            </w:r>
          </w:p>
        </w:tc>
        <w:tc>
          <w:tcPr>
            <w:tcW w:w="0" w:type="dxa"/>
            <w:vAlign w:val="bottom"/>
          </w:tcPr>
          <w:p>
            <w:pPr>
              <w:spacing w:after="0"/>
              <w:rPr>
                <w:sz w:val="1"/>
                <w:szCs w:val="1"/>
                <w:color w:val="auto"/>
              </w:rPr>
            </w:pPr>
          </w:p>
        </w:tc>
      </w:tr>
      <w:tr>
        <w:trPr>
          <w:trHeight w:val="140"/>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19,934</w:t>
            </w:r>
          </w:p>
        </w:tc>
        <w:tc>
          <w:tcPr>
            <w:tcW w:w="520" w:type="dxa"/>
            <w:vAlign w:val="bottom"/>
            <w:gridSpan w:val="3"/>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21,832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spacing w:after="0"/>
              <w:rPr>
                <w:sz w:val="12"/>
                <w:szCs w:val="12"/>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29,142</w:t>
            </w:r>
          </w:p>
        </w:tc>
        <w:tc>
          <w:tcPr>
            <w:tcW w:w="520" w:type="dxa"/>
            <w:vAlign w:val="bottom"/>
            <w:gridSpan w:val="3"/>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126,419</w:t>
            </w:r>
          </w:p>
        </w:tc>
        <w:tc>
          <w:tcPr>
            <w:tcW w:w="520" w:type="dxa"/>
            <w:vAlign w:val="bottom"/>
            <w:gridSpan w:val="3"/>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197,327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2.24%</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76"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Loans are the largest category of interest-earning assets on the unaudited Consolidated Balance Sheets, and usually provide higher yields than the remainder of the interest-earning assets. Higher yields typically carry inherent credit and liquidity risks in comparison to lower yield assets. The Company manages and mitigates such risks in accordance with the credit and ALM policies, risk tolerance and balance sheet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right"/>
              <w:ind w:right="476"/>
              <w:spacing w:after="0"/>
              <w:rPr>
                <w:sz w:val="20"/>
                <w:szCs w:val="20"/>
                <w:color w:val="auto"/>
              </w:rPr>
            </w:pPr>
            <w:r>
              <w:rPr>
                <w:rFonts w:ascii="Arial" w:cs="Arial" w:eastAsia="Arial" w:hAnsi="Arial"/>
                <w:sz w:val="13"/>
                <w:szCs w:val="13"/>
                <w:b w:val="1"/>
                <w:bCs w:val="1"/>
                <w:color w:val="auto"/>
              </w:rPr>
              <w:t>September 30, 2023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right"/>
              <w:ind w:right="496"/>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3"/>
                <w:szCs w:val="13"/>
                <w:color w:val="auto"/>
              </w:rPr>
            </w:pPr>
          </w:p>
        </w:tc>
      </w:tr>
      <w:tr>
        <w:trPr>
          <w:trHeight w:val="179"/>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ind w:right="21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ind w:right="21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r>
      <w:tr>
        <w:trPr>
          <w:trHeight w:val="164"/>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ind w:left="220"/>
              <w:spacing w:after="0"/>
              <w:rPr>
                <w:sz w:val="20"/>
                <w:szCs w:val="20"/>
                <w:color w:val="auto"/>
              </w:rPr>
            </w:pPr>
            <w:r>
              <w:rPr>
                <w:rFonts w:ascii="Arial" w:cs="Arial" w:eastAsia="Arial" w:hAnsi="Arial"/>
                <w:sz w:val="13"/>
                <w:szCs w:val="13"/>
                <w:b w:val="1"/>
                <w:bCs w:val="1"/>
                <w:color w:val="auto"/>
              </w:rPr>
              <w:t>Total</w:t>
            </w:r>
          </w:p>
        </w:tc>
        <w:tc>
          <w:tcPr>
            <w:tcW w:w="1040" w:type="dxa"/>
            <w:vAlign w:val="bottom"/>
            <w:gridSpan w:val="2"/>
          </w:tcPr>
          <w:p>
            <w:pPr>
              <w:jc w:val="right"/>
              <w:ind w:right="3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ind w:left="220"/>
              <w:spacing w:after="0"/>
              <w:rPr>
                <w:sz w:val="20"/>
                <w:szCs w:val="20"/>
                <w:color w:val="auto"/>
              </w:rPr>
            </w:pPr>
            <w:r>
              <w:rPr>
                <w:rFonts w:ascii="Arial" w:cs="Arial" w:eastAsia="Arial" w:hAnsi="Arial"/>
                <w:sz w:val="13"/>
                <w:szCs w:val="13"/>
                <w:b w:val="1"/>
                <w:bCs w:val="1"/>
                <w:color w:val="auto"/>
              </w:rPr>
              <w:t>Total</w:t>
            </w:r>
          </w:p>
        </w:tc>
        <w:tc>
          <w:tcPr>
            <w:tcW w:w="1040" w:type="dxa"/>
            <w:vAlign w:val="bottom"/>
            <w:gridSpan w:val="2"/>
          </w:tcPr>
          <w:p>
            <w:pPr>
              <w:jc w:val="right"/>
              <w:ind w:right="3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61"/>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188,880</w:t>
            </w: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1,005,280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60.0 %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64.4 %</w:t>
            </w:r>
          </w:p>
        </w:tc>
        <w:tc>
          <w:tcPr>
            <w:tcW w:w="20" w:type="dxa"/>
            <w:vAlign w:val="bottom"/>
          </w:tcPr>
          <w:p>
            <w:pPr>
              <w:spacing w:after="0"/>
              <w:rPr>
                <w:sz w:val="14"/>
                <w:szCs w:val="14"/>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212,975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94,640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5.7 %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6.2 %</w:t>
            </w:r>
          </w:p>
        </w:tc>
        <w:tc>
          <w:tcPr>
            <w:tcW w:w="20" w:type="dxa"/>
            <w:vAlign w:val="bottom"/>
          </w:tcPr>
          <w:p>
            <w:pPr>
              <w:spacing w:after="0"/>
              <w:rPr>
                <w:sz w:val="14"/>
                <w:szCs w:val="14"/>
                <w:color w:val="auto"/>
              </w:rPr>
            </w:pPr>
          </w:p>
        </w:tc>
      </w:tr>
      <w:tr>
        <w:trPr>
          <w:trHeight w:val="16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173,096</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7"/>
        </w:trPr>
        <w:tc>
          <w:tcPr>
            <w:tcW w:w="33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1,674,871</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1,507,228</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Borders>
              <w:bottom w:val="single" w:sz="8" w:color="auto"/>
            </w:tcBorders>
          </w:tcPr>
          <w:p>
            <w:pPr>
              <w:spacing w:after="0"/>
              <w:rPr>
                <w:sz w:val="18"/>
                <w:szCs w:val="18"/>
                <w:color w:val="auto"/>
              </w:rPr>
            </w:pPr>
          </w:p>
        </w:tc>
      </w:tr>
      <w:tr>
        <w:trPr>
          <w:trHeight w:val="111"/>
        </w:trPr>
        <w:tc>
          <w:tcPr>
            <w:tcW w:w="3340" w:type="dxa"/>
            <w:vAlign w:val="bottom"/>
            <w:tcBorders>
              <w:top w:val="single" w:sz="8" w:color="CCEEFF"/>
              <w:bottom w:val="single" w:sz="8" w:color="CCEEFF"/>
            </w:tcBorders>
            <w:shd w:val="clear" w:color="auto" w:fill="CCEEFF"/>
          </w:tcPr>
          <w:p>
            <w:pPr>
              <w:spacing w:after="0" w:line="111" w:lineRule="exact"/>
              <w:rPr>
                <w:sz w:val="20"/>
                <w:szCs w:val="20"/>
                <w:color w:val="auto"/>
              </w:rPr>
            </w:pPr>
            <w:r>
              <w:rPr>
                <w:rFonts w:ascii="Arial" w:cs="Arial" w:eastAsia="Arial" w:hAnsi="Arial"/>
                <w:sz w:val="12"/>
                <w:szCs w:val="12"/>
                <w:color w:val="auto"/>
              </w:rPr>
              <w:t>Plus: Deferred fees (cost)</w:t>
            </w:r>
          </w:p>
        </w:tc>
        <w:tc>
          <w:tcPr>
            <w:tcW w:w="140" w:type="dxa"/>
            <w:vAlign w:val="bottom"/>
            <w:tcBorders>
              <w:top w:val="single" w:sz="8" w:color="CCEEFF"/>
              <w:bottom w:val="single" w:sz="8" w:color="auto"/>
            </w:tcBorders>
            <w:shd w:val="clear" w:color="auto" w:fill="CCEEFF"/>
          </w:tcPr>
          <w:p>
            <w:pPr>
              <w:spacing w:after="0"/>
              <w:rPr>
                <w:sz w:val="9"/>
                <w:szCs w:val="9"/>
                <w:color w:val="auto"/>
              </w:rPr>
            </w:pPr>
          </w:p>
        </w:tc>
        <w:tc>
          <w:tcPr>
            <w:tcW w:w="86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1,649</w:t>
            </w:r>
          </w:p>
        </w:tc>
        <w:tc>
          <w:tcPr>
            <w:tcW w:w="40" w:type="dxa"/>
            <w:vAlign w:val="bottom"/>
            <w:tcBorders>
              <w:top w:val="single" w:sz="8" w:color="CCEEFF"/>
              <w:bottom w:val="single" w:sz="8" w:color="auto"/>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86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auto"/>
            </w:tcBorders>
            <w:shd w:val="clear" w:color="auto" w:fill="CCEEFF"/>
          </w:tcPr>
          <w:p>
            <w:pPr>
              <w:spacing w:after="0"/>
              <w:rPr>
                <w:sz w:val="9"/>
                <w:szCs w:val="9"/>
                <w:color w:val="auto"/>
              </w:rPr>
            </w:pPr>
          </w:p>
        </w:tc>
        <w:tc>
          <w:tcPr>
            <w:tcW w:w="88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110</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86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r>
      <w:tr>
        <w:trPr>
          <w:trHeight w:val="161"/>
        </w:trPr>
        <w:tc>
          <w:tcPr>
            <w:tcW w:w="3340" w:type="dxa"/>
            <w:vAlign w:val="bottom"/>
          </w:tcPr>
          <w:p>
            <w:pPr>
              <w:ind w:left="100"/>
              <w:spacing w:after="0"/>
              <w:rPr>
                <w:sz w:val="20"/>
                <w:szCs w:val="20"/>
                <w:color w:val="auto"/>
              </w:rPr>
            </w:pPr>
            <w:r>
              <w:rPr>
                <w:rFonts w:ascii="Arial" w:cs="Arial" w:eastAsia="Arial" w:hAnsi="Arial"/>
                <w:sz w:val="13"/>
                <w:szCs w:val="13"/>
                <w:color w:val="auto"/>
              </w:rPr>
              <w:t>Total loans net of deferred fees (cost)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1,676,520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1,507,338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19,493</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17,487</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3340" w:type="dxa"/>
            <w:vAlign w:val="bottom"/>
          </w:tcPr>
          <w:p>
            <w:pPr>
              <w:ind w:left="100"/>
              <w:spacing w:after="0"/>
              <w:rPr>
                <w:sz w:val="20"/>
                <w:szCs w:val="20"/>
                <w:color w:val="auto"/>
              </w:rPr>
            </w:pPr>
            <w:r>
              <w:rPr>
                <w:rFonts w:ascii="Arial" w:cs="Arial" w:eastAsia="Arial" w:hAnsi="Arial"/>
                <w:sz w:val="13"/>
                <w:szCs w:val="13"/>
                <w:color w:val="auto"/>
              </w:rPr>
              <w:t>Total net loans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1,657,027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1,489,851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60" w:right="659" w:firstLine="256"/>
        <w:spacing w:after="0" w:line="260" w:lineRule="auto"/>
        <w:rPr>
          <w:sz w:val="20"/>
          <w:szCs w:val="20"/>
          <w:color w:val="auto"/>
        </w:rPr>
      </w:pPr>
      <w:r>
        <w:rPr>
          <w:rFonts w:ascii="Arial" w:cs="Arial" w:eastAsia="Arial" w:hAnsi="Arial"/>
          <w:sz w:val="14"/>
          <w:szCs w:val="14"/>
          <w:color w:val="auto"/>
        </w:rPr>
        <w:t>Total loans, net of unearned fees/cost, increased by $169.2 million, or 15.0% annualized to $1.7 billion, at September 30, 2023 compared to December 31, 2022. The commercial and industrial, and to a lesser extent, consumer and other and commercial real estate loan segments had the most significant growth.</w:t>
      </w:r>
    </w:p>
    <w:p>
      <w:pPr>
        <w:spacing w:after="0" w:line="13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Our loan portfolio continues to grow, with commercial real estate lending as the primary focus which represented approximately 60.0% of the total gross loan portfolio as of September 30, 2023. Our loan growth strategy since inception has been reflective of the market in which we operate and of our strategic plan as approved by the Board.</w:t>
      </w:r>
    </w:p>
    <w:p>
      <w:pPr>
        <w:spacing w:after="0" w:line="144"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Most of the commercial real estate exposure represents loans to commercial businesses secured by owner-occupied real estate. The growth experienced in recent years is primarily due to implementation of our relationship-based banking model and the success of our relationship managers in competing for new business in a highly competitive metropolitan area. Many of our larger loan clients have long-term relationships with members of our senior management team or our relationship managers that date back to former institutions.</w:t>
      </w:r>
    </w:p>
    <w:p>
      <w:pPr>
        <w:spacing w:after="0" w:line="146" w:lineRule="exact"/>
        <w:rPr>
          <w:sz w:val="20"/>
          <w:szCs w:val="20"/>
          <w:color w:val="auto"/>
        </w:rPr>
      </w:pPr>
    </w:p>
    <w:p>
      <w:pPr>
        <w:jc w:val="both"/>
        <w:ind w:left="660" w:right="699" w:firstLine="256"/>
        <w:spacing w:after="0" w:line="260"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for the loan portfolio at September 30, 2023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in 1 year or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96"/>
              <w:spacing w:after="0"/>
              <w:rPr>
                <w:sz w:val="20"/>
                <w:szCs w:val="20"/>
                <w:color w:val="auto"/>
              </w:rPr>
            </w:pPr>
            <w:r>
              <w:rPr>
                <w:rFonts w:ascii="Arial" w:cs="Arial" w:eastAsia="Arial" w:hAnsi="Arial"/>
                <w:sz w:val="13"/>
                <w:szCs w:val="13"/>
                <w:b w:val="1"/>
                <w:bCs w:val="1"/>
                <w:color w:val="auto"/>
              </w:rPr>
              <w:t>Due in 1 to 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after 5 to 15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16"/>
              <w:spacing w:after="0"/>
              <w:rPr>
                <w:sz w:val="20"/>
                <w:szCs w:val="20"/>
                <w:color w:val="auto"/>
              </w:rPr>
            </w:pPr>
            <w:r>
              <w:rPr>
                <w:rFonts w:ascii="Arial" w:cs="Arial" w:eastAsia="Arial" w:hAnsi="Arial"/>
                <w:sz w:val="13"/>
                <w:szCs w:val="13"/>
                <w:b w:val="1"/>
                <w:bCs w:val="1"/>
                <w:color w:val="auto"/>
              </w:rPr>
              <w:t>Due after 15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56"/>
              <w:spacing w:after="0"/>
              <w:rPr>
                <w:sz w:val="20"/>
                <w:szCs w:val="20"/>
                <w:color w:val="auto"/>
              </w:rPr>
            </w:pPr>
            <w:r>
              <w:rPr>
                <w:rFonts w:ascii="Arial" w:cs="Arial" w:eastAsia="Arial" w:hAnsi="Arial"/>
                <w:sz w:val="13"/>
                <w:szCs w:val="13"/>
                <w:b w:val="1"/>
                <w:bCs w:val="1"/>
                <w:color w:val="auto"/>
              </w:rPr>
              <w:t>less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00" w:type="dxa"/>
            <w:vAlign w:val="bottom"/>
            <w:tcBorders>
              <w:top w:val="single" w:sz="8" w:color="CCEEFF"/>
            </w:tcBorders>
            <w:gridSpan w:val="2"/>
            <w:shd w:val="clear" w:color="auto" w:fill="CCEEFF"/>
          </w:tcPr>
          <w:p>
            <w:pPr>
              <w:spacing w:after="0" w:line="140" w:lineRule="exact"/>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9,513</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23,902</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81,777</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73,688</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188,880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85,013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164,387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747,779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8,101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1,005,280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53,234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114,106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40,287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212,975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94,640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94,640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10,223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158,159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173,096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00" w:type="dxa"/>
            <w:vAlign w:val="bottom"/>
            <w:gridSpan w:val="2"/>
          </w:tcPr>
          <w:p>
            <w:pPr>
              <w:ind w:left="80"/>
              <w:spacing w:after="0"/>
              <w:rPr>
                <w:sz w:val="20"/>
                <w:szCs w:val="20"/>
                <w:color w:val="auto"/>
              </w:rPr>
            </w:pPr>
            <w:r>
              <w:rPr>
                <w:rFonts w:ascii="Arial" w:cs="Arial" w:eastAsia="Arial" w:hAnsi="Arial"/>
                <w:sz w:val="13"/>
                <w:szCs w:val="13"/>
                <w:color w:val="auto"/>
              </w:rPr>
              <w:t>Total gross loans</w:t>
            </w:r>
          </w:p>
        </w:tc>
        <w:tc>
          <w:tcPr>
            <w:tcW w:w="140" w:type="dxa"/>
            <w:vAlign w:val="bottom"/>
            <w:gridSpan w:val="2"/>
          </w:tcPr>
          <w:p>
            <w:pPr>
              <w:jc w:val="right"/>
              <w:ind w:right="8"/>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196,148</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244,603</w:t>
            </w:r>
          </w:p>
        </w:tc>
        <w:tc>
          <w:tcPr>
            <w:tcW w:w="180" w:type="dxa"/>
            <w:vAlign w:val="bottom"/>
            <w:gridSpan w:val="4"/>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953,885</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280,235</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1,674,871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Fixed interest rates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174,725</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144,198</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193,366</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170,370</w:t>
            </w:r>
          </w:p>
        </w:tc>
        <w:tc>
          <w:tcPr>
            <w:tcW w:w="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682,659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21,423</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100,405</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760,519</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109,865</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992,212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Total gross loans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196,148</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244,603</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953,885</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280,235</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1,674,871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The information presented in the table above is based upon the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term/rate modifications are discussed as well.</w:t>
      </w:r>
    </w:p>
    <w:p>
      <w:pPr>
        <w:spacing w:after="0" w:line="133"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As of September 30, 2023, approximately 59% of the loans have adjustable/variable rates and 41% of the loans have fixed rates. The adjustable/variable rate loans re-price to different benchmarks and tenors in different periods of time. By contractual characteristics, there are no material concentrations on anniversary repricing. Additionally, it is important to note that most of our loans have interest rate floors. This embedded option protects the Company from a decrease in interest rates below the floor and positions us to gain in the scenario of higher interest rates.</w:t>
      </w:r>
    </w:p>
    <w:p>
      <w:pPr>
        <w:spacing w:after="0" w:line="20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7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reviewed at least once a year, and more frequently as needed. Internal credit risk ratings may change based on management’s assessment of the results from the annual review, portfolio monitoring, and other developments observed with borrowers.</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51"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66"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16" w:lineRule="exact"/>
        <w:rPr>
          <w:sz w:val="20"/>
          <w:szCs w:val="20"/>
          <w:color w:val="auto"/>
        </w:rPr>
      </w:pPr>
    </w:p>
    <w:p>
      <w:pPr>
        <w:jc w:val="both"/>
        <w:ind w:left="1180" w:right="819"/>
        <w:spacing w:after="0" w:line="262"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19" w:lineRule="exact"/>
        <w:rPr>
          <w:sz w:val="20"/>
          <w:szCs w:val="20"/>
          <w:color w:val="auto"/>
        </w:rPr>
      </w:pPr>
    </w:p>
    <w:p>
      <w:pPr>
        <w:jc w:val="both"/>
        <w:ind w:left="1180" w:right="719"/>
        <w:spacing w:after="0" w:line="266"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2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8"/>
          </w:tcPr>
          <w:p>
            <w:pPr>
              <w:spacing w:after="0"/>
              <w:rPr>
                <w:sz w:val="20"/>
                <w:szCs w:val="20"/>
                <w:color w:val="auto"/>
              </w:rPr>
            </w:pPr>
            <w:r>
              <w:rPr>
                <w:rFonts w:ascii="Arial" w:cs="Arial" w:eastAsia="Arial" w:hAnsi="Arial"/>
                <w:sz w:val="13"/>
                <w:szCs w:val="13"/>
                <w:b w:val="1"/>
                <w:bCs w:val="1"/>
                <w:color w:val="auto"/>
              </w:rPr>
              <w:t>September 30, 2023</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Pass</w:t>
            </w:r>
          </w:p>
        </w:tc>
        <w:tc>
          <w:tcPr>
            <w:tcW w:w="60" w:type="dxa"/>
            <w:vAlign w:val="bottom"/>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Doubtful</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40"/>
        </w:trPr>
        <w:tc>
          <w:tcPr>
            <w:tcW w:w="23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188,880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188,880</w:t>
            </w:r>
          </w:p>
        </w:tc>
        <w:tc>
          <w:tcPr>
            <w:tcW w:w="20" w:type="dxa"/>
            <w:vAlign w:val="bottom"/>
            <w:shd w:val="clear" w:color="auto" w:fill="CCEEFF"/>
          </w:tcPr>
          <w:p>
            <w:pPr>
              <w:spacing w:after="0"/>
              <w:rPr>
                <w:sz w:val="12"/>
                <w:szCs w:val="12"/>
                <w:color w:val="auto"/>
              </w:rPr>
            </w:pPr>
          </w:p>
        </w:tc>
      </w:tr>
      <w:tr>
        <w:trPr>
          <w:trHeight w:val="18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1,002,765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2,515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1,005,280</w:t>
            </w:r>
          </w:p>
        </w:tc>
        <w:tc>
          <w:tcPr>
            <w:tcW w:w="20" w:type="dxa"/>
            <w:vAlign w:val="bottom"/>
          </w:tcPr>
          <w:p>
            <w:pPr>
              <w:spacing w:after="0"/>
              <w:rPr>
                <w:sz w:val="15"/>
                <w:szCs w:val="15"/>
                <w:color w:val="auto"/>
              </w:rPr>
            </w:pPr>
          </w:p>
        </w:tc>
      </w:tr>
      <w:tr>
        <w:trPr>
          <w:trHeight w:val="160"/>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210,991</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212,975</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94,640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94,640</w:t>
            </w:r>
          </w:p>
        </w:tc>
        <w:tc>
          <w:tcPr>
            <w:tcW w:w="20" w:type="dxa"/>
            <w:vAlign w:val="bottom"/>
          </w:tcPr>
          <w:p>
            <w:pPr>
              <w:spacing w:after="0"/>
              <w:rPr>
                <w:sz w:val="14"/>
                <w:szCs w:val="14"/>
                <w:color w:val="auto"/>
              </w:rPr>
            </w:pPr>
          </w:p>
        </w:tc>
      </w:tr>
      <w:tr>
        <w:trPr>
          <w:trHeight w:val="160"/>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173,096</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173,096</w:t>
            </w:r>
          </w:p>
        </w:tc>
        <w:tc>
          <w:tcPr>
            <w:tcW w:w="20" w:type="dxa"/>
            <w:vAlign w:val="bottom"/>
            <w:shd w:val="clear" w:color="auto" w:fill="CCEEFF"/>
          </w:tcPr>
          <w:p>
            <w:pPr>
              <w:spacing w:after="0"/>
              <w:rPr>
                <w:sz w:val="13"/>
                <w:szCs w:val="13"/>
                <w:color w:val="auto"/>
              </w:rPr>
            </w:pPr>
          </w:p>
        </w:tc>
      </w:tr>
      <w:tr>
        <w:trPr>
          <w:trHeight w:val="161"/>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1,670,372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4,499</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1,674,871</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spacing w:after="0"/>
              <w:rPr>
                <w:sz w:val="20"/>
                <w:szCs w:val="20"/>
                <w:color w:val="auto"/>
              </w:rPr>
            </w:pPr>
            <w:r>
              <w:rPr>
                <w:rFonts w:ascii="Arial" w:cs="Arial" w:eastAsia="Arial" w:hAnsi="Arial"/>
                <w:sz w:val="13"/>
                <w:szCs w:val="13"/>
                <w:b w:val="1"/>
                <w:bCs w:val="1"/>
                <w:color w:val="auto"/>
              </w:rPr>
              <w:t>December 31, 2022</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2"/>
        </w:trPr>
        <w:tc>
          <w:tcPr>
            <w:tcW w:w="23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Pass</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Doubtful</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14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2"/>
                <w:szCs w:val="12"/>
                <w:color w:val="auto"/>
              </w:rPr>
            </w:pPr>
          </w:p>
        </w:tc>
      </w:tr>
      <w:tr>
        <w:trPr>
          <w:trHeight w:val="160"/>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967,465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2,945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3"/>
                <w:szCs w:val="13"/>
                <w:color w:val="auto"/>
              </w:rPr>
            </w:pPr>
          </w:p>
        </w:tc>
      </w:tr>
      <w:tr>
        <w:trPr>
          <w:trHeight w:val="160"/>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126,177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r>
      <w:tr>
        <w:trPr>
          <w:trHeight w:val="149"/>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130,233</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72"/>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1,503,280</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3,948</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1,507,228</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the dates shown (in thousands, except ratios):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September 30, 2023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2022</w:t>
            </w:r>
          </w:p>
        </w:tc>
      </w:tr>
      <w:tr>
        <w:trPr>
          <w:trHeight w:val="151"/>
        </w:trPr>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non-performing loans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r>
      <w:tr>
        <w:trPr>
          <w:trHeight w:val="171"/>
        </w:trPr>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real estate owned</w:t>
            </w: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1"/>
        </w:trPr>
        <w:tc>
          <w:tcPr>
            <w:tcW w:w="200" w:type="dxa"/>
            <w:vAlign w:val="bottom"/>
            <w:tcBorders>
              <w:bottom w:val="single" w:sz="8" w:color="CCEEFF"/>
            </w:tcBorders>
            <w:shd w:val="clear" w:color="auto" w:fill="CCEEFF"/>
          </w:tcPr>
          <w:p>
            <w:pPr>
              <w:spacing w:after="0"/>
              <w:rPr>
                <w:sz w:val="14"/>
                <w:szCs w:val="14"/>
                <w:color w:val="auto"/>
              </w:rPr>
            </w:pPr>
          </w:p>
        </w:tc>
        <w:tc>
          <w:tcPr>
            <w:tcW w:w="472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 non-performing assets</w:t>
            </w:r>
          </w:p>
        </w:tc>
        <w:tc>
          <w:tcPr>
            <w:tcW w:w="8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479</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481" w:right="1440" w:bottom="1440" w:gutter="0" w:footer="0" w:header="0"/>
        </w:sectPr>
      </w:pPr>
    </w:p>
    <w:p>
      <w:pPr>
        <w:ind w:left="660"/>
        <w:spacing w:after="0" w:line="224" w:lineRule="auto"/>
        <w:rPr>
          <w:sz w:val="20"/>
          <w:szCs w:val="20"/>
          <w:color w:val="auto"/>
        </w:rPr>
      </w:pPr>
      <w:r>
        <w:rPr>
          <w:rFonts w:ascii="Arial" w:cs="Arial" w:eastAsia="Arial" w:hAnsi="Arial"/>
          <w:sz w:val="13"/>
          <w:szCs w:val="13"/>
          <w:b w:val="1"/>
          <w:bCs w:val="1"/>
          <w:color w:val="auto"/>
        </w:rPr>
        <w:t xml:space="preserve">Asset quality ratios: </w:t>
      </w:r>
      <w:r>
        <w:rPr>
          <w:rFonts w:ascii="Arial" w:cs="Arial" w:eastAsia="Arial" w:hAnsi="Arial"/>
          <w:sz w:val="17"/>
          <w:szCs w:val="17"/>
          <w:b w:val="1"/>
          <w:bCs w:val="1"/>
          <w:color w:val="auto"/>
          <w:vertAlign w:val="superscript"/>
        </w:rPr>
        <w:t>(1)</w:t>
      </w:r>
    </w:p>
    <w:p>
      <w:pPr>
        <w:ind w:left="760"/>
        <w:spacing w:after="0"/>
        <w:rPr>
          <w:sz w:val="20"/>
          <w:szCs w:val="20"/>
          <w:color w:val="auto"/>
        </w:rPr>
      </w:pPr>
      <w:r>
        <w:rPr>
          <w:rFonts w:ascii="Arial" w:cs="Arial" w:eastAsia="Arial" w:hAnsi="Arial"/>
          <w:sz w:val="13"/>
          <w:szCs w:val="13"/>
          <w:color w:val="auto"/>
        </w:rPr>
        <w:t>Allowance for credit losses to total loans</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Allowance for credit losses to non-performing loans</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Non-performing loans to total loans</w:t>
      </w:r>
    </w:p>
    <w:p>
      <w:pPr>
        <w:ind w:left="800" w:hanging="137"/>
        <w:spacing w:after="0"/>
        <w:tabs>
          <w:tab w:leader="none" w:pos="80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ACL was calculated under CECL methodology for 2023, and incurred loss methodology for 2022</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60" w:type="dxa"/>
            <w:vAlign w:val="bottom"/>
            <w:tcBorders>
              <w:right w:val="single" w:sz="8" w:color="CCEEFF"/>
            </w:tcBorders>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77"/>
        </w:trPr>
        <w:tc>
          <w:tcPr>
            <w:tcW w:w="460" w:type="dxa"/>
            <w:vAlign w:val="bottom"/>
          </w:tcPr>
          <w:p>
            <w:pPr>
              <w:jc w:val="right"/>
              <w:spacing w:after="0"/>
              <w:rPr>
                <w:sz w:val="20"/>
                <w:szCs w:val="20"/>
                <w:color w:val="auto"/>
              </w:rPr>
            </w:pPr>
            <w:r>
              <w:rPr>
                <w:rFonts w:ascii="Arial" w:cs="Arial" w:eastAsia="Arial" w:hAnsi="Arial"/>
                <w:sz w:val="13"/>
                <w:szCs w:val="13"/>
                <w:color w:val="auto"/>
                <w:w w:val="93"/>
              </w:rPr>
              <w:t>4070%</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 %</w:t>
            </w:r>
          </w:p>
        </w:tc>
      </w:tr>
      <w:tr>
        <w:trPr>
          <w:trHeight w:val="165"/>
        </w:trPr>
        <w:tc>
          <w:tcPr>
            <w:tcW w:w="460" w:type="dxa"/>
            <w:vAlign w:val="bottom"/>
            <w:tcBorders>
              <w:right w:val="single" w:sz="8" w:color="CCEEFF"/>
            </w:tcBorders>
          </w:tcPr>
          <w:p>
            <w:pPr>
              <w:jc w:val="right"/>
              <w:spacing w:after="0"/>
              <w:rPr>
                <w:sz w:val="20"/>
                <w:szCs w:val="20"/>
                <w:color w:val="auto"/>
              </w:rPr>
            </w:pPr>
            <w:r>
              <w:rPr>
                <w:rFonts w:ascii="Arial" w:cs="Arial" w:eastAsia="Arial" w:hAnsi="Arial"/>
                <w:sz w:val="13"/>
                <w:szCs w:val="13"/>
                <w:color w:val="auto"/>
              </w:rPr>
              <w:t>0.03%</w:t>
            </w:r>
          </w:p>
        </w:tc>
        <w:tc>
          <w:tcPr>
            <w:tcW w:w="120" w:type="dxa"/>
            <w:vAlign w:val="bottom"/>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bl>
    <w:p>
      <w:pPr>
        <w:spacing w:after="0" w:line="341" w:lineRule="exact"/>
        <w:rPr>
          <w:sz w:val="20"/>
          <w:szCs w:val="20"/>
          <w:color w:val="auto"/>
        </w:rPr>
      </w:pPr>
    </w:p>
    <w:p>
      <w:pPr>
        <w:sectPr>
          <w:pgSz w:w="11900" w:h="16838" w:orient="portrait"/>
          <w:cols w:equalWidth="0" w:num="2">
            <w:col w:w="6240" w:space="300"/>
            <w:col w:w="2479"/>
          </w:cols>
          <w:pgMar w:left="1440" w:top="481" w:right="1440" w:bottom="1440" w:gutter="0" w:footer="0" w:header="0"/>
          <w:type w:val="continuous"/>
        </w:sectPr>
      </w:pPr>
    </w:p>
    <w:p>
      <w:pPr>
        <w:jc w:val="both"/>
        <w:ind w:left="660" w:right="659" w:firstLine="256"/>
        <w:spacing w:after="0" w:line="253" w:lineRule="auto"/>
        <w:rPr>
          <w:sz w:val="20"/>
          <w:szCs w:val="20"/>
          <w:color w:val="auto"/>
        </w:rPr>
      </w:pPr>
      <w:r>
        <w:rPr>
          <w:rFonts w:ascii="Arial" w:cs="Arial" w:eastAsia="Arial" w:hAnsi="Arial"/>
          <w:sz w:val="14"/>
          <w:szCs w:val="14"/>
          <w:color w:val="auto"/>
        </w:rPr>
        <w:t>Non-performing assets include all loans categorized as non-accrual or restructured, impaired securities, other real estate owned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33"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months and the Company has a documented expectation of repayment of the remaining contractual principal and interest or the loan becomes secured and in the process of collection.</w:t>
      </w:r>
    </w:p>
    <w:p>
      <w:pPr>
        <w:spacing w:after="0" w:line="148"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The Company may grant a loan concession to a borrower experiencing financial difficulties. This determination is performed during the annual review process or whenever problems surface regarding the client’s ability to repay in accordance with the original terms of the loan or line of credit. The concessions are given to the debtor in various forms, including interest rate reductions, principal forgiveness, extension of maturity date, waiver, or deferral of payments and other concessions intended to minimize potential losses.</w:t>
      </w:r>
    </w:p>
    <w:p>
      <w:pPr>
        <w:spacing w:after="0" w:line="146"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For further discussion on non-performing loans and borrowers experiencing financial difficulties, see Note 3 “Loans” to the unaudited Consolidated Financial Statements in Item 1 of Part 1 this Form 10-Q.</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65"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On January 1, 2023, the Company adopted FASB ASU 2016-13, which introduced the current expected credit losses (CECL) methodology and required us to estimate all expected credit losses over the remaining life of our loan portfolio. Accordingly, the ACL represents an amount that, in management's evaluation, is adequate to provide coverage for all expected future credit losses on outstanding loans. Additionally, qualitative adjustments are made to the ACL when, based on management’s judgment, there are factors impacting the allowance estimate not considered by the quantitative calculations. See Note 3 “Loans” in Item 1 of Part 1 of this Form 10-Q for more information on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type w:val="continuous"/>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ACL and net charge-offs to average loans by type for the periods indicated (in thousands):</w:t>
      </w: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5"/>
              </w:rPr>
              <w:t>Residential</w:t>
            </w:r>
          </w:p>
        </w:tc>
        <w:tc>
          <w:tcPr>
            <w:tcW w:w="20" w:type="dxa"/>
            <w:vAlign w:val="bottom"/>
          </w:tcPr>
          <w:p>
            <w:pPr>
              <w:spacing w:after="0"/>
              <w:rPr>
                <w:sz w:val="13"/>
                <w:szCs w:val="13"/>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99"/>
              </w:rPr>
              <w:t>Commercial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Foreign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Consumer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3"/>
                <w:szCs w:val="13"/>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8"/>
              </w:rPr>
              <w:t>and Industrial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9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w w:val="96"/>
              </w:rPr>
              <w:t>Three Months Ended September 30, 2023</w:t>
            </w:r>
          </w:p>
        </w:tc>
        <w:tc>
          <w:tcPr>
            <w:tcW w:w="80" w:type="dxa"/>
            <w:vAlign w:val="bottom"/>
            <w:tcBorders>
              <w:top w:val="single" w:sz="8" w:color="auto"/>
              <w:left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2,673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10,183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2,500</w:t>
            </w:r>
          </w:p>
        </w:tc>
        <w:tc>
          <w:tcPr>
            <w:tcW w:w="40" w:type="dxa"/>
            <w:vAlign w:val="bottom"/>
          </w:tcPr>
          <w:p>
            <w:pPr>
              <w:spacing w:after="0"/>
              <w:rPr>
                <w:sz w:val="13"/>
                <w:szCs w:val="13"/>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677</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2,782</w:t>
            </w:r>
          </w:p>
        </w:tc>
        <w:tc>
          <w:tcPr>
            <w:tcW w:w="40" w:type="dxa"/>
            <w:vAlign w:val="bottom"/>
          </w:tcPr>
          <w:p>
            <w:pPr>
              <w:spacing w:after="0"/>
              <w:rPr>
                <w:sz w:val="13"/>
                <w:szCs w:val="13"/>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18,815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80" w:type="dxa"/>
            <w:vAlign w:val="bottom"/>
            <w:tcBorders>
              <w:left w:val="single" w:sz="8" w:color="CCEEFF"/>
            </w:tcBorders>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20"/>
                <w:szCs w:val="20"/>
                <w:color w:val="auto"/>
              </w:rPr>
            </w:pPr>
            <w:r>
              <w:rPr>
                <w:rFonts w:ascii="Arial" w:cs="Arial" w:eastAsia="Arial" w:hAnsi="Arial"/>
                <w:sz w:val="13"/>
                <w:szCs w:val="13"/>
                <w:color w:val="auto"/>
              </w:rPr>
              <w:t>Recoveries</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80" w:type="dxa"/>
            <w:vAlign w:val="bottom"/>
            <w:tcBorders>
              <w:lef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50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2,511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10,099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3,246</w:t>
            </w:r>
          </w:p>
        </w:tc>
        <w:tc>
          <w:tcPr>
            <w:tcW w:w="4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750</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2,887</w:t>
            </w:r>
          </w:p>
        </w:tc>
        <w:tc>
          <w:tcPr>
            <w:tcW w:w="4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19,493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5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left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gridSpan w:val="2"/>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183,643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992,171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179,127</w:t>
            </w:r>
          </w:p>
        </w:tc>
        <w:tc>
          <w:tcPr>
            <w:tcW w:w="40" w:type="dxa"/>
            <w:vAlign w:val="bottom"/>
          </w:tcPr>
          <w:p>
            <w:pPr>
              <w:spacing w:after="0"/>
              <w:rPr>
                <w:sz w:val="13"/>
                <w:szCs w:val="13"/>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87,847</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168,076</w:t>
            </w:r>
          </w:p>
        </w:tc>
        <w:tc>
          <w:tcPr>
            <w:tcW w:w="40" w:type="dxa"/>
            <w:vAlign w:val="bottom"/>
          </w:tcPr>
          <w:p>
            <w:pPr>
              <w:spacing w:after="0"/>
              <w:rPr>
                <w:sz w:val="13"/>
                <w:szCs w:val="13"/>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1,610,864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80" w:type="dxa"/>
            <w:vAlign w:val="bottom"/>
            <w:tcBorders>
              <w:lef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9019"/>
          </w:cols>
          <w:pgMar w:left="1440" w:top="481" w:right="1440" w:bottom="1440" w:gutter="0" w:footer="0" w:header="0"/>
        </w:sectPr>
      </w:pPr>
    </w:p>
    <w:p>
      <w:pPr>
        <w:ind w:left="660"/>
        <w:spacing w:after="0"/>
        <w:rPr>
          <w:sz w:val="20"/>
          <w:szCs w:val="20"/>
          <w:color w:val="auto"/>
        </w:rPr>
      </w:pPr>
      <w:r>
        <w:rPr>
          <w:rFonts w:ascii="Arial" w:cs="Arial" w:eastAsia="Arial" w:hAnsi="Arial"/>
          <w:sz w:val="13"/>
          <w:szCs w:val="13"/>
          <w:b w:val="1"/>
          <w:bCs w:val="1"/>
          <w:color w:val="auto"/>
        </w:rPr>
        <w:t>Nine Months Ended September 30, 2023</w:t>
      </w:r>
    </w:p>
    <w:p>
      <w:pPr>
        <w:spacing w:after="0" w:line="30"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13"/>
          <w:szCs w:val="13"/>
          <w:color w:val="auto"/>
        </w:rPr>
        <w:t>Beginning balance</w:t>
      </w:r>
      <w:r>
        <w:rPr>
          <w:sz w:val="20"/>
          <w:szCs w:val="20"/>
          <w:color w:val="auto"/>
        </w:rPr>
        <w:tab/>
      </w:r>
      <w:r>
        <w:rPr>
          <w:rFonts w:ascii="Arial" w:cs="Arial" w:eastAsia="Arial" w:hAnsi="Arial"/>
          <w:sz w:val="10"/>
          <w:szCs w:val="10"/>
          <w:color w:val="auto"/>
        </w:rPr>
        <w:t>$</w:t>
      </w:r>
    </w:p>
    <w:p>
      <w:pPr>
        <w:spacing w:after="0" w:line="31" w:lineRule="exact"/>
        <w:rPr>
          <w:sz w:val="20"/>
          <w:szCs w:val="20"/>
          <w:color w:val="auto"/>
        </w:rPr>
      </w:pPr>
    </w:p>
    <w:p>
      <w:pPr>
        <w:ind w:left="660" w:right="160"/>
        <w:spacing w:after="0"/>
        <w:rPr>
          <w:sz w:val="20"/>
          <w:szCs w:val="20"/>
          <w:color w:val="auto"/>
        </w:rPr>
      </w:pPr>
      <w:r>
        <w:rPr>
          <w:rFonts w:ascii="Arial" w:cs="Arial" w:eastAsia="Arial" w:hAnsi="Arial"/>
          <w:sz w:val="13"/>
          <w:szCs w:val="13"/>
          <w:color w:val="auto"/>
        </w:rPr>
        <w:t xml:space="preserve">Cumulative effect of adoption of accounting principle </w:t>
      </w:r>
      <w:r>
        <w:rPr>
          <w:rFonts w:ascii="Arial" w:cs="Arial" w:eastAsia="Arial" w:hAnsi="Arial"/>
          <w:sz w:val="17"/>
          <w:szCs w:val="17"/>
          <w:color w:val="auto"/>
          <w:vertAlign w:val="superscript"/>
        </w:rPr>
        <w:t>(2)</w:t>
      </w:r>
    </w:p>
    <w:tbl>
      <w:tblPr>
        <w:tblLayout w:type="fixed"/>
        <w:tblInd w:w="660" w:type="dxa"/>
        <w:tblCellMar>
          <w:top w:w="0" w:type="dxa"/>
          <w:left w:w="0" w:type="dxa"/>
          <w:bottom w:w="0" w:type="dxa"/>
          <w:right w:w="0" w:type="dxa"/>
        </w:tblCellMar>
      </w:tblPr>
      <w:tr>
        <w:trPr>
          <w:trHeight w:val="178"/>
        </w:trPr>
        <w:tc>
          <w:tcPr>
            <w:tcW w:w="2520" w:type="dxa"/>
            <w:vAlign w:val="bottom"/>
          </w:tcPr>
          <w:p>
            <w:pPr>
              <w:spacing w:after="0" w:line="178"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520" w:type="dxa"/>
            <w:vAlign w:val="bottom"/>
          </w:tcPr>
          <w:p>
            <w:pPr>
              <w:spacing w:after="0"/>
              <w:rPr>
                <w:sz w:val="20"/>
                <w:szCs w:val="20"/>
                <w:color w:val="auto"/>
              </w:rPr>
            </w:pPr>
            <w:r>
              <w:rPr>
                <w:rFonts w:ascii="Arial" w:cs="Arial" w:eastAsia="Arial" w:hAnsi="Arial"/>
                <w:sz w:val="13"/>
                <w:szCs w:val="13"/>
                <w:color w:val="auto"/>
              </w:rPr>
              <w:t>Recoveries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20" w:type="dxa"/>
            <w:vAlign w:val="bottom"/>
          </w:tcPr>
          <w:p>
            <w:pPr>
              <w:spacing w:after="0"/>
              <w:rPr>
                <w:sz w:val="20"/>
                <w:szCs w:val="20"/>
                <w:color w:val="auto"/>
              </w:rPr>
            </w:pPr>
            <w:r>
              <w:rPr>
                <w:rFonts w:ascii="Arial" w:cs="Arial" w:eastAsia="Arial" w:hAnsi="Arial"/>
                <w:sz w:val="13"/>
                <w:szCs w:val="13"/>
                <w:color w:val="auto"/>
              </w:rPr>
              <w:t>Charge-offs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5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0" w:type="dxa"/>
            <w:vAlign w:val="bottom"/>
          </w:tcPr>
          <w:p>
            <w:pPr>
              <w:spacing w:after="0"/>
              <w:rPr>
                <w:sz w:val="1"/>
                <w:szCs w:val="1"/>
                <w:color w:val="auto"/>
              </w:rPr>
            </w:pPr>
          </w:p>
        </w:tc>
      </w:tr>
      <w:tr>
        <w:trPr>
          <w:trHeight w:val="181"/>
        </w:trPr>
        <w:tc>
          <w:tcPr>
            <w:tcW w:w="2520" w:type="dxa"/>
            <w:vAlign w:val="bottom"/>
            <w:vMerge w:val="restart"/>
          </w:tcPr>
          <w:p>
            <w:pPr>
              <w:spacing w:after="0"/>
              <w:rPr>
                <w:sz w:val="20"/>
                <w:szCs w:val="20"/>
                <w:color w:val="auto"/>
              </w:rPr>
            </w:pPr>
            <w:r>
              <w:rPr>
                <w:rFonts w:ascii="Arial" w:cs="Arial" w:eastAsia="Arial" w:hAnsi="Arial"/>
                <w:sz w:val="13"/>
                <w:szCs w:val="13"/>
                <w:color w:val="auto"/>
              </w:rPr>
              <w:t>Average loans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520" w:type="dxa"/>
            <w:vAlign w:val="bottom"/>
            <w:vMerge w:val="continue"/>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0" w:type="dxa"/>
            <w:vAlign w:val="bottom"/>
          </w:tcPr>
          <w:p>
            <w:pPr>
              <w:spacing w:after="0"/>
              <w:rPr>
                <w:sz w:val="1"/>
                <w:szCs w:val="1"/>
                <w:color w:val="auto"/>
              </w:rPr>
            </w:pPr>
          </w:p>
        </w:tc>
      </w:tr>
      <w:tr>
        <w:trPr>
          <w:trHeight w:val="166"/>
        </w:trPr>
        <w:tc>
          <w:tcPr>
            <w:tcW w:w="2520" w:type="dxa"/>
            <w:vAlign w:val="bottom"/>
          </w:tcPr>
          <w:p>
            <w:pPr>
              <w:spacing w:after="0"/>
              <w:rPr>
                <w:sz w:val="20"/>
                <w:szCs w:val="20"/>
                <w:color w:val="auto"/>
              </w:rPr>
            </w:pPr>
            <w:r>
              <w:rPr>
                <w:rFonts w:ascii="Arial" w:cs="Arial" w:eastAsia="Arial" w:hAnsi="Arial"/>
                <w:sz w:val="13"/>
                <w:szCs w:val="13"/>
                <w:color w:val="auto"/>
              </w:rPr>
              <w:t>Net charge-offs to average loans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jc w:val="right"/>
              <w:spacing w:after="0"/>
              <w:rPr>
                <w:sz w:val="20"/>
                <w:szCs w:val="20"/>
                <w:color w:val="auto"/>
              </w:rPr>
            </w:pPr>
            <w:r>
              <w:rPr>
                <w:rFonts w:ascii="Arial" w:cs="Arial" w:eastAsia="Arial" w:hAnsi="Arial"/>
                <w:sz w:val="13"/>
                <w:szCs w:val="13"/>
                <w:color w:val="auto"/>
              </w:rPr>
              <w:t>1,352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10,143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4,163</w:t>
            </w:r>
          </w:p>
        </w:tc>
        <w:tc>
          <w:tcPr>
            <w:tcW w:w="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1,109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17,487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(2,158)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w:t>
            </w:r>
          </w:p>
        </w:tc>
        <w:tc>
          <w:tcPr>
            <w:tcW w:w="100" w:type="dxa"/>
            <w:vAlign w:val="bottom"/>
            <w:tcBorders>
              <w:right w:val="single" w:sz="8" w:color="CCEEFF"/>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w:t>
            </w:r>
          </w:p>
        </w:tc>
        <w:tc>
          <w:tcPr>
            <w:tcW w:w="2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100" w:type="dxa"/>
            <w:vAlign w:val="bottom"/>
            <w:tcBorders>
              <w:right w:val="single" w:sz="8" w:color="CCEEFF"/>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(1,149)</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61"/>
        </w:trPr>
        <w:tc>
          <w:tcPr>
            <w:tcW w:w="680" w:type="dxa"/>
            <w:vAlign w:val="bottom"/>
          </w:tcPr>
          <w:p>
            <w:pPr>
              <w:jc w:val="right"/>
              <w:spacing w:after="0"/>
              <w:rPr>
                <w:sz w:val="20"/>
                <w:szCs w:val="20"/>
                <w:color w:val="auto"/>
              </w:rPr>
            </w:pPr>
            <w:r>
              <w:rPr>
                <w:rFonts w:ascii="Arial" w:cs="Arial" w:eastAsia="Arial" w:hAnsi="Arial"/>
                <w:sz w:val="13"/>
                <w:szCs w:val="13"/>
                <w:color w:val="auto"/>
              </w:rPr>
              <w:t>2,511</w:t>
            </w:r>
          </w:p>
        </w:tc>
        <w:tc>
          <w:tcPr>
            <w:tcW w:w="100" w:type="dxa"/>
            <w:vAlign w:val="bottom"/>
            <w:tcBorders>
              <w:right w:val="single" w:sz="8" w:color="CCEEFF"/>
            </w:tcBorders>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10,099</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auto"/>
              <w:right w:val="single" w:sz="8" w:color="CCEEFF"/>
            </w:tcBorders>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3,246</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left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750</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auto"/>
              <w:right w:val="single" w:sz="8" w:color="CCEEFF"/>
            </w:tcBorders>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2,887</w:t>
            </w:r>
          </w:p>
        </w:tc>
        <w:tc>
          <w:tcPr>
            <w:tcW w:w="100" w:type="dxa"/>
            <w:vAlign w:val="bottom"/>
            <w:tcBorders>
              <w:top w:val="single" w:sz="8" w:color="auto"/>
              <w:bottom w:val="single" w:sz="8" w:color="auto"/>
              <w:right w:val="single" w:sz="8" w:color="CCEEFF"/>
            </w:tcBorders>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19,493</w:t>
            </w:r>
          </w:p>
        </w:tc>
        <w:tc>
          <w:tcPr>
            <w:tcW w:w="40" w:type="dxa"/>
            <w:vAlign w:val="bottom"/>
            <w:tcBorders>
              <w:top w:val="single" w:sz="8" w:color="auto"/>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186,918</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980,244</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164,466</w:t>
            </w:r>
          </w:p>
        </w:tc>
        <w:tc>
          <w:tcPr>
            <w:tcW w:w="40" w:type="dxa"/>
            <w:vAlign w:val="bottom"/>
            <w:tcBorders>
              <w:top w:val="single" w:sz="8" w:color="auto"/>
            </w:tcBorders>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3"/>
                <w:szCs w:val="13"/>
                <w:color w:val="auto"/>
              </w:rPr>
              <w:t>90,597</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153,849</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1,576,074</w:t>
            </w: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-0.01%</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-0.05%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0.04%</w:t>
            </w:r>
          </w:p>
        </w:tc>
        <w:tc>
          <w:tcPr>
            <w:tcW w:w="100" w:type="dxa"/>
            <w:vAlign w:val="bottom"/>
          </w:tcPr>
          <w:p>
            <w:pPr>
              <w:spacing w:after="0"/>
              <w:rPr>
                <w:sz w:val="15"/>
                <w:szCs w:val="15"/>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2">
            <w:col w:w="3280" w:space="0"/>
            <w:col w:w="5739"/>
          </w:cols>
          <w:pgMar w:left="1440" w:top="481" w:right="1440" w:bottom="1440" w:gutter="0" w:footer="0" w:header="0"/>
          <w:type w:val="continuous"/>
        </w:sectPr>
      </w:pPr>
    </w:p>
    <w:p>
      <w:pPr>
        <w:ind w:left="660" w:right="1219" w:firstLine="3"/>
        <w:spacing w:after="0" w:line="246" w:lineRule="auto"/>
        <w:tabs>
          <w:tab w:leader="none" w:pos="852"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Provision for credit losses excludes $17 thousand release due to unfunded commitments included in other liabilities and $3 thousand release due to investment securities held to maturity.</w:t>
      </w:r>
    </w:p>
    <w:p>
      <w:pPr>
        <w:ind w:left="860" w:hanging="197"/>
        <w:spacing w:after="0"/>
        <w:tabs>
          <w:tab w:leader="none" w:pos="8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Impact of CECL adoption on January 1, 2023.</w:t>
      </w:r>
    </w:p>
    <w:p>
      <w:pPr>
        <w:spacing w:after="0" w:line="13" w:lineRule="exact"/>
        <w:rPr>
          <w:rFonts w:ascii="Arial" w:cs="Arial" w:eastAsia="Arial" w:hAnsi="Arial"/>
          <w:sz w:val="13"/>
          <w:szCs w:val="13"/>
          <w:color w:val="auto"/>
        </w:rPr>
      </w:pPr>
    </w:p>
    <w:p>
      <w:pPr>
        <w:ind w:left="660" w:right="1139" w:firstLine="3"/>
        <w:spacing w:after="0" w:line="259" w:lineRule="auto"/>
        <w:tabs>
          <w:tab w:leader="none" w:pos="852"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Provision for credit losses excludes $39 thousand release due to unfunded commitments included in other liabilities and $16 thousand expense due to investment securities held to maturity.</w:t>
      </w:r>
    </w:p>
    <w:p>
      <w:pPr>
        <w:spacing w:after="0" w:line="8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5"/>
              </w:rPr>
              <w:t>Residential</w:t>
            </w: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4"/>
              </w:rPr>
              <w:t>Commercial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Foreign</w:t>
            </w:r>
          </w:p>
        </w:tc>
        <w:tc>
          <w:tcPr>
            <w:tcW w:w="180" w:type="dxa"/>
            <w:vAlign w:val="bottom"/>
          </w:tcPr>
          <w:p>
            <w:pPr>
              <w:spacing w:after="0"/>
              <w:rPr>
                <w:sz w:val="13"/>
                <w:szCs w:val="13"/>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b w:val="1"/>
                <w:bCs w:val="1"/>
                <w:color w:val="auto"/>
                <w:w w:val="90"/>
              </w:rPr>
              <w:t>Consumer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Real Estate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Real Estate</w:t>
            </w:r>
          </w:p>
        </w:tc>
        <w:tc>
          <w:tcPr>
            <w:tcW w:w="8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w w:val="96"/>
              </w:rPr>
              <w:t>and Industrial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3"/>
                <w:szCs w:val="13"/>
                <w:b w:val="1"/>
                <w:bCs w:val="1"/>
                <w:color w:val="auto"/>
              </w:rPr>
              <w:t>Banks</w:t>
            </w:r>
          </w:p>
        </w:tc>
        <w:tc>
          <w:tcPr>
            <w:tcW w:w="180" w:type="dxa"/>
            <w:vAlign w:val="bottom"/>
          </w:tcPr>
          <w:p>
            <w:pPr>
              <w:spacing w:after="0"/>
              <w:rPr>
                <w:sz w:val="14"/>
                <w:szCs w:val="14"/>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b w:val="1"/>
                <w:bCs w:val="1"/>
                <w:color w:val="auto"/>
                <w:w w:val="91"/>
              </w:rPr>
              <w:t>and 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w w:val="96"/>
                <w:shd w:val="clear" w:color="auto" w:fill="CCEEFF"/>
              </w:rPr>
              <w:t>Three Months Ended September 30, 2022</w:t>
            </w:r>
          </w:p>
        </w:tc>
        <w:tc>
          <w:tcPr>
            <w:tcW w:w="80" w:type="dxa"/>
            <w:vAlign w:val="bottom"/>
            <w:tcBorders>
              <w:top w:val="single" w:sz="8" w:color="auto"/>
              <w:left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right w:val="single" w:sz="8" w:color="CCEEFF"/>
            </w:tcBorders>
            <w:shd w:val="clear" w:color="auto" w:fill="CCEEFF"/>
          </w:tcPr>
          <w:p>
            <w:pPr>
              <w:spacing w:after="0"/>
              <w:rPr>
                <w:sz w:val="13"/>
                <w:szCs w:val="13"/>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680" w:type="dxa"/>
            <w:vAlign w:val="bottom"/>
            <w:tcBorders>
              <w:top w:val="single" w:sz="8" w:color="auto"/>
              <w:right w:val="single" w:sz="8" w:color="CCEEFF"/>
            </w:tcBorders>
            <w:shd w:val="clear" w:color="auto" w:fill="CCEEFF"/>
          </w:tcPr>
          <w:p>
            <w:pPr>
              <w:spacing w:after="0"/>
              <w:rPr>
                <w:sz w:val="13"/>
                <w:szCs w:val="13"/>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2,366</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9,290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2,671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651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808</w:t>
            </w: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15,786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80" w:type="dxa"/>
            <w:vAlign w:val="bottom"/>
            <w:tcBorders>
              <w:lef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gridSpan w:val="2"/>
          </w:tcPr>
          <w:p>
            <w:pPr>
              <w:spacing w:after="0"/>
              <w:rPr>
                <w:sz w:val="20"/>
                <w:szCs w:val="20"/>
                <w:color w:val="auto"/>
              </w:rPr>
            </w:pPr>
            <w:r>
              <w:rPr>
                <w:rFonts w:ascii="Arial" w:cs="Arial" w:eastAsia="Arial" w:hAnsi="Arial"/>
                <w:sz w:val="13"/>
                <w:szCs w:val="13"/>
                <w:color w:val="auto"/>
              </w:rPr>
              <w:t>Recoveries</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80" w:type="dxa"/>
            <w:vAlign w:val="bottom"/>
            <w:tcBorders>
              <w:lef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6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50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1,358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9,985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3,709</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725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827</w:t>
            </w: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16,604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left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left w:val="single" w:sz="8" w:color="CCEEFF"/>
              <w:bottom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left w:val="single" w:sz="8" w:color="CCEEFF"/>
              <w:bottom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left w:val="single" w:sz="8" w:color="CCEEFF"/>
              <w:bottom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tcBorders>
              <w:top w:val="single" w:sz="8" w:color="CCEEFF"/>
              <w:left w:val="single" w:sz="8" w:color="CCEEFF"/>
              <w:bottom w:val="single" w:sz="8" w:color="CCEEFF"/>
              <w:right w:val="single" w:sz="8" w:color="CCEEFF"/>
            </w:tcBorders>
            <w:shd w:val="clear" w:color="auto" w:fill="CCEEFF"/>
          </w:tcPr>
          <w:p>
            <w:pPr>
              <w:spacing w:after="0"/>
              <w:rPr>
                <w:sz w:val="12"/>
                <w:szCs w:val="12"/>
                <w:color w:val="auto"/>
              </w:rPr>
            </w:pPr>
          </w:p>
        </w:tc>
        <w:tc>
          <w:tcPr>
            <w:tcW w:w="68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left w:val="single" w:sz="8" w:color="CCEEFF"/>
              <w:bottom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190,757</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887,000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119,993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94,628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106,382</w:t>
            </w: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1,398,761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80" w:type="dxa"/>
            <w:vAlign w:val="bottom"/>
            <w:tcBorders>
              <w:lef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9"/>
              </w:rPr>
              <w:t>Nine Months Ended September 30, 2022</w:t>
            </w:r>
          </w:p>
        </w:tc>
        <w:tc>
          <w:tcPr>
            <w:tcW w:w="80" w:type="dxa"/>
            <w:vAlign w:val="bottom"/>
            <w:tcBorders>
              <w:lef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50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2,498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8,758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2,775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457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569</w:t>
            </w: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15,057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80" w:type="dxa"/>
            <w:vAlign w:val="bottom"/>
            <w:tcBorders>
              <w:lef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(1,157)</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1,227</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1,011</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1,615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00" w:type="dxa"/>
            <w:vAlign w:val="bottom"/>
            <w:gridSpan w:val="2"/>
          </w:tcPr>
          <w:p>
            <w:pPr>
              <w:spacing w:after="0" w:line="146" w:lineRule="exact"/>
              <w:rPr>
                <w:sz w:val="20"/>
                <w:szCs w:val="20"/>
                <w:color w:val="auto"/>
              </w:rPr>
            </w:pPr>
            <w:r>
              <w:rPr>
                <w:rFonts w:ascii="Arial" w:cs="Arial" w:eastAsia="Arial" w:hAnsi="Arial"/>
                <w:sz w:val="13"/>
                <w:szCs w:val="13"/>
                <w:color w:val="auto"/>
              </w:rPr>
              <w:t>Recoveries</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80" w:type="dxa"/>
            <w:vAlign w:val="bottom"/>
            <w:tcBorders>
              <w:lef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50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1,358</w:t>
            </w:r>
          </w:p>
        </w:tc>
        <w:tc>
          <w:tcPr>
            <w:tcW w:w="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9,985</w:t>
            </w:r>
          </w:p>
        </w:tc>
        <w:tc>
          <w:tcPr>
            <w:tcW w:w="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3,709</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725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827</w:t>
            </w: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16,604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left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right w:val="single" w:sz="8" w:color="CCEEFF"/>
            </w:tcBorders>
            <w:gridSpan w:val="2"/>
            <w:shd w:val="clear" w:color="auto" w:fill="CCEEFF"/>
          </w:tcPr>
          <w:p>
            <w:pPr>
              <w:spacing w:after="0"/>
              <w:rPr>
                <w:sz w:val="9"/>
                <w:szCs w:val="9"/>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right w:val="single" w:sz="8" w:color="CCEEFF"/>
            </w:tcBorders>
            <w:gridSpan w:val="2"/>
            <w:shd w:val="clear" w:color="auto" w:fill="CCEEFF"/>
          </w:tcPr>
          <w:p>
            <w:pPr>
              <w:spacing w:after="0"/>
              <w:rPr>
                <w:sz w:val="9"/>
                <w:szCs w:val="9"/>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right w:val="single" w:sz="8" w:color="CCEEFF"/>
            </w:tcBorders>
            <w:shd w:val="clear" w:color="auto" w:fill="CCEEFF"/>
          </w:tcPr>
          <w:p>
            <w:pPr>
              <w:spacing w:after="0"/>
              <w:rPr>
                <w:sz w:val="9"/>
                <w:szCs w:val="9"/>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680" w:type="dxa"/>
            <w:vAlign w:val="bottom"/>
            <w:tcBorders>
              <w:top w:val="single" w:sz="8" w:color="auto"/>
              <w:right w:val="single" w:sz="8" w:color="CCEEFF"/>
            </w:tcBorders>
            <w:shd w:val="clear" w:color="auto" w:fill="CCEEFF"/>
          </w:tcPr>
          <w:p>
            <w:pPr>
              <w:spacing w:after="0"/>
              <w:rPr>
                <w:sz w:val="9"/>
                <w:szCs w:val="9"/>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500" w:type="dxa"/>
            <w:vAlign w:val="bottom"/>
            <w:gridSpan w:val="2"/>
          </w:tcPr>
          <w:p>
            <w:pPr>
              <w:spacing w:after="0"/>
              <w:rPr>
                <w:sz w:val="20"/>
                <w:szCs w:val="20"/>
                <w:color w:val="auto"/>
              </w:rPr>
            </w:pPr>
            <w:r>
              <w:rPr>
                <w:rFonts w:ascii="Arial" w:cs="Arial" w:eastAsia="Arial" w:hAnsi="Arial"/>
                <w:sz w:val="13"/>
                <w:szCs w:val="13"/>
                <w:color w:val="auto"/>
              </w:rPr>
              <w:t>Average loans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195,863</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809,411</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128,625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77,237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91,773</w:t>
            </w: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1,302,909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80" w:type="dxa"/>
            <w:vAlign w:val="bottom"/>
            <w:tcBorders>
              <w:lef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As of September 30, 2023, the combined cash surrender value of all bank-owned life insurance (“BOLI”) policies was $51.4 million. Changes in cash surrender value are recorded to non-interest income in the unaudited Consolidated Statements of Operations. The Company had BOLI policies with five insurance carriers. The Company is the beneficiary of these policies.</w:t>
      </w:r>
    </w:p>
    <w:p>
      <w:pPr>
        <w:spacing w:after="0" w:line="15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type w:val="continuous"/>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During the third quarter of 2023, the Company restructured its BOLI, cancelling a $7.1 million policy by surrendering $4.2 million of the value and transferring the remaining $2.9 million to a new BOLI policy. The new BOLI policy was funded with an additional $11.1 million for a total of $14.1 million. This new BOLI policy received a cash surrender enhancement from the new insurance carrier of $981 thousand.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7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small-to-medium sized businesses (“SMBs”), and the personal business of owners and operators of these SMBs, as well as the retail/consumer relationships of the employees of these businesses.</w:t>
      </w:r>
    </w:p>
    <w:p>
      <w:pPr>
        <w:spacing w:after="0" w:line="145" w:lineRule="exact"/>
        <w:rPr>
          <w:sz w:val="20"/>
          <w:szCs w:val="20"/>
          <w:color w:val="auto"/>
        </w:rPr>
      </w:pPr>
    </w:p>
    <w:p>
      <w:pPr>
        <w:ind w:left="660" w:right="699" w:firstLine="256"/>
        <w:spacing w:after="0" w:line="283" w:lineRule="auto"/>
        <w:rPr>
          <w:sz w:val="20"/>
          <w:szCs w:val="20"/>
          <w:color w:val="auto"/>
        </w:rPr>
      </w:pPr>
      <w:r>
        <w:rPr>
          <w:rFonts w:ascii="Arial" w:cs="Arial" w:eastAsia="Arial" w:hAnsi="Arial"/>
          <w:sz w:val="14"/>
          <w:szCs w:val="14"/>
          <w:color w:val="auto"/>
        </w:rPr>
        <w:t>The following table presents the daily average balance and average rate paid on deposits by category for the periods presented (in thousands, except ratios):</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11"/>
          </w:tcPr>
          <w:p>
            <w:pPr>
              <w:jc w:val="right"/>
              <w:ind w:right="200"/>
              <w:spacing w:after="0"/>
              <w:rPr>
                <w:sz w:val="20"/>
                <w:szCs w:val="20"/>
                <w:color w:val="auto"/>
              </w:rPr>
            </w:pPr>
            <w:r>
              <w:rPr>
                <w:rFonts w:ascii="Arial" w:cs="Arial" w:eastAsia="Arial" w:hAnsi="Arial"/>
                <w:sz w:val="13"/>
                <w:szCs w:val="13"/>
                <w:b w:val="1"/>
                <w:bCs w:val="1"/>
                <w:color w:val="auto"/>
                <w:w w:val="97"/>
              </w:rPr>
              <w:t>Three Months Ended September 30,</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3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9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Average Rate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Average Rate</w:t>
            </w:r>
          </w:p>
        </w:tc>
      </w:tr>
      <w:tr>
        <w:trPr>
          <w:trHeight w:val="173"/>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Paid</w:t>
            </w:r>
          </w:p>
        </w:tc>
        <w:tc>
          <w:tcPr>
            <w:tcW w:w="20" w:type="dxa"/>
            <w:vAlign w:val="bottom"/>
          </w:tcPr>
          <w:p>
            <w:pPr>
              <w:spacing w:after="0"/>
              <w:rPr>
                <w:sz w:val="15"/>
                <w:szCs w:val="15"/>
                <w:color w:val="auto"/>
              </w:rPr>
            </w:pPr>
          </w:p>
        </w:tc>
        <w:tc>
          <w:tcPr>
            <w:tcW w:w="124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9"/>
              </w:rPr>
              <w:t>Average Balance</w:t>
            </w:r>
          </w:p>
        </w:tc>
        <w:tc>
          <w:tcPr>
            <w:tcW w:w="960" w:type="dxa"/>
            <w:vAlign w:val="bottom"/>
            <w:gridSpan w:val="2"/>
          </w:tcPr>
          <w:p>
            <w:pPr>
              <w:ind w:left="300"/>
              <w:spacing w:after="0"/>
              <w:rPr>
                <w:sz w:val="20"/>
                <w:szCs w:val="20"/>
                <w:color w:val="auto"/>
              </w:rPr>
            </w:pPr>
            <w:r>
              <w:rPr>
                <w:rFonts w:ascii="Arial" w:cs="Arial" w:eastAsia="Arial" w:hAnsi="Arial"/>
                <w:sz w:val="13"/>
                <w:szCs w:val="13"/>
                <w:b w:val="1"/>
                <w:bCs w:val="1"/>
                <w:color w:val="auto"/>
              </w:rPr>
              <w:t>Paid</w:t>
            </w:r>
          </w:p>
        </w:tc>
      </w:tr>
      <w:tr>
        <w:trPr>
          <w:trHeight w:val="141"/>
        </w:trPr>
        <w:tc>
          <w:tcPr>
            <w:tcW w:w="32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Non-interest-bearing checking</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587,917</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0.00%</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5"/>
                <w:szCs w:val="5"/>
                <w:color w:val="auto"/>
                <w:w w:val="70"/>
              </w:rPr>
              <w:t>$</w:t>
            </w:r>
          </w:p>
        </w:tc>
        <w:tc>
          <w:tcPr>
            <w:tcW w:w="10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655,853</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ind w:left="540"/>
              <w:spacing w:after="0" w:line="141" w:lineRule="exact"/>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2"/>
                <w:szCs w:val="12"/>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Interest-bearing checking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52,080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66,585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ind w:left="540"/>
              <w:spacing w:after="0"/>
              <w:rPr>
                <w:sz w:val="20"/>
                <w:szCs w:val="20"/>
                <w:color w:val="auto"/>
              </w:rPr>
            </w:pPr>
            <w:r>
              <w:rPr>
                <w:rFonts w:ascii="Arial" w:cs="Arial" w:eastAsia="Arial" w:hAnsi="Arial"/>
                <w:sz w:val="13"/>
                <w:szCs w:val="13"/>
                <w:color w:val="auto"/>
              </w:rPr>
              <w:t>0.11%</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Money market and savings deposits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1,011,164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823,521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0.55%</w:t>
            </w:r>
          </w:p>
        </w:tc>
        <w:tc>
          <w:tcPr>
            <w:tcW w:w="20" w:type="dxa"/>
            <w:vAlign w:val="bottom"/>
            <w:shd w:val="clear" w:color="auto" w:fill="CCEEFF"/>
          </w:tcPr>
          <w:p>
            <w:pPr>
              <w:spacing w:after="0"/>
              <w:rPr>
                <w:sz w:val="13"/>
                <w:szCs w:val="13"/>
                <w:color w:val="auto"/>
              </w:rPr>
            </w:pPr>
          </w:p>
        </w:tc>
      </w:tr>
      <w:tr>
        <w:trPr>
          <w:trHeight w:val="180"/>
        </w:trPr>
        <w:tc>
          <w:tcPr>
            <w:tcW w:w="3200" w:type="dxa"/>
            <w:vAlign w:val="bottom"/>
          </w:tcPr>
          <w:p>
            <w:pPr>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290,272</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3.51%</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217,023</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0.66%</w:t>
            </w:r>
          </w:p>
        </w:tc>
        <w:tc>
          <w:tcPr>
            <w:tcW w:w="20" w:type="dxa"/>
            <w:vAlign w:val="bottom"/>
          </w:tcPr>
          <w:p>
            <w:pPr>
              <w:spacing w:after="0"/>
              <w:rPr>
                <w:sz w:val="15"/>
                <w:szCs w:val="15"/>
                <w:color w:val="auto"/>
              </w:rPr>
            </w:pPr>
          </w:p>
        </w:tc>
      </w:tr>
      <w:tr>
        <w:trPr>
          <w:trHeight w:val="141"/>
        </w:trPr>
        <w:tc>
          <w:tcPr>
            <w:tcW w:w="3200" w:type="dxa"/>
            <w:vAlign w:val="bottom"/>
            <w:tcBorders>
              <w:top w:val="single" w:sz="8" w:color="CCEEFF"/>
            </w:tcBorders>
            <w:shd w:val="clear" w:color="auto" w:fill="CCEEFF"/>
          </w:tcPr>
          <w:p>
            <w:pPr>
              <w:ind w:left="200"/>
              <w:spacing w:after="0" w:line="141" w:lineRule="exact"/>
              <w:rPr>
                <w:sz w:val="20"/>
                <w:szCs w:val="20"/>
                <w:color w:val="auto"/>
              </w:rPr>
            </w:pPr>
            <w:r>
              <w:rPr>
                <w:rFonts w:ascii="Arial" w:cs="Arial" w:eastAsia="Arial" w:hAnsi="Arial"/>
                <w:sz w:val="13"/>
                <w:szCs w:val="13"/>
                <w:color w:val="auto"/>
              </w:rPr>
              <w:t>Total</w:t>
            </w: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1,941,433</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2.39%</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5"/>
                <w:szCs w:val="5"/>
                <w:color w:val="auto"/>
                <w:w w:val="70"/>
              </w:rPr>
              <w:t>$</w:t>
            </w:r>
          </w:p>
        </w:tc>
        <w:tc>
          <w:tcPr>
            <w:tcW w:w="10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1,762,982</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gridSpan w:val="2"/>
            <w:shd w:val="clear" w:color="auto" w:fill="CCEEFF"/>
          </w:tcPr>
          <w:p>
            <w:pPr>
              <w:ind w:left="580"/>
              <w:spacing w:after="0" w:line="141" w:lineRule="exact"/>
              <w:rPr>
                <w:sz w:val="20"/>
                <w:szCs w:val="20"/>
                <w:color w:val="auto"/>
              </w:rPr>
            </w:pPr>
            <w:r>
              <w:rPr>
                <w:rFonts w:ascii="Arial" w:cs="Arial" w:eastAsia="Arial" w:hAnsi="Arial"/>
                <w:sz w:val="13"/>
                <w:szCs w:val="13"/>
                <w:color w:val="auto"/>
                <w:w w:val="97"/>
              </w:rPr>
              <w:t>0.34%</w:t>
            </w:r>
          </w:p>
        </w:tc>
      </w:tr>
      <w:tr>
        <w:trPr>
          <w:trHeight w:val="20"/>
        </w:trPr>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0"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The Company has a granular deposit portfolio with outstanding balances comprised of 49% in commercial deposits, 37% personal deposits, 11% public funds which are partially collateralized and 3% brokered deposits. During the nine months ended September 30, 2023, the Company acquired $50 million in brokered deposits to boost liquidity. The Company has approximately 20 thousand deposit accounts with the majority in personal accounts, approximately 13 thousand or 63.8%. The estimated average account size of our deposit portfolio is approximately $95 thousand as of September 30, 2023. The Company also offers Insured Cash Sweep (“ICS”) and Certificate of Deposit Account Registry Service (“CDARS”) deposit products to fully insure our clients.</w:t>
      </w:r>
    </w:p>
    <w:p>
      <w:pPr>
        <w:spacing w:after="0" w:line="148" w:lineRule="exact"/>
        <w:rPr>
          <w:sz w:val="20"/>
          <w:szCs w:val="20"/>
          <w:color w:val="auto"/>
        </w:rPr>
      </w:pPr>
    </w:p>
    <w:p>
      <w:pPr>
        <w:jc w:val="both"/>
        <w:ind w:left="660" w:right="639" w:firstLine="256"/>
        <w:spacing w:after="0" w:line="260" w:lineRule="auto"/>
        <w:rPr>
          <w:sz w:val="20"/>
          <w:szCs w:val="20"/>
          <w:color w:val="auto"/>
        </w:rPr>
      </w:pPr>
      <w:r>
        <w:rPr>
          <w:rFonts w:ascii="Arial" w:cs="Arial" w:eastAsia="Arial" w:hAnsi="Arial"/>
          <w:sz w:val="14"/>
          <w:szCs w:val="14"/>
          <w:color w:val="auto"/>
        </w:rPr>
        <w:t>The uninsured deposits are estimated based on the FDIC deposit insurance limit of $250 thousand for all deposit accounts at the Company per account holder. The total estimated amount of uninsured deposits is 53% at September 30, 2023.</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scheduled maturities of uninsured time deposits as of September 30, 2023 (in thousands):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3"/>
          </w:tcPr>
          <w:p>
            <w:pPr>
              <w:ind w:left="120"/>
              <w:spacing w:after="0"/>
              <w:rPr>
                <w:sz w:val="20"/>
                <w:szCs w:val="20"/>
                <w:color w:val="auto"/>
              </w:rPr>
            </w:pPr>
            <w:r>
              <w:rPr>
                <w:rFonts w:ascii="Arial" w:cs="Arial" w:eastAsia="Arial" w:hAnsi="Arial"/>
                <w:sz w:val="13"/>
                <w:szCs w:val="13"/>
                <w:b w:val="1"/>
                <w:bCs w:val="1"/>
                <w:color w:val="auto"/>
              </w:rPr>
              <w:t>September 30, 2023</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1"/>
        </w:trPr>
        <w:tc>
          <w:tcPr>
            <w:tcW w:w="59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Three months or less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18,563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0"/>
        </w:trPr>
        <w:tc>
          <w:tcPr>
            <w:tcW w:w="5900" w:type="dxa"/>
            <w:vAlign w:val="bottom"/>
          </w:tcPr>
          <w:p>
            <w:pPr>
              <w:spacing w:after="0"/>
              <w:rPr>
                <w:sz w:val="20"/>
                <w:szCs w:val="20"/>
                <w:color w:val="auto"/>
              </w:rPr>
            </w:pPr>
            <w:r>
              <w:rPr>
                <w:rFonts w:ascii="Arial" w:cs="Arial" w:eastAsia="Arial" w:hAnsi="Arial"/>
                <w:sz w:val="13"/>
                <w:szCs w:val="13"/>
                <w:color w:val="auto"/>
              </w:rPr>
              <w:t>Over three through six months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32,457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Over six though twelve months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28,769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0"/>
        </w:trPr>
        <w:tc>
          <w:tcPr>
            <w:tcW w:w="5900" w:type="dxa"/>
            <w:vAlign w:val="bottom"/>
          </w:tcPr>
          <w:p>
            <w:pPr>
              <w:spacing w:after="0"/>
              <w:rPr>
                <w:sz w:val="20"/>
                <w:szCs w:val="20"/>
                <w:color w:val="auto"/>
              </w:rPr>
            </w:pPr>
            <w:r>
              <w:rPr>
                <w:rFonts w:ascii="Arial" w:cs="Arial" w:eastAsia="Arial" w:hAnsi="Arial"/>
                <w:sz w:val="13"/>
                <w:szCs w:val="13"/>
                <w:color w:val="auto"/>
              </w:rPr>
              <w:t>Over twelve months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59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82,355</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Liabilities</w:t>
      </w:r>
    </w:p>
    <w:p>
      <w:pPr>
        <w:spacing w:after="0" w:line="167" w:lineRule="exact"/>
        <w:rPr>
          <w:sz w:val="20"/>
          <w:szCs w:val="20"/>
          <w:color w:val="auto"/>
        </w:rPr>
      </w:pPr>
    </w:p>
    <w:p>
      <w:pPr>
        <w:ind w:left="660" w:right="779" w:firstLine="256"/>
        <w:spacing w:after="0" w:line="260" w:lineRule="auto"/>
        <w:rPr>
          <w:sz w:val="20"/>
          <w:szCs w:val="20"/>
          <w:color w:val="auto"/>
        </w:rPr>
      </w:pPr>
      <w:r>
        <w:rPr>
          <w:rFonts w:ascii="Arial" w:cs="Arial" w:eastAsia="Arial" w:hAnsi="Arial"/>
          <w:sz w:val="14"/>
          <w:szCs w:val="14"/>
          <w:color w:val="auto"/>
        </w:rPr>
        <w:t>The Company collects from commercial and residential loan customers funds which are held in escrow for future payment of real estate taxes and insurance. These escrow funds are disbursed by the Company directly to the insurance companies and taxing authority of the borrower. Escrow funds are recorded as other liabilities.</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As of September 30, 2023 escrow balances totaled $16.7 million compared to $3.5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67"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As a member of the FHLB, we are eligible to obtain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38"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As of September 30, 2023, we had $102.0 million of fixed and variable rate advances outstanding from the FHLB with a weighted average rate of 3.66%. Maturity dates for the advances range between 2023 to 2028 detailed in the table below.</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advances as of September 30, 2023 (in thousands):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6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2150" w:type="dxa"/>
            <w:vAlign w:val="bottom"/>
            <w:gridSpan w:val="2"/>
          </w:tcPr>
          <w:p>
            <w:pPr>
              <w:ind w:left="830"/>
              <w:spacing w:after="0"/>
              <w:rPr>
                <w:sz w:val="20"/>
                <w:szCs w:val="20"/>
                <w:color w:val="auto"/>
              </w:rPr>
            </w:pPr>
            <w:r>
              <w:rPr>
                <w:rFonts w:ascii="Arial" w:cs="Arial" w:eastAsia="Arial" w:hAnsi="Arial"/>
                <w:sz w:val="13"/>
                <w:szCs w:val="13"/>
                <w:b w:val="1"/>
                <w:bCs w:val="1"/>
                <w:color w:val="auto"/>
              </w:rPr>
              <w:t>Amount</w:t>
            </w:r>
          </w:p>
        </w:tc>
      </w:tr>
      <w:tr>
        <w:trPr>
          <w:trHeight w:val="151"/>
        </w:trPr>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5.57%</w:t>
            </w:r>
          </w:p>
        </w:tc>
        <w:tc>
          <w:tcPr>
            <w:tcW w:w="6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Variable</w:t>
            </w:r>
          </w:p>
        </w:tc>
        <w:tc>
          <w:tcPr>
            <w:tcW w:w="60" w:type="dxa"/>
            <w:vAlign w:val="bottom"/>
            <w:tcBorders>
              <w:top w:val="single" w:sz="8" w:color="CCEEFF"/>
            </w:tcBorders>
            <w:shd w:val="clear" w:color="auto" w:fill="CCEEFF"/>
          </w:tcPr>
          <w:p>
            <w:pPr>
              <w:spacing w:after="0"/>
              <w:rPr>
                <w:sz w:val="13"/>
                <w:szCs w:val="13"/>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December 22, 2023</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1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20" w:type="dxa"/>
            <w:vAlign w:val="bottom"/>
            <w:shd w:val="clear" w:color="auto" w:fill="CCEEFF"/>
          </w:tcPr>
          <w:p>
            <w:pPr>
              <w:spacing w:after="0"/>
              <w:rPr>
                <w:sz w:val="13"/>
                <w:szCs w:val="13"/>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1.04%</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w w:val="98"/>
              </w:rPr>
              <w:t>July 30, 2024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13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60"/>
        </w:trPr>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2.05%</w:t>
            </w: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3"/>
                <w:szCs w:val="13"/>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March 27, 2025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21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3"/>
                <w:szCs w:val="13"/>
                <w:color w:val="auto"/>
              </w:rPr>
            </w:pPr>
          </w:p>
        </w:tc>
      </w:tr>
      <w:tr>
        <w:trPr>
          <w:trHeight w:val="160"/>
        </w:trPr>
        <w:tc>
          <w:tcPr>
            <w:tcW w:w="2060" w:type="dxa"/>
            <w:vAlign w:val="bottom"/>
          </w:tcPr>
          <w:p>
            <w:pPr>
              <w:jc w:val="center"/>
              <w:spacing w:after="0"/>
              <w:rPr>
                <w:sz w:val="20"/>
                <w:szCs w:val="20"/>
                <w:color w:val="auto"/>
              </w:rPr>
            </w:pPr>
            <w:r>
              <w:rPr>
                <w:rFonts w:ascii="Arial" w:cs="Arial" w:eastAsia="Arial" w:hAnsi="Arial"/>
                <w:sz w:val="13"/>
                <w:szCs w:val="13"/>
                <w:color w:val="auto"/>
                <w:w w:val="97"/>
              </w:rPr>
              <w:t>1.07%</w:t>
            </w:r>
          </w:p>
        </w:tc>
        <w:tc>
          <w:tcPr>
            <w:tcW w:w="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w w:val="98"/>
              </w:rPr>
              <w:t>July 18, 2025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213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3"/>
                <w:szCs w:val="13"/>
                <w:color w:val="auto"/>
              </w:rPr>
            </w:pPr>
          </w:p>
        </w:tc>
      </w:tr>
      <w:tr>
        <w:trPr>
          <w:trHeight w:val="171"/>
        </w:trPr>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3.76%</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January 24, 2028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213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11,000</w:t>
            </w:r>
          </w:p>
        </w:tc>
        <w:tc>
          <w:tcPr>
            <w:tcW w:w="20" w:type="dxa"/>
            <w:vAlign w:val="bottom"/>
            <w:shd w:val="clear" w:color="auto" w:fill="CCEEFF"/>
          </w:tcPr>
          <w:p>
            <w:pPr>
              <w:spacing w:after="0"/>
              <w:rPr>
                <w:sz w:val="14"/>
                <w:szCs w:val="14"/>
                <w:color w:val="auto"/>
              </w:rPr>
            </w:pPr>
          </w:p>
        </w:tc>
      </w:tr>
      <w:tr>
        <w:trPr>
          <w:trHeight w:val="160"/>
        </w:trPr>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7"/>
              </w:rPr>
              <w:t>3.77%</w:t>
            </w:r>
          </w:p>
        </w:tc>
        <w:tc>
          <w:tcPr>
            <w:tcW w:w="6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9"/>
              </w:rPr>
              <w:t>April 25, 2028</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213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w:t>
            </w:r>
          </w:p>
        </w:tc>
        <w:tc>
          <w:tcPr>
            <w:tcW w:w="20" w:type="dxa"/>
            <w:vAlign w:val="bottom"/>
          </w:tcPr>
          <w:p>
            <w:pPr>
              <w:spacing w:after="0"/>
              <w:rPr>
                <w:sz w:val="13"/>
                <w:szCs w:val="13"/>
                <w:color w:val="auto"/>
              </w:rPr>
            </w:pPr>
          </w:p>
        </w:tc>
      </w:tr>
      <w:tr>
        <w:trPr>
          <w:trHeight w:val="161"/>
        </w:trPr>
        <w:tc>
          <w:tcPr>
            <w:tcW w:w="2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102,000</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21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left="660" w:right="699" w:firstLine="256"/>
        <w:spacing w:after="0" w:line="260" w:lineRule="auto"/>
        <w:rPr>
          <w:sz w:val="20"/>
          <w:szCs w:val="20"/>
          <w:color w:val="auto"/>
        </w:rPr>
      </w:pPr>
      <w:r>
        <w:rPr>
          <w:rFonts w:ascii="Arial" w:cs="Arial" w:eastAsia="Arial" w:hAnsi="Arial"/>
          <w:sz w:val="14"/>
          <w:szCs w:val="14"/>
          <w:color w:val="auto"/>
        </w:rPr>
        <w:t>We have also established Federal Funds lines of credit with our upstream correspondent banks, the BTFP, and the FRB Atlanta Discount Window to manage temporary fluctuations in our daily cash balances. As of September 30, 2023, there were no outstanding balances with any of these liquidity sources.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67"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use more conservative credit and collateral policies in making these credit commitments than we do for on-balance sheet items. We are not aware of any accounting loss to be incurred by funding these commitments; however, we maintain an allowance for off-balance sheet credit risk which is recorded under other liabilities on the unaudited Consolidated Balance Sheets.</w:t>
      </w:r>
    </w:p>
    <w:p>
      <w:pPr>
        <w:spacing w:after="0" w:line="148" w:lineRule="exact"/>
        <w:rPr>
          <w:sz w:val="20"/>
          <w:szCs w:val="20"/>
          <w:color w:val="auto"/>
        </w:rPr>
      </w:pPr>
    </w:p>
    <w:p>
      <w:pPr>
        <w:jc w:val="both"/>
        <w:ind w:left="660" w:right="639" w:firstLine="256"/>
        <w:spacing w:after="0" w:line="260"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actual future cash funding requirements. The following table presents lending related commitments outstanding as of the dates indicated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36"/>
              <w:spacing w:after="0"/>
              <w:rPr>
                <w:sz w:val="20"/>
                <w:szCs w:val="20"/>
                <w:color w:val="auto"/>
              </w:rPr>
            </w:pPr>
            <w:r>
              <w:rPr>
                <w:rFonts w:ascii="Arial" w:cs="Arial" w:eastAsia="Arial" w:hAnsi="Arial"/>
                <w:sz w:val="13"/>
                <w:szCs w:val="13"/>
                <w:b w:val="1"/>
                <w:bCs w:val="1"/>
                <w:color w:val="auto"/>
                <w:w w:val="98"/>
              </w:rPr>
              <w:t>September 30, 2023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2022</w:t>
            </w:r>
          </w:p>
        </w:tc>
      </w:tr>
      <w:tr>
        <w:trPr>
          <w:trHeight w:val="151"/>
        </w:trPr>
        <w:tc>
          <w:tcPr>
            <w:tcW w:w="4800" w:type="dxa"/>
            <w:vAlign w:val="bottom"/>
            <w:tcBorders>
              <w:top w:val="single" w:sz="8" w:color="CCEEFF"/>
            </w:tcBorders>
            <w:gridSpan w:val="2"/>
            <w:shd w:val="clear" w:color="auto" w:fill="CCEEFF"/>
          </w:tcPr>
          <w:p>
            <w:pPr>
              <w:spacing w:after="0" w:line="146" w:lineRule="exact"/>
              <w:rPr>
                <w:sz w:val="20"/>
                <w:szCs w:val="20"/>
                <w:color w:val="auto"/>
              </w:rPr>
            </w:pPr>
            <w:r>
              <w:rPr>
                <w:rFonts w:ascii="Arial" w:cs="Arial" w:eastAsia="Arial" w:hAnsi="Arial"/>
                <w:sz w:val="13"/>
                <w:szCs w:val="13"/>
                <w:color w:val="auto"/>
              </w:rPr>
              <w:t>Commitments to grant loans and unfunded lines of credit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100,661</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95,461</w:t>
            </w:r>
          </w:p>
        </w:tc>
        <w:tc>
          <w:tcPr>
            <w:tcW w:w="20" w:type="dxa"/>
            <w:vAlign w:val="bottom"/>
            <w:shd w:val="clear" w:color="auto" w:fill="CCEEFF"/>
          </w:tcPr>
          <w:p>
            <w:pPr>
              <w:spacing w:after="0"/>
              <w:rPr>
                <w:sz w:val="13"/>
                <w:szCs w:val="13"/>
                <w:color w:val="auto"/>
              </w:rPr>
            </w:pPr>
          </w:p>
        </w:tc>
      </w:tr>
      <w:tr>
        <w:trPr>
          <w:trHeight w:val="171"/>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6,490</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4,320</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107,151</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99,781</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w:t>
      </w:r>
    </w:p>
    <w:p>
      <w:pPr>
        <w:spacing w:after="0" w:line="144"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amount of future payments we could be required to make is represented by the contractual amount of the commitment, less the amount of any advances made.</w:t>
      </w:r>
    </w:p>
    <w:p>
      <w:pPr>
        <w:spacing w:after="0" w:line="132"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29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67"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Members of senior management and our Board make up the asset and liability management committee, or ALCO. Senior management is responsible for ensuring that Board approved strategies and policies for managing and mitigating risks are appropriately executed within the designated lines of authority and responsibility in a timely manner.</w:t>
      </w:r>
    </w:p>
    <w:p>
      <w:pPr>
        <w:spacing w:after="0" w:line="138" w:lineRule="exact"/>
        <w:rPr>
          <w:sz w:val="20"/>
          <w:szCs w:val="20"/>
          <w:color w:val="auto"/>
        </w:rPr>
      </w:pPr>
    </w:p>
    <w:p>
      <w:pPr>
        <w:jc w:val="both"/>
        <w:ind w:left="660" w:right="659" w:firstLine="256"/>
        <w:spacing w:after="0" w:line="267"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133"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While some degree of IRR (“Interest Rate Risk”) is inherent to the banking business, we believe our ALCO implemented sound risk management practices to identify, quantify, monitor, and limit IRR exposures.</w:t>
      </w:r>
    </w:p>
    <w:p>
      <w:pPr>
        <w:spacing w:after="0" w:line="133"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income statement, management considers both earnings and economic impacts. Asset price variations, deposit volatility and reduced earnings or outright losses could adversely affect the Company’s liquidity, performance, and capital adequacy.</w:t>
      </w:r>
    </w:p>
    <w:p>
      <w:pPr>
        <w:spacing w:after="0" w:line="144"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steepening) and twists of the yield curve. Static simulation models are based on current exposures and assume a constant balance sheet with no new growth. Dynamic simulation analysis is also 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148"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To have a more complete picture of IRR, the Company also evaluates the economic value of equity (“EVE”). This assessment allows us to measure the degree to which the economic values will change under different interest rate scenarios (parallel and non-parallel). The economic 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7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According to our ALCO model, as of September 30, 2023, we had an asset sensitive balance sheet both for year one and two modeling, using the static modeling. Asset sensitivity indicates that our assets generally reprice faster than our liabilities, which results in a favorable impact to net interest income when market interest rates increase. Liability sensitivity indicates that our liabilities generally reprice faster than our assets, which results in a favorable impact to net interest income when market interest rates decrease. Many assumptions are used to calculate the impact of interest rate variations on our net interest income, such as asset prepayment speeds, non-maturity deposit price sensitivity, pricing correlations, deposit truncations and decay rates, and key interest rate drivers.</w:t>
      </w:r>
    </w:p>
    <w:p>
      <w:pPr>
        <w:spacing w:after="0" w:line="14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Because of the inherent use of these estimates and assumptions in the model, our actual results may, and most likely will, differ from static measures results. In addition, static measures like EVE do not include actions that management may undertake to manage the risks in response to anticipated changes in interest rates or client deposit behavior. As part of our ALM strategy and policy, management has the ability to modify the balance sheet to either increase asset duration and decrease liability duration to reduce asset sensitivity, or to decrease asset duration and increase liability duration in order to increase asset sensitivity.</w:t>
      </w:r>
    </w:p>
    <w:p>
      <w:pPr>
        <w:spacing w:after="0" w:line="14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According to our model, as of September 30, 2023, our balance sheet is asset sensitive for both year one and two under interest static rate scenarios (an increase or decrease of 400 basis points). This means than if rates increase the NIM will increase and if rates decrease the NIM will decrease. Additionally, utilizing an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in interest rates will have a negative impact on the EVE and lower rates, a positive impact. Results and analysis are presented quarterly to the ALCO, and strategies are reviewed and refined.</w:t>
      </w:r>
    </w:p>
    <w:p>
      <w:pPr>
        <w:spacing w:after="0" w:line="200" w:lineRule="exact"/>
        <w:rPr>
          <w:sz w:val="20"/>
          <w:szCs w:val="20"/>
          <w:color w:val="auto"/>
        </w:rPr>
      </w:pPr>
    </w:p>
    <w:p>
      <w:pPr>
        <w:spacing w:after="0" w:line="37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67" w:lineRule="exact"/>
        <w:rPr>
          <w:sz w:val="20"/>
          <w:szCs w:val="20"/>
          <w:color w:val="auto"/>
        </w:rPr>
      </w:pPr>
    </w:p>
    <w:p>
      <w:pPr>
        <w:jc w:val="both"/>
        <w:ind w:left="660" w:right="679" w:firstLine="256"/>
        <w:spacing w:after="0" w:line="290" w:lineRule="auto"/>
        <w:rPr>
          <w:sz w:val="20"/>
          <w:szCs w:val="20"/>
          <w:color w:val="auto"/>
        </w:rPr>
      </w:pPr>
      <w:r>
        <w:rPr>
          <w:rFonts w:ascii="Arial" w:cs="Arial" w:eastAsia="Arial" w:hAnsi="Arial"/>
          <w:sz w:val="13"/>
          <w:szCs w:val="13"/>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20"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relatively adequate funding. The Company’s obligations, and the funding sources used to meet them, depend significantly on our business mix, balance sheet structure and composition, credit quality of our assets and the cash flow profiles of our on- and off-balance sheet obligations.</w:t>
      </w:r>
    </w:p>
    <w:p>
      <w:pPr>
        <w:spacing w:after="0" w:line="132"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In managing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w:t>
      </w:r>
    </w:p>
    <w:p>
      <w:pPr>
        <w:spacing w:after="0" w:line="13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Changes in macroeconomic conditions, as well as exposure to credit, market, operational, legal and reputational risks, such as cybersecurity risk, could have an unexpected impact on the Company’s liquidity risk profile and are factored into the assessment of liquidity and the ALM framework.</w:t>
      </w:r>
    </w:p>
    <w:p>
      <w:pPr>
        <w:spacing w:after="0" w:line="144" w:lineRule="exact"/>
        <w:rPr>
          <w:sz w:val="20"/>
          <w:szCs w:val="20"/>
          <w:color w:val="auto"/>
        </w:rPr>
      </w:pPr>
    </w:p>
    <w:p>
      <w:pPr>
        <w:jc w:val="both"/>
        <w:ind w:left="660" w:right="659" w:firstLine="256"/>
        <w:spacing w:after="0" w:line="260"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Contingency Funding Plan and ALM policy.</w:t>
      </w:r>
    </w:p>
    <w:p>
      <w:pPr>
        <w:spacing w:after="0" w:line="128"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active involvement of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306"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services certificates of deposit, the Bank Term Funding Program, FRB Atlanta discount window, and borrowings from the FHLB. Accordingly, we believe our liquidity resources are adequate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50" w:name="page51"/>
    <w:bookmarkEnd w:id="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67"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As of September 30, 2023, the Bank was well capitalized under the FDIC’s prompt corrective action framework. We also follow the capital conservation buffer framework, and as of September 30, 2023, we exceeded the capital conversation buffer in all capital ratios, according to our actual ratios. The following table presents the capital ratios for the Bank at the dates indicated (in thousands, except ratios).</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5"/>
          </w:tcPr>
          <w:p>
            <w:pPr>
              <w:jc w:val="center"/>
              <w:ind w:right="56"/>
              <w:spacing w:after="0"/>
              <w:rPr>
                <w:sz w:val="20"/>
                <w:szCs w:val="20"/>
                <w:color w:val="auto"/>
              </w:rPr>
            </w:pPr>
            <w:r>
              <w:rPr>
                <w:rFonts w:ascii="Arial" w:cs="Arial" w:eastAsia="Arial" w:hAnsi="Arial"/>
                <w:sz w:val="13"/>
                <w:szCs w:val="13"/>
                <w:b w:val="1"/>
                <w:bCs w:val="1"/>
                <w:color w:val="auto"/>
                <w:w w:val="97"/>
              </w:rPr>
              <w:t>To be Well Capitalized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right"/>
              <w:ind w:right="276"/>
              <w:spacing w:after="0"/>
              <w:rPr>
                <w:sz w:val="20"/>
                <w:szCs w:val="20"/>
                <w:color w:val="auto"/>
              </w:rPr>
            </w:pPr>
            <w:r>
              <w:rPr>
                <w:rFonts w:ascii="Arial" w:cs="Arial" w:eastAsia="Arial" w:hAnsi="Arial"/>
                <w:sz w:val="13"/>
                <w:szCs w:val="13"/>
                <w:b w:val="1"/>
                <w:bCs w:val="1"/>
                <w:color w:val="auto"/>
              </w:rPr>
              <w:t>Minimum Capital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center"/>
              <w:ind w:right="36"/>
              <w:spacing w:after="0"/>
              <w:rPr>
                <w:sz w:val="20"/>
                <w:szCs w:val="20"/>
                <w:color w:val="auto"/>
              </w:rPr>
            </w:pPr>
            <w:r>
              <w:rPr>
                <w:rFonts w:ascii="Arial" w:cs="Arial" w:eastAsia="Arial" w:hAnsi="Arial"/>
                <w:sz w:val="13"/>
                <w:szCs w:val="13"/>
                <w:b w:val="1"/>
                <w:bCs w:val="1"/>
                <w:color w:val="auto"/>
                <w:w w:val="98"/>
              </w:rPr>
              <w:t>Under Prompt Corrective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ind w:left="540"/>
              <w:spacing w:after="0"/>
              <w:rPr>
                <w:sz w:val="20"/>
                <w:szCs w:val="20"/>
                <w:color w:val="auto"/>
              </w:rPr>
            </w:pPr>
            <w:r>
              <w:rPr>
                <w:rFonts w:ascii="Arial" w:cs="Arial" w:eastAsia="Arial" w:hAnsi="Arial"/>
                <w:sz w:val="13"/>
                <w:szCs w:val="13"/>
                <w:b w:val="1"/>
                <w:bCs w:val="1"/>
                <w:color w:val="auto"/>
              </w:rPr>
              <w:t>Actual</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rPr>
              <w:t>Requirements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center"/>
              <w:ind w:right="16"/>
              <w:spacing w:after="0"/>
              <w:rPr>
                <w:sz w:val="20"/>
                <w:szCs w:val="20"/>
                <w:color w:val="auto"/>
              </w:rPr>
            </w:pPr>
            <w:r>
              <w:rPr>
                <w:rFonts w:ascii="Arial" w:cs="Arial" w:eastAsia="Arial" w:hAnsi="Arial"/>
                <w:sz w:val="13"/>
                <w:szCs w:val="13"/>
                <w:b w:val="1"/>
                <w:bCs w:val="1"/>
                <w:color w:val="auto"/>
                <w:w w:val="99"/>
              </w:rPr>
              <w:t>Action Provisions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ind w:left="60"/>
              <w:spacing w:after="0"/>
              <w:rPr>
                <w:sz w:val="20"/>
                <w:szCs w:val="20"/>
                <w:color w:val="auto"/>
              </w:rPr>
            </w:pPr>
            <w:r>
              <w:rPr>
                <w:rFonts w:ascii="Arial" w:cs="Arial" w:eastAsia="Arial" w:hAnsi="Arial"/>
                <w:sz w:val="13"/>
                <w:szCs w:val="13"/>
                <w:b w:val="1"/>
                <w:bCs w:val="1"/>
                <w:color w:val="auto"/>
              </w:rPr>
              <w:t>Amount</w:t>
            </w:r>
          </w:p>
        </w:tc>
        <w:tc>
          <w:tcPr>
            <w:tcW w:w="620" w:type="dxa"/>
            <w:vAlign w:val="bottom"/>
            <w:gridSpan w:val="2"/>
          </w:tcPr>
          <w:p>
            <w:pPr>
              <w:jc w:val="right"/>
              <w:ind w:right="196"/>
              <w:spacing w:after="0"/>
              <w:rPr>
                <w:sz w:val="20"/>
                <w:szCs w:val="20"/>
                <w:color w:val="auto"/>
              </w:rPr>
            </w:pPr>
            <w:r>
              <w:rPr>
                <w:rFonts w:ascii="Arial" w:cs="Arial" w:eastAsia="Arial" w:hAnsi="Arial"/>
                <w:sz w:val="13"/>
                <w:szCs w:val="13"/>
                <w:b w:val="1"/>
                <w:bCs w:val="1"/>
                <w:color w:val="auto"/>
              </w:rPr>
              <w:t>Ratio</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84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19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September 30, 2023</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gridSpan w:val="2"/>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230,801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13.06 %</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141,327</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176,659</w:t>
            </w:r>
          </w:p>
        </w:tc>
        <w:tc>
          <w:tcPr>
            <w:tcW w:w="900" w:type="dxa"/>
            <w:vAlign w:val="bottom"/>
            <w:gridSpan w:val="4"/>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210,815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105,995</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141,327</w:t>
            </w:r>
          </w:p>
        </w:tc>
        <w:tc>
          <w:tcPr>
            <w:tcW w:w="60" w:type="dxa"/>
            <w:vAlign w:val="bottom"/>
            <w:gridSpan w:val="2"/>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20" w:type="dxa"/>
            <w:vAlign w:val="bottom"/>
            <w:gridSpan w:val="2"/>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210,815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11.93 %</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79,496</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114,828</w:t>
            </w:r>
          </w:p>
        </w:tc>
        <w:tc>
          <w:tcPr>
            <w:tcW w:w="900" w:type="dxa"/>
            <w:vAlign w:val="bottom"/>
            <w:gridSpan w:val="4"/>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91,310</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114,138</w:t>
            </w:r>
          </w:p>
        </w:tc>
        <w:tc>
          <w:tcPr>
            <w:tcW w:w="60" w:type="dxa"/>
            <w:vAlign w:val="bottom"/>
            <w:gridSpan w:val="2"/>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20" w:type="dxa"/>
            <w:vAlign w:val="bottom"/>
            <w:gridSpan w:val="2"/>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216,693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13.58 %</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127,616</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159,520</w:t>
            </w:r>
          </w:p>
        </w:tc>
        <w:tc>
          <w:tcPr>
            <w:tcW w:w="900" w:type="dxa"/>
            <w:vAlign w:val="bottom"/>
            <w:gridSpan w:val="4"/>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198,909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95,712</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127,616</w:t>
            </w:r>
          </w:p>
        </w:tc>
        <w:tc>
          <w:tcPr>
            <w:tcW w:w="60" w:type="dxa"/>
            <w:vAlign w:val="bottom"/>
            <w:gridSpan w:val="2"/>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198,909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12.47 %</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71,784</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103,688</w:t>
            </w:r>
          </w:p>
        </w:tc>
        <w:tc>
          <w:tcPr>
            <w:tcW w:w="900" w:type="dxa"/>
            <w:vAlign w:val="bottom"/>
            <w:gridSpan w:val="4"/>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198,909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83,210</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104,012</w:t>
            </w:r>
          </w:p>
        </w:tc>
        <w:tc>
          <w:tcPr>
            <w:tcW w:w="60" w:type="dxa"/>
            <w:vAlign w:val="bottom"/>
            <w:gridSpan w:val="2"/>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The Company is not subject to regulatory capital ratios imposed by Basel III on bank holding companies because the Company is deemed to be a small bank holding company.</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78" w:lineRule="exact"/>
        <w:rPr>
          <w:sz w:val="20"/>
          <w:szCs w:val="20"/>
          <w:color w:val="auto"/>
        </w:rPr>
      </w:pPr>
    </w:p>
    <w:p>
      <w:pPr>
        <w:jc w:val="both"/>
        <w:ind w:left="660" w:right="639" w:firstLine="512"/>
        <w:spacing w:after="0" w:line="248" w:lineRule="auto"/>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 As market interest rates rise or fall in relation to the rates earned on loans and investments, the value of these assets decreases or increases respectively. Inflation can also impact core non-interest expenses associated with delivering the Company’s services.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78"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Recently issued accounting pronouncements are discussed in Note 1 “Summary of Significant Accounting Policies” to the unaudited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 -GAAP Financial Measures</w:t>
      </w:r>
    </w:p>
    <w:p>
      <w:pPr>
        <w:spacing w:after="0" w:line="167" w:lineRule="exact"/>
        <w:rPr>
          <w:sz w:val="20"/>
          <w:szCs w:val="20"/>
          <w:color w:val="auto"/>
        </w:rPr>
      </w:pPr>
    </w:p>
    <w:p>
      <w:pPr>
        <w:ind w:left="660" w:right="639" w:firstLine="256"/>
        <w:spacing w:after="0" w:line="251" w:lineRule="auto"/>
        <w:rPr>
          <w:sz w:val="20"/>
          <w:szCs w:val="20"/>
          <w:color w:val="auto"/>
        </w:rPr>
      </w:pPr>
      <w:r>
        <w:rPr>
          <w:rFonts w:ascii="Arial" w:cs="Arial" w:eastAsia="Arial" w:hAnsi="Arial"/>
          <w:sz w:val="14"/>
          <w:szCs w:val="14"/>
          <w:color w:val="auto"/>
        </w:rPr>
        <w:t>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following table reconciles the non-GAAP financial measurement of operating net income available to common stockholders for the periods presented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ind w:left="3560"/>
        <w:spacing w:after="0"/>
        <w:rPr>
          <w:sz w:val="20"/>
          <w:szCs w:val="20"/>
          <w:color w:val="auto"/>
        </w:rPr>
      </w:pPr>
      <w:r>
        <w:rPr>
          <w:rFonts w:ascii="Arial" w:cs="Arial" w:eastAsia="Arial" w:hAnsi="Arial"/>
          <w:sz w:val="11"/>
          <w:szCs w:val="11"/>
          <w:b w:val="1"/>
          <w:bCs w:val="1"/>
          <w:color w:val="auto"/>
        </w:rPr>
        <w:t>USCB FINANCIAL HOLDINGS, INC.</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11"/>
          <w:szCs w:val="11"/>
          <w:b w:val="1"/>
          <w:bCs w:val="1"/>
          <w:color w:val="auto"/>
        </w:rPr>
        <w:t>NON-GAAP FINANCIAL MEASURES (UNAUDITED)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3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11"/>
          </w:tcPr>
          <w:p>
            <w:pPr>
              <w:ind w:left="160"/>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3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9/30/2023</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6/30/2023</w:t>
            </w: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12/31/2022</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9/30/2022</w:t>
            </w:r>
          </w:p>
        </w:tc>
        <w:tc>
          <w:tcPr>
            <w:tcW w:w="20" w:type="dxa"/>
            <w:vAlign w:val="bottom"/>
          </w:tcPr>
          <w:p>
            <w:pPr>
              <w:spacing w:after="0"/>
              <w:rPr>
                <w:sz w:val="12"/>
                <w:szCs w:val="12"/>
                <w:color w:val="auto"/>
              </w:rPr>
            </w:pPr>
          </w:p>
        </w:tc>
      </w:tr>
      <w:tr>
        <w:trPr>
          <w:trHeight w:val="151"/>
        </w:trPr>
        <w:tc>
          <w:tcPr>
            <w:tcW w:w="3200" w:type="dxa"/>
            <w:vAlign w:val="bottom"/>
            <w:shd w:val="clear" w:color="auto" w:fill="CCEEFF"/>
          </w:tcPr>
          <w:p>
            <w:pPr>
              <w:spacing w:after="0" w:line="151" w:lineRule="exact"/>
              <w:rPr>
                <w:sz w:val="20"/>
                <w:szCs w:val="20"/>
                <w:color w:val="auto"/>
              </w:rPr>
            </w:pPr>
            <w:r>
              <w:rPr>
                <w:rFonts w:ascii="Arial" w:cs="Arial" w:eastAsia="Arial" w:hAnsi="Arial"/>
                <w:sz w:val="11"/>
                <w:szCs w:val="11"/>
                <w:b w:val="1"/>
                <w:bCs w:val="1"/>
                <w:color w:val="auto"/>
              </w:rPr>
              <w:t>Pre-tax pre-provision ("PTPP") income:</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3,819</w:t>
            </w:r>
          </w:p>
        </w:tc>
        <w:tc>
          <w:tcPr>
            <w:tcW w:w="40" w:type="dxa"/>
            <w:vAlign w:val="bottom"/>
          </w:tcPr>
          <w:p>
            <w:pPr>
              <w:spacing w:after="0"/>
              <w:rPr>
                <w:sz w:val="14"/>
                <w:szCs w:val="14"/>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4,196</w:t>
            </w:r>
          </w:p>
        </w:tc>
        <w:tc>
          <w:tcPr>
            <w:tcW w:w="60" w:type="dxa"/>
            <w:vAlign w:val="bottom"/>
          </w:tcPr>
          <w:p>
            <w:pPr>
              <w:spacing w:after="0"/>
              <w:rPr>
                <w:sz w:val="14"/>
                <w:szCs w:val="14"/>
                <w:color w:val="auto"/>
              </w:rPr>
            </w:pP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5,809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4,434</w:t>
            </w:r>
          </w:p>
        </w:tc>
        <w:tc>
          <w:tcPr>
            <w:tcW w:w="40" w:type="dxa"/>
            <w:vAlign w:val="bottom"/>
          </w:tcPr>
          <w:p>
            <w:pPr>
              <w:spacing w:after="0"/>
              <w:rPr>
                <w:sz w:val="14"/>
                <w:szCs w:val="14"/>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5,558</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Plus: Provision for income taxes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1,963</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Plus: Provision for credit losses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653</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880</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910</w:t>
            </w:r>
          </w:p>
        </w:tc>
        <w:tc>
          <w:tcPr>
            <w:tcW w:w="20" w:type="dxa"/>
            <w:vAlign w:val="bottom"/>
          </w:tcPr>
          <w:p>
            <w:pPr>
              <w:spacing w:after="0"/>
              <w:rPr>
                <w:sz w:val="13"/>
                <w:szCs w:val="13"/>
                <w:color w:val="auto"/>
              </w:rPr>
            </w:pPr>
          </w:p>
        </w:tc>
      </w:tr>
      <w:tr>
        <w:trPr>
          <w:trHeight w:val="151"/>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PTPP income</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5,722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5,567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7,891</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6,729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8,431</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PTPP return on average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PTPP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5,722</w:t>
            </w:r>
          </w:p>
        </w:tc>
        <w:tc>
          <w:tcPr>
            <w:tcW w:w="40" w:type="dxa"/>
            <w:vAlign w:val="bottom"/>
          </w:tcPr>
          <w:p>
            <w:pPr>
              <w:spacing w:after="0"/>
              <w:rPr>
                <w:sz w:val="13"/>
                <w:szCs w:val="13"/>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5,567</w:t>
            </w:r>
          </w:p>
        </w:tc>
        <w:tc>
          <w:tcPr>
            <w:tcW w:w="60" w:type="dxa"/>
            <w:vAlign w:val="bottom"/>
          </w:tcPr>
          <w:p>
            <w:pPr>
              <w:spacing w:after="0"/>
              <w:rPr>
                <w:sz w:val="13"/>
                <w:szCs w:val="13"/>
                <w:color w:val="auto"/>
              </w:rPr>
            </w:pP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7,891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6,729</w:t>
            </w:r>
          </w:p>
        </w:tc>
        <w:tc>
          <w:tcPr>
            <w:tcW w:w="40" w:type="dxa"/>
            <w:vAlign w:val="bottom"/>
          </w:tcPr>
          <w:p>
            <w:pPr>
              <w:spacing w:after="0"/>
              <w:rPr>
                <w:sz w:val="13"/>
                <w:szCs w:val="13"/>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8,431</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2,250,258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2,183,542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2,120,218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2,051,867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2,026,791</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Arial" w:cs="Arial" w:eastAsia="Arial" w:hAnsi="Arial"/>
                <w:sz w:val="11"/>
                <w:szCs w:val="11"/>
                <w:color w:val="auto"/>
              </w:rPr>
              <w:t xml:space="preserve">PTPP return on average assets </w:t>
            </w:r>
            <w:r>
              <w:rPr>
                <w:rFonts w:ascii="Arial" w:cs="Arial" w:eastAsia="Arial" w:hAnsi="Arial"/>
                <w:sz w:val="14"/>
                <w:szCs w:val="14"/>
                <w:color w:val="auto"/>
                <w:vertAlign w:val="superscript"/>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1.65%</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net income:</w:t>
            </w:r>
            <w:r>
              <w:rPr>
                <w:rFonts w:ascii="Arial" w:cs="Arial" w:eastAsia="Arial" w:hAnsi="Arial"/>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3,819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5,558</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(955)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(1,989)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(558)</w:t>
            </w: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Tax effect on sale of securities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504</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20" w:type="dxa"/>
            <w:vAlign w:val="bottom"/>
            <w:shd w:val="clear" w:color="auto" w:fill="CCEEFF"/>
          </w:tcPr>
          <w:p>
            <w:pPr>
              <w:spacing w:after="0"/>
              <w:rPr>
                <w:sz w:val="13"/>
                <w:szCs w:val="13"/>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1"/>
                <w:szCs w:val="11"/>
                <w:color w:val="auto"/>
              </w:rPr>
              <w:t>Operating 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4,532</w:t>
            </w:r>
          </w:p>
        </w:tc>
        <w:tc>
          <w:tcPr>
            <w:tcW w:w="40" w:type="dxa"/>
            <w:vAlign w:val="bottom"/>
          </w:tcPr>
          <w:p>
            <w:pPr>
              <w:spacing w:after="0"/>
              <w:rPr>
                <w:sz w:val="16"/>
                <w:szCs w:val="16"/>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4,196</w:t>
            </w:r>
          </w:p>
        </w:tc>
        <w:tc>
          <w:tcPr>
            <w:tcW w:w="60" w:type="dxa"/>
            <w:vAlign w:val="bottom"/>
          </w:tcPr>
          <w:p>
            <w:pPr>
              <w:spacing w:after="0"/>
              <w:rPr>
                <w:sz w:val="16"/>
                <w:szCs w:val="16"/>
                <w:color w:val="auto"/>
              </w:rPr>
            </w:pP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5,825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5,919</w:t>
            </w:r>
          </w:p>
        </w:tc>
        <w:tc>
          <w:tcPr>
            <w:tcW w:w="40" w:type="dxa"/>
            <w:vAlign w:val="bottom"/>
          </w:tcPr>
          <w:p>
            <w:pPr>
              <w:spacing w:after="0"/>
              <w:rPr>
                <w:sz w:val="16"/>
                <w:szCs w:val="16"/>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5,975</w:t>
            </w:r>
          </w:p>
        </w:tc>
        <w:tc>
          <w:tcPr>
            <w:tcW w:w="20" w:type="dxa"/>
            <w:vAlign w:val="bottom"/>
          </w:tcPr>
          <w:p>
            <w:pPr>
              <w:spacing w:after="0"/>
              <w:rPr>
                <w:sz w:val="16"/>
                <w:szCs w:val="16"/>
                <w:color w:val="auto"/>
              </w:rPr>
            </w:pPr>
          </w:p>
        </w:tc>
      </w:tr>
      <w:tr>
        <w:trPr>
          <w:trHeight w:val="100"/>
        </w:trPr>
        <w:tc>
          <w:tcPr>
            <w:tcW w:w="3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PTPP income:</w:t>
            </w:r>
            <w:r>
              <w:rPr>
                <w:rFonts w:ascii="Arial" w:cs="Arial" w:eastAsia="Arial" w:hAnsi="Arial"/>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PTPP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5,722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5,567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7,891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6,729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8,431</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(955)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(1,989)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(558)</w:t>
            </w:r>
          </w:p>
        </w:tc>
      </w:tr>
      <w:tr>
        <w:trPr>
          <w:trHeight w:val="151"/>
        </w:trPr>
        <w:tc>
          <w:tcPr>
            <w:tcW w:w="32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Operating PTPP income</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6,677</w:t>
            </w: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5,567</w:t>
            </w:r>
          </w:p>
        </w:tc>
        <w:tc>
          <w:tcPr>
            <w:tcW w:w="6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7,912</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8,718</w:t>
            </w: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8,989</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PTPP return on average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Operating PTPP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6,677</w:t>
            </w:r>
          </w:p>
        </w:tc>
        <w:tc>
          <w:tcPr>
            <w:tcW w:w="40" w:type="dxa"/>
            <w:vAlign w:val="bottom"/>
          </w:tcPr>
          <w:p>
            <w:pPr>
              <w:spacing w:after="0"/>
              <w:rPr>
                <w:sz w:val="13"/>
                <w:szCs w:val="13"/>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5,567</w:t>
            </w:r>
          </w:p>
        </w:tc>
        <w:tc>
          <w:tcPr>
            <w:tcW w:w="60" w:type="dxa"/>
            <w:vAlign w:val="bottom"/>
          </w:tcPr>
          <w:p>
            <w:pPr>
              <w:spacing w:after="0"/>
              <w:rPr>
                <w:sz w:val="13"/>
                <w:szCs w:val="13"/>
                <w:color w:val="auto"/>
              </w:rPr>
            </w:pP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7,912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8,718</w:t>
            </w:r>
          </w:p>
        </w:tc>
        <w:tc>
          <w:tcPr>
            <w:tcW w:w="40" w:type="dxa"/>
            <w:vAlign w:val="bottom"/>
          </w:tcPr>
          <w:p>
            <w:pPr>
              <w:spacing w:after="0"/>
              <w:rPr>
                <w:sz w:val="13"/>
                <w:szCs w:val="13"/>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8,989</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2,250,258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2,183,542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2,120,218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2,051,867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2,026,791</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Arial" w:cs="Arial" w:eastAsia="Arial" w:hAnsi="Arial"/>
                <w:sz w:val="11"/>
                <w:szCs w:val="11"/>
                <w:color w:val="auto"/>
              </w:rPr>
              <w:t xml:space="preserve">Operating PTPP return on average assets </w:t>
            </w:r>
            <w:r>
              <w:rPr>
                <w:rFonts w:ascii="Arial" w:cs="Arial" w:eastAsia="Arial" w:hAnsi="Arial"/>
                <w:sz w:val="14"/>
                <w:szCs w:val="14"/>
                <w:color w:val="auto"/>
                <w:vertAlign w:val="superscript"/>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1.69%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1.76%</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return on average assets:</w:t>
            </w:r>
            <w:r>
              <w:rPr>
                <w:rFonts w:ascii="Arial" w:cs="Arial" w:eastAsia="Arial" w:hAnsi="Arial"/>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net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4,532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5,919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5,975</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2,250,258</w:t>
            </w:r>
          </w:p>
        </w:tc>
        <w:tc>
          <w:tcPr>
            <w:tcW w:w="40" w:type="dxa"/>
            <w:vAlign w:val="bottom"/>
          </w:tcPr>
          <w:p>
            <w:pPr>
              <w:spacing w:after="0"/>
              <w:rPr>
                <w:sz w:val="14"/>
                <w:szCs w:val="14"/>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2,183,542</w:t>
            </w:r>
          </w:p>
        </w:tc>
        <w:tc>
          <w:tcPr>
            <w:tcW w:w="60" w:type="dxa"/>
            <w:vAlign w:val="bottom"/>
          </w:tcPr>
          <w:p>
            <w:pPr>
              <w:spacing w:after="0"/>
              <w:rPr>
                <w:sz w:val="14"/>
                <w:szCs w:val="14"/>
                <w:color w:val="auto"/>
              </w:rPr>
            </w:pP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2,120,218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2,051,867</w:t>
            </w:r>
          </w:p>
        </w:tc>
        <w:tc>
          <w:tcPr>
            <w:tcW w:w="40" w:type="dxa"/>
            <w:vAlign w:val="bottom"/>
          </w:tcPr>
          <w:p>
            <w:pPr>
              <w:spacing w:after="0"/>
              <w:rPr>
                <w:sz w:val="14"/>
                <w:szCs w:val="14"/>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2,026,791</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Operating return on average assets </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return on average equity:</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Operating 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4,532</w:t>
            </w:r>
          </w:p>
        </w:tc>
        <w:tc>
          <w:tcPr>
            <w:tcW w:w="40" w:type="dxa"/>
            <w:vAlign w:val="bottom"/>
          </w:tcPr>
          <w:p>
            <w:pPr>
              <w:spacing w:after="0"/>
              <w:rPr>
                <w:sz w:val="13"/>
                <w:szCs w:val="13"/>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4,196</w:t>
            </w:r>
          </w:p>
        </w:tc>
        <w:tc>
          <w:tcPr>
            <w:tcW w:w="60" w:type="dxa"/>
            <w:vAlign w:val="bottom"/>
          </w:tcPr>
          <w:p>
            <w:pPr>
              <w:spacing w:after="0"/>
              <w:rPr>
                <w:sz w:val="13"/>
                <w:szCs w:val="13"/>
                <w:color w:val="auto"/>
              </w:rPr>
            </w:pP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5,825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5,919</w:t>
            </w:r>
          </w:p>
        </w:tc>
        <w:tc>
          <w:tcPr>
            <w:tcW w:w="40" w:type="dxa"/>
            <w:vAlign w:val="bottom"/>
          </w:tcPr>
          <w:p>
            <w:pPr>
              <w:spacing w:after="0"/>
              <w:rPr>
                <w:sz w:val="13"/>
                <w:szCs w:val="13"/>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5,975</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equity</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184,901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184,238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183,371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177,556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185,288</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Arial" w:cs="Arial" w:eastAsia="Arial" w:hAnsi="Arial"/>
                <w:sz w:val="11"/>
                <w:szCs w:val="11"/>
                <w:color w:val="auto"/>
              </w:rPr>
              <w:t xml:space="preserve">Operating return on average equity </w:t>
            </w:r>
            <w:r>
              <w:rPr>
                <w:rFonts w:ascii="Arial" w:cs="Arial" w:eastAsia="Arial" w:hAnsi="Arial"/>
                <w:sz w:val="14"/>
                <w:szCs w:val="14"/>
                <w:color w:val="auto"/>
                <w:vertAlign w:val="superscript"/>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9.72%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9.13%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12.88%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13.23%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12.79%</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Revenue:</w:t>
            </w:r>
            <w:r>
              <w:rPr>
                <w:rFonts w:ascii="Arial" w:cs="Arial" w:eastAsia="Arial" w:hAnsi="Arial"/>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interest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14,022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14,173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15,997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16,866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16,774</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200"/>
              <w:spacing w:after="0"/>
              <w:rPr>
                <w:sz w:val="20"/>
                <w:szCs w:val="20"/>
                <w:color w:val="auto"/>
              </w:rPr>
            </w:pPr>
            <w:r>
              <w:rPr>
                <w:rFonts w:ascii="Arial" w:cs="Arial" w:eastAsia="Arial" w:hAnsi="Arial"/>
                <w:sz w:val="11"/>
                <w:szCs w:val="11"/>
                <w:color w:val="auto"/>
              </w:rPr>
              <w:t>Plus: Non-interest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2,161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1,846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2,070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1,789</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(558)</w:t>
            </w:r>
          </w:p>
        </w:tc>
      </w:tr>
      <w:tr>
        <w:trPr>
          <w:trHeight w:val="163"/>
        </w:trPr>
        <w:tc>
          <w:tcPr>
            <w:tcW w:w="3200" w:type="dxa"/>
            <w:vAlign w:val="bottom"/>
          </w:tcPr>
          <w:p>
            <w:pPr>
              <w:ind w:left="200"/>
              <w:spacing w:after="0"/>
              <w:rPr>
                <w:sz w:val="20"/>
                <w:szCs w:val="20"/>
                <w:color w:val="auto"/>
              </w:rPr>
            </w:pPr>
            <w:r>
              <w:rPr>
                <w:rFonts w:ascii="Arial" w:cs="Arial" w:eastAsia="Arial" w:hAnsi="Arial"/>
                <w:sz w:val="11"/>
                <w:szCs w:val="11"/>
                <w:color w:val="auto"/>
              </w:rPr>
              <w:t>Operating revenue</w:t>
            </w:r>
          </w:p>
        </w:tc>
        <w:tc>
          <w:tcPr>
            <w:tcW w:w="16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17,138</w:t>
            </w:r>
          </w:p>
        </w:tc>
        <w:tc>
          <w:tcPr>
            <w:tcW w:w="40" w:type="dxa"/>
            <w:vAlign w:val="bottom"/>
          </w:tcPr>
          <w:p>
            <w:pPr>
              <w:spacing w:after="0"/>
              <w:rPr>
                <w:sz w:val="14"/>
                <w:szCs w:val="14"/>
                <w:color w:val="auto"/>
              </w:rPr>
            </w:pPr>
          </w:p>
        </w:tc>
        <w:tc>
          <w:tcPr>
            <w:tcW w:w="18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16,019</w:t>
            </w:r>
          </w:p>
        </w:tc>
        <w:tc>
          <w:tcPr>
            <w:tcW w:w="60" w:type="dxa"/>
            <w:vAlign w:val="bottom"/>
          </w:tcPr>
          <w:p>
            <w:pPr>
              <w:spacing w:after="0"/>
              <w:rPr>
                <w:sz w:val="14"/>
                <w:szCs w:val="14"/>
                <w:color w:val="auto"/>
              </w:rPr>
            </w:pPr>
          </w:p>
        </w:tc>
        <w:tc>
          <w:tcPr>
            <w:tcW w:w="16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18,088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18,732</w:t>
            </w:r>
          </w:p>
        </w:tc>
        <w:tc>
          <w:tcPr>
            <w:tcW w:w="40" w:type="dxa"/>
            <w:vAlign w:val="bottom"/>
          </w:tcPr>
          <w:p>
            <w:pPr>
              <w:spacing w:after="0"/>
              <w:rPr>
                <w:sz w:val="14"/>
                <w:szCs w:val="14"/>
                <w:color w:val="auto"/>
              </w:rPr>
            </w:pPr>
          </w:p>
        </w:tc>
        <w:tc>
          <w:tcPr>
            <w:tcW w:w="18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19,121</w:t>
            </w:r>
          </w:p>
        </w:tc>
        <w:tc>
          <w:tcPr>
            <w:tcW w:w="20" w:type="dxa"/>
            <w:vAlign w:val="bottom"/>
          </w:tcPr>
          <w:p>
            <w:pPr>
              <w:spacing w:after="0"/>
              <w:rPr>
                <w:sz w:val="14"/>
                <w:szCs w:val="14"/>
                <w:color w:val="auto"/>
              </w:rPr>
            </w:pPr>
          </w:p>
        </w:tc>
      </w:tr>
      <w:tr>
        <w:trPr>
          <w:trHeight w:val="171"/>
        </w:trPr>
        <w:tc>
          <w:tcPr>
            <w:tcW w:w="3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Efficiency Ratio:</w:t>
            </w:r>
            <w:r>
              <w:rPr>
                <w:rFonts w:ascii="Arial" w:cs="Arial" w:eastAsia="Arial" w:hAnsi="Arial"/>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non-interest expense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10,461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10,452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10,132</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200"/>
              <w:spacing w:after="0"/>
              <w:rPr>
                <w:sz w:val="20"/>
                <w:szCs w:val="20"/>
                <w:color w:val="auto"/>
              </w:rPr>
            </w:pPr>
            <w:r>
              <w:rPr>
                <w:rFonts w:ascii="Arial" w:cs="Arial" w:eastAsia="Arial" w:hAnsi="Arial"/>
                <w:sz w:val="11"/>
                <w:szCs w:val="11"/>
                <w:color w:val="auto"/>
              </w:rPr>
              <w:t>Operating revenue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17,138</w:t>
            </w:r>
          </w:p>
        </w:tc>
        <w:tc>
          <w:tcPr>
            <w:tcW w:w="40" w:type="dxa"/>
            <w:vAlign w:val="bottom"/>
          </w:tcPr>
          <w:p>
            <w:pPr>
              <w:spacing w:after="0"/>
              <w:rPr>
                <w:sz w:val="14"/>
                <w:szCs w:val="14"/>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16,019</w:t>
            </w:r>
          </w:p>
        </w:tc>
        <w:tc>
          <w:tcPr>
            <w:tcW w:w="60" w:type="dxa"/>
            <w:vAlign w:val="bottom"/>
          </w:tcPr>
          <w:p>
            <w:pPr>
              <w:spacing w:after="0"/>
              <w:rPr>
                <w:sz w:val="14"/>
                <w:szCs w:val="14"/>
                <w:color w:val="auto"/>
              </w:rPr>
            </w:pP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18,088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18,732</w:t>
            </w:r>
          </w:p>
        </w:tc>
        <w:tc>
          <w:tcPr>
            <w:tcW w:w="40" w:type="dxa"/>
            <w:vAlign w:val="bottom"/>
          </w:tcPr>
          <w:p>
            <w:pPr>
              <w:spacing w:after="0"/>
              <w:rPr>
                <w:sz w:val="14"/>
                <w:szCs w:val="14"/>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19,121</w:t>
            </w:r>
          </w:p>
        </w:tc>
        <w:tc>
          <w:tcPr>
            <w:tcW w:w="20" w:type="dxa"/>
            <w:vAlign w:val="bottom"/>
          </w:tcPr>
          <w:p>
            <w:pPr>
              <w:spacing w:after="0"/>
              <w:rPr>
                <w:sz w:val="14"/>
                <w:szCs w:val="14"/>
                <w:color w:val="auto"/>
              </w:rPr>
            </w:pPr>
          </w:p>
        </w:tc>
      </w:tr>
      <w:tr>
        <w:trPr>
          <w:trHeight w:val="160"/>
        </w:trPr>
        <w:tc>
          <w:tcPr>
            <w:tcW w:w="32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1"/>
                <w:szCs w:val="11"/>
                <w:color w:val="auto"/>
              </w:rPr>
              <w:t>Operating efficiency ratio</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61.04%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65.25%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56.26%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53.46%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52.99%</w:t>
            </w:r>
          </w:p>
        </w:tc>
        <w:tc>
          <w:tcPr>
            <w:tcW w:w="20" w:type="dxa"/>
            <w:vAlign w:val="bottom"/>
            <w:shd w:val="clear" w:color="auto" w:fill="CCEEFF"/>
          </w:tcPr>
          <w:p>
            <w:pPr>
              <w:spacing w:after="0"/>
              <w:rPr>
                <w:sz w:val="13"/>
                <w:szCs w:val="13"/>
                <w:color w:val="auto"/>
              </w:rPr>
            </w:pPr>
          </w:p>
        </w:tc>
      </w:tr>
    </w:tbl>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key indicators of the ongoing earnings power of the Company.</w:t>
      </w:r>
    </w:p>
    <w:p>
      <w:pPr>
        <w:spacing w:after="0" w:line="39" w:lineRule="exact"/>
        <w:rPr>
          <w:rFonts w:ascii="Arial" w:cs="Arial" w:eastAsia="Arial" w:hAnsi="Arial"/>
          <w:sz w:val="11"/>
          <w:szCs w:val="11"/>
          <w:color w:val="auto"/>
        </w:rPr>
      </w:pPr>
    </w:p>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53" w:name="page54"/>
    <w:bookmarkEnd w:id="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ind w:left="3560"/>
        <w:spacing w:after="0"/>
        <w:rPr>
          <w:sz w:val="20"/>
          <w:szCs w:val="20"/>
          <w:color w:val="auto"/>
        </w:rPr>
      </w:pPr>
      <w:r>
        <w:rPr>
          <w:rFonts w:ascii="Arial" w:cs="Arial" w:eastAsia="Arial" w:hAnsi="Arial"/>
          <w:sz w:val="11"/>
          <w:szCs w:val="11"/>
          <w:b w:val="1"/>
          <w:bCs w:val="1"/>
          <w:color w:val="auto"/>
        </w:rPr>
        <w:t>USCB FINANCIAL HOLDINGS, INC.</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11"/>
          <w:szCs w:val="11"/>
          <w:b w:val="1"/>
          <w:bCs w:val="1"/>
          <w:color w:val="auto"/>
        </w:rPr>
        <w:t>NON-GAAP FINANCIAL MEASURES (UNAUDITED)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 except per share data)</w:t>
      </w:r>
    </w:p>
    <w:p>
      <w:pPr>
        <w:spacing w:after="0" w:line="180" w:lineRule="exact"/>
        <w:rPr>
          <w:sz w:val="20"/>
          <w:szCs w:val="20"/>
          <w:color w:val="auto"/>
        </w:rPr>
      </w:pPr>
    </w:p>
    <w:p>
      <w:pPr>
        <w:ind w:left="5160"/>
        <w:spacing w:after="0"/>
        <w:rPr>
          <w:sz w:val="20"/>
          <w:szCs w:val="20"/>
          <w:color w:val="auto"/>
        </w:rPr>
      </w:pPr>
      <w:r>
        <w:rPr>
          <w:rFonts w:ascii="Arial" w:cs="Arial" w:eastAsia="Arial" w:hAnsi="Arial"/>
          <w:sz w:val="11"/>
          <w:szCs w:val="11"/>
          <w:b w:val="1"/>
          <w:bCs w:val="1"/>
          <w:color w:val="auto"/>
        </w:rPr>
        <w:t>As of or For the Three Months Ended</w:t>
      </w:r>
    </w:p>
    <w:p>
      <w:pPr>
        <w:spacing w:after="0" w:line="33" w:lineRule="exact"/>
        <w:rPr>
          <w:sz w:val="20"/>
          <w:szCs w:val="20"/>
          <w:color w:val="auto"/>
        </w:rPr>
      </w:pPr>
    </w:p>
    <w:tbl>
      <w:tblPr>
        <w:tblLayout w:type="fixed"/>
        <w:tblInd w:w="660" w:type="dxa"/>
        <w:tblCellMar>
          <w:top w:w="0" w:type="dxa"/>
          <w:left w:w="0" w:type="dxa"/>
          <w:bottom w:w="0" w:type="dxa"/>
          <w:right w:w="0" w:type="dxa"/>
        </w:tblCellMar>
      </w:tblPr>
      <w:tr>
        <w:trPr>
          <w:trHeight w:val="129"/>
        </w:trPr>
        <w:tc>
          <w:tcPr>
            <w:tcW w:w="200" w:type="dxa"/>
            <w:vAlign w:val="bottom"/>
            <w:tcBorders>
              <w:bottom w:val="single" w:sz="8" w:color="CCEEFF"/>
            </w:tcBorders>
          </w:tcPr>
          <w:p>
            <w:pPr>
              <w:spacing w:after="0"/>
              <w:rPr>
                <w:sz w:val="11"/>
                <w:szCs w:val="11"/>
                <w:color w:val="auto"/>
              </w:rPr>
            </w:pPr>
          </w:p>
        </w:tc>
        <w:tc>
          <w:tcPr>
            <w:tcW w:w="31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9/30/2023</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6/30/2023</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3/31/2023</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12/31/2022</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320" w:type="dxa"/>
            <w:vAlign w:val="bottom"/>
            <w:gridSpan w:val="2"/>
            <w:shd w:val="clear" w:color="auto" w:fill="CCEEFF"/>
          </w:tcPr>
          <w:p>
            <w:pPr>
              <w:spacing w:after="0" w:line="151" w:lineRule="exact"/>
              <w:rPr>
                <w:sz w:val="20"/>
                <w:szCs w:val="20"/>
                <w:color w:val="auto"/>
              </w:rPr>
            </w:pPr>
            <w:r>
              <w:rPr>
                <w:rFonts w:ascii="Arial" w:cs="Arial" w:eastAsia="Arial" w:hAnsi="Arial"/>
                <w:sz w:val="11"/>
                <w:szCs w:val="11"/>
                <w:b w:val="1"/>
                <w:bCs w:val="1"/>
                <w:color w:val="auto"/>
              </w:rPr>
              <w:t>Tangible book value per common share (at period-end):</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20" w:type="dxa"/>
            <w:vAlign w:val="bottom"/>
            <w:gridSpan w:val="2"/>
          </w:tcPr>
          <w:p>
            <w:pPr>
              <w:ind w:left="200"/>
              <w:spacing w:after="0"/>
              <w:rPr>
                <w:sz w:val="20"/>
                <w:szCs w:val="20"/>
                <w:color w:val="auto"/>
              </w:rPr>
            </w:pPr>
            <w:r>
              <w:rPr>
                <w:rFonts w:ascii="Arial" w:cs="Arial" w:eastAsia="Arial" w:hAnsi="Arial"/>
                <w:sz w:val="11"/>
                <w:szCs w:val="11"/>
                <w:color w:val="auto"/>
              </w:rPr>
              <w:t>Total stockholders' equity</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182,884</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183,685</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183,858</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182,428</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177,417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1"/>
                <w:szCs w:val="11"/>
                <w:color w:val="auto"/>
              </w:rPr>
              <w:t>Less: Intangible assets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3120" w:type="dxa"/>
            <w:vAlign w:val="bottom"/>
          </w:tcPr>
          <w:p>
            <w:pPr>
              <w:ind w:left="100"/>
              <w:spacing w:after="0"/>
              <w:rPr>
                <w:sz w:val="20"/>
                <w:szCs w:val="20"/>
                <w:color w:val="auto"/>
              </w:rPr>
            </w:pPr>
            <w:r>
              <w:rPr>
                <w:rFonts w:ascii="Arial" w:cs="Arial" w:eastAsia="Arial" w:hAnsi="Arial"/>
                <w:sz w:val="11"/>
                <w:szCs w:val="11"/>
                <w:color w:val="auto"/>
              </w:rPr>
              <w:t>Tangible stockholders' equity</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182,884</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183,685</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183,858</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182,428</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177,417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Total shares issued and outstanding (at period-end):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Arial" w:cs="Arial" w:eastAsia="Arial" w:hAnsi="Arial"/>
                <w:sz w:val="11"/>
                <w:szCs w:val="11"/>
                <w:color w:val="auto"/>
              </w:rPr>
              <w:t>Total common shares issued and outstanding</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19,544,777</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19,622,380</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19,622,380</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0" w:type="dxa"/>
            <w:vAlign w:val="bottom"/>
            <w:tcBorders>
              <w:top w:val="single" w:sz="8" w:color="CCEEFF"/>
            </w:tcBorders>
            <w:shd w:val="clear" w:color="auto" w:fill="CCEEFF"/>
          </w:tcPr>
          <w:p>
            <w:pPr>
              <w:spacing w:after="0"/>
              <w:rPr>
                <w:sz w:val="12"/>
                <w:szCs w:val="12"/>
                <w:color w:val="auto"/>
              </w:rPr>
            </w:pPr>
          </w:p>
        </w:tc>
        <w:tc>
          <w:tcPr>
            <w:tcW w:w="31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1"/>
                <w:szCs w:val="11"/>
                <w:color w:val="auto"/>
              </w:rPr>
              <w:t>Tangible book value per common share</w:t>
            </w:r>
            <w:r>
              <w:rPr>
                <w:rFonts w:ascii="Arial" w:cs="Arial" w:eastAsia="Arial" w:hAnsi="Arial"/>
                <w:sz w:val="14"/>
                <w:szCs w:val="14"/>
                <w:color w:val="auto"/>
                <w:vertAlign w:val="superscript"/>
              </w:rPr>
              <w:t>(2)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9.36</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9.40</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9.37</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9.12</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8.87</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Operating diluted net income per common share:</w:t>
            </w:r>
            <w:r>
              <w:rPr>
                <w:rFonts w:ascii="Arial" w:cs="Arial" w:eastAsia="Arial" w:hAnsi="Arial"/>
                <w:sz w:val="14"/>
                <w:szCs w:val="14"/>
                <w:color w:val="auto"/>
                <w:vertAlign w:val="superscript"/>
              </w:rPr>
              <w:t>(1)</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32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Operating net income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4,532</w:t>
            </w: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5,825</w:t>
            </w: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5,919</w:t>
            </w: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0" w:type="dxa"/>
            <w:vAlign w:val="bottom"/>
            <w:tcBorders>
              <w:bottom w:val="single" w:sz="8" w:color="CCEEFF"/>
            </w:tcBorders>
          </w:tcPr>
          <w:p>
            <w:pPr>
              <w:spacing w:after="0"/>
              <w:rPr>
                <w:sz w:val="13"/>
                <w:szCs w:val="13"/>
                <w:color w:val="auto"/>
              </w:rPr>
            </w:pPr>
          </w:p>
        </w:tc>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weighted average diluted shares of common stock</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19,611,897</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19,639,682</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19,940,606</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20,172,438</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20,148,208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Operating diluted net income per common share: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0.23</w:t>
            </w:r>
          </w:p>
        </w:tc>
        <w:tc>
          <w:tcPr>
            <w:tcW w:w="4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0.29</w:t>
            </w:r>
          </w:p>
        </w:tc>
        <w:tc>
          <w:tcPr>
            <w:tcW w:w="4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0.29</w:t>
            </w:r>
          </w:p>
        </w:tc>
        <w:tc>
          <w:tcPr>
            <w:tcW w:w="4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3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 xml:space="preserve">Tangible Common Equity/Tangible Assets </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3120" w:type="dxa"/>
            <w:vAlign w:val="bottom"/>
          </w:tcPr>
          <w:p>
            <w:pPr>
              <w:ind w:left="280"/>
              <w:spacing w:after="0"/>
              <w:rPr>
                <w:sz w:val="20"/>
                <w:szCs w:val="20"/>
                <w:color w:val="auto"/>
              </w:rPr>
            </w:pPr>
            <w:r>
              <w:rPr>
                <w:rFonts w:ascii="Arial" w:cs="Arial" w:eastAsia="Arial" w:hAnsi="Arial"/>
                <w:sz w:val="11"/>
                <w:szCs w:val="11"/>
                <w:color w:val="auto"/>
              </w:rPr>
              <w:t>Tangible stockholders' equity</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182,884</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183,685</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183,858</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182,428</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177,417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Tangible assets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2,244,602</w:t>
            </w:r>
          </w:p>
        </w:tc>
        <w:tc>
          <w:tcPr>
            <w:tcW w:w="4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2,225,914</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2,163,821</w:t>
            </w:r>
          </w:p>
        </w:tc>
        <w:tc>
          <w:tcPr>
            <w:tcW w:w="4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4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2,037,453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gridSpan w:val="2"/>
          </w:tcPr>
          <w:p>
            <w:pPr>
              <w:ind w:left="100"/>
              <w:spacing w:after="0"/>
              <w:rPr>
                <w:sz w:val="20"/>
                <w:szCs w:val="20"/>
                <w:color w:val="auto"/>
              </w:rPr>
            </w:pPr>
            <w:r>
              <w:rPr>
                <w:rFonts w:ascii="Arial" w:cs="Arial" w:eastAsia="Arial" w:hAnsi="Arial"/>
                <w:sz w:val="11"/>
                <w:szCs w:val="11"/>
                <w:color w:val="auto"/>
              </w:rPr>
              <w:t>Tangible Common Equity/Tangible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8.15%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8.50%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8.75%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0" w:type="dxa"/>
            <w:vAlign w:val="bottom"/>
            <w:tcBorders>
              <w:bottom w:val="single" w:sz="8" w:color="auto"/>
            </w:tcBorders>
            <w:shd w:val="clear" w:color="auto" w:fill="CCEEFF"/>
          </w:tcPr>
          <w:p>
            <w:pPr>
              <w:spacing w:after="0"/>
              <w:rPr>
                <w:sz w:val="15"/>
                <w:szCs w:val="15"/>
                <w:color w:val="auto"/>
              </w:rPr>
            </w:pPr>
          </w:p>
        </w:tc>
        <w:tc>
          <w:tcPr>
            <w:tcW w:w="31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860" w:hanging="197"/>
        <w:spacing w:after="0"/>
        <w:tabs>
          <w:tab w:leader="none" w:pos="8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key indicators of the ongoing earnings power of the Company.</w:t>
      </w:r>
    </w:p>
    <w:p>
      <w:pPr>
        <w:spacing w:after="0" w:line="14" w:lineRule="exact"/>
        <w:rPr>
          <w:rFonts w:ascii="Arial" w:cs="Arial" w:eastAsia="Arial" w:hAnsi="Arial"/>
          <w:sz w:val="11"/>
          <w:szCs w:val="11"/>
          <w:color w:val="auto"/>
        </w:rPr>
      </w:pPr>
    </w:p>
    <w:p>
      <w:pPr>
        <w:ind w:left="860" w:hanging="197"/>
        <w:spacing w:after="0"/>
        <w:tabs>
          <w:tab w:leader="none" w:pos="8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Excludes the dilutive effect, if any, of shares of common stock issuable upon exercise of outstanding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54" w:name="page55"/>
    <w:bookmarkEnd w:id="5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3.</w:t>
        <w:tab/>
        <w:t>Quantitative and Qualitative Disclosures About Market Risk</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7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Under the supervision and with the participation of our management, including our President and Chief Executive Officer and our Chief Financial Officer, we evaluated the effectiveness of the design and operation of the Company’s disclosure controls and procedures (as defined in Rules 13a-15(e) and 15d-15(e) under the Exchange Act) as of September 30, 2023. Based on that evaluation, management believes that the Company’s disclosure controls and procedures were effective to collect, process, and disclose the information required to be disclosed in the reports filed or submitted under the Exchange Act within the required time periods as of the end of the period covered by this Form 10-Q.</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67"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the period covered by this Form 10-Q that has materially affected, or is reasonably likely to materially affect, our internal control over financial reporting.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6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55" w:name="page56"/>
    <w:bookmarkEnd w:id="5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5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1.</w:t>
        <w:tab/>
        <w:t>Legal Proceedings</w:t>
      </w:r>
    </w:p>
    <w:p>
      <w:pPr>
        <w:spacing w:after="0" w:line="17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As previously disclosed, on July 13, 2023, three individuals who were shareholders of the Bank prior to its reorganization into the holding company form of organization (the “Plaintiffs”) filed a lawsuit against six persons, all of whom were directors of the Bank at the relevant time (the “Defendants”), in the Circuit Court, Eleventh Judicial Circuit for Miami-Dade County (the “Court”) (Benes et al. v. de la Aguilera et al.) alleging the Defendants (i) caused the Bank, as directors thereof, to engage in ultra vires conduct by devising and approving the exchange transaction effected in July 2021 pursuant to which the Bank’s then outstanding Class C and Class D preferred stock was exchanged (the “Exchange Transaction”), which action the Plaintiffs allege was not permitted by the Bank’s Articles of Incorporation, and (ii) breached their fiduciary duty as directors of the Bank by approving and engaging in the Exchange Transaction. The Plaintiffs seek the Court to certify the action as a class action and to award damages in an amount to be proven at trial. Plaintiffs seek damages exceeding $750,000 plus attorney’s fees and costs as well as such other relief as the Court may determine. The Company believes that the allegations in the lawsuit are legally and factually without merit, and it intends to vigorously defend against the allegations in the lawsuit, pursue any potential counterclaims against the plaintiffs as it deems appropriate, and seek coverage from its insurance carriers. However, there can be no assurance that this litigation will be resolved favorably. Furthermore, there is also no assurance that we will be able to secure coverage from our insurance carriers for any expenses incurred by us in connection with this litigation. If the plaintiff shareholders are successful, the Court could award substantial compensatory damages.</w:t>
      </w:r>
    </w:p>
    <w:p>
      <w:pPr>
        <w:spacing w:after="0" w:line="155" w:lineRule="exact"/>
        <w:rPr>
          <w:sz w:val="20"/>
          <w:szCs w:val="20"/>
          <w:color w:val="auto"/>
        </w:rPr>
      </w:pPr>
    </w:p>
    <w:p>
      <w:pPr>
        <w:jc w:val="both"/>
        <w:ind w:left="660" w:right="699" w:firstLine="256"/>
        <w:spacing w:after="0" w:line="249" w:lineRule="auto"/>
        <w:rPr>
          <w:sz w:val="20"/>
          <w:szCs w:val="20"/>
          <w:color w:val="auto"/>
        </w:rPr>
      </w:pPr>
      <w:r>
        <w:rPr>
          <w:rFonts w:ascii="Arial" w:cs="Arial" w:eastAsia="Arial" w:hAnsi="Arial"/>
          <w:sz w:val="14"/>
          <w:szCs w:val="14"/>
          <w:color w:val="auto"/>
        </w:rPr>
        <w:t>In addition to the foregoing,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46"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At this time, in the opinion of management, the likelihood is remote that the impact of such proceedings, either individually or in the aggregate, would have a material adverse effect on our consolidated results of operations, financial condition or cash flows. However, one or more unfavorable outcomes in any claim or litigation against us, including the aforementioned litigation regarding the Exchange Transaction, could have a material adverse effect on the period in which such claims or litigation are resolved. In addition, regardless of their merits or their ultimate outcomes, such matters are costly, divert management’s attention and may materially adversely affect our reputation, even if resolved in our favor.</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78"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For detailed information about certain risk factors that could materially affect our business, financial condition, or future results, see “Part I, Item 1A – Risk Factors” of the 2022 Form 10-K/A and see “Part II, Item 1A – Risk Factors” of the March 31, 2023 Form 10-Q.</w:t>
      </w:r>
    </w:p>
    <w:p>
      <w:pPr>
        <w:spacing w:after="0" w:line="12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2.</w:t>
        <w:tab/>
        <w:t>Unregistered Sales of Equity Securities and Use of Proceeds</w:t>
      </w:r>
    </w:p>
    <w:p>
      <w:pPr>
        <w:spacing w:after="0" w:line="178" w:lineRule="exact"/>
        <w:rPr>
          <w:sz w:val="20"/>
          <w:szCs w:val="20"/>
          <w:color w:val="auto"/>
        </w:rPr>
      </w:pPr>
    </w:p>
    <w:p>
      <w:pPr>
        <w:ind w:left="1140" w:hanging="221"/>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None.</w:t>
      </w:r>
    </w:p>
    <w:p>
      <w:pPr>
        <w:spacing w:after="0" w:line="169" w:lineRule="exact"/>
        <w:rPr>
          <w:rFonts w:ascii="Arial" w:cs="Arial" w:eastAsia="Arial" w:hAnsi="Arial"/>
          <w:sz w:val="14"/>
          <w:szCs w:val="14"/>
          <w:color w:val="auto"/>
        </w:rPr>
      </w:pPr>
    </w:p>
    <w:p>
      <w:pPr>
        <w:ind w:left="1140" w:hanging="221"/>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59" w:lineRule="exact"/>
        <w:rPr>
          <w:rFonts w:ascii="Arial" w:cs="Arial" w:eastAsia="Arial" w:hAnsi="Arial"/>
          <w:sz w:val="14"/>
          <w:szCs w:val="14"/>
          <w:color w:val="auto"/>
        </w:rPr>
      </w:pPr>
    </w:p>
    <w:p>
      <w:pPr>
        <w:ind w:left="1120" w:hanging="201"/>
        <w:spacing w:after="0"/>
        <w:tabs>
          <w:tab w:leader="none" w:pos="1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Company’s repurchases of equity securities for the quarter ended September 30, 2023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56" w:name="page57"/>
    <w:bookmarkEnd w:id="5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Maximum Number</w:t>
            </w:r>
          </w:p>
        </w:tc>
      </w:tr>
      <w:tr>
        <w:trPr>
          <w:trHeight w:val="149"/>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56"/>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of Shares that May</w:t>
            </w:r>
          </w:p>
        </w:tc>
      </w:tr>
      <w:tr>
        <w:trPr>
          <w:trHeight w:val="149"/>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8"/>
              </w:rPr>
              <w:t>Total Number of Shares Purchased</w:t>
            </w:r>
          </w:p>
        </w:tc>
        <w:tc>
          <w:tcPr>
            <w:tcW w:w="40" w:type="dxa"/>
            <w:vAlign w:val="bottom"/>
          </w:tcPr>
          <w:p>
            <w:pPr>
              <w:spacing w:after="0"/>
              <w:rPr>
                <w:sz w:val="12"/>
                <w:szCs w:val="12"/>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Yet Be Purchased</w:t>
            </w:r>
          </w:p>
        </w:tc>
      </w:tr>
      <w:tr>
        <w:trPr>
          <w:trHeight w:val="149"/>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56"/>
              <w:spacing w:after="0"/>
              <w:rPr>
                <w:sz w:val="20"/>
                <w:szCs w:val="20"/>
                <w:color w:val="auto"/>
              </w:rPr>
            </w:pPr>
            <w:r>
              <w:rPr>
                <w:rFonts w:ascii="Arial" w:cs="Arial" w:eastAsia="Arial" w:hAnsi="Arial"/>
                <w:sz w:val="13"/>
                <w:szCs w:val="13"/>
                <w:b w:val="1"/>
                <w:bCs w:val="1"/>
                <w:color w:val="auto"/>
                <w:w w:val="96"/>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b w:val="1"/>
                <w:bCs w:val="1"/>
                <w:color w:val="auto"/>
                <w:w w:val="98"/>
              </w:rPr>
              <w:t>Price Paid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9"/>
              </w:rPr>
              <w:t>as Part of Publicly Announced Plans</w:t>
            </w:r>
          </w:p>
        </w:tc>
        <w:tc>
          <w:tcPr>
            <w:tcW w:w="40" w:type="dxa"/>
            <w:vAlign w:val="bottom"/>
          </w:tcPr>
          <w:p>
            <w:pPr>
              <w:spacing w:after="0"/>
              <w:rPr>
                <w:sz w:val="12"/>
                <w:szCs w:val="12"/>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Under Plans or</w:t>
            </w:r>
          </w:p>
        </w:tc>
      </w:tr>
      <w:tr>
        <w:trPr>
          <w:trHeight w:val="153"/>
        </w:trPr>
        <w:tc>
          <w:tcPr>
            <w:tcW w:w="24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Purchased</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Per Share</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7"/>
              </w:rPr>
              <w:t>or Programs (1)</w:t>
            </w:r>
          </w:p>
        </w:tc>
        <w:tc>
          <w:tcPr>
            <w:tcW w:w="4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Programs (1)</w:t>
            </w:r>
          </w:p>
        </w:tc>
        <w:tc>
          <w:tcPr>
            <w:tcW w:w="20" w:type="dxa"/>
            <w:vAlign w:val="bottom"/>
          </w:tcPr>
          <w:p>
            <w:pPr>
              <w:spacing w:after="0"/>
              <w:rPr>
                <w:sz w:val="13"/>
                <w:szCs w:val="13"/>
                <w:color w:val="auto"/>
              </w:rPr>
            </w:pPr>
          </w:p>
        </w:tc>
      </w:tr>
      <w:tr>
        <w:trPr>
          <w:trHeight w:val="151"/>
        </w:trPr>
        <w:tc>
          <w:tcPr>
            <w:tcW w:w="24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Period</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460" w:type="dxa"/>
            <w:vAlign w:val="bottom"/>
            <w:gridSpan w:val="2"/>
          </w:tcPr>
          <w:p>
            <w:pPr>
              <w:ind w:left="100"/>
              <w:spacing w:after="0"/>
              <w:rPr>
                <w:sz w:val="20"/>
                <w:szCs w:val="20"/>
                <w:color w:val="auto"/>
              </w:rPr>
            </w:pPr>
            <w:r>
              <w:rPr>
                <w:rFonts w:ascii="Arial" w:cs="Arial" w:eastAsia="Arial" w:hAnsi="Arial"/>
                <w:sz w:val="13"/>
                <w:szCs w:val="13"/>
                <w:color w:val="auto"/>
              </w:rPr>
              <w:t>July 1-31, 2023</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172,397</w:t>
            </w:r>
          </w:p>
        </w:tc>
        <w:tc>
          <w:tcPr>
            <w:tcW w:w="20" w:type="dxa"/>
            <w:vAlign w:val="bottom"/>
          </w:tcPr>
          <w:p>
            <w:pPr>
              <w:spacing w:after="0"/>
              <w:rPr>
                <w:sz w:val="13"/>
                <w:szCs w:val="13"/>
                <w:color w:val="auto"/>
              </w:rPr>
            </w:pPr>
          </w:p>
        </w:tc>
      </w:tr>
      <w:tr>
        <w:trPr>
          <w:trHeight w:val="160"/>
        </w:trPr>
        <w:tc>
          <w:tcPr>
            <w:tcW w:w="2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August 1-30, 2023</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172,397</w:t>
            </w:r>
          </w:p>
        </w:tc>
        <w:tc>
          <w:tcPr>
            <w:tcW w:w="20" w:type="dxa"/>
            <w:vAlign w:val="bottom"/>
            <w:shd w:val="clear" w:color="auto" w:fill="CCEEFF"/>
          </w:tcPr>
          <w:p>
            <w:pPr>
              <w:spacing w:after="0"/>
              <w:rPr>
                <w:sz w:val="13"/>
                <w:szCs w:val="13"/>
                <w:color w:val="auto"/>
              </w:rPr>
            </w:pPr>
          </w:p>
        </w:tc>
      </w:tr>
      <w:tr>
        <w:trPr>
          <w:trHeight w:val="141"/>
        </w:trPr>
        <w:tc>
          <w:tcPr>
            <w:tcW w:w="2460" w:type="dxa"/>
            <w:vAlign w:val="bottom"/>
            <w:tcBorders>
              <w:bottom w:val="single" w:sz="8" w:color="CCEEFF"/>
            </w:tcBorders>
            <w:gridSpan w:val="2"/>
          </w:tcPr>
          <w:p>
            <w:pPr>
              <w:ind w:left="100"/>
              <w:spacing w:after="0" w:line="140" w:lineRule="exact"/>
              <w:rPr>
                <w:sz w:val="20"/>
                <w:szCs w:val="20"/>
                <w:color w:val="auto"/>
              </w:rPr>
            </w:pPr>
            <w:r>
              <w:rPr>
                <w:rFonts w:ascii="Arial" w:cs="Arial" w:eastAsia="Arial" w:hAnsi="Arial"/>
                <w:sz w:val="13"/>
                <w:szCs w:val="13"/>
                <w:color w:val="auto"/>
              </w:rPr>
              <w:t>September 1-30, 2023</w:t>
            </w: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8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gridSpan w:val="2"/>
          </w:tcPr>
          <w:p>
            <w:pPr>
              <w:jc w:val="right"/>
              <w:spacing w:after="0" w:line="140" w:lineRule="exact"/>
              <w:rPr>
                <w:sz w:val="20"/>
                <w:szCs w:val="20"/>
                <w:color w:val="auto"/>
              </w:rPr>
            </w:pPr>
            <w:r>
              <w:rPr>
                <w:rFonts w:ascii="Arial" w:cs="Arial" w:eastAsia="Arial" w:hAnsi="Arial"/>
                <w:sz w:val="13"/>
                <w:szCs w:val="13"/>
                <w:color w:val="auto"/>
              </w:rPr>
              <w:t>172,397</w:t>
            </w:r>
          </w:p>
        </w:tc>
        <w:tc>
          <w:tcPr>
            <w:tcW w:w="20" w:type="dxa"/>
            <w:vAlign w:val="bottom"/>
          </w:tcPr>
          <w:p>
            <w:pPr>
              <w:spacing w:after="0"/>
              <w:rPr>
                <w:sz w:val="12"/>
                <w:szCs w:val="12"/>
                <w:color w:val="auto"/>
              </w:rPr>
            </w:pPr>
          </w:p>
        </w:tc>
      </w:tr>
      <w:tr>
        <w:trPr>
          <w:trHeight w:val="149"/>
        </w:trPr>
        <w:tc>
          <w:tcPr>
            <w:tcW w:w="24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bl>
    <w:p>
      <w:pPr>
        <w:ind w:left="660" w:right="859" w:firstLine="3"/>
        <w:spacing w:after="0" w:line="269" w:lineRule="auto"/>
        <w:tabs>
          <w:tab w:leader="none" w:pos="831" w:val="left"/>
        </w:tabs>
        <w:numPr>
          <w:ilvl w:val="0"/>
          <w:numId w:val="25"/>
        </w:numPr>
        <w:rPr>
          <w:rFonts w:ascii="Arial" w:cs="Arial" w:eastAsia="Arial" w:hAnsi="Arial"/>
          <w:sz w:val="11"/>
          <w:szCs w:val="11"/>
          <w:color w:val="auto"/>
        </w:rPr>
      </w:pPr>
      <w:r>
        <w:rPr>
          <w:rFonts w:ascii="Arial" w:cs="Arial" w:eastAsia="Arial" w:hAnsi="Arial"/>
          <w:sz w:val="11"/>
          <w:szCs w:val="11"/>
          <w:color w:val="auto"/>
        </w:rPr>
        <w:t>On January 24, 2022 the Company announcedits initial stock repurchase program to repurchase up to 750,000 shares of Class A common stock, approximately 3.75% of the Company’s then outstandingshares of common stock.</w:t>
      </w:r>
    </w:p>
    <w:p>
      <w:pPr>
        <w:spacing w:after="0" w:line="18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3.</w:t>
        <w:tab/>
        <w:t>Defaults Upon Senior Securities</w:t>
      </w:r>
    </w:p>
    <w:p>
      <w:pPr>
        <w:spacing w:after="0" w:line="171" w:lineRule="exact"/>
        <w:rPr>
          <w:sz w:val="20"/>
          <w:szCs w:val="20"/>
          <w:color w:val="auto"/>
        </w:rPr>
      </w:pPr>
    </w:p>
    <w:p>
      <w:pPr>
        <w:ind w:left="1180" w:hanging="261"/>
        <w:spacing w:after="0"/>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7" w:lineRule="exact"/>
        <w:rPr>
          <w:rFonts w:ascii="Arial" w:cs="Arial" w:eastAsia="Arial" w:hAnsi="Arial"/>
          <w:sz w:val="13"/>
          <w:szCs w:val="13"/>
          <w:color w:val="auto"/>
        </w:rPr>
      </w:pPr>
    </w:p>
    <w:p>
      <w:pPr>
        <w:ind w:left="1180" w:hanging="261"/>
        <w:spacing w:after="0"/>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14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4.</w:t>
        <w:tab/>
        <w:t>Mine Safety Disclosures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5. Other Information</w:t>
      </w:r>
    </w:p>
    <w:p>
      <w:pPr>
        <w:spacing w:after="0" w:line="171" w:lineRule="exact"/>
        <w:rPr>
          <w:sz w:val="20"/>
          <w:szCs w:val="20"/>
          <w:color w:val="auto"/>
        </w:rPr>
      </w:pPr>
    </w:p>
    <w:p>
      <w:pPr>
        <w:ind w:left="1180" w:hanging="261"/>
        <w:spacing w:after="0"/>
        <w:tabs>
          <w:tab w:leader="none" w:pos="11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7" w:lineRule="exact"/>
        <w:rPr>
          <w:rFonts w:ascii="Arial" w:cs="Arial" w:eastAsia="Arial" w:hAnsi="Arial"/>
          <w:sz w:val="13"/>
          <w:szCs w:val="13"/>
          <w:color w:val="auto"/>
        </w:rPr>
      </w:pPr>
    </w:p>
    <w:p>
      <w:pPr>
        <w:ind w:left="1180" w:hanging="261"/>
        <w:spacing w:after="0"/>
        <w:tabs>
          <w:tab w:leader="none" w:pos="11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Not applicable</w:t>
      </w:r>
    </w:p>
    <w:p>
      <w:pPr>
        <w:ind w:left="1180" w:hanging="261"/>
        <w:spacing w:after="0"/>
        <w:tabs>
          <w:tab w:leader="none" w:pos="11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57" w:name="page58"/>
    <w:bookmarkEnd w:id="5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6. Exhibits</w:t>
      </w:r>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Exhibit No.</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980" w:type="dxa"/>
            <w:vAlign w:val="bottom"/>
            <w:tcBorders>
              <w:bottom w:val="single" w:sz="8" w:color="auto"/>
            </w:tcBorders>
            <w:gridSpan w:val="111"/>
          </w:tcPr>
          <w:p>
            <w:pPr>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19"/>
        </w:trPr>
        <w:tc>
          <w:tcPr>
            <w:tcW w:w="340" w:type="dxa"/>
            <w:vAlign w:val="bottom"/>
            <w:gridSpan w:val="2"/>
          </w:tcPr>
          <w:p>
            <w:pPr>
              <w:spacing w:after="0"/>
              <w:rPr>
                <w:sz w:val="10"/>
                <w:szCs w:val="10"/>
                <w:color w:val="auto"/>
              </w:rPr>
            </w:pPr>
          </w:p>
        </w:tc>
        <w:tc>
          <w:tcPr>
            <w:tcW w:w="220" w:type="dxa"/>
            <w:vAlign w:val="bottom"/>
            <w:gridSpan w:val="2"/>
          </w:tcPr>
          <w:p>
            <w:pPr>
              <w:jc w:val="center"/>
              <w:ind w:right="40"/>
              <w:spacing w:after="0" w:line="119" w:lineRule="exact"/>
              <w:rPr>
                <w:rFonts w:ascii="Arial" w:cs="Arial" w:eastAsia="Arial" w:hAnsi="Arial"/>
                <w:sz w:val="13"/>
                <w:szCs w:val="13"/>
                <w:color w:val="0000FF"/>
                <w:w w:val="99"/>
              </w:rPr>
            </w:pPr>
            <w:hyperlink r:id="rId66">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11"/>
          </w:tcPr>
          <w:p>
            <w:pPr>
              <w:spacing w:after="0" w:line="119" w:lineRule="exact"/>
              <w:rPr>
                <w:rFonts w:ascii="Arial" w:cs="Arial" w:eastAsia="Arial" w:hAnsi="Arial"/>
                <w:sz w:val="13"/>
                <w:szCs w:val="13"/>
                <w:color w:val="0000FF"/>
              </w:rPr>
            </w:pPr>
            <w:hyperlink r:id="rId66">
              <w:r>
                <w:rPr>
                  <w:rFonts w:ascii="Arial" w:cs="Arial" w:eastAsia="Arial" w:hAnsi="Arial"/>
                  <w:sz w:val="13"/>
                  <w:szCs w:val="13"/>
                  <w:color w:val="0000FF"/>
                </w:rPr>
                <w:t>Agreement and Plan of Share Exchange, dated December 27, 2021, by and between U.S. Century Bank and USCB</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6">
              <w:r>
                <w:rPr>
                  <w:rFonts w:ascii="Arial" w:cs="Arial" w:eastAsia="Arial" w:hAnsi="Arial"/>
                  <w:sz w:val="13"/>
                  <w:szCs w:val="13"/>
                  <w:color w:val="0000FF"/>
                </w:rPr>
                <w:t>Financial Holdings, Inc. (incorporated by reference to Exhibit 2.1 to the Registrant’s Current Report on Form 8-K (File No.</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2"/>
            <w:vMerge w:val="restart"/>
          </w:tcPr>
          <w:p>
            <w:pPr>
              <w:spacing w:after="0"/>
              <w:rPr>
                <w:sz w:val="10"/>
                <w:szCs w:val="10"/>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67">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hyperlink>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60" w:type="dxa"/>
            <w:vAlign w:val="bottom"/>
            <w:tcBorders>
              <w:bottom w:val="single" w:sz="8" w:color="0000FF"/>
            </w:tcBorders>
            <w:gridSpan w:val="76"/>
          </w:tcPr>
          <w:p>
            <w:pPr>
              <w:spacing w:after="0" w:line="119" w:lineRule="exact"/>
              <w:rPr>
                <w:rFonts w:ascii="Arial" w:cs="Arial" w:eastAsia="Arial" w:hAnsi="Arial"/>
                <w:sz w:val="13"/>
                <w:szCs w:val="13"/>
                <w:color w:val="0000FF"/>
                <w:w w:val="98"/>
              </w:rPr>
            </w:pPr>
            <w:hyperlink r:id="rId66">
              <w:r>
                <w:rPr>
                  <w:rFonts w:ascii="Arial" w:cs="Arial" w:eastAsia="Arial" w:hAnsi="Arial"/>
                  <w:sz w:val="13"/>
                  <w:szCs w:val="13"/>
                  <w:color w:val="0000FF"/>
                  <w:w w:val="98"/>
                </w:rPr>
                <w:t>001-41196) filed with the Securities and Exchange Commission on December 30, 2021).</w:t>
              </w:r>
            </w:hyperlink>
          </w:p>
        </w:tc>
        <w:tc>
          <w:tcPr>
            <w:tcW w:w="192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Articles of Incorporation, as amended, of USCB Financial Holdings, Inc. (incorporated by reference to Exhibit 3.1 to the</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Registrant's Quarterly Report on Form 10-Q for the quarter ended June 30, 2023 (File No. 001-41196) filed with the</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68">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Securities and Exchange Commission on August 11, 2023).</w:t>
              </w:r>
            </w:hyperlink>
          </w:p>
        </w:tc>
        <w:tc>
          <w:tcPr>
            <w:tcW w:w="0" w:type="dxa"/>
            <w:vAlign w:val="bottom"/>
          </w:tcPr>
          <w:p>
            <w:pPr>
              <w:spacing w:after="0"/>
              <w:rPr>
                <w:sz w:val="1"/>
                <w:szCs w:val="1"/>
                <w:color w:val="auto"/>
              </w:rPr>
            </w:pPr>
          </w:p>
        </w:tc>
      </w:tr>
      <w:tr>
        <w:trPr>
          <w:trHeight w:val="20"/>
        </w:trPr>
        <w:tc>
          <w:tcPr>
            <w:tcW w:w="340" w:type="dxa"/>
            <w:vAlign w:val="bottom"/>
            <w:gridSpan w:val="2"/>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1220" w:type="dxa"/>
            <w:vAlign w:val="bottom"/>
            <w:tcBorders>
              <w:right w:val="single" w:sz="8" w:color="0000FF"/>
            </w:tcBorders>
            <w:gridSpan w:val="9"/>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gridSpan w:val="6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w w:val="97"/>
              </w:rPr>
            </w:pPr>
            <w:hyperlink r:id="rId68">
              <w:r>
                <w:rPr>
                  <w:rFonts w:ascii="Arial" w:cs="Arial" w:eastAsia="Arial" w:hAnsi="Arial"/>
                  <w:sz w:val="13"/>
                  <w:szCs w:val="13"/>
                  <w:color w:val="0000FF"/>
                  <w:w w:val="97"/>
                </w:rPr>
                <w:t>Amended and Restated Bylaws of USCB Financial Holdings, Inc. (incorporated by reference to Exhibit 3.1 to the Registrant’s</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2"/>
            <w:vMerge w:val="restart"/>
          </w:tcPr>
          <w:p>
            <w:pPr>
              <w:spacing w:after="0"/>
              <w:rPr>
                <w:sz w:val="10"/>
                <w:szCs w:val="10"/>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69">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hyperlink>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40" w:type="dxa"/>
            <w:vAlign w:val="bottom"/>
            <w:tcBorders>
              <w:bottom w:val="single" w:sz="8" w:color="0000FF"/>
            </w:tcBorders>
            <w:gridSpan w:val="107"/>
          </w:tcPr>
          <w:p>
            <w:pPr>
              <w:spacing w:after="0" w:line="119" w:lineRule="exact"/>
              <w:rPr>
                <w:rFonts w:ascii="Arial" w:cs="Arial" w:eastAsia="Arial" w:hAnsi="Arial"/>
                <w:sz w:val="13"/>
                <w:szCs w:val="13"/>
                <w:color w:val="0000FF"/>
                <w:w w:val="98"/>
              </w:rPr>
            </w:pPr>
            <w:hyperlink r:id="rId68">
              <w:r>
                <w:rPr>
                  <w:rFonts w:ascii="Arial" w:cs="Arial" w:eastAsia="Arial" w:hAnsi="Arial"/>
                  <w:sz w:val="13"/>
                  <w:szCs w:val="13"/>
                  <w:color w:val="0000FF"/>
                  <w:w w:val="98"/>
                </w:rPr>
                <w:t>Current Report on Form 8-K (File No. 001-41196) filed with the Securities and Exchange Commission on July 26, 2023).</w:t>
              </w:r>
            </w:hyperlink>
          </w:p>
        </w:tc>
        <w:tc>
          <w:tcPr>
            <w:tcW w:w="120" w:type="dxa"/>
            <w:vAlign w:val="bottom"/>
            <w:gridSpan w:val="3"/>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9">
              <w:r>
                <w:rPr>
                  <w:rFonts w:ascii="Arial" w:cs="Arial" w:eastAsia="Arial" w:hAnsi="Arial"/>
                  <w:sz w:val="13"/>
                  <w:szCs w:val="13"/>
                  <w:color w:val="0000FF"/>
                </w:rPr>
                <w:t>Side Letter Agreement, dated December 30, 2021, between USCB Financial Holdings, Inc., U.S. Century Bank, Priam</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9">
              <w:r>
                <w:rPr>
                  <w:rFonts w:ascii="Arial" w:cs="Arial" w:eastAsia="Arial" w:hAnsi="Arial"/>
                  <w:sz w:val="13"/>
                  <w:szCs w:val="13"/>
                  <w:color w:val="0000FF"/>
                </w:rPr>
                <w:t>Capital Fund II, LP, Patriot Financial Partners II, L.P. and Patriot Financial Partners Parallel II, L.P. (incorporated by</w:t>
              </w:r>
            </w:hyperlink>
          </w:p>
        </w:tc>
        <w:tc>
          <w:tcPr>
            <w:tcW w:w="0" w:type="dxa"/>
            <w:vAlign w:val="bottom"/>
          </w:tcPr>
          <w:p>
            <w:pPr>
              <w:spacing w:after="0"/>
              <w:rPr>
                <w:sz w:val="1"/>
                <w:szCs w:val="1"/>
                <w:color w:val="auto"/>
              </w:rPr>
            </w:pPr>
          </w:p>
        </w:tc>
      </w:tr>
      <w:tr>
        <w:trPr>
          <w:trHeight w:val="20"/>
        </w:trPr>
        <w:tc>
          <w:tcPr>
            <w:tcW w:w="1900" w:type="dxa"/>
            <w:vAlign w:val="bottom"/>
            <w:tcBorders>
              <w:right w:val="single" w:sz="8" w:color="0000FF"/>
            </w:tcBorders>
            <w:gridSpan w:val="16"/>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220" w:type="dxa"/>
            <w:vAlign w:val="bottom"/>
            <w:tcBorders>
              <w:right w:val="single" w:sz="8" w:color="0000FF"/>
            </w:tcBorders>
            <w:gridSpan w:val="4"/>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9"/>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9">
              <w:r>
                <w:rPr>
                  <w:rFonts w:ascii="Arial" w:cs="Arial" w:eastAsia="Arial" w:hAnsi="Arial"/>
                  <w:sz w:val="13"/>
                  <w:szCs w:val="13"/>
                  <w:color w:val="0000FF"/>
                </w:rPr>
                <w:t>reference to Exhibit 4.1 to the Registrant’s Current Report on Form 8-K (File No. 001-41196) filed with the Securities and</w:t>
              </w:r>
            </w:hyperlink>
          </w:p>
        </w:tc>
        <w:tc>
          <w:tcPr>
            <w:tcW w:w="0" w:type="dxa"/>
            <w:vAlign w:val="bottom"/>
          </w:tcPr>
          <w:p>
            <w:pPr>
              <w:spacing w:after="0"/>
              <w:rPr>
                <w:sz w:val="1"/>
                <w:szCs w:val="1"/>
                <w:color w:val="auto"/>
              </w:rPr>
            </w:pPr>
          </w:p>
        </w:tc>
      </w:tr>
      <w:tr>
        <w:trPr>
          <w:trHeight w:val="20"/>
        </w:trPr>
        <w:tc>
          <w:tcPr>
            <w:tcW w:w="1900" w:type="dxa"/>
            <w:vAlign w:val="bottom"/>
            <w:tcBorders>
              <w:right w:val="single" w:sz="8" w:color="0000FF"/>
            </w:tcBorders>
            <w:gridSpan w:val="16"/>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tcPr>
          <w:p>
            <w:pPr>
              <w:spacing w:after="0" w:line="20" w:lineRule="exact"/>
              <w:rPr>
                <w:sz w:val="1"/>
                <w:szCs w:val="1"/>
                <w:color w:val="auto"/>
              </w:rPr>
            </w:pPr>
          </w:p>
        </w:tc>
        <w:tc>
          <w:tcPr>
            <w:tcW w:w="48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50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70">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40" w:type="dxa"/>
            <w:vAlign w:val="bottom"/>
            <w:tcBorders>
              <w:bottom w:val="single" w:sz="8" w:color="0000FF"/>
            </w:tcBorders>
            <w:gridSpan w:val="40"/>
          </w:tcPr>
          <w:p>
            <w:pPr>
              <w:spacing w:after="0" w:line="129" w:lineRule="exact"/>
              <w:rPr>
                <w:rFonts w:ascii="Arial" w:cs="Arial" w:eastAsia="Arial" w:hAnsi="Arial"/>
                <w:sz w:val="13"/>
                <w:szCs w:val="13"/>
                <w:color w:val="0000FF"/>
                <w:w w:val="97"/>
              </w:rPr>
            </w:pPr>
            <w:hyperlink r:id="rId69">
              <w:r>
                <w:rPr>
                  <w:rFonts w:ascii="Arial" w:cs="Arial" w:eastAsia="Arial" w:hAnsi="Arial"/>
                  <w:sz w:val="13"/>
                  <w:szCs w:val="13"/>
                  <w:color w:val="0000FF"/>
                  <w:w w:val="97"/>
                </w:rPr>
                <w:t>Exchange Commission on December 30, 2021).</w:t>
              </w:r>
            </w:hyperlink>
          </w:p>
        </w:tc>
        <w:tc>
          <w:tcPr>
            <w:tcW w:w="4240" w:type="dxa"/>
            <w:vAlign w:val="bottom"/>
            <w:gridSpan w:val="71"/>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40" w:type="dxa"/>
            <w:vAlign w:val="bottom"/>
            <w:gridSpan w:val="2"/>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11"/>
          </w:tcPr>
          <w:p>
            <w:pPr>
              <w:spacing w:after="0" w:line="119" w:lineRule="exact"/>
              <w:rPr>
                <w:rFonts w:ascii="Arial" w:cs="Arial" w:eastAsia="Arial" w:hAnsi="Arial"/>
                <w:sz w:val="13"/>
                <w:szCs w:val="13"/>
                <w:color w:val="0000FF"/>
              </w:rPr>
            </w:pPr>
            <w:hyperlink r:id="rId70">
              <w:r>
                <w:rPr>
                  <w:rFonts w:ascii="Arial" w:cs="Arial" w:eastAsia="Arial" w:hAnsi="Arial"/>
                  <w:sz w:val="13"/>
                  <w:szCs w:val="13"/>
                  <w:color w:val="0000FF"/>
                </w:rPr>
                <w:t>Registration Rights Agreement, dated March 17, 2015, between U.S. Century Bank, Priam Capital Fund II, LP, Patriot</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8"/>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44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2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w w:val="99"/>
              </w:rPr>
            </w:pPr>
            <w:hyperlink r:id="rId70">
              <w:r>
                <w:rPr>
                  <w:rFonts w:ascii="Arial" w:cs="Arial" w:eastAsia="Arial" w:hAnsi="Arial"/>
                  <w:sz w:val="13"/>
                  <w:szCs w:val="13"/>
                  <w:color w:val="0000FF"/>
                  <w:w w:val="99"/>
                </w:rPr>
                <w:t>Financial Partners II, L.P., Patriot Financial Partners Parallel II, L.P., and certain other shareholders of U.S. Century Bank</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2"/>
            <w:shd w:val="clear" w:color="auto" w:fill="0000FF"/>
          </w:tcPr>
          <w:p>
            <w:pPr>
              <w:spacing w:after="0" w:line="20" w:lineRule="exact"/>
              <w:rPr>
                <w:sz w:val="1"/>
                <w:szCs w:val="1"/>
                <w:color w:val="auto"/>
              </w:rPr>
            </w:pPr>
          </w:p>
        </w:tc>
        <w:tc>
          <w:tcPr>
            <w:tcW w:w="52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right w:val="single" w:sz="8" w:color="0000FF"/>
            </w:tcBorders>
            <w:gridSpan w:val="1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11"/>
            <w:shd w:val="clear" w:color="auto" w:fill="0000FF"/>
          </w:tcPr>
          <w:p>
            <w:pPr>
              <w:spacing w:after="0" w:line="20" w:lineRule="exact"/>
              <w:rPr>
                <w:sz w:val="1"/>
                <w:szCs w:val="1"/>
                <w:color w:val="auto"/>
              </w:rPr>
            </w:pPr>
          </w:p>
        </w:tc>
        <w:tc>
          <w:tcPr>
            <w:tcW w:w="48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16"/>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380" w:type="dxa"/>
            <w:vAlign w:val="bottom"/>
            <w:tcBorders>
              <w:left w:val="single" w:sz="8" w:color="0000FF"/>
            </w:tcBorders>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00" w:type="dxa"/>
            <w:vAlign w:val="bottom"/>
            <w:tcBorders>
              <w:bottom w:val="single" w:sz="8" w:color="0000FF"/>
            </w:tcBorders>
            <w:gridSpan w:val="108"/>
          </w:tcPr>
          <w:p>
            <w:pPr>
              <w:spacing w:after="0" w:line="129" w:lineRule="exact"/>
              <w:rPr>
                <w:rFonts w:ascii="Arial" w:cs="Arial" w:eastAsia="Arial" w:hAnsi="Arial"/>
                <w:sz w:val="13"/>
                <w:szCs w:val="13"/>
                <w:color w:val="0000FF"/>
                <w:w w:val="97"/>
              </w:rPr>
            </w:pPr>
            <w:hyperlink r:id="rId70">
              <w:r>
                <w:rPr>
                  <w:rFonts w:ascii="Arial" w:cs="Arial" w:eastAsia="Arial" w:hAnsi="Arial"/>
                  <w:sz w:val="13"/>
                  <w:szCs w:val="13"/>
                  <w:color w:val="0000FF"/>
                  <w:w w:val="97"/>
                </w:rPr>
                <w:t>(incorporated by reference to Exhibit 4.2 to the Registrant’s Current Report on Form 8-K (File No. 001-41196) filed with the</w:t>
              </w:r>
            </w:hyperlink>
          </w:p>
        </w:tc>
        <w:tc>
          <w:tcPr>
            <w:tcW w:w="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71">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70">
              <w:r>
                <w:rPr>
                  <w:rFonts w:ascii="Arial" w:cs="Arial" w:eastAsia="Arial" w:hAnsi="Arial"/>
                  <w:sz w:val="13"/>
                  <w:szCs w:val="13"/>
                  <w:color w:val="0000FF"/>
                </w:rPr>
                <w:t>Securities and Exchange Commission on December 30, 2021).</w:t>
              </w:r>
            </w:hyperlink>
          </w:p>
        </w:tc>
        <w:tc>
          <w:tcPr>
            <w:tcW w:w="0" w:type="dxa"/>
            <w:vAlign w:val="bottom"/>
          </w:tcPr>
          <w:p>
            <w:pPr>
              <w:spacing w:after="0"/>
              <w:rPr>
                <w:sz w:val="1"/>
                <w:szCs w:val="1"/>
                <w:color w:val="auto"/>
              </w:rPr>
            </w:pPr>
          </w:p>
        </w:tc>
      </w:tr>
      <w:tr>
        <w:trPr>
          <w:trHeight w:val="20"/>
        </w:trPr>
        <w:tc>
          <w:tcPr>
            <w:tcW w:w="340" w:type="dxa"/>
            <w:vAlign w:val="bottom"/>
            <w:gridSpan w:val="2"/>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2"/>
            <w:shd w:val="clear" w:color="auto" w:fill="0000FF"/>
          </w:tcPr>
          <w:p>
            <w:pPr>
              <w:spacing w:after="0" w:line="20" w:lineRule="exact"/>
              <w:rPr>
                <w:sz w:val="1"/>
                <w:szCs w:val="1"/>
                <w:color w:val="auto"/>
              </w:rPr>
            </w:pPr>
          </w:p>
        </w:tc>
        <w:tc>
          <w:tcPr>
            <w:tcW w:w="1540" w:type="dxa"/>
            <w:vAlign w:val="bottom"/>
            <w:tcBorders>
              <w:right w:val="single" w:sz="8" w:color="0000FF"/>
            </w:tcBorders>
            <w:gridSpan w:val="2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11"/>
            <w:shd w:val="clear" w:color="auto" w:fill="0000FF"/>
          </w:tcPr>
          <w:p>
            <w:pPr>
              <w:spacing w:after="0" w:line="20" w:lineRule="exact"/>
              <w:rPr>
                <w:sz w:val="1"/>
                <w:szCs w:val="1"/>
                <w:color w:val="auto"/>
              </w:rPr>
            </w:pPr>
          </w:p>
        </w:tc>
        <w:tc>
          <w:tcPr>
            <w:tcW w:w="48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1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71">
              <w:r>
                <w:rPr>
                  <w:rFonts w:ascii="Arial" w:cs="Arial" w:eastAsia="Arial" w:hAnsi="Arial"/>
                  <w:sz w:val="13"/>
                  <w:szCs w:val="13"/>
                  <w:color w:val="0000FF"/>
                </w:rPr>
                <w:t>Assignment and Assumption of Agreement, dated December 30, 2021, between U.S. Century Bank and USCB Financial</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2"/>
            <w:shd w:val="clear" w:color="auto" w:fill="0000FF"/>
          </w:tcPr>
          <w:p>
            <w:pPr>
              <w:spacing w:after="0" w:line="20" w:lineRule="exact"/>
              <w:rPr>
                <w:sz w:val="1"/>
                <w:szCs w:val="1"/>
                <w:color w:val="auto"/>
              </w:rPr>
            </w:pPr>
          </w:p>
        </w:tc>
        <w:tc>
          <w:tcPr>
            <w:tcW w:w="1540" w:type="dxa"/>
            <w:vAlign w:val="bottom"/>
            <w:tcBorders>
              <w:right w:val="single" w:sz="8" w:color="0000FF"/>
            </w:tcBorders>
            <w:gridSpan w:val="2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FF"/>
            </w:tcBorders>
            <w:gridSpan w:val="11"/>
            <w:shd w:val="clear" w:color="auto" w:fill="0000FF"/>
          </w:tcPr>
          <w:p>
            <w:pPr>
              <w:spacing w:after="0" w:line="20" w:lineRule="exact"/>
              <w:rPr>
                <w:sz w:val="1"/>
                <w:szCs w:val="1"/>
                <w:color w:val="auto"/>
              </w:rPr>
            </w:pPr>
          </w:p>
        </w:tc>
        <w:tc>
          <w:tcPr>
            <w:tcW w:w="680" w:type="dxa"/>
            <w:vAlign w:val="bottom"/>
            <w:tcBorders>
              <w:right w:val="single" w:sz="8" w:color="0000FF"/>
            </w:tcBorders>
            <w:gridSpan w:val="9"/>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960" w:type="dxa"/>
            <w:vAlign w:val="bottom"/>
            <w:tcBorders>
              <w:right w:val="single" w:sz="8" w:color="0000FF"/>
            </w:tcBorders>
            <w:gridSpan w:val="17"/>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380" w:type="dxa"/>
            <w:vAlign w:val="bottom"/>
            <w:tcBorders>
              <w:left w:val="single" w:sz="8" w:color="0000FF"/>
            </w:tcBorders>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11"/>
          </w:tcPr>
          <w:p>
            <w:pPr>
              <w:spacing w:after="0" w:line="129" w:lineRule="exact"/>
              <w:rPr>
                <w:rFonts w:ascii="Arial" w:cs="Arial" w:eastAsia="Arial" w:hAnsi="Arial"/>
                <w:sz w:val="13"/>
                <w:szCs w:val="13"/>
                <w:color w:val="0000FF"/>
                <w:w w:val="97"/>
              </w:rPr>
            </w:pPr>
            <w:hyperlink r:id="rId71">
              <w:r>
                <w:rPr>
                  <w:rFonts w:ascii="Arial" w:cs="Arial" w:eastAsia="Arial" w:hAnsi="Arial"/>
                  <w:sz w:val="13"/>
                  <w:szCs w:val="13"/>
                  <w:color w:val="0000FF"/>
                  <w:w w:val="97"/>
                </w:rPr>
                <w:t>Holdings, Inc. (incorporated by reference to Exhibit 4.3 to the Registrant’s Current Report on Form 8-K (File No. 001-41196)</w:t>
              </w:r>
            </w:hyperlink>
          </w:p>
        </w:tc>
        <w:tc>
          <w:tcPr>
            <w:tcW w:w="0" w:type="dxa"/>
            <w:vAlign w:val="bottom"/>
          </w:tcPr>
          <w:p>
            <w:pPr>
              <w:spacing w:after="0"/>
              <w:rPr>
                <w:sz w:val="1"/>
                <w:szCs w:val="1"/>
                <w:color w:val="auto"/>
              </w:rPr>
            </w:pPr>
          </w:p>
        </w:tc>
      </w:tr>
      <w:tr>
        <w:trPr>
          <w:trHeight w:val="99"/>
        </w:trPr>
        <w:tc>
          <w:tcPr>
            <w:tcW w:w="340" w:type="dxa"/>
            <w:vAlign w:val="bottom"/>
            <w:gridSpan w:val="2"/>
            <w:vMerge w:val="restart"/>
          </w:tcPr>
          <w:p>
            <w:pPr>
              <w:spacing w:after="0"/>
              <w:rPr>
                <w:sz w:val="8"/>
                <w:szCs w:val="8"/>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72">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tcBorders>
              <w:top w:val="single" w:sz="8" w:color="0000FF"/>
              <w:bottom w:val="single" w:sz="8" w:color="0000FF"/>
            </w:tcBorders>
            <w:gridSpan w:val="48"/>
          </w:tcPr>
          <w:p>
            <w:pPr>
              <w:spacing w:after="0" w:line="99" w:lineRule="exact"/>
              <w:rPr>
                <w:rFonts w:ascii="Arial" w:cs="Arial" w:eastAsia="Arial" w:hAnsi="Arial"/>
                <w:sz w:val="11"/>
                <w:szCs w:val="11"/>
                <w:color w:val="0000FF"/>
              </w:rPr>
            </w:pPr>
            <w:hyperlink r:id="rId71">
              <w:r>
                <w:rPr>
                  <w:rFonts w:ascii="Arial" w:cs="Arial" w:eastAsia="Arial" w:hAnsi="Arial"/>
                  <w:sz w:val="11"/>
                  <w:szCs w:val="11"/>
                  <w:color w:val="0000FF"/>
                </w:rPr>
                <w:t>filed with the Securities and Exchange Commission on</w:t>
              </w:r>
            </w:hyperlink>
          </w:p>
        </w:tc>
        <w:tc>
          <w:tcPr>
            <w:tcW w:w="1240" w:type="dxa"/>
            <w:vAlign w:val="bottom"/>
            <w:tcBorders>
              <w:top w:val="single" w:sz="8" w:color="0000FF"/>
              <w:bottom w:val="single" w:sz="8" w:color="0000FF"/>
            </w:tcBorders>
            <w:gridSpan w:val="18"/>
          </w:tcPr>
          <w:p>
            <w:pPr>
              <w:ind w:left="40"/>
              <w:spacing w:after="0" w:line="99" w:lineRule="exact"/>
              <w:rPr>
                <w:rFonts w:ascii="Arial" w:cs="Arial" w:eastAsia="Arial" w:hAnsi="Arial"/>
                <w:sz w:val="11"/>
                <w:szCs w:val="11"/>
                <w:color w:val="0000FF"/>
              </w:rPr>
            </w:pPr>
            <w:hyperlink r:id="rId71">
              <w:r>
                <w:rPr>
                  <w:rFonts w:ascii="Arial" w:cs="Arial" w:eastAsia="Arial" w:hAnsi="Arial"/>
                  <w:sz w:val="11"/>
                  <w:szCs w:val="11"/>
                  <w:color w:val="0000FF"/>
                </w:rPr>
                <w:t>December 30, 2021).</w:t>
              </w:r>
            </w:hyperlink>
          </w:p>
        </w:tc>
        <w:tc>
          <w:tcPr>
            <w:tcW w:w="300" w:type="dxa"/>
            <w:vAlign w:val="bottom"/>
            <w:tcBorders>
              <w:top w:val="single" w:sz="8" w:color="0000FF"/>
            </w:tcBorders>
            <w:gridSpan w:val="4"/>
          </w:tcPr>
          <w:p>
            <w:pPr>
              <w:spacing w:after="0"/>
              <w:rPr>
                <w:sz w:val="8"/>
                <w:szCs w:val="8"/>
                <w:color w:val="auto"/>
              </w:rPr>
            </w:pPr>
          </w:p>
        </w:tc>
        <w:tc>
          <w:tcPr>
            <w:tcW w:w="1300" w:type="dxa"/>
            <w:vAlign w:val="bottom"/>
            <w:tcBorders>
              <w:top w:val="single" w:sz="8" w:color="0000FF"/>
            </w:tcBorders>
            <w:gridSpan w:val="21"/>
          </w:tcPr>
          <w:p>
            <w:pPr>
              <w:spacing w:after="0"/>
              <w:rPr>
                <w:sz w:val="8"/>
                <w:szCs w:val="8"/>
                <w:color w:val="auto"/>
              </w:rPr>
            </w:pPr>
          </w:p>
        </w:tc>
        <w:tc>
          <w:tcPr>
            <w:tcW w:w="80" w:type="dxa"/>
            <w:vAlign w:val="bottom"/>
            <w:tcBorders>
              <w:top w:val="single" w:sz="8" w:color="0000FF"/>
            </w:tcBorders>
            <w:gridSpan w:val="2"/>
          </w:tcPr>
          <w:p>
            <w:pPr>
              <w:spacing w:after="0"/>
              <w:rPr>
                <w:sz w:val="8"/>
                <w:szCs w:val="8"/>
                <w:color w:val="auto"/>
              </w:rPr>
            </w:pPr>
          </w:p>
        </w:tc>
        <w:tc>
          <w:tcPr>
            <w:tcW w:w="520" w:type="dxa"/>
            <w:vAlign w:val="bottom"/>
            <w:tcBorders>
              <w:top w:val="single" w:sz="8" w:color="0000FF"/>
            </w:tcBorders>
            <w:gridSpan w:val="8"/>
          </w:tcPr>
          <w:p>
            <w:pPr>
              <w:spacing w:after="0"/>
              <w:rPr>
                <w:sz w:val="8"/>
                <w:szCs w:val="8"/>
                <w:color w:val="auto"/>
              </w:rPr>
            </w:pPr>
          </w:p>
        </w:tc>
        <w:tc>
          <w:tcPr>
            <w:tcW w:w="380" w:type="dxa"/>
            <w:vAlign w:val="bottom"/>
            <w:tcBorders>
              <w:top w:val="single" w:sz="8" w:color="0000FF"/>
            </w:tcBorders>
            <w:gridSpan w:val="7"/>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w w:val="98"/>
              </w:rPr>
            </w:pPr>
            <w:hyperlink r:id="rId72">
              <w:r>
                <w:rPr>
                  <w:rFonts w:ascii="Arial" w:cs="Arial" w:eastAsia="Arial" w:hAnsi="Arial"/>
                  <w:sz w:val="13"/>
                  <w:szCs w:val="13"/>
                  <w:color w:val="0000FF"/>
                  <w:w w:val="98"/>
                </w:rPr>
                <w:t>Description of USCB Financial Holdings, Inc.’s securities (incorporated by reference to Exhibit4.4 to the Registrant's Annual</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26"/>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420" w:type="dxa"/>
            <w:vAlign w:val="bottom"/>
            <w:tcBorders>
              <w:left w:val="single" w:sz="8" w:color="0000FF"/>
            </w:tcBorders>
            <w:gridSpan w:val="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vMerge w:val="restart"/>
          </w:tcPr>
          <w:p>
            <w:pPr>
              <w:spacing w:after="0"/>
              <w:rPr>
                <w:sz w:val="11"/>
                <w:szCs w:val="11"/>
                <w:color w:val="auto"/>
              </w:rPr>
            </w:pPr>
          </w:p>
        </w:tc>
        <w:tc>
          <w:tcPr>
            <w:tcW w:w="260" w:type="dxa"/>
            <w:vAlign w:val="bottom"/>
            <w:gridSpan w:val="3"/>
            <w:vMerge w:val="restart"/>
          </w:tcPr>
          <w:p>
            <w:pPr>
              <w:jc w:val="center"/>
              <w:spacing w:after="0"/>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1</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72">
              <w:r>
                <w:rPr>
                  <w:rFonts w:ascii="Arial" w:cs="Arial" w:eastAsia="Arial" w:hAnsi="Arial"/>
                  <w:sz w:val="13"/>
                  <w:szCs w:val="13"/>
                  <w:color w:val="0000FF"/>
                </w:rPr>
                <w:t>Report on Form 10-K (File No. 001-41196) filed with the Securities and Exchange Commission on March 24, 2022)</w:t>
              </w:r>
            </w:hyperlink>
          </w:p>
        </w:tc>
        <w:tc>
          <w:tcPr>
            <w:tcW w:w="0" w:type="dxa"/>
            <w:vAlign w:val="bottom"/>
          </w:tcPr>
          <w:p>
            <w:pPr>
              <w:spacing w:after="0"/>
              <w:rPr>
                <w:sz w:val="1"/>
                <w:szCs w:val="1"/>
                <w:color w:val="auto"/>
              </w:rPr>
            </w:pPr>
          </w:p>
        </w:tc>
      </w:tr>
      <w:tr>
        <w:trPr>
          <w:trHeight w:val="129"/>
        </w:trPr>
        <w:tc>
          <w:tcPr>
            <w:tcW w:w="300" w:type="dxa"/>
            <w:vAlign w:val="bottom"/>
            <w:vMerge w:val="continue"/>
          </w:tcPr>
          <w:p>
            <w:pPr>
              <w:spacing w:after="0"/>
              <w:rPr>
                <w:sz w:val="11"/>
                <w:szCs w:val="11"/>
                <w:color w:val="auto"/>
              </w:rPr>
            </w:pPr>
          </w:p>
        </w:tc>
        <w:tc>
          <w:tcPr>
            <w:tcW w:w="2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20" w:type="dxa"/>
            <w:vAlign w:val="bottom"/>
            <w:tcBorders>
              <w:top w:val="single" w:sz="8" w:color="0000FF"/>
            </w:tcBorders>
            <w:gridSpan w:val="101"/>
          </w:tcPr>
          <w:p>
            <w:pPr>
              <w:spacing w:after="0" w:line="129" w:lineRule="exact"/>
              <w:rPr>
                <w:sz w:val="20"/>
                <w:szCs w:val="20"/>
                <w:color w:val="auto"/>
              </w:rPr>
            </w:pPr>
            <w:r>
              <w:rPr>
                <w:rFonts w:ascii="Arial" w:cs="Arial" w:eastAsia="Arial" w:hAnsi="Arial"/>
                <w:sz w:val="13"/>
                <w:szCs w:val="13"/>
                <w:color w:val="0000FF"/>
              </w:rPr>
              <w:t>Certification of Chief Executive Officer pursuant to Rule 13a-14(a) of the Securities Exchange Act of 1934.</w:t>
            </w:r>
            <w:r>
              <w:rPr>
                <w:rFonts w:ascii="Arial" w:cs="Arial" w:eastAsia="Arial" w:hAnsi="Arial"/>
                <w:sz w:val="13"/>
                <w:szCs w:val="13"/>
                <w:color w:val="000000"/>
              </w:rPr>
              <w:t>*</w:t>
            </w:r>
          </w:p>
        </w:tc>
        <w:tc>
          <w:tcPr>
            <w:tcW w:w="46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26"/>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gridSpan w:val="3"/>
          </w:tcPr>
          <w:p>
            <w:pPr>
              <w:jc w:val="center"/>
              <w:spacing w:after="0" w:line="140" w:lineRule="exact"/>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11"/>
          </w:tcPr>
          <w:p>
            <w:pPr>
              <w:spacing w:after="0" w:line="140" w:lineRule="exact"/>
              <w:rPr>
                <w:sz w:val="20"/>
                <w:szCs w:val="20"/>
                <w:color w:val="auto"/>
              </w:rPr>
            </w:pPr>
            <w:r>
              <w:rPr>
                <w:rFonts w:ascii="Arial" w:cs="Arial" w:eastAsia="Arial" w:hAnsi="Arial"/>
                <w:sz w:val="13"/>
                <w:szCs w:val="13"/>
                <w:color w:val="0000FF"/>
              </w:rPr>
              <w:t>Certification of Chief Financial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tcBorders>
              <w:top w:val="single" w:sz="8" w:color="0000FF"/>
            </w:tcBorders>
            <w:gridSpan w:val="3"/>
          </w:tcPr>
          <w:p>
            <w:pPr>
              <w:jc w:val="center"/>
              <w:spacing w:after="0" w:line="140" w:lineRule="exact"/>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920" w:type="dxa"/>
            <w:vAlign w:val="bottom"/>
            <w:tcBorders>
              <w:top w:val="single" w:sz="8" w:color="0000FF"/>
            </w:tcBorders>
            <w:gridSpan w:val="91"/>
          </w:tcPr>
          <w:p>
            <w:pPr>
              <w:spacing w:after="0" w:line="140" w:lineRule="exact"/>
              <w:rPr>
                <w:sz w:val="20"/>
                <w:szCs w:val="20"/>
                <w:color w:val="auto"/>
              </w:rPr>
            </w:pPr>
            <w:r>
              <w:rPr>
                <w:rFonts w:ascii="Arial" w:cs="Arial" w:eastAsia="Arial" w:hAnsi="Arial"/>
                <w:sz w:val="13"/>
                <w:szCs w:val="13"/>
                <w:color w:val="0000FF"/>
              </w:rPr>
              <w:t>Certification of Chief Executive Officer pursuant to 18 U.S.C. Section 1350.</w:t>
            </w:r>
            <w:r>
              <w:rPr>
                <w:rFonts w:ascii="Arial" w:cs="Arial" w:eastAsia="Arial" w:hAnsi="Arial"/>
                <w:sz w:val="13"/>
                <w:szCs w:val="13"/>
                <w:color w:val="000000"/>
              </w:rPr>
              <w:t>**</w:t>
            </w:r>
          </w:p>
        </w:tc>
        <w:tc>
          <w:tcPr>
            <w:tcW w:w="1060" w:type="dxa"/>
            <w:vAlign w:val="bottom"/>
            <w:gridSpan w:val="2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2780" w:type="dxa"/>
            <w:vAlign w:val="bottom"/>
            <w:gridSpan w:val="4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 w:type="dxa"/>
            <w:vAlign w:val="bottom"/>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2</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11"/>
          </w:tcPr>
          <w:p>
            <w:pPr>
              <w:spacing w:after="0"/>
              <w:rPr>
                <w:sz w:val="20"/>
                <w:szCs w:val="20"/>
                <w:color w:val="auto"/>
              </w:rPr>
            </w:pPr>
            <w:r>
              <w:rPr>
                <w:rFonts w:ascii="Arial" w:cs="Arial" w:eastAsia="Arial" w:hAnsi="Arial"/>
                <w:sz w:val="13"/>
                <w:szCs w:val="13"/>
                <w:color w:val="0000FF"/>
              </w:rPr>
              <w:t>Certification of Chief Financial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2780" w:type="dxa"/>
            <w:vAlign w:val="bottom"/>
            <w:gridSpan w:val="4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0" w:type="dxa"/>
            <w:vAlign w:val="bottom"/>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Arial" w:cs="Arial" w:eastAsia="Arial" w:hAnsi="Arial"/>
                <w:sz w:val="13"/>
                <w:szCs w:val="13"/>
                <w:color w:val="auto"/>
              </w:rPr>
              <w:t>101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11"/>
          </w:tcPr>
          <w:p>
            <w:pPr>
              <w:spacing w:after="0"/>
              <w:rPr>
                <w:sz w:val="20"/>
                <w:szCs w:val="20"/>
                <w:color w:val="auto"/>
              </w:rPr>
            </w:pPr>
            <w:r>
              <w:rPr>
                <w:rFonts w:ascii="Arial" w:cs="Arial" w:eastAsia="Arial" w:hAnsi="Arial"/>
                <w:sz w:val="13"/>
                <w:szCs w:val="13"/>
                <w:color w:val="auto"/>
                <w:w w:val="99"/>
              </w:rPr>
              <w:t>The following financialstatements from the Company’s Quarterly Report on Form 10-Q forthe quarter endedSeptember 30,</w:t>
            </w:r>
          </w:p>
        </w:tc>
        <w:tc>
          <w:tcPr>
            <w:tcW w:w="0" w:type="dxa"/>
            <w:vAlign w:val="bottom"/>
          </w:tcPr>
          <w:p>
            <w:pPr>
              <w:spacing w:after="0"/>
              <w:rPr>
                <w:sz w:val="1"/>
                <w:szCs w:val="1"/>
                <w:color w:val="auto"/>
              </w:rPr>
            </w:pPr>
          </w:p>
        </w:tc>
      </w:tr>
      <w:tr>
        <w:trPr>
          <w:trHeight w:val="157"/>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11"/>
          </w:tcPr>
          <w:p>
            <w:pPr>
              <w:spacing w:after="0"/>
              <w:rPr>
                <w:sz w:val="20"/>
                <w:szCs w:val="20"/>
                <w:color w:val="auto"/>
              </w:rPr>
            </w:pPr>
            <w:r>
              <w:rPr>
                <w:rFonts w:ascii="Arial" w:cs="Arial" w:eastAsia="Arial" w:hAnsi="Arial"/>
                <w:sz w:val="13"/>
                <w:szCs w:val="13"/>
                <w:color w:val="auto"/>
              </w:rPr>
              <w:t>2023 formatted in Inline XBRL: (i) Consolidated Balance Sheets (unaudited), (ii) Consolidated Statements of Operations</w:t>
            </w:r>
          </w:p>
        </w:tc>
        <w:tc>
          <w:tcPr>
            <w:tcW w:w="0" w:type="dxa"/>
            <w:vAlign w:val="bottom"/>
          </w:tcPr>
          <w:p>
            <w:pPr>
              <w:spacing w:after="0"/>
              <w:rPr>
                <w:sz w:val="1"/>
                <w:szCs w:val="1"/>
                <w:color w:val="auto"/>
              </w:rPr>
            </w:pPr>
          </w:p>
        </w:tc>
      </w:tr>
    </w:tbl>
    <w:p>
      <w:pPr>
        <w:jc w:val="both"/>
        <w:ind w:left="1480" w:right="619"/>
        <w:spacing w:after="0" w:line="234" w:lineRule="auto"/>
        <w:rPr>
          <w:sz w:val="20"/>
          <w:szCs w:val="20"/>
          <w:color w:val="auto"/>
        </w:rPr>
      </w:pPr>
      <w:r>
        <w:rPr>
          <w:rFonts w:ascii="Arial" w:cs="Arial" w:eastAsia="Arial" w:hAnsi="Arial"/>
          <w:sz w:val="13"/>
          <w:szCs w:val="13"/>
          <w:color w:val="auto"/>
        </w:rPr>
        <w:t>(unaudited), (iii) Consolidated Statements of Comprehensive Income (unaudited), (iv)Consolidated Statements of Changes in Stockholders’ Equity (unaudited), (v) Consolidated Statements of Cash Flows (unaudited), (vi) Notes to Consolidated Financial Statements (unaudited).</w:t>
      </w:r>
    </w:p>
    <w:p>
      <w:pPr>
        <w:ind w:left="1280" w:right="2499" w:hanging="596"/>
        <w:spacing w:after="0" w:line="389" w:lineRule="auto"/>
        <w:tabs>
          <w:tab w:leader="none" w:pos="1483"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Filed herewith.</w:t>
      </w:r>
    </w:p>
    <w:p>
      <w:pPr>
        <w:ind w:left="1480" w:hanging="251"/>
        <w:spacing w:after="0"/>
        <w:tabs>
          <w:tab w:leader="none" w:pos="14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Furnished herby.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58" w:name="page59"/>
    <w:bookmarkEnd w:id="5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67" w:lineRule="exact"/>
        <w:rPr>
          <w:sz w:val="20"/>
          <w:szCs w:val="20"/>
          <w:color w:val="auto"/>
        </w:rPr>
      </w:pPr>
    </w:p>
    <w:p>
      <w:pPr>
        <w:ind w:left="660" w:right="699" w:firstLine="256"/>
        <w:spacing w:after="0" w:line="28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11"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520" w:type="dxa"/>
            <w:vAlign w:val="bottom"/>
            <w:gridSpan w:val="3"/>
          </w:tcPr>
          <w:p>
            <w:pPr>
              <w:ind w:left="60"/>
              <w:spacing w:after="0"/>
              <w:rPr>
                <w:sz w:val="20"/>
                <w:szCs w:val="20"/>
                <w:color w:val="auto"/>
              </w:rPr>
            </w:pPr>
            <w:r>
              <w:rPr>
                <w:rFonts w:ascii="Arial" w:cs="Arial" w:eastAsia="Arial" w:hAnsi="Arial"/>
                <w:sz w:val="14"/>
                <w:szCs w:val="14"/>
                <w:color w:val="auto"/>
              </w:rPr>
              <w:t>USCB FINANCIAL HOLDINGS, INC.</w:t>
            </w:r>
          </w:p>
        </w:tc>
      </w:tr>
      <w:tr>
        <w:trPr>
          <w:trHeight w:val="180"/>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ind w:left="400"/>
              <w:spacing w:after="0"/>
              <w:rPr>
                <w:sz w:val="20"/>
                <w:szCs w:val="20"/>
                <w:color w:val="auto"/>
              </w:rPr>
            </w:pPr>
            <w:r>
              <w:rPr>
                <w:rFonts w:ascii="Arial" w:cs="Arial" w:eastAsia="Arial" w:hAnsi="Arial"/>
                <w:sz w:val="14"/>
                <w:szCs w:val="14"/>
                <w:color w:val="auto"/>
              </w:rPr>
              <w:t>(Registrant)</w:t>
            </w:r>
          </w:p>
        </w:tc>
      </w:tr>
      <w:tr>
        <w:trPr>
          <w:trHeight w:val="379"/>
        </w:trPr>
        <w:tc>
          <w:tcPr>
            <w:tcW w:w="20" w:type="dxa"/>
            <w:vAlign w:val="bottom"/>
          </w:tcPr>
          <w:p>
            <w:pPr>
              <w:spacing w:after="0"/>
              <w:rPr>
                <w:sz w:val="24"/>
                <w:szCs w:val="24"/>
                <w:color w:val="auto"/>
              </w:rPr>
            </w:pPr>
          </w:p>
        </w:tc>
        <w:tc>
          <w:tcPr>
            <w:tcW w:w="20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24"/>
                <w:szCs w:val="24"/>
                <w:color w:val="auto"/>
              </w:rPr>
            </w:pPr>
          </w:p>
        </w:tc>
        <w:tc>
          <w:tcPr>
            <w:tcW w:w="27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Title</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60"/>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Chairman, President and Chief Executive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0"/>
        </w:trPr>
        <w:tc>
          <w:tcPr>
            <w:tcW w:w="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4"/>
                <w:szCs w:val="14"/>
                <w:color w:val="auto"/>
              </w:rPr>
              <w:t>/s/ Luis de la Aguilera</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tcPr>
          <w:p>
            <w:pPr>
              <w:ind w:left="60"/>
              <w:spacing w:after="0" w:line="159" w:lineRule="exact"/>
              <w:rPr>
                <w:sz w:val="20"/>
                <w:szCs w:val="20"/>
                <w:color w:val="auto"/>
              </w:rPr>
            </w:pPr>
            <w:r>
              <w:rPr>
                <w:rFonts w:ascii="Arial" w:cs="Arial" w:eastAsia="Arial" w:hAnsi="Arial"/>
                <w:sz w:val="14"/>
                <w:szCs w:val="14"/>
                <w:color w:val="auto"/>
              </w:rPr>
              <w:t>Officer</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jc w:val="center"/>
              <w:spacing w:after="0" w:line="159" w:lineRule="exact"/>
              <w:rPr>
                <w:sz w:val="20"/>
                <w:szCs w:val="20"/>
                <w:color w:val="auto"/>
              </w:rPr>
            </w:pPr>
            <w:r>
              <w:rPr>
                <w:rFonts w:ascii="Arial" w:cs="Arial" w:eastAsia="Arial" w:hAnsi="Arial"/>
                <w:sz w:val="14"/>
                <w:szCs w:val="14"/>
                <w:color w:val="auto"/>
              </w:rPr>
              <w:t>November 9, 2023</w:t>
            </w:r>
          </w:p>
        </w:tc>
      </w:tr>
      <w:tr>
        <w:trPr>
          <w:trHeight w:val="171"/>
        </w:trPr>
        <w:tc>
          <w:tcPr>
            <w:tcW w:w="20" w:type="dxa"/>
            <w:vAlign w:val="bottom"/>
          </w:tcPr>
          <w:p>
            <w:pPr>
              <w:spacing w:after="0"/>
              <w:rPr>
                <w:sz w:val="14"/>
                <w:szCs w:val="1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Luis de la Aguilera</w:t>
            </w:r>
          </w:p>
        </w:tc>
        <w:tc>
          <w:tcPr>
            <w:tcW w:w="180" w:type="dxa"/>
            <w:vAlign w:val="bottom"/>
          </w:tcPr>
          <w:p>
            <w:pPr>
              <w:spacing w:after="0"/>
              <w:rPr>
                <w:sz w:val="14"/>
                <w:szCs w:val="1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(Principal Executive Officer)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53"/>
        </w:trPr>
        <w:tc>
          <w:tcPr>
            <w:tcW w:w="20" w:type="dxa"/>
            <w:vAlign w:val="bottom"/>
          </w:tcPr>
          <w:p>
            <w:pPr>
              <w:spacing w:after="0"/>
              <w:rPr>
                <w:sz w:val="24"/>
                <w:szCs w:val="2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Chief Financial Officer</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November 9, 2023</w:t>
            </w:r>
          </w:p>
        </w:tc>
      </w:tr>
      <w:tr>
        <w:trPr>
          <w:trHeight w:val="141"/>
        </w:trPr>
        <w:tc>
          <w:tcPr>
            <w:tcW w:w="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ind w:left="60"/>
              <w:spacing w:after="0" w:line="141" w:lineRule="exact"/>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tcPr>
          <w:p>
            <w:pPr>
              <w:ind w:left="60"/>
              <w:spacing w:after="0" w:line="141" w:lineRule="exact"/>
              <w:rPr>
                <w:sz w:val="20"/>
                <w:szCs w:val="20"/>
                <w:color w:val="auto"/>
              </w:rPr>
            </w:pPr>
            <w:r>
              <w:rPr>
                <w:rFonts w:ascii="Arial" w:cs="Arial" w:eastAsia="Arial" w:hAnsi="Arial"/>
                <w:sz w:val="14"/>
                <w:szCs w:val="14"/>
                <w:color w:val="auto"/>
              </w:rPr>
              <w:t>(Principal Financial Officer and Principal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Accounting Officer)</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59</w:t>
      </w:r>
      <w:r>
        <w:rPr>
          <w:sz w:val="20"/>
          <w:szCs w:val="20"/>
          <w:color w:val="auto"/>
        </w:rPr>
        <w:tab/>
      </w:r>
      <w:r>
        <w:rPr>
          <w:rFonts w:ascii="Arial" w:cs="Arial" w:eastAsia="Arial" w:hAnsi="Arial"/>
          <w:sz w:val="14"/>
          <w:szCs w:val="14"/>
          <w:color w:val="auto"/>
        </w:rPr>
        <w:t>USCB Financial Holdings, Inc.</w:t>
        <w:tab/>
        <w:t>Q3 2023 Form 10-Q</w:t>
      </w:r>
    </w:p>
    <w:p>
      <w:pPr>
        <w:sectPr>
          <w:pgSz w:w="11900" w:h="16838" w:orient="portrait"/>
          <w:cols w:equalWidth="0" w:num="1">
            <w:col w:w="9019"/>
          </w:cols>
          <w:pgMar w:left="1440" w:top="481" w:right="1440" w:bottom="1440" w:gutter="0" w:footer="0" w:header="0"/>
        </w:sectPr>
      </w:pPr>
    </w:p>
    <w:bookmarkStart w:id="59" w:name="page60"/>
    <w:bookmarkEnd w:id="59"/>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70" w:lineRule="exact"/>
        <w:rPr>
          <w:sz w:val="20"/>
          <w:szCs w:val="20"/>
          <w:color w:val="auto"/>
        </w:rPr>
      </w:pPr>
    </w:p>
    <w:p>
      <w:pPr>
        <w:ind w:left="640" w:hanging="233"/>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0" w:lineRule="auto"/>
        <w:tabs>
          <w:tab w:leader="none" w:pos="641"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4"/>
          <w:szCs w:val="14"/>
          <w:color w:val="auto"/>
        </w:rPr>
      </w:pPr>
    </w:p>
    <w:p>
      <w:pPr>
        <w:jc w:val="both"/>
        <w:ind w:left="660" w:right="679" w:hanging="253"/>
        <w:spacing w:after="0" w:line="252" w:lineRule="auto"/>
        <w:tabs>
          <w:tab w:leader="none" w:pos="641"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4"/>
          <w:szCs w:val="14"/>
          <w:color w:val="auto"/>
        </w:rPr>
      </w:pPr>
    </w:p>
    <w:p>
      <w:pPr>
        <w:ind w:left="660" w:right="679" w:hanging="253"/>
        <w:spacing w:after="0" w:line="267" w:lineRule="auto"/>
        <w:tabs>
          <w:tab w:leader="none" w:pos="639"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32" w:lineRule="exact"/>
        <w:rPr>
          <w:rFonts w:ascii="Arial" w:cs="Arial" w:eastAsia="Arial" w:hAnsi="Arial"/>
          <w:sz w:val="14"/>
          <w:szCs w:val="14"/>
          <w:color w:val="auto"/>
        </w:rPr>
      </w:pPr>
    </w:p>
    <w:p>
      <w:pPr>
        <w:jc w:val="both"/>
        <w:ind w:left="1180" w:right="679" w:hanging="261"/>
        <w:spacing w:after="0" w:line="253" w:lineRule="auto"/>
        <w:tabs>
          <w:tab w:leader="none" w:pos="11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4"/>
          <w:szCs w:val="14"/>
          <w:color w:val="auto"/>
        </w:rPr>
      </w:pPr>
    </w:p>
    <w:p>
      <w:pPr>
        <w:jc w:val="both"/>
        <w:ind w:left="1180" w:right="679" w:hanging="261"/>
        <w:spacing w:after="0" w:line="252" w:lineRule="auto"/>
        <w:tabs>
          <w:tab w:leader="none" w:pos="11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4"/>
          <w:szCs w:val="14"/>
          <w:color w:val="auto"/>
        </w:rPr>
      </w:pPr>
    </w:p>
    <w:p>
      <w:pPr>
        <w:jc w:val="both"/>
        <w:ind w:left="1180" w:right="679" w:hanging="261"/>
        <w:spacing w:after="0" w:line="253" w:lineRule="auto"/>
        <w:tabs>
          <w:tab w:leader="none" w:pos="11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4"/>
          <w:szCs w:val="14"/>
          <w:color w:val="auto"/>
        </w:rPr>
      </w:pPr>
    </w:p>
    <w:p>
      <w:pPr>
        <w:jc w:val="both"/>
        <w:ind w:left="660" w:right="679" w:hanging="253"/>
        <w:spacing w:after="0" w:line="252" w:lineRule="auto"/>
        <w:tabs>
          <w:tab w:leader="none" w:pos="639"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4"/>
          <w:szCs w:val="14"/>
          <w:color w:val="auto"/>
        </w:rPr>
      </w:pPr>
    </w:p>
    <w:p>
      <w:pPr>
        <w:jc w:val="both"/>
        <w:ind w:left="1180" w:right="679" w:hanging="261"/>
        <w:spacing w:after="0" w:line="260" w:lineRule="auto"/>
        <w:tabs>
          <w:tab w:leader="none" w:pos="1168" w:val="left"/>
        </w:tabs>
        <w:numPr>
          <w:ilvl w:val="1"/>
          <w:numId w:val="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4"/>
          <w:szCs w:val="14"/>
          <w:color w:val="auto"/>
        </w:rPr>
      </w:pPr>
    </w:p>
    <w:p>
      <w:pPr>
        <w:ind w:left="1180" w:right="679" w:hanging="261"/>
        <w:spacing w:after="0" w:line="283" w:lineRule="auto"/>
        <w:tabs>
          <w:tab w:leader="none" w:pos="11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November 9, 2023</w:t>
      </w:r>
    </w:p>
    <w:p>
      <w:pPr>
        <w:sectPr>
          <w:pgSz w:w="11900" w:h="16838" w:orient="portrait"/>
          <w:cols w:equalWidth="0" w:num="1">
            <w:col w:w="9019"/>
          </w:cols>
          <w:pgMar w:left="1440" w:top="719" w:right="1440" w:bottom="1440" w:gutter="0" w:footer="0" w:header="0"/>
        </w:sectPr>
      </w:pPr>
    </w:p>
    <w:bookmarkStart w:id="60" w:name="page61"/>
    <w:bookmarkEnd w:id="60"/>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70" w:lineRule="exact"/>
        <w:rPr>
          <w:sz w:val="20"/>
          <w:szCs w:val="20"/>
          <w:color w:val="auto"/>
        </w:rPr>
      </w:pPr>
    </w:p>
    <w:p>
      <w:pPr>
        <w:ind w:left="660" w:hanging="253"/>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0" w:lineRule="auto"/>
        <w:tabs>
          <w:tab w:leader="none" w:pos="6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4"/>
          <w:szCs w:val="14"/>
          <w:color w:val="auto"/>
        </w:rPr>
      </w:pPr>
    </w:p>
    <w:p>
      <w:pPr>
        <w:jc w:val="both"/>
        <w:ind w:left="660" w:right="679" w:hanging="253"/>
        <w:spacing w:after="0" w:line="252" w:lineRule="auto"/>
        <w:tabs>
          <w:tab w:leader="none" w:pos="6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4"/>
          <w:szCs w:val="14"/>
          <w:color w:val="auto"/>
        </w:rPr>
      </w:pPr>
    </w:p>
    <w:p>
      <w:pPr>
        <w:ind w:left="660" w:right="679" w:hanging="253"/>
        <w:spacing w:after="0" w:line="267" w:lineRule="auto"/>
        <w:tabs>
          <w:tab w:leader="none" w:pos="639"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32" w:lineRule="exact"/>
        <w:rPr>
          <w:rFonts w:ascii="Arial" w:cs="Arial" w:eastAsia="Arial" w:hAnsi="Arial"/>
          <w:sz w:val="14"/>
          <w:szCs w:val="14"/>
          <w:color w:val="auto"/>
        </w:rPr>
      </w:pPr>
    </w:p>
    <w:p>
      <w:pPr>
        <w:jc w:val="both"/>
        <w:ind w:left="1180" w:right="679" w:hanging="261"/>
        <w:spacing w:after="0" w:line="253" w:lineRule="auto"/>
        <w:tabs>
          <w:tab w:leader="none" w:pos="11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4"/>
          <w:szCs w:val="14"/>
          <w:color w:val="auto"/>
        </w:rPr>
      </w:pPr>
    </w:p>
    <w:p>
      <w:pPr>
        <w:jc w:val="both"/>
        <w:ind w:left="1180" w:right="679" w:hanging="261"/>
        <w:spacing w:after="0" w:line="252" w:lineRule="auto"/>
        <w:tabs>
          <w:tab w:leader="none" w:pos="11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4"/>
          <w:szCs w:val="14"/>
          <w:color w:val="auto"/>
        </w:rPr>
      </w:pPr>
    </w:p>
    <w:p>
      <w:pPr>
        <w:jc w:val="both"/>
        <w:ind w:left="1180" w:right="679" w:hanging="261"/>
        <w:spacing w:after="0" w:line="253" w:lineRule="auto"/>
        <w:tabs>
          <w:tab w:leader="none" w:pos="11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4"/>
          <w:szCs w:val="14"/>
          <w:color w:val="auto"/>
        </w:rPr>
      </w:pPr>
    </w:p>
    <w:p>
      <w:pPr>
        <w:jc w:val="both"/>
        <w:ind w:left="660" w:right="679" w:hanging="253"/>
        <w:spacing w:after="0" w:line="252" w:lineRule="auto"/>
        <w:tabs>
          <w:tab w:leader="none" w:pos="639"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4"/>
          <w:szCs w:val="14"/>
          <w:color w:val="auto"/>
        </w:rPr>
      </w:pPr>
    </w:p>
    <w:p>
      <w:pPr>
        <w:jc w:val="both"/>
        <w:ind w:left="1180" w:right="679" w:hanging="261"/>
        <w:spacing w:after="0" w:line="260" w:lineRule="auto"/>
        <w:tabs>
          <w:tab w:leader="none" w:pos="1168" w:val="left"/>
        </w:tabs>
        <w:numPr>
          <w:ilvl w:val="1"/>
          <w:numId w:val="3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4"/>
          <w:szCs w:val="14"/>
          <w:color w:val="auto"/>
        </w:rPr>
      </w:pPr>
    </w:p>
    <w:p>
      <w:pPr>
        <w:ind w:left="1180" w:right="679" w:hanging="261"/>
        <w:spacing w:after="0" w:line="283" w:lineRule="auto"/>
        <w:tabs>
          <w:tab w:leader="none" w:pos="1168" w:val="left"/>
        </w:tabs>
        <w:numPr>
          <w:ilvl w:val="1"/>
          <w:numId w:val="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November 9, 2023</w:t>
      </w:r>
    </w:p>
    <w:p>
      <w:pPr>
        <w:sectPr>
          <w:pgSz w:w="11900" w:h="16838" w:orient="portrait"/>
          <w:cols w:equalWidth="0" w:num="1">
            <w:col w:w="9019"/>
          </w:cols>
          <w:pgMar w:left="1440" w:top="719" w:right="1440" w:bottom="1440" w:gutter="0" w:footer="0" w:header="0"/>
        </w:sectPr>
      </w:pPr>
    </w:p>
    <w:bookmarkStart w:id="61" w:name="page62"/>
    <w:bookmarkEnd w:id="61"/>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6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September 30, 2023, as filed with the Securities and Exchange Commission on the date hereof (the “Report”), I, Luis de la Aguilera, as President and Chief Executive Officer of the Company, certify, to the best of my knowledge, pursuant 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18 U.S.C. §1350, as adopted pursuant to Section 906 of the Sarbanes-Oxley Act of 2002, that:</w:t>
      </w:r>
    </w:p>
    <w:p>
      <w:pPr>
        <w:spacing w:after="0" w:line="160" w:lineRule="exact"/>
        <w:rPr>
          <w:sz w:val="20"/>
          <w:szCs w:val="20"/>
          <w:color w:val="auto"/>
        </w:rPr>
      </w:pPr>
    </w:p>
    <w:p>
      <w:pPr>
        <w:ind w:left="1440" w:right="679" w:hanging="265"/>
        <w:spacing w:after="0" w:line="267" w:lineRule="auto"/>
        <w:tabs>
          <w:tab w:leader="none" w:pos="142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32" w:lineRule="exact"/>
        <w:rPr>
          <w:rFonts w:ascii="Arial" w:cs="Arial" w:eastAsia="Arial" w:hAnsi="Arial"/>
          <w:sz w:val="14"/>
          <w:szCs w:val="14"/>
          <w:color w:val="auto"/>
        </w:rPr>
      </w:pPr>
    </w:p>
    <w:p>
      <w:pPr>
        <w:ind w:left="1440" w:right="679" w:hanging="265"/>
        <w:spacing w:after="0" w:line="267" w:lineRule="auto"/>
        <w:tabs>
          <w:tab w:leader="none" w:pos="142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November 9, 2023</w:t>
      </w:r>
    </w:p>
    <w:p>
      <w:pPr>
        <w:sectPr>
          <w:pgSz w:w="11900" w:h="16838" w:orient="portrait"/>
          <w:cols w:equalWidth="0" w:num="1">
            <w:col w:w="9019"/>
          </w:cols>
          <w:pgMar w:left="1440" w:top="719" w:right="1440" w:bottom="1440" w:gutter="0" w:footer="0" w:header="0"/>
        </w:sectPr>
      </w:pPr>
    </w:p>
    <w:bookmarkStart w:id="62" w:name="page63"/>
    <w:bookmarkEnd w:id="62"/>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6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September 30, 2023,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43" w:lineRule="exact"/>
        <w:rPr>
          <w:sz w:val="20"/>
          <w:szCs w:val="20"/>
          <w:color w:val="auto"/>
        </w:rPr>
      </w:pPr>
    </w:p>
    <w:p>
      <w:pPr>
        <w:ind w:left="1440" w:right="679" w:hanging="265"/>
        <w:spacing w:after="0" w:line="267" w:lineRule="auto"/>
        <w:tabs>
          <w:tab w:leader="none" w:pos="142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32" w:lineRule="exact"/>
        <w:rPr>
          <w:rFonts w:ascii="Arial" w:cs="Arial" w:eastAsia="Arial" w:hAnsi="Arial"/>
          <w:sz w:val="14"/>
          <w:szCs w:val="14"/>
          <w:color w:val="auto"/>
        </w:rPr>
      </w:pPr>
    </w:p>
    <w:p>
      <w:pPr>
        <w:ind w:left="1440" w:right="679" w:hanging="265"/>
        <w:spacing w:after="0" w:line="267" w:lineRule="auto"/>
        <w:tabs>
          <w:tab w:leader="none" w:pos="142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November 9, 2023</w:t>
      </w:r>
    </w:p>
    <w:p>
      <w:pPr>
        <w:sectPr>
          <w:pgSz w:w="11900" w:h="16838" w:orient="portrait"/>
          <w:cols w:equalWidth="0" w:num="1">
            <w:col w:w="9019"/>
          </w:cols>
          <w:pgMar w:left="1440" w:top="719" w:right="1440"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lvl w:ilvl="1">
      <w:lvlJc w:val="left"/>
      <w:lvlText w:val="(%2)"/>
      <w:numFmt w:val="decimal"/>
      <w:start w:val="1"/>
    </w:lvl>
  </w:abstractNum>
  <w:abstractNum w:abstractNumId="7">
    <w:nsid w:val="436C6125"/>
    <w:multiLevelType w:val="hybridMultilevel"/>
    <w:lvl w:ilvl="0">
      <w:lvlJc w:val="left"/>
      <w:lvlText w:val="(%1)"/>
      <w:numFmt w:val="decimal"/>
      <w:start w:val="3"/>
    </w:lvl>
    <w:lvl w:ilvl="1">
      <w:lvlJc w:val="left"/>
      <w:lvlText w:val="%2"/>
      <w:numFmt w:val="decimal"/>
      <w:start w:val="1"/>
    </w:lvl>
  </w:abstractNum>
  <w:abstractNum w:abstractNumId="8">
    <w:nsid w:val="628C895D"/>
    <w:multiLevelType w:val="hybridMultilevel"/>
    <w:lvl w:ilvl="0">
      <w:lvlJc w:val="left"/>
      <w:lvlText w:val="%1."/>
      <w:numFmt w:val="decimal"/>
      <w:start w:val="4"/>
    </w:lvl>
  </w:abstractNum>
  <w:abstractNum w:abstractNumId="9">
    <w:nsid w:val="333AB105"/>
    <w:multiLevelType w:val="hybridMultilevel"/>
    <w:lvl w:ilvl="0">
      <w:lvlJc w:val="left"/>
      <w:lvlText w:val="%1."/>
      <w:numFmt w:val="decimal"/>
      <w:start w:val="5"/>
    </w:lvl>
  </w:abstractNum>
  <w:abstractNum w:abstractNumId="10">
    <w:nsid w:val="721DA317"/>
    <w:multiLevelType w:val="hybridMultilevel"/>
    <w:lvl w:ilvl="0">
      <w:lvlJc w:val="left"/>
      <w:lvlText w:val="%1."/>
      <w:numFmt w:val="decimal"/>
      <w:start w:val="6"/>
    </w:lvl>
  </w:abstractNum>
  <w:abstractNum w:abstractNumId="11">
    <w:nsid w:val="2443A858"/>
    <w:multiLevelType w:val="hybridMultilevel"/>
    <w:lvl w:ilvl="0">
      <w:lvlJc w:val="left"/>
      <w:lvlText w:val="%1."/>
      <w:numFmt w:val="decimal"/>
      <w:start w:val="7"/>
    </w:lvl>
  </w:abstractNum>
  <w:abstractNum w:abstractNumId="12">
    <w:nsid w:val="2D1D5AE9"/>
    <w:multiLevelType w:val="hybridMultilevel"/>
    <w:lvl w:ilvl="0">
      <w:lvlJc w:val="left"/>
      <w:lvlText w:val="%1."/>
      <w:numFmt w:val="decimal"/>
      <w:start w:val="8"/>
    </w:lvl>
  </w:abstractNum>
  <w:abstractNum w:abstractNumId="13">
    <w:nsid w:val="6763845E"/>
    <w:multiLevelType w:val="hybridMultilevel"/>
    <w:lvl w:ilvl="0">
      <w:lvlJc w:val="left"/>
      <w:lvlText w:val="%1."/>
      <w:numFmt w:val="decimal"/>
      <w:start w:val="9"/>
    </w:lvl>
  </w:abstractNum>
  <w:abstractNum w:abstractNumId="14">
    <w:nsid w:val="75A2A8D4"/>
    <w:multiLevelType w:val="hybridMultilevel"/>
    <w:lvl w:ilvl="0">
      <w:lvlJc w:val="left"/>
      <w:lvlText w:val="%1."/>
      <w:numFmt w:val="decimal"/>
      <w:start w:val="10"/>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04"/>
    </w:lvl>
    <w:lvl w:ilvl="1">
      <w:lvlJc w:val="left"/>
      <w:lvlText w:val="*"/>
      <w:numFmt w:val="bullet"/>
      <w:start w:val="1"/>
    </w:lvl>
  </w:abstractNum>
  <w:abstractNum w:abstractNumId="28">
    <w:nsid w:val="7C3DBD3D"/>
    <w:multiLevelType w:val="hybridMultilevel"/>
    <w:lvl w:ilvl="0">
      <w:lvlJc w:val="left"/>
      <w:lvlText w:val="%1"/>
      <w:numFmt w:val="decimal"/>
      <w:start w:val="1"/>
    </w:lvl>
    <w:lvl w:ilvl="1">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66" Type="http://schemas.openxmlformats.org/officeDocument/2006/relationships/hyperlink" Target="http://www.sec.gov/Archives/edgar/data/0001901637/000119312521369812/d628417dex21.htm" TargetMode="External"/><Relationship Id="rId67" Type="http://schemas.openxmlformats.org/officeDocument/2006/relationships/hyperlink" Target="http://www.sec.gov/Archives/edgar/data/1901637/000156276223000333/exhibit31.htm" TargetMode="External"/><Relationship Id="rId68" Type="http://schemas.openxmlformats.org/officeDocument/2006/relationships/hyperlink" Target="http://www.sec.gov/Archives/edgar/data/1901637/000092708923000110/ex_549234.htm" TargetMode="External"/><Relationship Id="rId69" Type="http://schemas.openxmlformats.org/officeDocument/2006/relationships/hyperlink" Target="http://www.sec.gov/Archives/edgar/data/0001901637/000119312521369812/d628417dex41.htm" TargetMode="External"/><Relationship Id="rId70" Type="http://schemas.openxmlformats.org/officeDocument/2006/relationships/hyperlink" Target="http://www.sec.gov/Archives/edgar/data/0001901637/000119312521369812/d628417dex42.htm" TargetMode="External"/><Relationship Id="rId71" Type="http://schemas.openxmlformats.org/officeDocument/2006/relationships/hyperlink" Target="http://www.sec.gov/Archives/edgar/data/0001901637/000119312521369812/d628417dex43.htm" TargetMode="External"/><Relationship Id="rId72" Type="http://schemas.openxmlformats.org/officeDocument/2006/relationships/hyperlink" Target="http://www.sec.gov/Archives/edgar/data/1901637/000156276222000137/exhibit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2023-11-09T13:06:48Z</dcterms:created>
  <dcterms:modified xsi:type="dcterms:W3CDTF">2023-11-09T13:06:48Z</dcterms:modified>
</cp:coreProperties>
</file>