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888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88899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696"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DE LA AGUILERA LUIS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7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46"/>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3"/>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328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3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840" w:type="dxa"/>
            <w:vAlign w:val="bottom"/>
            <w:gridSpan w:val="3"/>
            <w:vMerge w:val="continue"/>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3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60" w:type="dxa"/>
            <w:vAlign w:val="bottom"/>
            <w:tcBorders>
              <w:bottom w:val="single" w:sz="8" w:color="2C2C2C"/>
            </w:tcBorders>
          </w:tcPr>
          <w:p>
            <w:pPr>
              <w:spacing w:after="0"/>
              <w:rPr>
                <w:sz w:val="12"/>
                <w:szCs w:val="12"/>
                <w:color w:val="auto"/>
              </w:rPr>
            </w:pPr>
          </w:p>
        </w:tc>
        <w:tc>
          <w:tcPr>
            <w:tcW w:w="32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820" w:type="dxa"/>
            <w:vAlign w:val="bottom"/>
          </w:tcPr>
          <w:p>
            <w:pPr>
              <w:ind w:left="580"/>
              <w:spacing w:after="0" w:line="14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4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280" w:type="dxa"/>
            <w:vAlign w:val="bottom"/>
            <w:gridSpan w:val="2"/>
          </w:tcPr>
          <w:p>
            <w:pPr>
              <w:ind w:left="1000"/>
              <w:spacing w:after="0" w:line="191" w:lineRule="exact"/>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215"/>
        </w:trPr>
        <w:tc>
          <w:tcPr>
            <w:tcW w:w="3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01/29/2026</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80"/>
            <w:col w:w="7240"/>
          </w:cols>
          <w:pgMar w:left="460" w:top="216" w:right="359" w:bottom="69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01/29/2026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8"/>
              </w:rPr>
              <w:t>10,000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255,893</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01/29/2026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8"/>
              </w:rPr>
              <w:t>10,000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18.02</w:t>
            </w:r>
            <w:r>
              <w:rPr>
                <w:rFonts w:ascii="Times New Roman" w:cs="Times New Roman" w:eastAsia="Times New Roman" w:hAnsi="Times New Roman"/>
                <w:sz w:val="21"/>
                <w:szCs w:val="21"/>
                <w:color w:val="008000"/>
                <w:w w:val="99"/>
                <w:vertAlign w:val="superscript"/>
              </w:rPr>
              <w:t>(2)</w:t>
            </w: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245,893</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01/29/2026</w:t>
            </w:r>
          </w:p>
        </w:tc>
        <w:tc>
          <w:tcPr>
            <w:tcW w:w="108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10,000</w:t>
            </w:r>
          </w:p>
        </w:tc>
        <w:tc>
          <w:tcPr>
            <w:tcW w:w="8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3"/>
                <w:szCs w:val="13"/>
                <w:color w:val="0000FF"/>
              </w:rPr>
              <w:t>04/01/2017</w:t>
            </w:r>
            <w:r>
              <w:rPr>
                <w:rFonts w:ascii="Times New Roman" w:cs="Times New Roman" w:eastAsia="Times New Roman" w:hAnsi="Times New Roman"/>
                <w:sz w:val="21"/>
                <w:szCs w:val="21"/>
                <w:color w:val="008000"/>
                <w:vertAlign w:val="superscript"/>
              </w:rPr>
              <w:t>(3)</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04/01/2026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ind w:left="14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11.35</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3"/>
                <w:szCs w:val="13"/>
                <w:color w:val="0000FF"/>
              </w:rPr>
              <w:t>09/23/2020</w:t>
            </w:r>
            <w:r>
              <w:rPr>
                <w:rFonts w:ascii="Times New Roman" w:cs="Times New Roman" w:eastAsia="Times New Roman" w:hAnsi="Times New Roman"/>
                <w:sz w:val="21"/>
                <w:szCs w:val="21"/>
                <w:color w:val="008000"/>
                <w:vertAlign w:val="superscript"/>
              </w:rPr>
              <w:t>(4)</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09/23/2029</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40,000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rPr>
              <w:t>40,000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ind w:left="14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12.05</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(5)</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09/27/2031</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0"/>
              <w:spacing w:after="0"/>
              <w:rPr>
                <w:sz w:val="20"/>
                <w:szCs w:val="20"/>
                <w:color w:val="auto"/>
              </w:rPr>
            </w:pPr>
            <w:r>
              <w:rPr>
                <w:rFonts w:ascii="Times New Roman" w:cs="Times New Roman" w:eastAsia="Times New Roman" w:hAnsi="Times New Roman"/>
                <w:sz w:val="17"/>
                <w:szCs w:val="17"/>
                <w:color w:val="0000FF"/>
                <w:w w:val="97"/>
              </w:rPr>
              <w:t>160,000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2"/>
          </w:tcPr>
          <w:p>
            <w:pPr>
              <w:jc w:val="center"/>
              <w:ind w:right="3"/>
              <w:spacing w:after="0"/>
              <w:rPr>
                <w:sz w:val="20"/>
                <w:szCs w:val="20"/>
                <w:color w:val="auto"/>
              </w:rPr>
            </w:pPr>
            <w:r>
              <w:rPr>
                <w:rFonts w:ascii="Times New Roman" w:cs="Times New Roman" w:eastAsia="Times New Roman" w:hAnsi="Times New Roman"/>
                <w:sz w:val="13"/>
                <w:szCs w:val="13"/>
                <w:color w:val="0000FF"/>
                <w:w w:val="94"/>
              </w:rPr>
              <w:t>160,000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34"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grant of 27,632 shares of restricted stock which vest at a rate of one-third per year commencing on January 27, 2027, 17,082 shares of restricted stock from a grant of 25,653 shares which commenced vesting at a rate of one-third per year on January 21, 2026, 4,045 shares of restricted stock from a grant of 12,136 shares which commenced vesting at a rate of one-third per year on January 22, 2025, 7,892 shares of restricted stock from a grant of 23,678 shares which commenced vesting at a rate of one-third per year on March 8, 2024, and 41,666 shares of restricted stock from a grant of 125,000 shares which commenced vesting at a rate of one-third per year on December 31, 2024.</w:t>
      </w:r>
    </w:p>
    <w:p>
      <w:pPr>
        <w:spacing w:after="0" w:line="27" w:lineRule="exact"/>
        <w:rPr>
          <w:rFonts w:ascii="Times New Roman" w:cs="Times New Roman" w:eastAsia="Times New Roman" w:hAnsi="Times New Roman"/>
          <w:sz w:val="13"/>
          <w:szCs w:val="13"/>
          <w:color w:val="008000"/>
        </w:rPr>
      </w:pPr>
    </w:p>
    <w:p>
      <w:pPr>
        <w:jc w:val="both"/>
        <w:ind w:left="40" w:right="1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price. These shares were sold in multiple transactions at prices ranging from $18.00 to $18.16, inclusive. The reporting person undertakes to provide to USCB, or any security holder of USCB, or the staff of the Securities and Exchange Commission, upon request, full information regarding the number of shares sold at each separate price within the range set forth in this footnote.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at the rate of 25% per year commencing on April 1, 2017.</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at the rate of one-third per year commencing on September 23, 2020.</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at the rate of one-third per year commencing on September 27, 2022.</w:t>
      </w:r>
    </w:p>
    <w:p>
      <w:pPr>
        <w:spacing w:after="0" w:line="1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Robert Anderson by P.O.A.</w:t>
      </w:r>
      <w:r>
        <w:rPr>
          <w:sz w:val="20"/>
          <w:szCs w:val="20"/>
          <w:color w:val="auto"/>
        </w:rPr>
        <w:tab/>
      </w:r>
      <w:r>
        <w:rPr>
          <w:rFonts w:ascii="Times New Roman" w:cs="Times New Roman" w:eastAsia="Times New Roman" w:hAnsi="Times New Roman"/>
          <w:sz w:val="24"/>
          <w:szCs w:val="24"/>
          <w:color w:val="0000FF"/>
          <w:vertAlign w:val="subscript"/>
        </w:rPr>
        <w:t>01/30/2026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280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Luis de la Aguilera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956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631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6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6660" TargetMode="External"/><Relationship Id="rId14"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2026-01-30T07:51:57Z</dcterms:created>
  <dcterms:modified xsi:type="dcterms:W3CDTF">2026-01-30T07:51:57Z</dcterms:modified>
</cp:coreProperties>
</file>