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tabs>
          <w:tab w:leader="none" w:pos="480" w:val="left"/>
          <w:tab w:leader="none" w:pos="780" w:val="left"/>
          <w:tab w:leader="none" w:pos="1440" w:val="left"/>
          <w:tab w:leader="none" w:pos="1980" w:val="left"/>
          <w:tab w:leader="none" w:pos="2300" w:val="left"/>
          <w:tab w:leader="none" w:pos="2960" w:val="left"/>
        </w:tabs>
        <w:rPr>
          <w:sz w:val="20"/>
          <w:szCs w:val="20"/>
          <w:color w:val="auto"/>
        </w:rPr>
      </w:pPr>
      <w:r>
        <w:rPr>
          <w:rFonts w:ascii="Times New Roman" w:cs="Times New Roman" w:eastAsia="Times New Roman" w:hAnsi="Times New Roman"/>
          <w:sz w:val="18"/>
          <w:szCs w:val="18"/>
          <w:color w:val="auto"/>
        </w:rPr>
        <w:t>Date</w:t>
        <w:tab/>
        <w:t>of</w:t>
        <w:tab/>
        <w:t>Report</w:t>
        <w:tab/>
        <w:t>(Date</w:t>
        <w:tab/>
        <w:t>of</w:t>
        <w:tab/>
        <w:t>earliest</w:t>
        <w:tab/>
        <w:t>eventJuly 21, 2025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wp:posOffset>
            </wp:positionV>
            <wp:extent cx="4989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3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001-41196</w:t>
            </w:r>
          </w:p>
        </w:tc>
        <w:tc>
          <w:tcPr>
            <w:tcW w:w="35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0"/>
                <w:szCs w:val="20"/>
                <w:color w:val="auto"/>
              </w:rPr>
            </w:pPr>
          </w:p>
        </w:tc>
      </w:tr>
      <w:tr>
        <w:trPr>
          <w:trHeight w:val="191"/>
        </w:trPr>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5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380" w:type="dxa"/>
            <w:vAlign w:val="bottom"/>
          </w:tcPr>
          <w:p>
            <w:pPr>
              <w:spacing w:after="0"/>
              <w:rPr>
                <w:sz w:val="20"/>
                <w:szCs w:val="20"/>
                <w:color w:val="auto"/>
              </w:rPr>
            </w:pPr>
          </w:p>
        </w:tc>
        <w:tc>
          <w:tcPr>
            <w:tcW w:w="3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33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spacing w:after="0"/>
              <w:rPr>
                <w:sz w:val="19"/>
                <w:szCs w:val="19"/>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38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w w:val="99"/>
              </w:rPr>
              <w:t>(305) 715-5200</w:t>
            </w:r>
          </w:p>
        </w:tc>
        <w:tc>
          <w:tcPr>
            <w:tcW w:w="3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40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26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0" w:type="dxa"/>
            <w:vAlign w:val="bottom"/>
          </w:tcPr>
          <w:p>
            <w:pPr>
              <w:spacing w:after="0"/>
              <w:rPr>
                <w:sz w:val="1"/>
                <w:szCs w:val="1"/>
                <w:color w:val="auto"/>
              </w:rPr>
            </w:pPr>
          </w:p>
        </w:tc>
      </w:tr>
      <w:tr>
        <w:trPr>
          <w:trHeight w:val="125"/>
        </w:trPr>
        <w:tc>
          <w:tcPr>
            <w:tcW w:w="1400" w:type="dxa"/>
            <w:vAlign w:val="bottom"/>
            <w:tcBorders>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560" w:val="left"/>
          <w:tab w:leader="none" w:pos="1120" w:val="left"/>
        </w:tabs>
        <w:rPr>
          <w:sz w:val="20"/>
          <w:szCs w:val="20"/>
          <w:color w:val="auto"/>
        </w:rPr>
      </w:pPr>
      <w:r>
        <w:rPr>
          <w:rFonts w:ascii="Times New Roman" w:cs="Times New Roman" w:eastAsia="Times New Roman" w:hAnsi="Times New Roman"/>
          <w:sz w:val="18"/>
          <w:szCs w:val="18"/>
          <w:b w:val="1"/>
          <w:bCs w:val="1"/>
          <w:color w:val="auto"/>
        </w:rPr>
        <w:t>Item</w:t>
        <w:tab/>
        <w:t>7.01</w:t>
      </w:r>
      <w:r>
        <w:rPr>
          <w:sz w:val="20"/>
          <w:szCs w:val="20"/>
          <w:color w:val="auto"/>
        </w:rPr>
        <w:tab/>
      </w:r>
      <w:r>
        <w:rPr>
          <w:rFonts w:ascii="Times New Roman" w:cs="Times New Roman" w:eastAsia="Times New Roman" w:hAnsi="Times New Roman"/>
          <w:sz w:val="18"/>
          <w:szCs w:val="18"/>
          <w:b w:val="1"/>
          <w:bCs w:val="1"/>
          <w:u w:val="single" w:color="auto"/>
          <w:color w:val="auto"/>
        </w:rPr>
        <w:t>Regulation FD Disclosure.</w:t>
      </w:r>
    </w:p>
    <w:p>
      <w:pPr>
        <w:spacing w:after="0" w:line="31" w:lineRule="exact"/>
        <w:rPr>
          <w:sz w:val="20"/>
          <w:szCs w:val="20"/>
          <w:color w:val="auto"/>
        </w:rPr>
      </w:pPr>
    </w:p>
    <w:p>
      <w:pPr>
        <w:jc w:val="both"/>
        <w:ind w:left="1140"/>
        <w:spacing w:after="0" w:line="250" w:lineRule="auto"/>
        <w:rPr>
          <w:sz w:val="20"/>
          <w:szCs w:val="20"/>
          <w:color w:val="auto"/>
        </w:rPr>
      </w:pPr>
      <w:r>
        <w:rPr>
          <w:rFonts w:ascii="Times New Roman" w:cs="Times New Roman" w:eastAsia="Times New Roman" w:hAnsi="Times New Roman"/>
          <w:sz w:val="18"/>
          <w:szCs w:val="18"/>
          <w:color w:val="auto"/>
        </w:rPr>
        <w:t>On July 21, 2025, USCB Financial Holdings, Inc. (the “Company”) issued a press release announcing the declaration of the Company’s quarterly cash dividend. The dividend is in the amount of $0.10 per share of Class A common stock and is payable on September 5, 2025 to shareholders of record as of the close of business on August 15, 2025. For additional information, reference is made to the Company’s press release, dated July 21, 2025, which is included as Exhibit 99.1 hereto and is incorporated herein by reference thereto.</w:t>
      </w:r>
    </w:p>
    <w:p>
      <w:pPr>
        <w:spacing w:after="0" w:line="2" w:lineRule="exact"/>
        <w:rPr>
          <w:sz w:val="20"/>
          <w:szCs w:val="20"/>
          <w:color w:val="auto"/>
        </w:rPr>
      </w:pPr>
    </w:p>
    <w:p>
      <w:pPr>
        <w:jc w:val="both"/>
        <w:ind w:left="1140"/>
        <w:spacing w:after="0" w:line="253" w:lineRule="auto"/>
        <w:rPr>
          <w:sz w:val="20"/>
          <w:szCs w:val="20"/>
          <w:color w:val="auto"/>
        </w:rPr>
      </w:pPr>
      <w:r>
        <w:rPr>
          <w:rFonts w:ascii="Times New Roman" w:cs="Times New Roman" w:eastAsia="Times New Roman" w:hAnsi="Times New Roman"/>
          <w:sz w:val="18"/>
          <w:szCs w:val="18"/>
          <w:color w:val="auto"/>
        </w:rPr>
        <w:t>The information in this Item 7.01, including Exhibit 99.1 hereto,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Statements and Exhibits</w:t>
            </w:r>
          </w:p>
        </w:tc>
      </w:tr>
      <w:tr>
        <w:trPr>
          <w:trHeight w:val="453"/>
        </w:trPr>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74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6"/>
                <w:szCs w:val="16"/>
                <w:color w:val="auto"/>
              </w:rPr>
            </w:pPr>
          </w:p>
        </w:tc>
        <w:tc>
          <w:tcPr>
            <w:tcW w:w="3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Press release dated July 21, 2025.</w:t>
            </w:r>
          </w:p>
        </w:tc>
        <w:tc>
          <w:tcPr>
            <w:tcW w:w="464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20" w:type="dxa"/>
            <w:vAlign w:val="bottom"/>
            <w:gridSpan w:val="2"/>
          </w:tcPr>
          <w:p>
            <w:pPr>
              <w:jc w:val="right"/>
              <w:ind w:right="830"/>
              <w:spacing w:after="0"/>
              <w:rPr>
                <w:sz w:val="20"/>
                <w:szCs w:val="20"/>
                <w:color w:val="auto"/>
              </w:rPr>
            </w:pPr>
            <w:r>
              <w:rPr>
                <w:rFonts w:ascii="Times New Roman" w:cs="Times New Roman" w:eastAsia="Times New Roman" w:hAnsi="Times New Roman"/>
                <w:sz w:val="22"/>
                <w:szCs w:val="22"/>
                <w:color w:val="auto"/>
              </w:rPr>
              <w:t>2</w:t>
            </w:r>
          </w:p>
        </w:tc>
        <w:tc>
          <w:tcPr>
            <w:tcW w:w="46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ectPr>
          <w:pgSz w:w="11900" w:h="16838" w:orient="portrait"/>
          <w:cols w:equalWidth="0" w:num="1">
            <w:col w:w="11240"/>
          </w:cols>
          <w:pgMar w:left="320" w:top="576" w:right="339" w:bottom="1440" w:gutter="0" w:footer="0" w:header="0"/>
        </w:sectPr>
      </w:pPr>
    </w:p>
    <w:bookmarkStart w:id="3" w:name="page4"/>
    <w:bookmarkEnd w:id="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1785620</wp:posOffset>
            </wp:positionH>
            <wp:positionV relativeFrom="page">
              <wp:posOffset>88900</wp:posOffset>
            </wp:positionV>
            <wp:extent cx="398589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 DECLARES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CASH DIVIDEND ON COMMON STOCK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July 21,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USCB Financial Holdings, Inc.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(NASDAQ: USCB)</w:t>
      </w:r>
      <w:r>
        <w:rPr>
          <w:rFonts w:ascii="Times New Roman" w:cs="Times New Roman" w:eastAsia="Times New Roman" w:hAnsi="Times New Roman"/>
          <w:sz w:val="18"/>
          <w:szCs w:val="18"/>
          <w:color w:val="auto"/>
        </w:rPr>
        <w:t>, the holding company for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its Board of Directors declared a regular quarterly cash dividend of $0.10 per share of Class A common stock, payable on September 5, 2025 to shareholders of record as of the close of business on August 15, 2025. Future dividend payments are subject to quarterly review and approval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InvestorRelations@uscentury.com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ind w:right="936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715-5141 MGuerra@uscentury.com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2025-07-21T15:40:15Z</dcterms:created>
  <dcterms:modified xsi:type="dcterms:W3CDTF">2025-07-21T15:40:15Z</dcterms:modified>
</cp:coreProperties>
</file>