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28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-627380</wp:posOffset>
            </wp:positionV>
            <wp:extent cx="58420" cy="6407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3981450</wp:posOffset>
            </wp:positionH>
            <wp:positionV relativeFrom="paragraph">
              <wp:posOffset>-627380</wp:posOffset>
            </wp:positionV>
            <wp:extent cx="58420" cy="640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745490</wp:posOffset>
            </wp:positionV>
            <wp:extent cx="7046595" cy="5671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7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40"/>
            <w:col w:w="8500"/>
          </w:cols>
          <w:pgMar w:left="460" w:top="218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COLLAZO ANDRES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USCB FINANCIAL HOLDINGS,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2301 N.W. 87TH AVENUE</w:t>
      </w:r>
    </w:p>
    <w:p>
      <w:pPr>
        <w:spacing w:after="0" w:line="28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DORAL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33172</w:t>
            </w: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42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USCB FINANCIAL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USCB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Executive VP, Operations &amp; IT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34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01/27/2026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8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Voting Common Stock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01/22/2026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6,123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32,950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09/27/2022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30,000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12.05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09/27/2031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Voting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04/25/2017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14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Voting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7.5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04/25/2026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80" w:type="dxa"/>
            <w:vAlign w:val="bottom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Voting</w:t>
            </w:r>
          </w:p>
        </w:tc>
        <w:tc>
          <w:tcPr>
            <w:tcW w:w="3540" w:type="dxa"/>
            <w:vAlign w:val="bottom"/>
            <w:vMerge w:val="restart"/>
          </w:tcPr>
          <w:p>
            <w:pPr>
              <w:ind w:left="3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7"/>
              </w:rPr>
              <w:t>Stock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3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grant of 6,123 shares of restricted stock which vest at a rate of one-third per year commencing on January 27, 2027.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42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948 shares of restricted stock from a grant of 2,846 shares which commenced vesting at a rate of one-third per year on January 22, 2025, 1,763 shares of restricted stock from a grant of 5,289 shares which commenced vesting at a rate of one-third per year on March 8, 2024, 10,000 shares of restricted stock from a grant of 15,000 shares which commenced vesting at a rate of one-third per year on October 28, 2025 and 4,042 shares of restricted stock from a grant of 6,064 shares which commenced vesting at a rate of one-third per year commencing on January 21, 2026.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the rate of one-third per year commencing on September 27, 2022.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vested at a rate of one-third per year commencing on April 25, 2017.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Robert Anderson by P.O.A.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5"/>
          <w:szCs w:val="25"/>
          <w:color w:val="0000FF"/>
          <w:vertAlign w:val="subscript"/>
        </w:rPr>
        <w:t>01/28/2026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-27305</wp:posOffset>
            </wp:positionV>
            <wp:extent cx="13011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Andres Collazo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4187825</wp:posOffset>
            </wp:positionH>
            <wp:positionV relativeFrom="paragraph">
              <wp:posOffset>-20320</wp:posOffset>
            </wp:positionV>
            <wp:extent cx="8178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7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5582920</wp:posOffset>
            </wp:positionH>
            <wp:positionV relativeFrom="paragraph">
              <wp:posOffset>-85725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7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8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16662" TargetMode="External"/><Relationship Id="rId14" Type="http://schemas.openxmlformats.org/officeDocument/2006/relationships/hyperlink" Target="http://www.sec.gov/cgi-bin/browse-edgar?action=getcompany&amp;CIK=000190163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2026-01-28T15:13:22Z</dcterms:created>
  <dcterms:modified xsi:type="dcterms:W3CDTF">2026-01-28T15:13:22Z</dcterms:modified>
</cp:coreProperties>
</file>