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80" w:type="dxa"/>
            <w:vAlign w:val="bottom"/>
            <w:tcBorders>
              <w:bottom w:val="single" w:sz="8" w:color="auto"/>
            </w:tcBorders>
          </w:tcPr>
          <w:p>
            <w:pPr>
              <w:jc w:val="right"/>
              <w:ind w:right="1590"/>
              <w:spacing w:after="0"/>
              <w:rPr>
                <w:sz w:val="20"/>
                <w:szCs w:val="20"/>
                <w:color w:val="auto"/>
              </w:rPr>
            </w:pPr>
            <w:r>
              <w:rPr>
                <w:rFonts w:ascii="Times New Roman" w:cs="Times New Roman" w:eastAsia="Times New Roman" w:hAnsi="Times New Roman"/>
                <w:sz w:val="18"/>
                <w:szCs w:val="18"/>
                <w:color w:val="auto"/>
                <w:w w:val="97"/>
              </w:rPr>
              <w:t>May 31, 2022</w:t>
            </w:r>
          </w:p>
        </w:tc>
        <w:tc>
          <w:tcPr>
            <w:tcW w:w="3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26"/>
        </w:trPr>
        <w:tc>
          <w:tcPr>
            <w:tcW w:w="374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3"/>
          </w:tcPr>
          <w:p>
            <w:pPr>
              <w:jc w:val="center"/>
              <w:ind w:right="530"/>
              <w:spacing w:after="0"/>
              <w:rPr>
                <w:sz w:val="20"/>
                <w:szCs w:val="20"/>
                <w:color w:val="auto"/>
              </w:rPr>
            </w:pPr>
            <w:r>
              <w:rPr>
                <w:rFonts w:ascii="Times New Roman" w:cs="Times New Roman" w:eastAsia="Times New Roman" w:hAnsi="Times New Roman"/>
                <w:sz w:val="18"/>
                <w:szCs w:val="18"/>
                <w:color w:val="auto"/>
              </w:rPr>
              <w:t>USCB Financial Holdings, Inc.</w:t>
            </w:r>
          </w:p>
        </w:tc>
        <w:tc>
          <w:tcPr>
            <w:tcW w:w="3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3740" w:type="dxa"/>
            <w:vAlign w:val="bottom"/>
          </w:tcPr>
          <w:p>
            <w:pPr>
              <w:spacing w:after="0"/>
              <w:rPr>
                <w:sz w:val="19"/>
                <w:szCs w:val="19"/>
                <w:color w:val="auto"/>
              </w:rPr>
            </w:pPr>
          </w:p>
        </w:tc>
        <w:tc>
          <w:tcPr>
            <w:tcW w:w="4400" w:type="dxa"/>
            <w:vAlign w:val="bottom"/>
            <w:gridSpan w:val="3"/>
          </w:tcPr>
          <w:p>
            <w:pPr>
              <w:jc w:val="center"/>
              <w:ind w:right="55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Florida</w:t>
            </w:r>
          </w:p>
        </w:tc>
        <w:tc>
          <w:tcPr>
            <w:tcW w:w="4400" w:type="dxa"/>
            <w:vAlign w:val="bottom"/>
            <w:tcBorders>
              <w:bottom w:val="single" w:sz="8" w:color="auto"/>
            </w:tcBorders>
            <w:gridSpan w:val="3"/>
          </w:tcPr>
          <w:p>
            <w:pPr>
              <w:jc w:val="right"/>
              <w:ind w:right="1870"/>
              <w:spacing w:after="0"/>
              <w:rPr>
                <w:sz w:val="20"/>
                <w:szCs w:val="20"/>
                <w:color w:val="auto"/>
              </w:rPr>
            </w:pPr>
            <w:r>
              <w:rPr>
                <w:rFonts w:ascii="Times New Roman" w:cs="Times New Roman" w:eastAsia="Times New Roman" w:hAnsi="Times New Roman"/>
                <w:sz w:val="18"/>
                <w:szCs w:val="18"/>
                <w:color w:val="auto"/>
              </w:rPr>
              <w:t>001-41196</w:t>
            </w:r>
          </w:p>
        </w:tc>
        <w:tc>
          <w:tcPr>
            <w:tcW w:w="310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rPr>
              <w:t>87-4070846</w:t>
            </w:r>
          </w:p>
        </w:tc>
        <w:tc>
          <w:tcPr>
            <w:tcW w:w="20" w:type="dxa"/>
            <w:vAlign w:val="bottom"/>
          </w:tcPr>
          <w:p>
            <w:pPr>
              <w:spacing w:after="0"/>
              <w:rPr>
                <w:sz w:val="24"/>
                <w:szCs w:val="24"/>
                <w:color w:val="auto"/>
              </w:rPr>
            </w:pPr>
          </w:p>
        </w:tc>
      </w:tr>
      <w:tr>
        <w:trPr>
          <w:trHeight w:val="191"/>
        </w:trPr>
        <w:tc>
          <w:tcPr>
            <w:tcW w:w="3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4400" w:type="dxa"/>
            <w:vAlign w:val="bottom"/>
            <w:gridSpan w:val="3"/>
          </w:tcPr>
          <w:p>
            <w:pPr>
              <w:jc w:val="center"/>
              <w:ind w:right="210"/>
              <w:spacing w:after="0" w:line="191"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3100" w:type="dxa"/>
            <w:vAlign w:val="bottom"/>
          </w:tcPr>
          <w:p>
            <w:pPr>
              <w:jc w:val="center"/>
              <w:ind w:right="370"/>
              <w:spacing w:after="0" w:line="191" w:lineRule="exact"/>
              <w:rPr>
                <w:sz w:val="20"/>
                <w:szCs w:val="20"/>
                <w:color w:val="auto"/>
              </w:rPr>
            </w:pPr>
            <w:r>
              <w:rPr>
                <w:rFonts w:ascii="Times New Roman" w:cs="Times New Roman" w:eastAsia="Times New Roman" w:hAnsi="Times New Roman"/>
                <w:sz w:val="18"/>
                <w:szCs w:val="18"/>
                <w:color w:val="auto"/>
                <w:w w:val="98"/>
              </w:rPr>
              <w:t>(IRS Employer</w:t>
            </w:r>
          </w:p>
        </w:tc>
        <w:tc>
          <w:tcPr>
            <w:tcW w:w="20" w:type="dxa"/>
            <w:vAlign w:val="bottom"/>
          </w:tcPr>
          <w:p>
            <w:pPr>
              <w:spacing w:after="0"/>
              <w:rPr>
                <w:sz w:val="16"/>
                <w:szCs w:val="16"/>
                <w:color w:val="auto"/>
              </w:rPr>
            </w:pP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of incorporation)</w:t>
            </w: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1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2301 N.W. 87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Avenue, Miami, Florida</w:t>
            </w:r>
          </w:p>
        </w:tc>
        <w:tc>
          <w:tcPr>
            <w:tcW w:w="1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33172</w:t>
            </w:r>
          </w:p>
        </w:tc>
        <w:tc>
          <w:tcPr>
            <w:tcW w:w="20" w:type="dxa"/>
            <w:vAlign w:val="bottom"/>
          </w:tcPr>
          <w:p>
            <w:pPr>
              <w:spacing w:after="0"/>
              <w:rPr>
                <w:sz w:val="24"/>
                <w:szCs w:val="24"/>
                <w:color w:val="auto"/>
              </w:rPr>
            </w:pPr>
          </w:p>
        </w:tc>
      </w:tr>
      <w:tr>
        <w:trPr>
          <w:trHeight w:val="228"/>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(Zip Code)</w:t>
            </w:r>
          </w:p>
        </w:tc>
        <w:tc>
          <w:tcPr>
            <w:tcW w:w="20" w:type="dxa"/>
            <w:vAlign w:val="bottom"/>
          </w:tcPr>
          <w:p>
            <w:pPr>
              <w:spacing w:after="0"/>
              <w:rPr>
                <w:sz w:val="19"/>
                <w:szCs w:val="19"/>
                <w:color w:val="auto"/>
              </w:rPr>
            </w:pPr>
          </w:p>
        </w:tc>
      </w:tr>
      <w:tr>
        <w:trPr>
          <w:trHeight w:val="41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140" w:type="dxa"/>
            <w:vAlign w:val="bottom"/>
          </w:tcPr>
          <w:p>
            <w:pPr>
              <w:spacing w:after="0"/>
              <w:rPr>
                <w:sz w:val="24"/>
                <w:szCs w:val="24"/>
                <w:color w:val="auto"/>
              </w:rPr>
            </w:pPr>
          </w:p>
        </w:tc>
        <w:tc>
          <w:tcPr>
            <w:tcW w:w="3260" w:type="dxa"/>
            <w:vAlign w:val="bottom"/>
            <w:tcBorders>
              <w:bottom w:val="single" w:sz="8" w:color="auto"/>
            </w:tcBorders>
            <w:gridSpan w:val="2"/>
          </w:tcPr>
          <w:p>
            <w:pPr>
              <w:jc w:val="right"/>
              <w:ind w:right="2050"/>
              <w:spacing w:after="0"/>
              <w:rPr>
                <w:sz w:val="20"/>
                <w:szCs w:val="20"/>
                <w:color w:val="auto"/>
              </w:rPr>
            </w:pPr>
            <w:r>
              <w:rPr>
                <w:rFonts w:ascii="Times New Roman" w:cs="Times New Roman" w:eastAsia="Times New Roman" w:hAnsi="Times New Roman"/>
                <w:sz w:val="18"/>
                <w:szCs w:val="18"/>
                <w:color w:val="auto"/>
                <w:w w:val="97"/>
              </w:rPr>
              <w:t>(305) 715-5200</w:t>
            </w:r>
          </w:p>
        </w:tc>
        <w:tc>
          <w:tcPr>
            <w:tcW w:w="3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43"/>
          <w:szCs w:val="43"/>
          <w:color w:val="auto"/>
          <w:vertAlign w:val="subscript"/>
        </w:rPr>
      </w:pPr>
    </w:p>
    <w:p>
      <w:pPr>
        <w:ind w:left="340" w:hanging="332"/>
        <w:spacing w:after="0" w:line="183" w:lineRule="auto"/>
        <w:tabs>
          <w:tab w:leader="none" w:pos="340" w:val="left"/>
        </w:tabs>
        <w:numPr>
          <w:ilvl w:val="0"/>
          <w:numId w:val="1"/>
        </w:numPr>
        <w:rPr>
          <w:rFonts w:ascii="MS PGothic" w:cs="MS PGothic" w:eastAsia="MS PGothic" w:hAnsi="MS PGothic"/>
          <w:sz w:val="28"/>
          <w:szCs w:val="28"/>
          <w:color w:val="auto"/>
          <w:vertAlign w:val="subscript"/>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42" w:lineRule="exact"/>
        <w:rPr>
          <w:rFonts w:ascii="MS PGothic" w:cs="MS PGothic" w:eastAsia="MS PGothic" w:hAnsi="MS PGothic"/>
          <w:sz w:val="28"/>
          <w:szCs w:val="28"/>
          <w:color w:val="auto"/>
          <w:vertAlign w:val="subscript"/>
        </w:rPr>
      </w:pPr>
    </w:p>
    <w:p>
      <w:pPr>
        <w:ind w:left="340" w:hanging="332"/>
        <w:spacing w:after="0" w:line="183" w:lineRule="auto"/>
        <w:tabs>
          <w:tab w:leader="none" w:pos="340" w:val="left"/>
        </w:tabs>
        <w:numPr>
          <w:ilvl w:val="0"/>
          <w:numId w:val="1"/>
        </w:numPr>
        <w:rPr>
          <w:rFonts w:ascii="MS PGothic" w:cs="MS PGothic" w:eastAsia="MS PGothic" w:hAnsi="MS PGothic"/>
          <w:sz w:val="28"/>
          <w:szCs w:val="28"/>
          <w:color w:val="auto"/>
          <w:vertAlign w:val="subscript"/>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43" w:lineRule="exact"/>
        <w:rPr>
          <w:rFonts w:ascii="MS PGothic" w:cs="MS PGothic" w:eastAsia="MS PGothic" w:hAnsi="MS PGothic"/>
          <w:sz w:val="28"/>
          <w:szCs w:val="28"/>
          <w:color w:val="auto"/>
          <w:vertAlign w:val="subscript"/>
        </w:rPr>
      </w:pPr>
    </w:p>
    <w:p>
      <w:pPr>
        <w:ind w:left="340" w:hanging="332"/>
        <w:spacing w:after="0" w:line="183" w:lineRule="auto"/>
        <w:tabs>
          <w:tab w:leader="none" w:pos="340" w:val="left"/>
        </w:tabs>
        <w:numPr>
          <w:ilvl w:val="0"/>
          <w:numId w:val="1"/>
        </w:numPr>
        <w:rPr>
          <w:rFonts w:ascii="MS PGothic" w:cs="MS PGothic" w:eastAsia="MS PGothic" w:hAnsi="MS PGothic"/>
          <w:sz w:val="28"/>
          <w:szCs w:val="28"/>
          <w:color w:val="auto"/>
          <w:vertAlign w:val="subscript"/>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0" w:lineRule="exact"/>
        <w:rPr>
          <w:sz w:val="24"/>
          <w:szCs w:val="24"/>
          <w:color w:val="auto"/>
        </w:rPr>
      </w:pPr>
    </w:p>
    <w:tbl>
      <w:tblPr>
        <w:tblLayout w:type="fixed"/>
        <w:tblInd w:w="1390" w:type="dxa"/>
        <w:tblCellMar>
          <w:top w:w="0" w:type="dxa"/>
          <w:left w:w="0" w:type="dxa"/>
          <w:bottom w:w="0" w:type="dxa"/>
          <w:right w:w="0" w:type="dxa"/>
        </w:tblCellMar>
      </w:tblPr>
      <w:tr>
        <w:trPr>
          <w:trHeight w:val="214"/>
        </w:trPr>
        <w:tc>
          <w:tcPr>
            <w:tcW w:w="3080" w:type="dxa"/>
            <w:vAlign w:val="bottom"/>
            <w:tcBorders>
              <w:top w:val="single" w:sz="8" w:color="auto"/>
              <w:left w:val="single" w:sz="8" w:color="auto"/>
              <w:right w:val="single" w:sz="8" w:color="auto"/>
            </w:tcBorders>
          </w:tcPr>
          <w:p>
            <w:pPr>
              <w:spacing w:after="0"/>
              <w:rPr>
                <w:sz w:val="18"/>
                <w:szCs w:val="18"/>
                <w:color w:val="auto"/>
              </w:rPr>
            </w:pPr>
          </w:p>
        </w:tc>
        <w:tc>
          <w:tcPr>
            <w:tcW w:w="2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w:t>
            </w:r>
          </w:p>
        </w:tc>
        <w:tc>
          <w:tcPr>
            <w:tcW w:w="2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31"/>
        </w:trPr>
        <w:tc>
          <w:tcPr>
            <w:tcW w:w="3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Symbol(s)</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13"/>
        </w:trPr>
        <w:tc>
          <w:tcPr>
            <w:tcW w:w="3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USCB</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2" w:lineRule="exact"/>
        <w:rPr>
          <w:sz w:val="24"/>
          <w:szCs w:val="24"/>
          <w:color w:val="auto"/>
        </w:rPr>
      </w:pPr>
    </w:p>
    <w:p>
      <w:pPr>
        <w:ind w:left="9040"/>
        <w:spacing w:after="0" w:line="230"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20"/>
          <w:szCs w:val="20"/>
          <w:color w:val="auto"/>
        </w:rPr>
        <w:t>☒</w:t>
      </w:r>
    </w:p>
    <w:p>
      <w:pPr>
        <w:spacing w:after="0" w:line="272" w:lineRule="exact"/>
        <w:rPr>
          <w:sz w:val="24"/>
          <w:szCs w:val="24"/>
          <w:color w:val="auto"/>
        </w:rPr>
      </w:pPr>
    </w:p>
    <w:p>
      <w:pPr>
        <w:spacing w:after="0" w:line="26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u w:val="single" w:color="auto"/>
          <w:color w:val="auto"/>
        </w:rPr>
        <w:t>Submission of Matters to a Vote of Security Holders</w:t>
      </w:r>
    </w:p>
    <w:p>
      <w:pPr>
        <w:spacing w:after="0" w:line="229" w:lineRule="exact"/>
        <w:rPr>
          <w:sz w:val="20"/>
          <w:szCs w:val="20"/>
          <w:color w:val="auto"/>
        </w:rPr>
      </w:pPr>
    </w:p>
    <w:p>
      <w:pPr>
        <w:ind w:left="880" w:hanging="481"/>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Meeting of Shareholders (the “Annual Meeting”) of USCB Financial Holdings Inc. (the “Company”) was held on May 31, 2022.</w:t>
      </w:r>
    </w:p>
    <w:p>
      <w:pPr>
        <w:spacing w:after="0" w:line="27" w:lineRule="exact"/>
        <w:rPr>
          <w:rFonts w:ascii="Times New Roman" w:cs="Times New Roman" w:eastAsia="Times New Roman" w:hAnsi="Times New Roman"/>
          <w:sz w:val="18"/>
          <w:szCs w:val="18"/>
          <w:color w:val="auto"/>
        </w:rPr>
      </w:pPr>
    </w:p>
    <w:p>
      <w:pPr>
        <w:jc w:val="both"/>
        <w:ind w:left="880" w:hanging="481"/>
        <w:spacing w:after="0" w:line="255" w:lineRule="auto"/>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20,000,753 shares of Class A common stock, par value $1.00 per share, of the Company outstanding and eligible to be voted at the Annual Meeting and 16,901,044 shares were represented in person or by proxy at the Annual Meeting, which constituted a quorum to conduct business at the meeting.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items voted upon at the Annual Meeting and the votes for each proposal were as follows:</w:t>
      </w:r>
    </w:p>
    <w:p>
      <w:pPr>
        <w:spacing w:after="0" w:line="2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 Election of directors for a one-year term until 2023:</w:t>
      </w:r>
    </w:p>
    <w:p>
      <w:pPr>
        <w:spacing w:after="0" w:line="221"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w:t>
            </w:r>
          </w:p>
        </w:tc>
        <w:tc>
          <w:tcPr>
            <w:tcW w:w="0" w:type="dxa"/>
            <w:vAlign w:val="bottom"/>
          </w:tcPr>
          <w:p>
            <w:pPr>
              <w:spacing w:after="0"/>
              <w:rPr>
                <w:sz w:val="1"/>
                <w:szCs w:val="1"/>
                <w:color w:val="auto"/>
              </w:rPr>
            </w:pPr>
          </w:p>
        </w:tc>
      </w:tr>
      <w:tr>
        <w:trPr>
          <w:trHeight w:val="238"/>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Ramon Abadin</w:t>
            </w: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20" w:type="dxa"/>
            <w:vAlign w:val="bottom"/>
          </w:tcPr>
          <w:p>
            <w:pPr>
              <w:spacing w:after="0"/>
              <w:rPr>
                <w:sz w:val="20"/>
                <w:szCs w:val="20"/>
                <w:color w:val="auto"/>
              </w:rPr>
            </w:pPr>
          </w:p>
        </w:tc>
        <w:tc>
          <w:tcPr>
            <w:tcW w:w="26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320" w:type="dxa"/>
            <w:vAlign w:val="bottom"/>
          </w:tcPr>
          <w:p>
            <w:pPr>
              <w:spacing w:after="0"/>
              <w:rPr>
                <w:sz w:val="20"/>
                <w:szCs w:val="20"/>
                <w:color w:val="auto"/>
              </w:rPr>
            </w:pP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Non-votes</w:t>
            </w:r>
          </w:p>
        </w:tc>
        <w:tc>
          <w:tcPr>
            <w:tcW w:w="0" w:type="dxa"/>
            <w:vAlign w:val="bottom"/>
          </w:tcPr>
          <w:p>
            <w:pPr>
              <w:spacing w:after="0"/>
              <w:rPr>
                <w:sz w:val="1"/>
                <w:szCs w:val="1"/>
                <w:color w:val="auto"/>
              </w:rPr>
            </w:pPr>
          </w:p>
        </w:tc>
      </w:tr>
      <w:tr>
        <w:trPr>
          <w:trHeight w:val="191"/>
        </w:trPr>
        <w:tc>
          <w:tcPr>
            <w:tcW w:w="2380" w:type="dxa"/>
            <w:vAlign w:val="bottom"/>
            <w:vMerge w:val="continue"/>
          </w:tcPr>
          <w:p>
            <w:pPr>
              <w:spacing w:after="0"/>
              <w:rPr>
                <w:sz w:val="16"/>
                <w:szCs w:val="16"/>
                <w:color w:val="auto"/>
              </w:rPr>
            </w:pPr>
          </w:p>
        </w:tc>
        <w:tc>
          <w:tcPr>
            <w:tcW w:w="26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14,105,052</w:t>
            </w:r>
          </w:p>
        </w:tc>
        <w:tc>
          <w:tcPr>
            <w:tcW w:w="320" w:type="dxa"/>
            <w:vAlign w:val="bottom"/>
          </w:tcPr>
          <w:p>
            <w:pPr>
              <w:spacing w:after="0"/>
              <w:rPr>
                <w:sz w:val="16"/>
                <w:szCs w:val="16"/>
                <w:color w:val="auto"/>
              </w:rPr>
            </w:pPr>
          </w:p>
        </w:tc>
        <w:tc>
          <w:tcPr>
            <w:tcW w:w="2640" w:type="dxa"/>
            <w:vAlign w:val="bottom"/>
          </w:tcPr>
          <w:p>
            <w:pPr>
              <w:jc w:val="right"/>
              <w:ind w:right="950"/>
              <w:spacing w:after="0" w:line="191" w:lineRule="exact"/>
              <w:rPr>
                <w:sz w:val="20"/>
                <w:szCs w:val="20"/>
                <w:color w:val="auto"/>
              </w:rPr>
            </w:pPr>
            <w:r>
              <w:rPr>
                <w:rFonts w:ascii="Times New Roman" w:cs="Times New Roman" w:eastAsia="Times New Roman" w:hAnsi="Times New Roman"/>
                <w:sz w:val="18"/>
                <w:szCs w:val="18"/>
                <w:color w:val="auto"/>
              </w:rPr>
              <w:t>1,349 494</w:t>
            </w:r>
          </w:p>
        </w:tc>
        <w:tc>
          <w:tcPr>
            <w:tcW w:w="320" w:type="dxa"/>
            <w:vAlign w:val="bottom"/>
          </w:tcPr>
          <w:p>
            <w:pPr>
              <w:spacing w:after="0"/>
              <w:rPr>
                <w:sz w:val="16"/>
                <w:szCs w:val="16"/>
                <w:color w:val="auto"/>
              </w:rPr>
            </w:pPr>
          </w:p>
        </w:tc>
        <w:tc>
          <w:tcPr>
            <w:tcW w:w="26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1,446,498</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Luis de la Aguilera</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15,425,750</w:t>
            </w:r>
          </w:p>
        </w:tc>
        <w:tc>
          <w:tcPr>
            <w:tcW w:w="296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28,796</w:t>
            </w:r>
          </w:p>
        </w:tc>
        <w:tc>
          <w:tcPr>
            <w:tcW w:w="29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1,446,498</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Maria C. Alonso</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15,441,150</w:t>
            </w:r>
          </w:p>
        </w:tc>
        <w:tc>
          <w:tcPr>
            <w:tcW w:w="296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13,396</w:t>
            </w:r>
          </w:p>
        </w:tc>
        <w:tc>
          <w:tcPr>
            <w:tcW w:w="29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1,446,498</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Howard P. Feinglass</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15,420,450</w:t>
            </w:r>
          </w:p>
        </w:tc>
        <w:tc>
          <w:tcPr>
            <w:tcW w:w="296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34,096</w:t>
            </w:r>
          </w:p>
        </w:tc>
        <w:tc>
          <w:tcPr>
            <w:tcW w:w="29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1,446,498</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Bernardo Fernandez, M.D.</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14,905,550</w:t>
            </w:r>
          </w:p>
        </w:tc>
        <w:tc>
          <w:tcPr>
            <w:tcW w:w="296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548,996</w:t>
            </w:r>
          </w:p>
        </w:tc>
        <w:tc>
          <w:tcPr>
            <w:tcW w:w="29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1,446,498</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Robert E. Kafafian</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15,425,750</w:t>
            </w:r>
          </w:p>
        </w:tc>
        <w:tc>
          <w:tcPr>
            <w:tcW w:w="296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28,796</w:t>
            </w:r>
          </w:p>
        </w:tc>
        <w:tc>
          <w:tcPr>
            <w:tcW w:w="29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1,446,498</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Aida Levitan. Ph.D.</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14,612,828</w:t>
            </w:r>
          </w:p>
        </w:tc>
        <w:tc>
          <w:tcPr>
            <w:tcW w:w="296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841,718</w:t>
            </w:r>
          </w:p>
        </w:tc>
        <w:tc>
          <w:tcPr>
            <w:tcW w:w="29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1,446,498</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Ramon A. Rodriguez</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15,425,350</w:t>
            </w:r>
          </w:p>
        </w:tc>
        <w:tc>
          <w:tcPr>
            <w:tcW w:w="296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29,196</w:t>
            </w:r>
          </w:p>
        </w:tc>
        <w:tc>
          <w:tcPr>
            <w:tcW w:w="29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1,446,498</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W. Kirk Wycoff</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14,609,152</w:t>
            </w:r>
          </w:p>
        </w:tc>
        <w:tc>
          <w:tcPr>
            <w:tcW w:w="296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845,394</w:t>
            </w:r>
          </w:p>
        </w:tc>
        <w:tc>
          <w:tcPr>
            <w:tcW w:w="29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1,446,498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2. To ratify the appointment of Crowe LLP as the Company’s independent registered public accounting firm for the year ending December 31, 2022.</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60" w:type="dxa"/>
            <w:vAlign w:val="bottom"/>
          </w:tcPr>
          <w:p>
            <w:pPr>
              <w:spacing w:after="0"/>
              <w:rPr>
                <w:sz w:val="20"/>
                <w:szCs w:val="20"/>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40" w:type="dxa"/>
            <w:vAlign w:val="bottom"/>
          </w:tcPr>
          <w:p>
            <w:pPr>
              <w:spacing w:after="0"/>
              <w:rPr>
                <w:sz w:val="20"/>
                <w:szCs w:val="20"/>
                <w:color w:val="auto"/>
              </w:rPr>
            </w:pPr>
          </w:p>
        </w:tc>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28"/>
        </w:trPr>
        <w:tc>
          <w:tcPr>
            <w:tcW w:w="340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16,859,702</w:t>
            </w:r>
          </w:p>
        </w:tc>
        <w:tc>
          <w:tcPr>
            <w:tcW w:w="260" w:type="dxa"/>
            <w:vAlign w:val="bottom"/>
          </w:tcPr>
          <w:p>
            <w:pPr>
              <w:spacing w:after="0"/>
              <w:rPr>
                <w:sz w:val="19"/>
                <w:szCs w:val="19"/>
                <w:color w:val="auto"/>
              </w:rPr>
            </w:pPr>
          </w:p>
        </w:tc>
        <w:tc>
          <w:tcPr>
            <w:tcW w:w="302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13,163</w:t>
            </w:r>
          </w:p>
        </w:tc>
        <w:tc>
          <w:tcPr>
            <w:tcW w:w="240" w:type="dxa"/>
            <w:vAlign w:val="bottom"/>
          </w:tcPr>
          <w:p>
            <w:pPr>
              <w:spacing w:after="0"/>
              <w:rPr>
                <w:sz w:val="19"/>
                <w:szCs w:val="19"/>
                <w:color w:val="auto"/>
              </w:rPr>
            </w:pPr>
          </w:p>
        </w:tc>
        <w:tc>
          <w:tcPr>
            <w:tcW w:w="364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28,179</w:t>
            </w:r>
          </w:p>
        </w:tc>
      </w:tr>
    </w:tbl>
    <w:p>
      <w:pPr>
        <w:spacing w:after="0" w:line="179" w:lineRule="exact"/>
        <w:rPr>
          <w:sz w:val="20"/>
          <w:szCs w:val="20"/>
          <w:color w:val="auto"/>
        </w:rPr>
      </w:pPr>
    </w:p>
    <w:p>
      <w:pPr>
        <w:ind w:left="320"/>
        <w:spacing w:after="0" w:line="282" w:lineRule="auto"/>
        <w:rPr>
          <w:sz w:val="20"/>
          <w:szCs w:val="20"/>
          <w:color w:val="auto"/>
        </w:rPr>
      </w:pPr>
      <w:r>
        <w:rPr>
          <w:rFonts w:ascii="Times New Roman" w:cs="Times New Roman" w:eastAsia="Times New Roman" w:hAnsi="Times New Roman"/>
          <w:sz w:val="18"/>
          <w:szCs w:val="18"/>
          <w:color w:val="auto"/>
        </w:rPr>
        <w:t>At the Annual Meeting, the shareholders of the Company elected each of the nominees for director and adopted the proposal to ratify the appointment of Crowe LLP as the Company’s independent registered public accounting firm for the year ending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9.01 </w:t>
      </w:r>
      <w:r>
        <w:rPr>
          <w:rFonts w:ascii="Times New Roman" w:cs="Times New Roman" w:eastAsia="Times New Roman" w:hAnsi="Times New Roman"/>
          <w:sz w:val="18"/>
          <w:szCs w:val="18"/>
          <w:b w:val="1"/>
          <w:bCs w:val="1"/>
          <w:u w:val="single" w:color="auto"/>
          <w:color w:val="auto"/>
        </w:rPr>
        <w:t>Financial Statements and Exhibits</w:t>
      </w:r>
    </w:p>
    <w:p>
      <w:pPr>
        <w:spacing w:after="0" w:line="229" w:lineRule="exact"/>
        <w:rPr>
          <w:sz w:val="20"/>
          <w:szCs w:val="20"/>
          <w:color w:val="auto"/>
        </w:rPr>
      </w:pPr>
    </w:p>
    <w:p>
      <w:pPr>
        <w:ind w:left="880" w:hanging="413"/>
        <w:spacing w:after="0"/>
        <w:tabs>
          <w:tab w:leader="none" w:pos="8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3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7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5715</wp:posOffset>
            </wp:positionV>
            <wp:extent cx="6197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ind w:left="740"/>
        <w:spacing w:after="0"/>
        <w:tabs>
          <w:tab w:leader="none" w:pos="17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(embedded within the Inline XBRL document)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USCB FINANCIAL HOLDINGS, INC.</w:t>
      </w:r>
    </w:p>
    <w:p>
      <w:pPr>
        <w:spacing w:after="0" w:line="200" w:lineRule="exact"/>
        <w:rPr>
          <w:sz w:val="20"/>
          <w:szCs w:val="20"/>
          <w:color w:val="auto"/>
        </w:rPr>
      </w:pPr>
    </w:p>
    <w:p>
      <w:pPr>
        <w:spacing w:after="0" w:line="241" w:lineRule="exact"/>
        <w:rPr>
          <w:sz w:val="20"/>
          <w:szCs w:val="20"/>
          <w:color w:val="auto"/>
        </w:rPr>
      </w:pPr>
    </w:p>
    <w:p>
      <w:pPr>
        <w:ind w:left="4980"/>
        <w:spacing w:after="0"/>
        <w:tabs>
          <w:tab w:leader="none" w:pos="55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17145</wp:posOffset>
            </wp:positionV>
            <wp:extent cx="36347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Robert Anderson</w:t>
      </w:r>
    </w:p>
    <w:p>
      <w:pPr>
        <w:spacing w:after="0" w:line="23" w:lineRule="exact"/>
        <w:rPr>
          <w:sz w:val="20"/>
          <w:szCs w:val="20"/>
          <w:color w:val="auto"/>
        </w:rPr>
      </w:pPr>
    </w:p>
    <w:p>
      <w:pPr>
        <w:ind w:left="4980"/>
        <w:spacing w:after="0"/>
        <w:tabs>
          <w:tab w:leader="none" w:pos="5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Date: June 3, 2022</w:t>
      </w:r>
    </w:p>
    <w:sectPr>
      <w:pgSz w:w="11900" w:h="16838" w:orient="portrait"/>
      <w:cols w:equalWidth="0" w:num="1">
        <w:col w:w="11240"/>
      </w:cols>
      <w:pgMar w:left="320" w:top="10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2022-06-03T15:30:30Z</dcterms:created>
  <dcterms:modified xsi:type="dcterms:W3CDTF">2022-06-03T15:30:30Z</dcterms:modified>
</cp:coreProperties>
</file>