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329"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Date of Report (Date of earliest event reported)</w:t>
            </w: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April 25, 2022</w:t>
            </w:r>
          </w:p>
        </w:tc>
        <w:tc>
          <w:tcPr>
            <w:tcW w:w="31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327"/>
        </w:trPr>
        <w:tc>
          <w:tcPr>
            <w:tcW w:w="3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2"/>
          </w:tcPr>
          <w:p>
            <w:pPr>
              <w:jc w:val="center"/>
              <w:ind w:right="750"/>
              <w:spacing w:after="0"/>
              <w:rPr>
                <w:sz w:val="20"/>
                <w:szCs w:val="20"/>
                <w:color w:val="auto"/>
              </w:rPr>
            </w:pPr>
            <w:r>
              <w:rPr>
                <w:rFonts w:ascii="Times New Roman" w:cs="Times New Roman" w:eastAsia="Times New Roman" w:hAnsi="Times New Roman"/>
                <w:sz w:val="14"/>
                <w:szCs w:val="14"/>
                <w:color w:val="auto"/>
              </w:rPr>
              <w:t>USCB Financial Holdings, Inc.</w:t>
            </w:r>
          </w:p>
        </w:tc>
        <w:tc>
          <w:tcPr>
            <w:tcW w:w="3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3"/>
        </w:trPr>
        <w:tc>
          <w:tcPr>
            <w:tcW w:w="3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140" w:type="dxa"/>
            <w:vAlign w:val="bottom"/>
            <w:gridSpan w:val="2"/>
          </w:tcPr>
          <w:p>
            <w:pPr>
              <w:jc w:val="center"/>
              <w:ind w:right="73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22"/>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Florida</w:t>
            </w:r>
          </w:p>
        </w:tc>
        <w:tc>
          <w:tcPr>
            <w:tcW w:w="4720" w:type="dxa"/>
            <w:vAlign w:val="bottom"/>
            <w:tcBorders>
              <w:bottom w:val="single" w:sz="8" w:color="auto"/>
            </w:tcBorders>
            <w:gridSpan w:val="3"/>
          </w:tcPr>
          <w:p>
            <w:pPr>
              <w:jc w:val="right"/>
              <w:ind w:right="2190"/>
              <w:spacing w:after="0"/>
              <w:rPr>
                <w:sz w:val="20"/>
                <w:szCs w:val="20"/>
                <w:color w:val="auto"/>
              </w:rPr>
            </w:pPr>
            <w:r>
              <w:rPr>
                <w:rFonts w:ascii="Times New Roman" w:cs="Times New Roman" w:eastAsia="Times New Roman" w:hAnsi="Times New Roman"/>
                <w:sz w:val="14"/>
                <w:szCs w:val="14"/>
                <w:color w:val="auto"/>
              </w:rPr>
              <w:t>001-41196</w:t>
            </w:r>
          </w:p>
        </w:tc>
        <w:tc>
          <w:tcPr>
            <w:tcW w:w="3160" w:type="dxa"/>
            <w:vAlign w:val="bottom"/>
            <w:tcBorders>
              <w:bottom w:val="single" w:sz="8" w:color="auto"/>
            </w:tcBorders>
          </w:tcPr>
          <w:p>
            <w:pPr>
              <w:jc w:val="center"/>
              <w:ind w:right="570"/>
              <w:spacing w:after="0"/>
              <w:rPr>
                <w:sz w:val="20"/>
                <w:szCs w:val="20"/>
                <w:color w:val="auto"/>
              </w:rPr>
            </w:pPr>
            <w:r>
              <w:rPr>
                <w:rFonts w:ascii="Times New Roman" w:cs="Times New Roman" w:eastAsia="Times New Roman" w:hAnsi="Times New Roman"/>
                <w:sz w:val="14"/>
                <w:szCs w:val="14"/>
                <w:color w:val="auto"/>
              </w:rPr>
              <w:t>87-4070846</w:t>
            </w:r>
          </w:p>
        </w:tc>
        <w:tc>
          <w:tcPr>
            <w:tcW w:w="20" w:type="dxa"/>
            <w:vAlign w:val="bottom"/>
          </w:tcPr>
          <w:p>
            <w:pPr>
              <w:spacing w:after="0"/>
              <w:rPr>
                <w:sz w:val="24"/>
                <w:szCs w:val="24"/>
                <w:color w:val="auto"/>
              </w:rPr>
            </w:pPr>
          </w:p>
        </w:tc>
      </w:tr>
      <w:tr>
        <w:trPr>
          <w:trHeight w:val="144"/>
        </w:trPr>
        <w:tc>
          <w:tcPr>
            <w:tcW w:w="34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(State or other jurisdiction</w:t>
            </w:r>
          </w:p>
        </w:tc>
        <w:tc>
          <w:tcPr>
            <w:tcW w:w="580" w:type="dxa"/>
            <w:vAlign w:val="bottom"/>
          </w:tcPr>
          <w:p>
            <w:pPr>
              <w:spacing w:after="0"/>
              <w:rPr>
                <w:sz w:val="12"/>
                <w:szCs w:val="12"/>
                <w:color w:val="auto"/>
              </w:rPr>
            </w:pPr>
          </w:p>
        </w:tc>
        <w:tc>
          <w:tcPr>
            <w:tcW w:w="4140" w:type="dxa"/>
            <w:vAlign w:val="bottom"/>
            <w:gridSpan w:val="2"/>
          </w:tcPr>
          <w:p>
            <w:pPr>
              <w:jc w:val="center"/>
              <w:ind w:right="930"/>
              <w:spacing w:after="0" w:line="144" w:lineRule="exact"/>
              <w:rPr>
                <w:sz w:val="20"/>
                <w:szCs w:val="20"/>
                <w:color w:val="auto"/>
              </w:rPr>
            </w:pPr>
            <w:r>
              <w:rPr>
                <w:rFonts w:ascii="Times New Roman" w:cs="Times New Roman" w:eastAsia="Times New Roman" w:hAnsi="Times New Roman"/>
                <w:sz w:val="14"/>
                <w:szCs w:val="14"/>
                <w:color w:val="auto"/>
                <w:w w:val="99"/>
              </w:rPr>
              <w:t>(Commission File Number)</w:t>
            </w:r>
          </w:p>
        </w:tc>
        <w:tc>
          <w:tcPr>
            <w:tcW w:w="3160" w:type="dxa"/>
            <w:vAlign w:val="bottom"/>
          </w:tcPr>
          <w:p>
            <w:pPr>
              <w:jc w:val="center"/>
              <w:ind w:right="550"/>
              <w:spacing w:after="0" w:line="144" w:lineRule="exact"/>
              <w:rPr>
                <w:sz w:val="20"/>
                <w:szCs w:val="20"/>
                <w:color w:val="auto"/>
              </w:rPr>
            </w:pPr>
            <w:r>
              <w:rPr>
                <w:rFonts w:ascii="Times New Roman" w:cs="Times New Roman" w:eastAsia="Times New Roman" w:hAnsi="Times New Roman"/>
                <w:sz w:val="14"/>
                <w:szCs w:val="14"/>
                <w:color w:val="auto"/>
              </w:rPr>
              <w:t>(IRS Employer</w:t>
            </w:r>
          </w:p>
        </w:tc>
        <w:tc>
          <w:tcPr>
            <w:tcW w:w="20" w:type="dxa"/>
            <w:vAlign w:val="bottom"/>
          </w:tcPr>
          <w:p>
            <w:pPr>
              <w:spacing w:after="0"/>
              <w:rPr>
                <w:sz w:val="12"/>
                <w:szCs w:val="12"/>
                <w:color w:val="auto"/>
              </w:rPr>
            </w:pPr>
          </w:p>
        </w:tc>
      </w:tr>
      <w:tr>
        <w:trPr>
          <w:trHeight w:val="183"/>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of incorporation)</w:t>
            </w: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18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color w:val="auto"/>
                <w:w w:val="99"/>
              </w:rPr>
              <w:t>Identification No.)</w:t>
            </w:r>
          </w:p>
        </w:tc>
      </w:tr>
      <w:tr>
        <w:trPr>
          <w:trHeight w:val="336"/>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2301 N.W. 87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Avenue, Miami, Florida</w:t>
            </w: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33172</w:t>
            </w:r>
          </w:p>
        </w:tc>
        <w:tc>
          <w:tcPr>
            <w:tcW w:w="20" w:type="dxa"/>
            <w:vAlign w:val="bottom"/>
          </w:tcPr>
          <w:p>
            <w:pPr>
              <w:spacing w:after="0"/>
              <w:rPr>
                <w:sz w:val="24"/>
                <w:szCs w:val="24"/>
                <w:color w:val="auto"/>
              </w:rPr>
            </w:pPr>
          </w:p>
        </w:tc>
      </w:tr>
      <w:tr>
        <w:trPr>
          <w:trHeight w:val="173"/>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3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(Zip Code)</w:t>
            </w:r>
          </w:p>
        </w:tc>
        <w:tc>
          <w:tcPr>
            <w:tcW w:w="20" w:type="dxa"/>
            <w:vAlign w:val="bottom"/>
          </w:tcPr>
          <w:p>
            <w:pPr>
              <w:spacing w:after="0"/>
              <w:rPr>
                <w:sz w:val="15"/>
                <w:szCs w:val="15"/>
                <w:color w:val="auto"/>
              </w:rPr>
            </w:pPr>
          </w:p>
        </w:tc>
      </w:tr>
      <w:tr>
        <w:trPr>
          <w:trHeight w:val="322"/>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180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color w:val="auto"/>
              </w:rPr>
              <w:t>(305) 715-5200</w:t>
            </w:r>
          </w:p>
        </w:tc>
        <w:tc>
          <w:tcPr>
            <w:tcW w:w="29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7"/>
        </w:trPr>
        <w:tc>
          <w:tcPr>
            <w:tcW w:w="34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spacing w:after="0"/>
              <w:rPr>
                <w:sz w:val="24"/>
                <w:szCs w:val="24"/>
                <w:color w:val="auto"/>
              </w:rPr>
            </w:pPr>
          </w:p>
        </w:tc>
        <w:tc>
          <w:tcPr>
            <w:tcW w:w="2920" w:type="dxa"/>
            <w:vAlign w:val="bottom"/>
            <w:tcBorders>
              <w:top w:val="single" w:sz="8" w:color="auto"/>
              <w:bottom w:val="single" w:sz="8" w:color="auto"/>
            </w:tcBorders>
          </w:tcPr>
          <w:p>
            <w:pPr>
              <w:jc w:val="center"/>
              <w:ind w:right="1950"/>
              <w:spacing w:after="0"/>
              <w:rPr>
                <w:sz w:val="20"/>
                <w:szCs w:val="20"/>
                <w:color w:val="auto"/>
              </w:rPr>
            </w:pPr>
            <w:r>
              <w:rPr>
                <w:rFonts w:ascii="Times New Roman" w:cs="Times New Roman" w:eastAsia="Times New Roman" w:hAnsi="Times New Roman"/>
                <w:sz w:val="14"/>
                <w:szCs w:val="14"/>
                <w:color w:val="auto"/>
              </w:rPr>
              <w:t>Not Applicable</w:t>
            </w:r>
          </w:p>
        </w:tc>
        <w:tc>
          <w:tcPr>
            <w:tcW w:w="316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3"/>
        </w:trPr>
        <w:tc>
          <w:tcPr>
            <w:tcW w:w="3400" w:type="dxa"/>
            <w:vAlign w:val="bottom"/>
          </w:tcPr>
          <w:p>
            <w:pPr>
              <w:spacing w:after="0"/>
              <w:rPr>
                <w:sz w:val="15"/>
                <w:szCs w:val="15"/>
                <w:color w:val="auto"/>
              </w:rPr>
            </w:pPr>
          </w:p>
        </w:tc>
        <w:tc>
          <w:tcPr>
            <w:tcW w:w="472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color w:val="auto"/>
                <w:w w:val="99"/>
              </w:rPr>
              <w:t>(Former name or former address, if changed since last report)</w:t>
            </w:r>
          </w:p>
        </w:tc>
        <w:tc>
          <w:tcPr>
            <w:tcW w:w="316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139"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 below):</w:t>
      </w:r>
    </w:p>
    <w:p>
      <w:pPr>
        <w:ind w:left="280" w:hanging="276"/>
        <w:spacing w:after="0" w:line="238" w:lineRule="auto"/>
        <w:tabs>
          <w:tab w:leader="none" w:pos="280" w:val="left"/>
        </w:tabs>
        <w:numPr>
          <w:ilvl w:val="0"/>
          <w:numId w:val="1"/>
        </w:numPr>
        <w:rPr>
          <w:rFonts w:ascii="MS PGothic" w:cs="MS PGothic" w:eastAsia="MS PGothic" w:hAnsi="MS PGothic"/>
          <w:sz w:val="34"/>
          <w:szCs w:val="34"/>
          <w:color w:val="auto"/>
          <w:vertAlign w:val="subscript"/>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33" w:lineRule="exact"/>
        <w:rPr>
          <w:rFonts w:ascii="MS PGothic" w:cs="MS PGothic" w:eastAsia="MS PGothic" w:hAnsi="MS PGothic"/>
          <w:sz w:val="34"/>
          <w:szCs w:val="34"/>
          <w:color w:val="auto"/>
          <w:vertAlign w:val="subscript"/>
        </w:rPr>
      </w:pPr>
    </w:p>
    <w:p>
      <w:pPr>
        <w:ind w:left="280" w:hanging="276"/>
        <w:spacing w:after="0" w:line="182" w:lineRule="auto"/>
        <w:tabs>
          <w:tab w:leader="none" w:pos="280" w:val="left"/>
        </w:tabs>
        <w:numPr>
          <w:ilvl w:val="0"/>
          <w:numId w:val="1"/>
        </w:numPr>
        <w:rPr>
          <w:rFonts w:ascii="MS PGothic" w:cs="MS PGothic" w:eastAsia="MS PGothic" w:hAnsi="MS PGothic"/>
          <w:sz w:val="22"/>
          <w:szCs w:val="22"/>
          <w:color w:val="auto"/>
          <w:vertAlign w:val="subscript"/>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32" w:lineRule="exact"/>
        <w:rPr>
          <w:rFonts w:ascii="MS PGothic" w:cs="MS PGothic" w:eastAsia="MS PGothic" w:hAnsi="MS PGothic"/>
          <w:sz w:val="22"/>
          <w:szCs w:val="22"/>
          <w:color w:val="auto"/>
          <w:vertAlign w:val="subscript"/>
        </w:rPr>
      </w:pPr>
    </w:p>
    <w:p>
      <w:pPr>
        <w:ind w:left="280" w:hanging="276"/>
        <w:spacing w:after="0" w:line="182" w:lineRule="auto"/>
        <w:tabs>
          <w:tab w:leader="none" w:pos="280" w:val="left"/>
        </w:tabs>
        <w:numPr>
          <w:ilvl w:val="0"/>
          <w:numId w:val="1"/>
        </w:numPr>
        <w:rPr>
          <w:rFonts w:ascii="MS PGothic" w:cs="MS PGothic" w:eastAsia="MS PGothic" w:hAnsi="MS PGothic"/>
          <w:sz w:val="22"/>
          <w:szCs w:val="22"/>
          <w:color w:val="auto"/>
          <w:vertAlign w:val="subscript"/>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32" w:lineRule="exact"/>
        <w:rPr>
          <w:rFonts w:ascii="MS PGothic" w:cs="MS PGothic" w:eastAsia="MS PGothic" w:hAnsi="MS PGothic"/>
          <w:sz w:val="22"/>
          <w:szCs w:val="22"/>
          <w:color w:val="auto"/>
          <w:vertAlign w:val="subscript"/>
        </w:rPr>
      </w:pPr>
    </w:p>
    <w:p>
      <w:pPr>
        <w:ind w:left="280" w:hanging="276"/>
        <w:spacing w:after="0" w:line="182" w:lineRule="auto"/>
        <w:tabs>
          <w:tab w:leader="none" w:pos="280" w:val="left"/>
        </w:tabs>
        <w:numPr>
          <w:ilvl w:val="0"/>
          <w:numId w:val="1"/>
        </w:numPr>
        <w:rPr>
          <w:rFonts w:ascii="MS PGothic" w:cs="MS PGothic" w:eastAsia="MS PGothic" w:hAnsi="MS PGothic"/>
          <w:sz w:val="22"/>
          <w:szCs w:val="22"/>
          <w:color w:val="auto"/>
          <w:vertAlign w:val="subscript"/>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65" w:lineRule="exact"/>
        <w:rPr>
          <w:sz w:val="24"/>
          <w:szCs w:val="24"/>
          <w:color w:val="auto"/>
        </w:rPr>
      </w:pPr>
    </w:p>
    <w:tbl>
      <w:tblPr>
        <w:tblLayout w:type="fixed"/>
        <w:tblInd w:w="1390" w:type="dxa"/>
        <w:tblCellMar>
          <w:top w:w="0" w:type="dxa"/>
          <w:left w:w="0" w:type="dxa"/>
          <w:bottom w:w="0" w:type="dxa"/>
          <w:right w:w="0" w:type="dxa"/>
        </w:tblCellMar>
      </w:tblPr>
      <w:tr>
        <w:trPr>
          <w:trHeight w:val="169"/>
        </w:trPr>
        <w:tc>
          <w:tcPr>
            <w:tcW w:w="3080" w:type="dxa"/>
            <w:vAlign w:val="bottom"/>
            <w:tcBorders>
              <w:top w:val="single" w:sz="8" w:color="auto"/>
              <w:left w:val="single" w:sz="8" w:color="auto"/>
              <w:right w:val="single" w:sz="8" w:color="auto"/>
            </w:tcBorders>
          </w:tcPr>
          <w:p>
            <w:pPr>
              <w:spacing w:after="0"/>
              <w:rPr>
                <w:sz w:val="14"/>
                <w:szCs w:val="14"/>
                <w:color w:val="auto"/>
              </w:rPr>
            </w:pP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Trading</w:t>
            </w:r>
          </w:p>
        </w:tc>
        <w:tc>
          <w:tcPr>
            <w:tcW w:w="2680" w:type="dxa"/>
            <w:vAlign w:val="bottom"/>
            <w:tcBorders>
              <w:top w:val="single" w:sz="8" w:color="auto"/>
              <w:right w:val="single" w:sz="8" w:color="auto"/>
            </w:tcBorders>
          </w:tcPr>
          <w:p>
            <w:pPr>
              <w:spacing w:after="0"/>
              <w:rPr>
                <w:sz w:val="14"/>
                <w:szCs w:val="14"/>
                <w:color w:val="auto"/>
              </w:rPr>
            </w:pPr>
          </w:p>
        </w:tc>
      </w:tr>
      <w:tr>
        <w:trPr>
          <w:trHeight w:val="189"/>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Title of each Class</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Symbol(s)</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Name of each exchange on which registered</w:t>
            </w:r>
          </w:p>
        </w:tc>
      </w:tr>
      <w:tr>
        <w:trPr>
          <w:trHeight w:val="159"/>
        </w:trPr>
        <w:tc>
          <w:tcPr>
            <w:tcW w:w="3080" w:type="dxa"/>
            <w:vAlign w:val="bottom"/>
            <w:tcBorders>
              <w:left w:val="single" w:sz="8" w:color="auto"/>
              <w:bottom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Common Stock</w:t>
            </w:r>
          </w:p>
        </w:tc>
        <w:tc>
          <w:tcPr>
            <w:tcW w:w="2780" w:type="dxa"/>
            <w:vAlign w:val="bottom"/>
            <w:tcBorders>
              <w:bottom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w w:val="98"/>
              </w:rPr>
              <w:t>USCB</w:t>
            </w:r>
          </w:p>
        </w:tc>
        <w:tc>
          <w:tcPr>
            <w:tcW w:w="2680" w:type="dxa"/>
            <w:vAlign w:val="bottom"/>
            <w:tcBorders>
              <w:bottom w:val="single" w:sz="8" w:color="auto"/>
              <w:right w:val="single" w:sz="8" w:color="auto"/>
            </w:tcBorders>
          </w:tcPr>
          <w:p>
            <w:pPr>
              <w:jc w:val="center"/>
              <w:spacing w:after="0" w:line="159" w:lineRule="exact"/>
              <w:rPr>
                <w:sz w:val="20"/>
                <w:szCs w:val="20"/>
                <w:color w:val="auto"/>
              </w:rPr>
            </w:pPr>
            <w:r>
              <w:rPr>
                <w:rFonts w:ascii="Times New Roman" w:cs="Times New Roman" w:eastAsia="Times New Roman" w:hAnsi="Times New Roman"/>
                <w:sz w:val="14"/>
                <w:szCs w:val="14"/>
                <w:color w:val="auto"/>
                <w:w w:val="99"/>
              </w:rPr>
              <w:t>The Nasdaq Stock Market LLC</w:t>
            </w:r>
          </w:p>
        </w:tc>
      </w:tr>
    </w:tbl>
    <w:p>
      <w:pPr>
        <w:spacing w:after="0" w:line="149"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1" w:lineRule="exact"/>
        <w:rPr>
          <w:sz w:val="24"/>
          <w:szCs w:val="24"/>
          <w:color w:val="auto"/>
        </w:rPr>
      </w:pPr>
    </w:p>
    <w:p>
      <w:pPr>
        <w:ind w:left="7760"/>
        <w:spacing w:after="0" w:line="184"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6"/>
          <w:szCs w:val="16"/>
          <w:color w:val="auto"/>
        </w:rPr>
        <w:t>☒</w:t>
      </w:r>
    </w:p>
    <w:p>
      <w:pPr>
        <w:spacing w:after="0" w:line="208" w:lineRule="exact"/>
        <w:rPr>
          <w:sz w:val="24"/>
          <w:szCs w:val="24"/>
          <w:color w:val="auto"/>
        </w:rPr>
      </w:pPr>
    </w:p>
    <w:p>
      <w:pPr>
        <w:spacing w:after="0" w:line="20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264160</wp:posOffset>
            </wp:positionV>
            <wp:extent cx="716280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375" w:right="319" w:bottom="1440" w:gutter="0" w:footer="0" w:header="0"/>
        </w:sectPr>
      </w:pPr>
    </w:p>
    <w:bookmarkStart w:id="1" w:name="page2"/>
    <w:bookmarkEnd w:id="1"/>
    <w:p>
      <w:pPr>
        <w:spacing w:after="0"/>
        <w:tabs>
          <w:tab w:leader="none" w:pos="460" w:val="left"/>
        </w:tabs>
        <w:rPr>
          <w:sz w:val="20"/>
          <w:szCs w:val="20"/>
          <w:color w:val="auto"/>
        </w:rPr>
      </w:pPr>
      <w:r>
        <w:rPr>
          <w:rFonts w:ascii="Times New Roman" w:cs="Times New Roman" w:eastAsia="Times New Roman" w:hAnsi="Times New Roman"/>
          <w:sz w:val="14"/>
          <w:szCs w:val="14"/>
          <w:b w:val="1"/>
          <w:bCs w:val="1"/>
          <w:color w:val="auto"/>
        </w:rPr>
        <w:t>Item</w:t>
        <w:tab/>
        <w:t xml:space="preserve">5.02 </w:t>
      </w:r>
      <w:r>
        <w:rPr>
          <w:rFonts w:ascii="Times New Roman" w:cs="Times New Roman" w:eastAsia="Times New Roman" w:hAnsi="Times New Roman"/>
          <w:sz w:val="14"/>
          <w:szCs w:val="14"/>
          <w:b w:val="1"/>
          <w:bCs w:val="1"/>
          <w:u w:val="single" w:color="auto"/>
          <w:color w:val="auto"/>
        </w:rPr>
        <w:t>Departure of Directors or Certain Officers; Election of Directors; Appointment of Certain Officers; Compensatory Arrangements of Certain Officers</w:t>
      </w:r>
      <w:r>
        <w:rPr>
          <w:rFonts w:ascii="Times New Roman" w:cs="Times New Roman" w:eastAsia="Times New Roman" w:hAnsi="Times New Roman"/>
          <w:sz w:val="14"/>
          <w:szCs w:val="14"/>
          <w:b w:val="1"/>
          <w:bCs w:val="1"/>
          <w:color w:val="auto"/>
        </w:rPr>
        <w:t>.</w:t>
      </w:r>
    </w:p>
    <w:p>
      <w:pPr>
        <w:spacing w:after="0" w:line="177" w:lineRule="exact"/>
        <w:rPr>
          <w:sz w:val="20"/>
          <w:szCs w:val="20"/>
          <w:color w:val="auto"/>
        </w:rPr>
      </w:pPr>
    </w:p>
    <w:p>
      <w:pPr>
        <w:ind w:left="820" w:hanging="343"/>
        <w:spacing w:after="0"/>
        <w:tabs>
          <w:tab w:leader="none" w:pos="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21" w:lineRule="exact"/>
        <w:rPr>
          <w:rFonts w:ascii="Times New Roman" w:cs="Times New Roman" w:eastAsia="Times New Roman" w:hAnsi="Times New Roman"/>
          <w:sz w:val="14"/>
          <w:szCs w:val="14"/>
          <w:color w:val="auto"/>
        </w:rPr>
      </w:pPr>
    </w:p>
    <w:p>
      <w:pPr>
        <w:ind w:left="820" w:hanging="343"/>
        <w:spacing w:after="0"/>
        <w:tabs>
          <w:tab w:leader="none" w:pos="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7" w:lineRule="exact"/>
        <w:rPr>
          <w:rFonts w:ascii="Times New Roman" w:cs="Times New Roman" w:eastAsia="Times New Roman" w:hAnsi="Times New Roman"/>
          <w:sz w:val="14"/>
          <w:szCs w:val="14"/>
          <w:color w:val="auto"/>
        </w:rPr>
      </w:pPr>
    </w:p>
    <w:p>
      <w:pPr>
        <w:ind w:left="820" w:hanging="343"/>
        <w:spacing w:after="0"/>
        <w:tabs>
          <w:tab w:leader="none" w:pos="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7" w:lineRule="exact"/>
        <w:rPr>
          <w:rFonts w:ascii="Times New Roman" w:cs="Times New Roman" w:eastAsia="Times New Roman" w:hAnsi="Times New Roman"/>
          <w:sz w:val="14"/>
          <w:szCs w:val="14"/>
          <w:color w:val="auto"/>
        </w:rPr>
      </w:pPr>
    </w:p>
    <w:p>
      <w:pPr>
        <w:ind w:left="820" w:hanging="343"/>
        <w:spacing w:after="0"/>
        <w:tabs>
          <w:tab w:leader="none" w:pos="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7" w:lineRule="exact"/>
        <w:rPr>
          <w:rFonts w:ascii="Times New Roman" w:cs="Times New Roman" w:eastAsia="Times New Roman" w:hAnsi="Times New Roman"/>
          <w:sz w:val="14"/>
          <w:szCs w:val="14"/>
          <w:color w:val="auto"/>
        </w:rPr>
      </w:pPr>
    </w:p>
    <w:p>
      <w:pPr>
        <w:ind w:left="820" w:hanging="343"/>
        <w:spacing w:after="0" w:line="285" w:lineRule="auto"/>
        <w:tabs>
          <w:tab w:leader="none" w:pos="8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Effective April 25, 2022, U.S. Century Bank (the “Bank”), the wholly owned subsidiary of USCB Financial Holdings, Inc. (the “Company”), and Luis de la Aguilera, the President and Chief Executive Officer of the Company and Bank, entered into Amendment No. 3 (the “Amendment”) to his prior employment agreement dated as of April 16, 2016, as previously amended as of April 19, 2019 and April 30, 2019 (the “Prior Agreement”). The Amendment to the Prior Agreement was approved by the full Board of Directors of the Bank.</w:t>
      </w:r>
    </w:p>
    <w:p>
      <w:pPr>
        <w:spacing w:after="0" w:line="125" w:lineRule="exact"/>
        <w:rPr>
          <w:rFonts w:ascii="Times New Roman" w:cs="Times New Roman" w:eastAsia="Times New Roman" w:hAnsi="Times New Roman"/>
          <w:sz w:val="13"/>
          <w:szCs w:val="13"/>
          <w:color w:val="auto"/>
        </w:rPr>
      </w:pPr>
    </w:p>
    <w:p>
      <w:pPr>
        <w:ind w:left="820" w:right="3160"/>
        <w:spacing w:after="0" w:line="50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Under the terms of the Amendment, the term of the Prior Agreement was extended to September 30, 2022 from April 30, 2022. There were no other changes effected to the Prior Agreement pursuant to the Amendment.</w:t>
      </w:r>
    </w:p>
    <w:p>
      <w:pPr>
        <w:ind w:left="820" w:right="120"/>
        <w:spacing w:after="0" w:line="261"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foregoing description of the Amendment is qualified in its entirety by reference to the Amendment, a copy of which is attached as Exhibit 10.1 hereto and incorporated herein by reference thereto.</w:t>
      </w:r>
    </w:p>
    <w:p>
      <w:pPr>
        <w:ind w:left="820" w:hanging="343"/>
        <w:spacing w:after="0"/>
        <w:tabs>
          <w:tab w:leader="none" w:pos="8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159" w:lineRule="exact"/>
        <w:rPr>
          <w:sz w:val="20"/>
          <w:szCs w:val="20"/>
          <w:color w:val="auto"/>
        </w:rPr>
      </w:pPr>
    </w:p>
    <w:p>
      <w:pPr>
        <w:spacing w:after="0"/>
        <w:tabs>
          <w:tab w:leader="none" w:pos="440" w:val="left"/>
          <w:tab w:leader="none" w:pos="820" w:val="left"/>
        </w:tabs>
        <w:rPr>
          <w:sz w:val="20"/>
          <w:szCs w:val="20"/>
          <w:color w:val="auto"/>
        </w:rPr>
      </w:pPr>
      <w:r>
        <w:rPr>
          <w:rFonts w:ascii="Times New Roman" w:cs="Times New Roman" w:eastAsia="Times New Roman" w:hAnsi="Times New Roman"/>
          <w:sz w:val="14"/>
          <w:szCs w:val="14"/>
          <w:b w:val="1"/>
          <w:bCs w:val="1"/>
          <w:color w:val="auto"/>
        </w:rPr>
        <w:t>Item</w:t>
        <w:tab/>
        <w:t>9.01</w:t>
      </w:r>
      <w:r>
        <w:rPr>
          <w:sz w:val="20"/>
          <w:szCs w:val="20"/>
          <w:color w:val="auto"/>
        </w:rPr>
        <w:tab/>
      </w:r>
      <w:r>
        <w:rPr>
          <w:rFonts w:ascii="Times New Roman" w:cs="Times New Roman" w:eastAsia="Times New Roman" w:hAnsi="Times New Roman"/>
          <w:sz w:val="14"/>
          <w:szCs w:val="14"/>
          <w:b w:val="1"/>
          <w:bCs w:val="1"/>
          <w:u w:val="single" w:color="auto"/>
          <w:color w:val="auto"/>
        </w:rPr>
        <w:t>Financial Statements and Exhibits</w:t>
      </w:r>
    </w:p>
    <w:p>
      <w:pPr>
        <w:spacing w:after="0" w:line="24" w:lineRule="exact"/>
        <w:rPr>
          <w:sz w:val="20"/>
          <w:szCs w:val="20"/>
          <w:color w:val="auto"/>
        </w:rPr>
      </w:pPr>
    </w:p>
    <w:p>
      <w:pPr>
        <w:ind w:left="840" w:hanging="373"/>
        <w:spacing w:after="0"/>
        <w:tabs>
          <w:tab w:leader="none" w:pos="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7" w:lineRule="exact"/>
        <w:rPr>
          <w:rFonts w:ascii="Times New Roman" w:cs="Times New Roman" w:eastAsia="Times New Roman" w:hAnsi="Times New Roman"/>
          <w:sz w:val="14"/>
          <w:szCs w:val="14"/>
          <w:color w:val="auto"/>
        </w:rPr>
      </w:pPr>
    </w:p>
    <w:p>
      <w:pPr>
        <w:ind w:left="840" w:hanging="373"/>
        <w:spacing w:after="0"/>
        <w:tabs>
          <w:tab w:leader="none" w:pos="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7" w:lineRule="exact"/>
        <w:rPr>
          <w:rFonts w:ascii="Times New Roman" w:cs="Times New Roman" w:eastAsia="Times New Roman" w:hAnsi="Times New Roman"/>
          <w:sz w:val="14"/>
          <w:szCs w:val="14"/>
          <w:color w:val="auto"/>
        </w:rPr>
      </w:pPr>
    </w:p>
    <w:p>
      <w:pPr>
        <w:ind w:left="840" w:hanging="373"/>
        <w:spacing w:after="0"/>
        <w:tabs>
          <w:tab w:leader="none" w:pos="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applicable.</w:t>
      </w:r>
    </w:p>
    <w:p>
      <w:pPr>
        <w:spacing w:after="0" w:line="7" w:lineRule="exact"/>
        <w:rPr>
          <w:rFonts w:ascii="Times New Roman" w:cs="Times New Roman" w:eastAsia="Times New Roman" w:hAnsi="Times New Roman"/>
          <w:sz w:val="14"/>
          <w:szCs w:val="14"/>
          <w:color w:val="auto"/>
        </w:rPr>
      </w:pPr>
    </w:p>
    <w:p>
      <w:pPr>
        <w:ind w:left="840" w:hanging="373"/>
        <w:spacing w:after="0"/>
        <w:tabs>
          <w:tab w:leader="none" w:pos="8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exhibits are included with this Report:</w:t>
      </w:r>
    </w:p>
    <w:p>
      <w:pPr>
        <w:spacing w:after="0" w:line="151"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7"/>
              </w:rPr>
              <w:t>Exhibit No.</w:t>
            </w:r>
          </w:p>
        </w:tc>
        <w:tc>
          <w:tcPr>
            <w:tcW w:w="440" w:type="dxa"/>
            <w:vAlign w:val="bottom"/>
          </w:tcPr>
          <w:p>
            <w:pPr>
              <w:spacing w:after="0"/>
              <w:rPr>
                <w:sz w:val="13"/>
                <w:szCs w:val="13"/>
                <w:color w:val="auto"/>
              </w:rPr>
            </w:pPr>
          </w:p>
        </w:tc>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7"/>
              </w:rPr>
              <w:t>Description</w:t>
            </w:r>
          </w:p>
        </w:tc>
        <w:tc>
          <w:tcPr>
            <w:tcW w:w="7380" w:type="dxa"/>
            <w:vAlign w:val="bottom"/>
            <w:gridSpan w:val="2"/>
          </w:tcPr>
          <w:p>
            <w:pPr>
              <w:spacing w:after="0"/>
              <w:rPr>
                <w:sz w:val="13"/>
                <w:szCs w:val="13"/>
                <w:color w:val="auto"/>
              </w:rPr>
            </w:pPr>
          </w:p>
        </w:tc>
      </w:tr>
      <w:tr>
        <w:trPr>
          <w:trHeight w:val="148"/>
        </w:trPr>
        <w:tc>
          <w:tcPr>
            <w:tcW w:w="660" w:type="dxa"/>
            <w:vAlign w:val="bottom"/>
          </w:tcPr>
          <w:p>
            <w:pPr>
              <w:jc w:val="right"/>
              <w:ind w:right="10"/>
              <w:spacing w:after="0" w:line="148" w:lineRule="exact"/>
              <w:rPr>
                <w:sz w:val="20"/>
                <w:szCs w:val="20"/>
                <w:color w:val="auto"/>
              </w:rPr>
            </w:pPr>
            <w:r>
              <w:rPr>
                <w:rFonts w:ascii="Times New Roman" w:cs="Times New Roman" w:eastAsia="Times New Roman" w:hAnsi="Times New Roman"/>
                <w:sz w:val="14"/>
                <w:szCs w:val="14"/>
                <w:color w:val="auto"/>
              </w:rPr>
              <w:t>10.1</w:t>
            </w:r>
          </w:p>
        </w:tc>
        <w:tc>
          <w:tcPr>
            <w:tcW w:w="440" w:type="dxa"/>
            <w:vAlign w:val="bottom"/>
          </w:tcPr>
          <w:p>
            <w:pPr>
              <w:spacing w:after="0"/>
              <w:rPr>
                <w:sz w:val="12"/>
                <w:szCs w:val="12"/>
                <w:color w:val="auto"/>
              </w:rPr>
            </w:pPr>
          </w:p>
        </w:tc>
        <w:tc>
          <w:tcPr>
            <w:tcW w:w="8040" w:type="dxa"/>
            <w:vAlign w:val="bottom"/>
            <w:tcBorders>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w w:val="99"/>
              </w:rPr>
              <w:t>Amendment No. 3 dated April 25, 2022 to the Employment Agreement by and between U.S. Century Bank and Luis de la Aguilera dated April</w:t>
            </w:r>
          </w:p>
        </w:tc>
      </w:tr>
      <w:tr>
        <w:trPr>
          <w:trHeight w:val="148"/>
        </w:trPr>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100" w:type="dxa"/>
            <w:vAlign w:val="bottom"/>
            <w:tcBorders>
              <w:bottom w:val="single" w:sz="8" w:color="0000EE"/>
            </w:tcBorders>
            <w:gridSpan w:val="2"/>
          </w:tcPr>
          <w:p>
            <w:pPr>
              <w:spacing w:after="0" w:line="148" w:lineRule="exact"/>
              <w:rPr>
                <w:sz w:val="20"/>
                <w:szCs w:val="20"/>
                <w:color w:val="auto"/>
              </w:rPr>
            </w:pPr>
            <w:r>
              <w:rPr>
                <w:rFonts w:ascii="Times New Roman" w:cs="Times New Roman" w:eastAsia="Times New Roman" w:hAnsi="Times New Roman"/>
                <w:sz w:val="14"/>
                <w:szCs w:val="14"/>
                <w:color w:val="0000EE"/>
                <w:w w:val="99"/>
              </w:rPr>
              <w:t>16, 2016, as previously amended as of April 19, 2019 and April 30, 2019</w:t>
            </w:r>
          </w:p>
        </w:tc>
        <w:tc>
          <w:tcPr>
            <w:tcW w:w="3940" w:type="dxa"/>
            <w:vAlign w:val="bottom"/>
          </w:tcPr>
          <w:p>
            <w:pPr>
              <w:spacing w:after="0"/>
              <w:rPr>
                <w:sz w:val="12"/>
                <w:szCs w:val="12"/>
                <w:color w:val="auto"/>
              </w:rPr>
            </w:pPr>
          </w:p>
        </w:tc>
      </w:tr>
      <w:tr>
        <w:trPr>
          <w:trHeight w:val="180"/>
        </w:trPr>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104</w:t>
            </w:r>
          </w:p>
        </w:tc>
        <w:tc>
          <w:tcPr>
            <w:tcW w:w="440" w:type="dxa"/>
            <w:vAlign w:val="bottom"/>
          </w:tcPr>
          <w:p>
            <w:pPr>
              <w:spacing w:after="0"/>
              <w:rPr>
                <w:sz w:val="15"/>
                <w:szCs w:val="15"/>
                <w:color w:val="auto"/>
              </w:rPr>
            </w:pPr>
          </w:p>
        </w:tc>
        <w:tc>
          <w:tcPr>
            <w:tcW w:w="8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62865</wp:posOffset>
            </wp:positionV>
            <wp:extent cx="716280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120"/>
          </w:cols>
          <w:pgMar w:left="300" w:top="817" w:right="47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4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4"/>
          <w:szCs w:val="14"/>
          <w:color w:val="auto"/>
        </w:rPr>
        <w:t>USCB FINANCIAL HOLDINGS, INC.</w:t>
      </w:r>
    </w:p>
    <w:p>
      <w:pPr>
        <w:spacing w:after="0" w:line="344" w:lineRule="exact"/>
        <w:rPr>
          <w:sz w:val="20"/>
          <w:szCs w:val="20"/>
          <w:color w:val="auto"/>
        </w:rPr>
      </w:pPr>
    </w:p>
    <w:tbl>
      <w:tblPr>
        <w:tblLayout w:type="fixed"/>
        <w:tblInd w:w="4100" w:type="dxa"/>
        <w:tblCellMar>
          <w:top w:w="0" w:type="dxa"/>
          <w:left w:w="0" w:type="dxa"/>
          <w:bottom w:w="0" w:type="dxa"/>
          <w:right w:w="0" w:type="dxa"/>
        </w:tblCellMar>
      </w:tblPr>
      <w:tr>
        <w:trPr>
          <w:trHeight w:val="183"/>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/s/Robert Anderson</w:t>
            </w:r>
          </w:p>
        </w:tc>
      </w:tr>
      <w:tr>
        <w:trPr>
          <w:trHeight w:val="144"/>
        </w:trPr>
        <w:tc>
          <w:tcPr>
            <w:tcW w:w="50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66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Robert Anderson</w:t>
            </w:r>
          </w:p>
        </w:tc>
      </w:tr>
      <w:tr>
        <w:trPr>
          <w:trHeight w:val="183"/>
        </w:trPr>
        <w:tc>
          <w:tcPr>
            <w:tcW w:w="50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668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Date: April 29,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480"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 NO. 3</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 CENTURY BANK</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EMPLOYMENT AGREEMENT</w:t>
      </w:r>
    </w:p>
    <w:p>
      <w:pPr>
        <w:spacing w:after="0" w:line="140" w:lineRule="exact"/>
        <w:rPr>
          <w:sz w:val="20"/>
          <w:szCs w:val="20"/>
          <w:color w:val="auto"/>
        </w:rPr>
      </w:pPr>
    </w:p>
    <w:p>
      <w:pPr>
        <w:ind w:firstLine="505"/>
        <w:spacing w:after="0" w:line="186" w:lineRule="exact"/>
        <w:rPr>
          <w:sz w:val="20"/>
          <w:szCs w:val="20"/>
          <w:color w:val="auto"/>
        </w:rPr>
      </w:pPr>
      <w:r>
        <w:rPr>
          <w:rFonts w:ascii="Times New Roman" w:cs="Times New Roman" w:eastAsia="Times New Roman" w:hAnsi="Times New Roman"/>
          <w:sz w:val="14"/>
          <w:szCs w:val="14"/>
          <w:b w:val="1"/>
          <w:bCs w:val="1"/>
          <w:color w:val="auto"/>
        </w:rPr>
        <w:t xml:space="preserve">THIS AMENDMENT NO. 3 </w:t>
      </w:r>
      <w:r>
        <w:rPr>
          <w:rFonts w:ascii="Times New Roman" w:cs="Times New Roman" w:eastAsia="Times New Roman" w:hAnsi="Times New Roman"/>
          <w:sz w:val="14"/>
          <w:szCs w:val="14"/>
          <w:color w:val="auto"/>
        </w:rPr>
        <w:t>(the “Amendment”) to the Employment Agreement between U.S. Century Bank, a Florida</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chartered commercial bank (the “Bank” or the “Employer”), and Luis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 la Aguilera (the “Executive”) dated April 16, 2016 (the “Agreement”), is hereby effective as of April 25, 2022 (“Amendment Effective Date”).</w:t>
      </w:r>
    </w:p>
    <w:p>
      <w:pPr>
        <w:spacing w:after="0" w:line="1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Executive is presently employed as the Chief Executive Officer of the Bank;</w:t>
      </w:r>
    </w:p>
    <w:p>
      <w:pPr>
        <w:spacing w:after="0" w:line="175" w:lineRule="exact"/>
        <w:rPr>
          <w:sz w:val="20"/>
          <w:szCs w:val="20"/>
          <w:color w:val="auto"/>
        </w:rPr>
      </w:pPr>
    </w:p>
    <w:p>
      <w:pPr>
        <w:ind w:firstLine="505"/>
        <w:spacing w:after="0" w:line="28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Bank and the Executive previously entered into the Agreement, as amended pursuant to the terms of the First Amendment to the Agreement dated as of April 4, 2019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Amendment No. 2 to the Agreement dated as of April 30, 2019 (the “Second Amendment”);</w:t>
      </w:r>
    </w:p>
    <w:p>
      <w:pPr>
        <w:spacing w:after="0" w:line="121" w:lineRule="exact"/>
        <w:rPr>
          <w:sz w:val="20"/>
          <w:szCs w:val="20"/>
          <w:color w:val="auto"/>
        </w:rPr>
      </w:pPr>
    </w:p>
    <w:p>
      <w:pPr>
        <w:ind w:firstLine="505"/>
        <w:spacing w:after="0" w:line="286" w:lineRule="auto"/>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Section 2(a) of the Agreement as amended by the Second Amendment, provides that the Initial Amended Term of the Agreement is for a term ending April 30, 2022 (“Amended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Term Expiration Date”), unless extended in accordance with the provisions of Section 2(a);</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Bank and Executive wish to extend the Amended Term Expiration Date;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upon consideration, the Bank and the Executive wish to adopt certain mutually agreed revisions to the Agreement to reflect the extension of the Amended Term Expiration Date;</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Bank desires to be ensured of the Executive’s continued active participation in the business of the Employer under such revised terms; and</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WHEREAS</w:t>
      </w:r>
      <w:r>
        <w:rPr>
          <w:rFonts w:ascii="Times New Roman" w:cs="Times New Roman" w:eastAsia="Times New Roman" w:hAnsi="Times New Roman"/>
          <w:sz w:val="14"/>
          <w:szCs w:val="14"/>
          <w:color w:val="auto"/>
        </w:rPr>
        <w:t>, the Executive is willing to serve the Employer on the terms and conditions set forth in the Agreement, as amended by this Amendment.</w:t>
      </w:r>
    </w:p>
    <w:p>
      <w:pPr>
        <w:spacing w:after="0" w:line="1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NOW THEREFORE</w:t>
      </w:r>
      <w:r>
        <w:rPr>
          <w:rFonts w:ascii="Times New Roman" w:cs="Times New Roman" w:eastAsia="Times New Roman" w:hAnsi="Times New Roman"/>
          <w:sz w:val="14"/>
          <w:szCs w:val="14"/>
          <w:color w:val="auto"/>
        </w:rPr>
        <w:t>, in consideration of the premises and the mutual agreements herein contained, the Employers and the Executive do hereby agree to amend the Agreement as follows:</w:t>
      </w:r>
    </w:p>
    <w:p>
      <w:pPr>
        <w:spacing w:after="0" w:line="177" w:lineRule="exact"/>
        <w:rPr>
          <w:sz w:val="20"/>
          <w:szCs w:val="20"/>
          <w:color w:val="auto"/>
        </w:rPr>
      </w:pPr>
    </w:p>
    <w:p>
      <w:pPr>
        <w:ind w:right="40" w:firstLine="4"/>
        <w:spacing w:after="0" w:line="283" w:lineRule="auto"/>
        <w:tabs>
          <w:tab w:leader="none" w:pos="245"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2(a) of the Agreement be and hereby be amended by deleting the second and third sentences thereof and replacing said sentences in their entirety with the following two sentences, with the remainder of Section 2(a) remaining as it is currently drafted:</w:t>
      </w:r>
    </w:p>
    <w:p>
      <w:pPr>
        <w:spacing w:after="0" w:line="125" w:lineRule="exact"/>
        <w:rPr>
          <w:sz w:val="20"/>
          <w:szCs w:val="20"/>
          <w:color w:val="auto"/>
        </w:rPr>
      </w:pPr>
    </w:p>
    <w:p>
      <w:pPr>
        <w:jc w:val="both"/>
        <w:ind w:firstLine="505"/>
        <w:spacing w:after="0" w:line="267" w:lineRule="auto"/>
        <w:rPr>
          <w:sz w:val="20"/>
          <w:szCs w:val="20"/>
          <w:color w:val="auto"/>
        </w:rPr>
      </w:pPr>
      <w:r>
        <w:rPr>
          <w:rFonts w:ascii="Times New Roman" w:cs="Times New Roman" w:eastAsia="Times New Roman" w:hAnsi="Times New Roman"/>
          <w:sz w:val="14"/>
          <w:szCs w:val="14"/>
          <w:color w:val="auto"/>
        </w:rPr>
        <w:t>The term of employment under this Agreement shall be for a term ending September 30, 2022 (the “Initial Amended Term”). Prior to September 30, 2022 (the “Extension Anniversary Date”) and each annual anniversary thereafter of the Extension Anniversary Date, the Board of Directors of the Bank shall consider and review (with appropriate corporate documentation thereof, and after taking into account all relevant factors, including the Executive’s performance hereunder) a one-year extension of the term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269240</wp:posOffset>
            </wp:positionV>
            <wp:extent cx="716280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 w:name="page5"/>
    <w:bookmarkEnd w:id="4"/>
    <w:p>
      <w:pPr>
        <w:ind w:left="-4" w:right="700" w:firstLine="4"/>
        <w:spacing w:after="0" w:line="283" w:lineRule="auto"/>
        <w:tabs>
          <w:tab w:leader="none" w:pos="23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sections and provisions in the Agreement, as amended by the First Amendment and the Second Amendment, shall continue in full force and effect and are not affected by this Amendment.</w:t>
      </w:r>
    </w:p>
    <w:p>
      <w:pPr>
        <w:spacing w:after="0" w:line="124" w:lineRule="exact"/>
        <w:rPr>
          <w:rFonts w:ascii="Times New Roman" w:cs="Times New Roman" w:eastAsia="Times New Roman" w:hAnsi="Times New Roman"/>
          <w:sz w:val="14"/>
          <w:szCs w:val="14"/>
          <w:color w:val="auto"/>
        </w:rPr>
      </w:pPr>
    </w:p>
    <w:p>
      <w:pPr>
        <w:ind w:left="-4" w:firstLine="4"/>
        <w:spacing w:after="0" w:line="267" w:lineRule="auto"/>
        <w:tabs>
          <w:tab w:leader="none" w:pos="239"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Amendment may be executed in counterparts, each of which shall be deemed an original, but all such counterparts together shall be deemed to be one and the same instrument. This Amendment, to the extent signed and delivered by means of a facsimile machine or by e-mail delivery of a “.pdf” format data file, shall be treated in all manner and respects as an original agreement or instrument and shall be considered to have the same binding legal effect as if it were the original signed version thereof delivered in person.</w:t>
      </w:r>
    </w:p>
    <w:p>
      <w:pPr>
        <w:spacing w:after="0" w:line="134"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[signature page follows]</w:t>
      </w:r>
    </w:p>
    <w:p>
      <w:pPr>
        <w:spacing w:after="0" w:line="388"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716280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800" cy="13335"/>
                    </a:xfrm>
                    <a:prstGeom prst="rect">
                      <a:avLst/>
                    </a:prstGeom>
                    <a:noFill/>
                  </pic:spPr>
                </pic:pic>
              </a:graphicData>
            </a:graphic>
          </wp:anchor>
        </w:drawing>
      </w:r>
    </w:p>
    <w:p>
      <w:pPr>
        <w:sectPr>
          <w:pgSz w:w="11900" w:h="16838" w:orient="portrait"/>
          <w:cols w:equalWidth="0" w:num="1">
            <w:col w:w="11236"/>
          </w:cols>
          <w:pgMar w:left="304" w:top="482" w:right="359" w:bottom="1440" w:gutter="0" w:footer="0" w:header="0"/>
        </w:sectPr>
      </w:pPr>
    </w:p>
    <w:bookmarkStart w:id="5" w:name="page6"/>
    <w:bookmarkEnd w:id="5"/>
    <w:p>
      <w:pPr>
        <w:ind w:left="640"/>
        <w:spacing w:after="0"/>
        <w:rPr>
          <w:sz w:val="20"/>
          <w:szCs w:val="20"/>
          <w:color w:val="auto"/>
        </w:rPr>
      </w:pPr>
      <w:r>
        <w:rPr>
          <w:rFonts w:ascii="Times New Roman" w:cs="Times New Roman" w:eastAsia="Times New Roman" w:hAnsi="Times New Roman"/>
          <w:sz w:val="14"/>
          <w:szCs w:val="14"/>
          <w:b w:val="1"/>
          <w:bCs w:val="1"/>
          <w:color w:val="auto"/>
        </w:rPr>
        <w:t>IN WITNESS WHEREOF</w:t>
      </w:r>
      <w:r>
        <w:rPr>
          <w:rFonts w:ascii="Times New Roman" w:cs="Times New Roman" w:eastAsia="Times New Roman" w:hAnsi="Times New Roman"/>
          <w:sz w:val="14"/>
          <w:szCs w:val="14"/>
          <w:color w:val="auto"/>
        </w:rPr>
        <w:t>, the parties have executed this Amendment No. 3 to the Agreement as of the date first written above.</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7820" w:type="dxa"/>
            <w:vAlign w:val="bottom"/>
            <w:gridSpan w:val="3"/>
          </w:tcPr>
          <w:p>
            <w:pPr>
              <w:ind w:left="3980"/>
              <w:spacing w:after="0"/>
              <w:rPr>
                <w:sz w:val="20"/>
                <w:szCs w:val="20"/>
                <w:color w:val="auto"/>
              </w:rPr>
            </w:pPr>
            <w:r>
              <w:rPr>
                <w:rFonts w:ascii="Times New Roman" w:cs="Times New Roman" w:eastAsia="Times New Roman" w:hAnsi="Times New Roman"/>
                <w:sz w:val="14"/>
                <w:szCs w:val="14"/>
                <w:b w:val="1"/>
                <w:bCs w:val="1"/>
                <w:color w:val="auto"/>
              </w:rPr>
              <w:t>U.S. CENTURY BANK</w:t>
            </w:r>
          </w:p>
        </w:tc>
      </w:tr>
      <w:tr>
        <w:trPr>
          <w:trHeight w:val="336"/>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/s/ Jalal Shehadeh</w:t>
            </w:r>
          </w:p>
        </w:tc>
        <w:tc>
          <w:tcPr>
            <w:tcW w:w="4600" w:type="dxa"/>
            <w:vAlign w:val="bottom"/>
          </w:tcPr>
          <w:p>
            <w:pPr>
              <w:ind w:left="3980"/>
              <w:spacing w:after="0"/>
              <w:rPr>
                <w:sz w:val="20"/>
                <w:szCs w:val="20"/>
                <w:color w:val="auto"/>
              </w:rPr>
            </w:pPr>
            <w:r>
              <w:rPr>
                <w:rFonts w:ascii="Times New Roman" w:cs="Times New Roman" w:eastAsia="Times New Roman" w:hAnsi="Times New Roman"/>
                <w:sz w:val="14"/>
                <w:szCs w:val="14"/>
                <w:color w:val="auto"/>
              </w:rPr>
              <w:t>By:</w:t>
            </w:r>
          </w:p>
        </w:tc>
        <w:tc>
          <w:tcPr>
            <w:tcW w:w="3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/s/ Aida Levitan</w:t>
            </w:r>
          </w:p>
        </w:tc>
      </w:tr>
      <w:tr>
        <w:trPr>
          <w:trHeight w:val="144"/>
        </w:trPr>
        <w:tc>
          <w:tcPr>
            <w:tcW w:w="68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286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Jalal “Jay” Shehadeh</w:t>
            </w:r>
          </w:p>
        </w:tc>
        <w:tc>
          <w:tcPr>
            <w:tcW w:w="4600" w:type="dxa"/>
            <w:vAlign w:val="bottom"/>
          </w:tcPr>
          <w:p>
            <w:pPr>
              <w:ind w:left="3980"/>
              <w:spacing w:after="0" w:line="144" w:lineRule="exact"/>
              <w:rPr>
                <w:sz w:val="20"/>
                <w:szCs w:val="20"/>
                <w:color w:val="auto"/>
              </w:rPr>
            </w:pPr>
            <w:r>
              <w:rPr>
                <w:rFonts w:ascii="Times New Roman" w:cs="Times New Roman" w:eastAsia="Times New Roman" w:hAnsi="Times New Roman"/>
                <w:sz w:val="14"/>
                <w:szCs w:val="14"/>
                <w:color w:val="auto"/>
              </w:rPr>
              <w:t>Name:</w:t>
            </w:r>
          </w:p>
        </w:tc>
        <w:tc>
          <w:tcPr>
            <w:tcW w:w="280" w:type="dxa"/>
            <w:vAlign w:val="bottom"/>
          </w:tcPr>
          <w:p>
            <w:pPr>
              <w:spacing w:after="0"/>
              <w:rPr>
                <w:sz w:val="12"/>
                <w:szCs w:val="12"/>
                <w:color w:val="auto"/>
              </w:rPr>
            </w:pPr>
          </w:p>
        </w:tc>
        <w:tc>
          <w:tcPr>
            <w:tcW w:w="294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4"/>
                <w:szCs w:val="14"/>
                <w:color w:val="auto"/>
              </w:rPr>
              <w:t>Aida Levitan</w:t>
            </w:r>
          </w:p>
        </w:tc>
      </w:tr>
      <w:tr>
        <w:trPr>
          <w:trHeight w:val="18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Corporate Secretary</w:t>
            </w:r>
          </w:p>
        </w:tc>
        <w:tc>
          <w:tcPr>
            <w:tcW w:w="4600" w:type="dxa"/>
            <w:vAlign w:val="bottom"/>
          </w:tcPr>
          <w:p>
            <w:pPr>
              <w:ind w:left="3980"/>
              <w:spacing w:after="0"/>
              <w:rPr>
                <w:sz w:val="20"/>
                <w:szCs w:val="20"/>
                <w:color w:val="auto"/>
              </w:rPr>
            </w:pPr>
            <w:r>
              <w:rPr>
                <w:rFonts w:ascii="Times New Roman" w:cs="Times New Roman" w:eastAsia="Times New Roman" w:hAnsi="Times New Roman"/>
                <w:sz w:val="14"/>
                <w:szCs w:val="14"/>
                <w:color w:val="auto"/>
              </w:rPr>
              <w:t>Title:</w:t>
            </w:r>
          </w:p>
        </w:tc>
        <w:tc>
          <w:tcPr>
            <w:tcW w:w="322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Chairman of the Board</w:t>
            </w:r>
          </w:p>
        </w:tc>
      </w:tr>
    </w:tbl>
    <w:p>
      <w:pPr>
        <w:spacing w:after="0" w:line="320" w:lineRule="exact"/>
        <w:rPr>
          <w:sz w:val="20"/>
          <w:szCs w:val="20"/>
          <w:color w:val="auto"/>
        </w:rPr>
      </w:pPr>
    </w:p>
    <w:tbl>
      <w:tblPr>
        <w:tblLayout w:type="fixed"/>
        <w:tblInd w:w="7520" w:type="dxa"/>
        <w:tblCellMar>
          <w:top w:w="0" w:type="dxa"/>
          <w:left w:w="0" w:type="dxa"/>
          <w:bottom w:w="0" w:type="dxa"/>
          <w:right w:w="0" w:type="dxa"/>
        </w:tblCellMar>
      </w:tblPr>
      <w:tr>
        <w:trPr>
          <w:trHeight w:val="185"/>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940" w:type="dxa"/>
            <w:vAlign w:val="bottom"/>
          </w:tcPr>
          <w:p>
            <w:pPr>
              <w:spacing w:after="0"/>
              <w:rPr>
                <w:sz w:val="16"/>
                <w:szCs w:val="16"/>
                <w:color w:val="auto"/>
              </w:rPr>
            </w:pPr>
          </w:p>
        </w:tc>
      </w:tr>
      <w:tr>
        <w:trPr>
          <w:trHeight w:val="336"/>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2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Luis de la Aguilera</w:t>
            </w:r>
          </w:p>
        </w:tc>
      </w:tr>
      <w:tr>
        <w:trPr>
          <w:trHeight w:val="173"/>
        </w:trPr>
        <w:tc>
          <w:tcPr>
            <w:tcW w:w="900" w:type="dxa"/>
            <w:vAlign w:val="bottom"/>
          </w:tcPr>
          <w:p>
            <w:pPr>
              <w:spacing w:after="0"/>
              <w:rPr>
                <w:sz w:val="15"/>
                <w:szCs w:val="15"/>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Luis de la Aguilera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3</w:t>
      </w:r>
    </w:p>
    <w:sectPr>
      <w:pgSz w:w="11900" w:h="16838" w:orient="portrait"/>
      <w:cols w:equalWidth="0" w:num="1">
        <w:col w:w="11360"/>
      </w:cols>
      <w:pgMar w:left="300" w:top="8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2022-04-29T21:15:35Z</dcterms:created>
  <dcterms:modified xsi:type="dcterms:W3CDTF">2022-04-29T21:15:35Z</dcterms:modified>
</cp:coreProperties>
</file>