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759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7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6,947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43,575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6,947 shares of restricted stock which vest at a rate of one-third per year commencing on January 21,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3,261 shares of restricted stock which commenced vesting at a rate of one-third per year on January 22, 2025, 4,078 shares of restricted stock which commenced vesting at a rate of one-third per year on March 8, 2024, and 20,000 shares of restricted stock which vest at a rate of one-third per year commencing on October 28,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7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2025-01-23T09:37:35Z</dcterms:created>
  <dcterms:modified xsi:type="dcterms:W3CDTF">2025-01-23T09:37:35Z</dcterms:modified>
</cp:coreProperties>
</file>