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26"/>
          <w:szCs w:val="26"/>
          <w:b w:val="1"/>
          <w:bCs w:val="1"/>
          <w:color w:val="auto"/>
        </w:rPr>
        <w:drawing>
          <wp:anchor simplePos="0" relativeHeight="251657728" behindDoc="1" locked="0" layoutInCell="0" allowOverlap="1">
            <wp:simplePos x="0" y="0"/>
            <wp:positionH relativeFrom="page">
              <wp:posOffset>193675</wp:posOffset>
            </wp:positionH>
            <wp:positionV relativeFrom="page">
              <wp:posOffset>142875</wp:posOffset>
            </wp:positionV>
            <wp:extent cx="7160895" cy="104616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0895" cy="10461625"/>
                    </a:xfrm>
                    <a:prstGeom prst="rect">
                      <a:avLst/>
                    </a:prstGeom>
                    <a:noFill/>
                  </pic:spPr>
                </pic:pic>
              </a:graphicData>
            </a:graphic>
          </wp:anchor>
        </w:drawing>
        <w:t>UNITED STATES</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ind w:left="3580"/>
        <w:spacing w:after="0"/>
        <w:rPr>
          <w:sz w:val="20"/>
          <w:szCs w:val="20"/>
          <w:color w:val="auto"/>
        </w:rPr>
      </w:pPr>
      <w:r>
        <w:rPr>
          <w:rFonts w:ascii="Times New Roman" w:cs="Times New Roman" w:eastAsia="Times New Roman" w:hAnsi="Times New Roman"/>
          <w:sz w:val="14"/>
          <w:szCs w:val="14"/>
          <w:color w:val="auto"/>
        </w:rPr>
        <w:t>__________________________</w:t>
      </w:r>
    </w:p>
    <w:p>
      <w:pPr>
        <w:jc w:val="center"/>
        <w:spacing w:after="0" w:line="239" w:lineRule="auto"/>
        <w:rPr>
          <w:sz w:val="20"/>
          <w:szCs w:val="20"/>
          <w:color w:val="auto"/>
        </w:rPr>
      </w:pPr>
      <w:r>
        <w:rPr>
          <w:rFonts w:ascii="Times New Roman" w:cs="Times New Roman" w:eastAsia="Times New Roman" w:hAnsi="Times New Roman"/>
          <w:sz w:val="26"/>
          <w:szCs w:val="26"/>
          <w:b w:val="1"/>
          <w:bCs w:val="1"/>
          <w:color w:val="auto"/>
        </w:rPr>
        <w:t>FORM 8-K</w:t>
      </w:r>
    </w:p>
    <w:p>
      <w:pPr>
        <w:ind w:left="3580"/>
        <w:spacing w:after="0"/>
        <w:rPr>
          <w:sz w:val="20"/>
          <w:szCs w:val="20"/>
          <w:color w:val="auto"/>
        </w:rPr>
      </w:pPr>
      <w:r>
        <w:rPr>
          <w:rFonts w:ascii="Times New Roman" w:cs="Times New Roman" w:eastAsia="Times New Roman" w:hAnsi="Times New Roman"/>
          <w:sz w:val="14"/>
          <w:szCs w:val="14"/>
          <w:color w:val="auto"/>
        </w:rPr>
        <w:t>__________________________</w:t>
      </w:r>
    </w:p>
    <w:p>
      <w:pPr>
        <w:spacing w:after="0" w:line="1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CURRENT REPORT</w:t>
      </w:r>
    </w:p>
    <w:p>
      <w:pPr>
        <w:spacing w:after="0" w:line="1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Pursuant to Section 13 or 15(d) of the Securities Exchange Act of 1934</w:t>
      </w:r>
    </w:p>
    <w:p>
      <w:pPr>
        <w:spacing w:after="0" w:line="1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 April 23, 2026</w:t>
      </w:r>
    </w:p>
    <w:p>
      <w:pPr>
        <w:spacing w:after="0" w:line="20" w:lineRule="exact"/>
        <w:rPr>
          <w:sz w:val="24"/>
          <w:szCs w:val="24"/>
          <w:color w:val="auto"/>
        </w:rPr>
      </w:pPr>
    </w:p>
    <w:p>
      <w:pPr>
        <w:ind w:left="3580"/>
        <w:spacing w:after="0"/>
        <w:rPr>
          <w:sz w:val="20"/>
          <w:szCs w:val="20"/>
          <w:color w:val="auto"/>
        </w:rPr>
      </w:pPr>
      <w:r>
        <w:rPr>
          <w:rFonts w:ascii="Times New Roman" w:cs="Times New Roman" w:eastAsia="Times New Roman" w:hAnsi="Times New Roman"/>
          <w:sz w:val="14"/>
          <w:szCs w:val="14"/>
          <w:color w:val="auto"/>
        </w:rPr>
        <w:t>__________________________</w:t>
      </w:r>
    </w:p>
    <w:p>
      <w:pPr>
        <w:spacing w:after="0" w:line="1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USCB Financial Holdings, Inc.</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122"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4"/>
          <w:szCs w:val="14"/>
          <w:color w:val="auto"/>
        </w:rPr>
        <w:t>__________________________</w:t>
      </w:r>
    </w:p>
    <w:p>
      <w:pPr>
        <w:spacing w:after="0" w:line="327" w:lineRule="exact"/>
        <w:rPr>
          <w:sz w:val="24"/>
          <w:szCs w:val="24"/>
          <w:color w:val="auto"/>
        </w:rPr>
      </w:pPr>
    </w:p>
    <w:tbl>
      <w:tblPr>
        <w:tblLayout w:type="fixed"/>
        <w:tblInd w:w="720" w:type="dxa"/>
        <w:tblCellMar>
          <w:top w:w="0" w:type="dxa"/>
          <w:left w:w="0" w:type="dxa"/>
          <w:bottom w:w="0" w:type="dxa"/>
          <w:right w:w="0" w:type="dxa"/>
        </w:tblCellMar>
      </w:tblPr>
      <w:tr>
        <w:trPr>
          <w:trHeight w:val="161"/>
        </w:trPr>
        <w:tc>
          <w:tcPr>
            <w:tcW w:w="2680" w:type="dxa"/>
            <w:vAlign w:val="bottom"/>
          </w:tcPr>
          <w:p>
            <w:pPr>
              <w:jc w:val="center"/>
              <w:ind w:right="169"/>
              <w:spacing w:after="0"/>
              <w:rPr>
                <w:sz w:val="20"/>
                <w:szCs w:val="20"/>
                <w:color w:val="auto"/>
              </w:rPr>
            </w:pPr>
            <w:r>
              <w:rPr>
                <w:rFonts w:ascii="Times New Roman" w:cs="Times New Roman" w:eastAsia="Times New Roman" w:hAnsi="Times New Roman"/>
                <w:sz w:val="14"/>
                <w:szCs w:val="14"/>
                <w:b w:val="1"/>
                <w:bCs w:val="1"/>
                <w:color w:val="auto"/>
                <w:w w:val="99"/>
              </w:rPr>
              <w:t>Florida</w:t>
            </w:r>
          </w:p>
        </w:tc>
        <w:tc>
          <w:tcPr>
            <w:tcW w:w="2520" w:type="dxa"/>
            <w:vAlign w:val="bottom"/>
          </w:tcPr>
          <w:p>
            <w:pPr>
              <w:jc w:val="right"/>
              <w:ind w:right="1049"/>
              <w:spacing w:after="0"/>
              <w:rPr>
                <w:sz w:val="20"/>
                <w:szCs w:val="20"/>
                <w:color w:val="auto"/>
              </w:rPr>
            </w:pPr>
            <w:r>
              <w:rPr>
                <w:rFonts w:ascii="Times New Roman" w:cs="Times New Roman" w:eastAsia="Times New Roman" w:hAnsi="Times New Roman"/>
                <w:sz w:val="14"/>
                <w:szCs w:val="14"/>
                <w:b w:val="1"/>
                <w:bCs w:val="1"/>
                <w:color w:val="auto"/>
              </w:rPr>
              <w:t>001-41196</w:t>
            </w:r>
          </w:p>
        </w:tc>
        <w:tc>
          <w:tcPr>
            <w:tcW w:w="1700" w:type="dxa"/>
            <w:vAlign w:val="bottom"/>
          </w:tcPr>
          <w:p>
            <w:pPr>
              <w:jc w:val="center"/>
              <w:ind w:left="509"/>
              <w:spacing w:after="0"/>
              <w:rPr>
                <w:sz w:val="20"/>
                <w:szCs w:val="20"/>
                <w:color w:val="auto"/>
              </w:rPr>
            </w:pPr>
            <w:r>
              <w:rPr>
                <w:rFonts w:ascii="Times New Roman" w:cs="Times New Roman" w:eastAsia="Times New Roman" w:hAnsi="Times New Roman"/>
                <w:sz w:val="14"/>
                <w:szCs w:val="14"/>
                <w:b w:val="1"/>
                <w:bCs w:val="1"/>
                <w:color w:val="auto"/>
              </w:rPr>
              <w:t>87-4070846</w:t>
            </w:r>
          </w:p>
        </w:tc>
      </w:tr>
      <w:tr>
        <w:trPr>
          <w:trHeight w:val="160"/>
        </w:trPr>
        <w:tc>
          <w:tcPr>
            <w:tcW w:w="2680" w:type="dxa"/>
            <w:vAlign w:val="bottom"/>
          </w:tcPr>
          <w:p>
            <w:pPr>
              <w:jc w:val="center"/>
              <w:ind w:right="169"/>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520" w:type="dxa"/>
            <w:vAlign w:val="bottom"/>
          </w:tcPr>
          <w:p>
            <w:pPr>
              <w:jc w:val="center"/>
              <w:ind w:right="249"/>
              <w:spacing w:after="0"/>
              <w:rPr>
                <w:sz w:val="20"/>
                <w:szCs w:val="20"/>
                <w:color w:val="auto"/>
              </w:rPr>
            </w:pPr>
            <w:r>
              <w:rPr>
                <w:rFonts w:ascii="Times New Roman" w:cs="Times New Roman" w:eastAsia="Times New Roman" w:hAnsi="Times New Roman"/>
                <w:sz w:val="14"/>
                <w:szCs w:val="14"/>
                <w:b w:val="1"/>
                <w:bCs w:val="1"/>
                <w:color w:val="auto"/>
              </w:rPr>
              <w:t>(Commission File Number)</w:t>
            </w:r>
          </w:p>
        </w:tc>
        <w:tc>
          <w:tcPr>
            <w:tcW w:w="1700" w:type="dxa"/>
            <w:vAlign w:val="bottom"/>
          </w:tcPr>
          <w:p>
            <w:pPr>
              <w:jc w:val="center"/>
              <w:ind w:left="509"/>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86"/>
        </w:trPr>
        <w:tc>
          <w:tcPr>
            <w:tcW w:w="2680" w:type="dxa"/>
            <w:vAlign w:val="bottom"/>
          </w:tcPr>
          <w:p>
            <w:pPr>
              <w:jc w:val="center"/>
              <w:ind w:right="16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520" w:type="dxa"/>
            <w:vAlign w:val="bottom"/>
          </w:tcPr>
          <w:p>
            <w:pPr>
              <w:spacing w:after="0"/>
              <w:rPr>
                <w:sz w:val="16"/>
                <w:szCs w:val="16"/>
                <w:color w:val="auto"/>
              </w:rPr>
            </w:pPr>
          </w:p>
        </w:tc>
        <w:tc>
          <w:tcPr>
            <w:tcW w:w="1700" w:type="dxa"/>
            <w:vAlign w:val="bottom"/>
          </w:tcPr>
          <w:p>
            <w:pPr>
              <w:jc w:val="center"/>
              <w:ind w:left="509"/>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05"/>
        </w:trPr>
        <w:tc>
          <w:tcPr>
            <w:tcW w:w="2680" w:type="dxa"/>
            <w:vAlign w:val="bottom"/>
          </w:tcPr>
          <w:p>
            <w:pPr>
              <w:jc w:val="center"/>
              <w:ind w:right="169"/>
              <w:spacing w:after="0"/>
              <w:rPr>
                <w:sz w:val="20"/>
                <w:szCs w:val="20"/>
                <w:color w:val="auto"/>
              </w:rPr>
            </w:pPr>
            <w:r>
              <w:rPr>
                <w:rFonts w:ascii="Times New Roman" w:cs="Times New Roman" w:eastAsia="Times New Roman" w:hAnsi="Times New Roman"/>
                <w:sz w:val="14"/>
                <w:szCs w:val="14"/>
                <w:b w:val="1"/>
                <w:bCs w:val="1"/>
                <w:color w:val="auto"/>
                <w:w w:val="99"/>
              </w:rPr>
              <w:t>2301 N.W. 87th Avenue ,</w:t>
            </w:r>
          </w:p>
        </w:tc>
        <w:tc>
          <w:tcPr>
            <w:tcW w:w="2520" w:type="dxa"/>
            <w:vAlign w:val="bottom"/>
          </w:tcPr>
          <w:p>
            <w:pPr>
              <w:spacing w:after="0"/>
              <w:rPr>
                <w:sz w:val="24"/>
                <w:szCs w:val="24"/>
                <w:color w:val="auto"/>
              </w:rPr>
            </w:pPr>
          </w:p>
        </w:tc>
        <w:tc>
          <w:tcPr>
            <w:tcW w:w="1700" w:type="dxa"/>
            <w:vAlign w:val="bottom"/>
          </w:tcPr>
          <w:p>
            <w:pPr>
              <w:jc w:val="center"/>
              <w:ind w:left="509"/>
              <w:spacing w:after="0"/>
              <w:rPr>
                <w:sz w:val="20"/>
                <w:szCs w:val="20"/>
                <w:color w:val="auto"/>
              </w:rPr>
            </w:pPr>
            <w:r>
              <w:rPr>
                <w:rFonts w:ascii="Times New Roman" w:cs="Times New Roman" w:eastAsia="Times New Roman" w:hAnsi="Times New Roman"/>
                <w:sz w:val="14"/>
                <w:szCs w:val="14"/>
                <w:b w:val="1"/>
                <w:bCs w:val="1"/>
                <w:color w:val="auto"/>
              </w:rPr>
              <w:t>33172</w:t>
            </w:r>
          </w:p>
        </w:tc>
      </w:tr>
      <w:tr>
        <w:trPr>
          <w:trHeight w:val="171"/>
        </w:trPr>
        <w:tc>
          <w:tcPr>
            <w:tcW w:w="2680" w:type="dxa"/>
            <w:vAlign w:val="bottom"/>
          </w:tcPr>
          <w:p>
            <w:pPr>
              <w:jc w:val="center"/>
              <w:ind w:right="169"/>
              <w:spacing w:after="0"/>
              <w:rPr>
                <w:sz w:val="20"/>
                <w:szCs w:val="20"/>
                <w:color w:val="auto"/>
              </w:rPr>
            </w:pPr>
            <w:r>
              <w:rPr>
                <w:rFonts w:ascii="Times New Roman" w:cs="Times New Roman" w:eastAsia="Times New Roman" w:hAnsi="Times New Roman"/>
                <w:sz w:val="14"/>
                <w:szCs w:val="14"/>
                <w:b w:val="1"/>
                <w:bCs w:val="1"/>
                <w:color w:val="auto"/>
              </w:rPr>
              <w:t>Doral, Florida</w:t>
            </w:r>
          </w:p>
        </w:tc>
        <w:tc>
          <w:tcPr>
            <w:tcW w:w="252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86"/>
        </w:trPr>
        <w:tc>
          <w:tcPr>
            <w:tcW w:w="2680" w:type="dxa"/>
            <w:vAlign w:val="bottom"/>
          </w:tcPr>
          <w:p>
            <w:pPr>
              <w:jc w:val="center"/>
              <w:ind w:right="18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520" w:type="dxa"/>
            <w:vAlign w:val="bottom"/>
          </w:tcPr>
          <w:p>
            <w:pPr>
              <w:spacing w:after="0"/>
              <w:rPr>
                <w:sz w:val="16"/>
                <w:szCs w:val="16"/>
                <w:color w:val="auto"/>
              </w:rPr>
            </w:pPr>
          </w:p>
        </w:tc>
        <w:tc>
          <w:tcPr>
            <w:tcW w:w="1700" w:type="dxa"/>
            <w:vAlign w:val="bottom"/>
          </w:tcPr>
          <w:p>
            <w:pPr>
              <w:jc w:val="center"/>
              <w:ind w:left="529"/>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(305) 715-5200</w:t>
      </w:r>
    </w:p>
    <w:p>
      <w:pPr>
        <w:spacing w:after="0" w:line="132"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4"/>
          <w:szCs w:val="14"/>
          <w:color w:val="auto"/>
        </w:rPr>
        <w:t>__________________________</w:t>
      </w:r>
    </w:p>
    <w:p>
      <w:pPr>
        <w:spacing w:after="0" w:line="138" w:lineRule="exact"/>
        <w:rPr>
          <w:sz w:val="24"/>
          <w:szCs w:val="24"/>
          <w:color w:val="auto"/>
        </w:rPr>
      </w:pPr>
    </w:p>
    <w:p>
      <w:pPr>
        <w:ind w:left="660" w:right="679"/>
        <w:spacing w:after="0" w:line="273" w:lineRule="auto"/>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125" w:lineRule="exact"/>
        <w:rPr>
          <w:sz w:val="24"/>
          <w:szCs w:val="24"/>
          <w:color w:val="auto"/>
        </w:rPr>
      </w:pPr>
    </w:p>
    <w:p>
      <w:pPr>
        <w:ind w:left="1120" w:hanging="457"/>
        <w:spacing w:after="0"/>
        <w:tabs>
          <w:tab w:leader="none" w:pos="11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34" w:lineRule="exact"/>
        <w:rPr>
          <w:rFonts w:ascii="MS PGothic" w:cs="MS PGothic" w:eastAsia="MS PGothic" w:hAnsi="MS PGothic"/>
          <w:sz w:val="14"/>
          <w:szCs w:val="14"/>
          <w:color w:val="auto"/>
        </w:rPr>
      </w:pPr>
    </w:p>
    <w:p>
      <w:pPr>
        <w:ind w:left="1120" w:hanging="457"/>
        <w:spacing w:after="0"/>
        <w:tabs>
          <w:tab w:leader="none" w:pos="11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 -12)</w:t>
      </w:r>
    </w:p>
    <w:p>
      <w:pPr>
        <w:spacing w:after="0" w:line="31" w:lineRule="exact"/>
        <w:rPr>
          <w:rFonts w:ascii="MS PGothic" w:cs="MS PGothic" w:eastAsia="MS PGothic" w:hAnsi="MS PGothic"/>
          <w:sz w:val="14"/>
          <w:szCs w:val="14"/>
          <w:color w:val="auto"/>
        </w:rPr>
      </w:pPr>
    </w:p>
    <w:p>
      <w:pPr>
        <w:ind w:left="1120" w:hanging="457"/>
        <w:spacing w:after="0"/>
        <w:tabs>
          <w:tab w:leader="none" w:pos="11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31" w:lineRule="exact"/>
        <w:rPr>
          <w:rFonts w:ascii="MS PGothic" w:cs="MS PGothic" w:eastAsia="MS PGothic" w:hAnsi="MS PGothic"/>
          <w:sz w:val="14"/>
          <w:szCs w:val="14"/>
          <w:color w:val="auto"/>
        </w:rPr>
      </w:pPr>
    </w:p>
    <w:p>
      <w:pPr>
        <w:ind w:left="1120" w:hanging="457"/>
        <w:spacing w:after="0"/>
        <w:tabs>
          <w:tab w:leader="none" w:pos="11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w:t>
      </w:r>
    </w:p>
    <w:p>
      <w:pPr>
        <w:spacing w:after="0" w:line="177"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6" w:lineRule="exact"/>
        <w:rPr>
          <w:sz w:val="24"/>
          <w:szCs w:val="24"/>
          <w:color w:val="auto"/>
        </w:rPr>
      </w:pPr>
    </w:p>
    <w:tbl>
      <w:tblPr>
        <w:tblLayout w:type="fixed"/>
        <w:tblInd w:w="660" w:type="dxa"/>
        <w:tblCellMar>
          <w:top w:w="0" w:type="dxa"/>
          <w:left w:w="0" w:type="dxa"/>
          <w:bottom w:w="0" w:type="dxa"/>
          <w:right w:w="0" w:type="dxa"/>
        </w:tblCellMar>
      </w:tblPr>
      <w:tr>
        <w:trPr>
          <w:trHeight w:val="126"/>
        </w:trPr>
        <w:tc>
          <w:tcPr>
            <w:tcW w:w="2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Trading</w:t>
            </w:r>
          </w:p>
        </w:tc>
        <w:tc>
          <w:tcPr>
            <w:tcW w:w="200" w:type="dxa"/>
            <w:vAlign w:val="bottom"/>
          </w:tcPr>
          <w:p>
            <w:pPr>
              <w:spacing w:after="0"/>
              <w:rPr>
                <w:sz w:val="10"/>
                <w:szCs w:val="10"/>
                <w:color w:val="auto"/>
              </w:rPr>
            </w:pPr>
          </w:p>
        </w:tc>
        <w:tc>
          <w:tcPr>
            <w:tcW w:w="2880" w:type="dxa"/>
            <w:vAlign w:val="bottom"/>
          </w:tcPr>
          <w:p>
            <w:pPr>
              <w:spacing w:after="0"/>
              <w:rPr>
                <w:sz w:val="10"/>
                <w:szCs w:val="10"/>
                <w:color w:val="auto"/>
              </w:rPr>
            </w:pPr>
          </w:p>
        </w:tc>
      </w:tr>
      <w:tr>
        <w:trPr>
          <w:trHeight w:val="137"/>
        </w:trPr>
        <w:tc>
          <w:tcPr>
            <w:tcW w:w="2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Title of each class</w:t>
            </w:r>
          </w:p>
        </w:tc>
        <w:tc>
          <w:tcPr>
            <w:tcW w:w="200" w:type="dxa"/>
            <w:vAlign w:val="bottom"/>
          </w:tcPr>
          <w:p>
            <w:pPr>
              <w:spacing w:after="0"/>
              <w:rPr>
                <w:sz w:val="11"/>
                <w:szCs w:val="11"/>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Symbol(s)</w:t>
            </w:r>
          </w:p>
        </w:tc>
        <w:tc>
          <w:tcPr>
            <w:tcW w:w="200" w:type="dxa"/>
            <w:vAlign w:val="bottom"/>
          </w:tcPr>
          <w:p>
            <w:pPr>
              <w:spacing w:after="0"/>
              <w:rPr>
                <w:sz w:val="11"/>
                <w:szCs w:val="11"/>
                <w:color w:val="auto"/>
              </w:rPr>
            </w:pPr>
          </w:p>
        </w:tc>
        <w:tc>
          <w:tcPr>
            <w:tcW w:w="2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Name of each exchange on which registered</w:t>
            </w:r>
          </w:p>
        </w:tc>
      </w:tr>
      <w:tr>
        <w:trPr>
          <w:trHeight w:val="175"/>
        </w:trPr>
        <w:tc>
          <w:tcPr>
            <w:tcW w:w="2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Class A common stock, $1.00 par value per share</w:t>
            </w:r>
          </w:p>
        </w:tc>
        <w:tc>
          <w:tcPr>
            <w:tcW w:w="200" w:type="dxa"/>
            <w:vAlign w:val="bottom"/>
          </w:tcPr>
          <w:p>
            <w:pPr>
              <w:spacing w:after="0"/>
              <w:rPr>
                <w:sz w:val="15"/>
                <w:szCs w:val="15"/>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USCB</w:t>
            </w:r>
          </w:p>
        </w:tc>
        <w:tc>
          <w:tcPr>
            <w:tcW w:w="200" w:type="dxa"/>
            <w:vAlign w:val="bottom"/>
          </w:tcPr>
          <w:p>
            <w:pPr>
              <w:spacing w:after="0"/>
              <w:rPr>
                <w:sz w:val="15"/>
                <w:szCs w:val="15"/>
                <w:color w:val="auto"/>
              </w:rPr>
            </w:pPr>
          </w:p>
        </w:tc>
        <w:tc>
          <w:tcPr>
            <w:tcW w:w="2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bl>
    <w:p>
      <w:pPr>
        <w:spacing w:after="0" w:line="132" w:lineRule="exact"/>
        <w:rPr>
          <w:sz w:val="24"/>
          <w:szCs w:val="24"/>
          <w:color w:val="auto"/>
        </w:rPr>
      </w:pPr>
    </w:p>
    <w:p>
      <w:pPr>
        <w:jc w:val="both"/>
        <w:ind w:left="660" w:right="699"/>
        <w:spacing w:after="0" w:line="273"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 230.405 of this chapter) or Rule 12b-2 of the Securities Exchange Act of 1934 (§ 240.12b -2 of this chapter).</w:t>
      </w:r>
    </w:p>
    <w:p>
      <w:pPr>
        <w:spacing w:after="0" w:line="93" w:lineRule="exact"/>
        <w:rPr>
          <w:sz w:val="24"/>
          <w:szCs w:val="24"/>
          <w:color w:val="auto"/>
        </w:rPr>
      </w:pPr>
    </w:p>
    <w:p>
      <w:pPr>
        <w:ind w:left="660"/>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201" w:lineRule="exact"/>
        <w:rPr>
          <w:sz w:val="24"/>
          <w:szCs w:val="24"/>
          <w:color w:val="auto"/>
        </w:rPr>
      </w:pPr>
    </w:p>
    <w:p>
      <w:pPr>
        <w:jc w:val="both"/>
        <w:ind w:left="660" w:right="699"/>
        <w:spacing w:after="0" w:line="184"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9019"/>
          </w:cols>
          <w:pgMar w:left="1440" w:top="795" w:right="1440" w:bottom="1440" w:gutter="0" w:footer="0" w:header="0"/>
        </w:sectPr>
      </w:pPr>
    </w:p>
    <w:bookmarkStart w:id="1" w:name="page2"/>
    <w:bookmarkEnd w:id="1"/>
    <w:p>
      <w:pPr>
        <w:ind w:left="66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Item 2.02. Results of Operations and Financial Condition.</w:t>
      </w:r>
    </w:p>
    <w:p>
      <w:pPr>
        <w:spacing w:after="0" w:line="172" w:lineRule="exact"/>
        <w:rPr>
          <w:sz w:val="20"/>
          <w:szCs w:val="20"/>
          <w:color w:val="auto"/>
        </w:rPr>
      </w:pPr>
    </w:p>
    <w:p>
      <w:pPr>
        <w:jc w:val="both"/>
        <w:ind w:left="660" w:right="679" w:firstLine="512"/>
        <w:spacing w:after="0" w:line="263" w:lineRule="auto"/>
        <w:rPr>
          <w:sz w:val="20"/>
          <w:szCs w:val="20"/>
          <w:color w:val="auto"/>
        </w:rPr>
      </w:pPr>
      <w:r>
        <w:rPr>
          <w:rFonts w:ascii="Times New Roman" w:cs="Times New Roman" w:eastAsia="Times New Roman" w:hAnsi="Times New Roman"/>
          <w:sz w:val="14"/>
          <w:szCs w:val="14"/>
          <w:color w:val="auto"/>
        </w:rPr>
        <w:t>On April 23, 2026, USCB Financial Holdings, Inc. (the “Company”) issued a press release announcing its financial results for the quarter ended March 31, 2026. A copy of the press release is furnished as Exhibit 99.1 to this Current Report on Form 8-K (“Form 8-K”) and is incorporated herein by reference.</w:t>
      </w:r>
    </w:p>
    <w:p>
      <w:pPr>
        <w:spacing w:after="0" w:line="122" w:lineRule="exact"/>
        <w:rPr>
          <w:sz w:val="20"/>
          <w:szCs w:val="20"/>
          <w:color w:val="auto"/>
        </w:rPr>
      </w:pPr>
    </w:p>
    <w:p>
      <w:pPr>
        <w:jc w:val="both"/>
        <w:ind w:left="660" w:right="679" w:firstLine="512"/>
        <w:spacing w:after="0" w:line="255" w:lineRule="auto"/>
        <w:rPr>
          <w:sz w:val="20"/>
          <w:szCs w:val="20"/>
          <w:color w:val="auto"/>
        </w:rPr>
      </w:pPr>
      <w:r>
        <w:rPr>
          <w:rFonts w:ascii="Times New Roman" w:cs="Times New Roman" w:eastAsia="Times New Roman" w:hAnsi="Times New Roman"/>
          <w:sz w:val="14"/>
          <w:szCs w:val="14"/>
          <w:color w:val="auto"/>
        </w:rPr>
        <w:t>The information in this Item 2.02, including Exhibit 99.1 hereto, is being furnished and shall not be deemed “filed” for purposes of Section 18 of the Securities Exchange Act of 1934 (the “Exchange Act”), or otherwise be subject to the liability of that section, and shall not be deemed to be incorporated by reference into any filing under the Securities Act of 1933 (the “Securities Act”) or the Exchange Act except as expressly set forth by specific reference in such filing to this Form 8-K.</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b w:val="1"/>
          <w:bCs w:val="1"/>
          <w:color w:val="auto"/>
        </w:rPr>
        <w:t>Item 7.01. Regulation FD Disclosure.</w:t>
      </w:r>
    </w:p>
    <w:p>
      <w:pPr>
        <w:spacing w:after="0" w:line="172" w:lineRule="exact"/>
        <w:rPr>
          <w:sz w:val="20"/>
          <w:szCs w:val="20"/>
          <w:color w:val="auto"/>
        </w:rPr>
      </w:pPr>
    </w:p>
    <w:p>
      <w:pPr>
        <w:jc w:val="both"/>
        <w:ind w:left="660" w:right="679" w:firstLine="512"/>
        <w:spacing w:after="0" w:line="255" w:lineRule="auto"/>
        <w:rPr>
          <w:sz w:val="20"/>
          <w:szCs w:val="20"/>
          <w:color w:val="auto"/>
        </w:rPr>
      </w:pPr>
      <w:r>
        <w:rPr>
          <w:rFonts w:ascii="Times New Roman" w:cs="Times New Roman" w:eastAsia="Times New Roman" w:hAnsi="Times New Roman"/>
          <w:sz w:val="14"/>
          <w:szCs w:val="14"/>
          <w:color w:val="auto"/>
        </w:rPr>
        <w:t>As previously announced, at 11:00 a.m. ET on April 24, 2026, the Company will hold an earnings conference call to discuss its financial performance for the quarter ended March 31, 2026. A copy of the slides forming the basis of the presentation is being furnished as Exhibit 99.2 to this Form 8-K and is incorporated herein by reference. A copy of the slides has also been posted to the Company’s investor relations website, located at investors.uscenturybank.com.</w:t>
      </w:r>
    </w:p>
    <w:p>
      <w:pPr>
        <w:spacing w:after="0" w:line="127" w:lineRule="exact"/>
        <w:rPr>
          <w:sz w:val="20"/>
          <w:szCs w:val="20"/>
          <w:color w:val="auto"/>
        </w:rPr>
      </w:pPr>
    </w:p>
    <w:p>
      <w:pPr>
        <w:jc w:val="both"/>
        <w:ind w:left="660" w:right="679" w:firstLine="512"/>
        <w:spacing w:after="0" w:line="255" w:lineRule="auto"/>
        <w:rPr>
          <w:sz w:val="20"/>
          <w:szCs w:val="20"/>
          <w:color w:val="auto"/>
        </w:rPr>
      </w:pPr>
      <w:r>
        <w:rPr>
          <w:rFonts w:ascii="Times New Roman" w:cs="Times New Roman" w:eastAsia="Times New Roman" w:hAnsi="Times New Roman"/>
          <w:sz w:val="14"/>
          <w:szCs w:val="14"/>
          <w:color w:val="auto"/>
        </w:rPr>
        <w:t>The information in this Item 7.01, including Exhibit 99.2 hereto, is being furnished and shall not be deemed “filed” for purposes of Section 18 of the Exchange Act, or otherwise be subject to the liability of that section, and shall not be deemed to be incorporated by reference into any filing under the Securities Act or the Exchange Act except as set forth by specific reference in such filing to this Form 8-K.</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b w:val="1"/>
          <w:bCs w:val="1"/>
          <w:color w:val="auto"/>
        </w:rPr>
        <w:t>Item 9.01. Financial Statements and Exhibits.</w:t>
      </w:r>
    </w:p>
    <w:p>
      <w:pPr>
        <w:spacing w:after="0" w:line="170" w:lineRule="exact"/>
        <w:rPr>
          <w:sz w:val="20"/>
          <w:szCs w:val="20"/>
          <w:color w:val="auto"/>
        </w:rPr>
      </w:pPr>
    </w:p>
    <w:tbl>
      <w:tblPr>
        <w:tblLayout w:type="fixed"/>
        <w:tblInd w:w="1160" w:type="dxa"/>
        <w:tblCellMar>
          <w:top w:w="0" w:type="dxa"/>
          <w:left w:w="0" w:type="dxa"/>
          <w:bottom w:w="0" w:type="dxa"/>
          <w:right w:w="0" w:type="dxa"/>
        </w:tblCellMar>
      </w:tblPr>
      <w:tr>
        <w:trPr>
          <w:trHeight w:val="186"/>
        </w:trPr>
        <w:tc>
          <w:tcPr>
            <w:tcW w:w="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 Exhibits.</w:t>
            </w:r>
          </w:p>
        </w:tc>
        <w:tc>
          <w:tcPr>
            <w:tcW w:w="24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440" w:type="dxa"/>
            <w:vAlign w:val="bottom"/>
          </w:tcPr>
          <w:p>
            <w:pPr>
              <w:spacing w:after="0"/>
              <w:rPr>
                <w:sz w:val="16"/>
                <w:szCs w:val="16"/>
                <w:color w:val="auto"/>
              </w:rPr>
            </w:pPr>
          </w:p>
        </w:tc>
      </w:tr>
      <w:tr>
        <w:trPr>
          <w:trHeight w:val="310"/>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62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129"/>
        </w:trPr>
        <w:tc>
          <w:tcPr>
            <w:tcW w:w="920" w:type="dxa"/>
            <w:vAlign w:val="bottom"/>
          </w:tcPr>
          <w:p>
            <w:pPr>
              <w:ind w:left="20"/>
              <w:spacing w:after="0" w:line="129" w:lineRule="exact"/>
              <w:rPr>
                <w:sz w:val="20"/>
                <w:szCs w:val="20"/>
                <w:color w:val="auto"/>
              </w:rPr>
            </w:pPr>
            <w:r>
              <w:rPr>
                <w:rFonts w:ascii="Times New Roman" w:cs="Times New Roman" w:eastAsia="Times New Roman" w:hAnsi="Times New Roman"/>
                <w:sz w:val="14"/>
                <w:szCs w:val="14"/>
                <w:color w:val="auto"/>
              </w:rPr>
              <w:t>99.1</w:t>
            </w:r>
          </w:p>
        </w:tc>
        <w:tc>
          <w:tcPr>
            <w:tcW w:w="3820" w:type="dxa"/>
            <w:vAlign w:val="bottom"/>
            <w:tcBorders>
              <w:bottom w:val="single" w:sz="8" w:color="0563C1"/>
            </w:tcBorders>
            <w:gridSpan w:val="2"/>
          </w:tcPr>
          <w:p>
            <w:pPr>
              <w:spacing w:after="0" w:line="129" w:lineRule="exact"/>
              <w:rPr>
                <w:sz w:val="20"/>
                <w:szCs w:val="20"/>
                <w:color w:val="auto"/>
              </w:rPr>
            </w:pPr>
            <w:r>
              <w:rPr>
                <w:rFonts w:ascii="Times New Roman" w:cs="Times New Roman" w:eastAsia="Times New Roman" w:hAnsi="Times New Roman"/>
                <w:sz w:val="14"/>
                <w:szCs w:val="14"/>
                <w:color w:val="0563C1"/>
              </w:rPr>
              <w:t>USCB Financial Holdings, Inc. Press Release, dated April 23, 2026</w:t>
            </w:r>
          </w:p>
        </w:tc>
        <w:tc>
          <w:tcPr>
            <w:tcW w:w="2440" w:type="dxa"/>
            <w:vAlign w:val="bottom"/>
          </w:tcPr>
          <w:p>
            <w:pPr>
              <w:spacing w:after="0"/>
              <w:rPr>
                <w:sz w:val="11"/>
                <w:szCs w:val="11"/>
                <w:color w:val="auto"/>
              </w:rPr>
            </w:pPr>
          </w:p>
        </w:tc>
      </w:tr>
      <w:tr>
        <w:trPr>
          <w:trHeight w:val="151"/>
        </w:trPr>
        <w:tc>
          <w:tcPr>
            <w:tcW w:w="920" w:type="dxa"/>
            <w:vAlign w:val="bottom"/>
          </w:tcPr>
          <w:p>
            <w:pPr>
              <w:ind w:left="20"/>
              <w:spacing w:after="0" w:line="151" w:lineRule="exact"/>
              <w:rPr>
                <w:sz w:val="20"/>
                <w:szCs w:val="20"/>
                <w:color w:val="auto"/>
              </w:rPr>
            </w:pPr>
            <w:r>
              <w:rPr>
                <w:rFonts w:ascii="Times New Roman" w:cs="Times New Roman" w:eastAsia="Times New Roman" w:hAnsi="Times New Roman"/>
                <w:sz w:val="14"/>
                <w:szCs w:val="14"/>
                <w:color w:val="auto"/>
              </w:rPr>
              <w:t>99.2</w:t>
            </w:r>
          </w:p>
        </w:tc>
        <w:tc>
          <w:tcPr>
            <w:tcW w:w="6260" w:type="dxa"/>
            <w:vAlign w:val="bottom"/>
            <w:gridSpan w:val="3"/>
          </w:tcPr>
          <w:p>
            <w:pPr>
              <w:spacing w:after="0" w:line="151" w:lineRule="exact"/>
              <w:rPr>
                <w:sz w:val="20"/>
                <w:szCs w:val="20"/>
                <w:color w:val="auto"/>
              </w:rPr>
            </w:pPr>
            <w:r>
              <w:rPr>
                <w:rFonts w:ascii="Times New Roman" w:cs="Times New Roman" w:eastAsia="Times New Roman" w:hAnsi="Times New Roman"/>
                <w:sz w:val="14"/>
                <w:szCs w:val="14"/>
                <w:color w:val="0563C1"/>
              </w:rPr>
              <w:t>Earnings Presentation, dated April 23, 2026</w:t>
            </w:r>
          </w:p>
        </w:tc>
      </w:tr>
      <w:tr>
        <w:trPr>
          <w:trHeight w:val="175"/>
        </w:trPr>
        <w:tc>
          <w:tcPr>
            <w:tcW w:w="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104</w:t>
            </w:r>
          </w:p>
        </w:tc>
        <w:tc>
          <w:tcPr>
            <w:tcW w:w="2480" w:type="dxa"/>
            <w:vAlign w:val="bottom"/>
            <w:tcBorders>
              <w:top w:val="single" w:sz="8" w:color="0563C1"/>
            </w:tcBorders>
          </w:tcPr>
          <w:p>
            <w:pPr>
              <w:spacing w:after="0"/>
              <w:rPr>
                <w:sz w:val="20"/>
                <w:szCs w:val="20"/>
                <w:color w:val="auto"/>
              </w:rPr>
            </w:pPr>
            <w:r>
              <w:rPr>
                <w:rFonts w:ascii="Times New Roman" w:cs="Times New Roman" w:eastAsia="Times New Roman" w:hAnsi="Times New Roman"/>
                <w:sz w:val="14"/>
                <w:szCs w:val="14"/>
                <w:color w:val="auto"/>
                <w:w w:val="98"/>
              </w:rPr>
              <w:t>Cover Page Interactive Data File (embedded</w:t>
            </w:r>
          </w:p>
        </w:tc>
        <w:tc>
          <w:tcPr>
            <w:tcW w:w="378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within the Inline XBRL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9019"/>
          </w:cols>
          <w:pgMar w:left="1440" w:top="721" w:right="1440"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72624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895" cy="7262495"/>
                    </a:xfrm>
                    <a:prstGeom prst="rect">
                      <a:avLst/>
                    </a:prstGeom>
                    <a:noFill/>
                  </pic:spPr>
                </pic:pic>
              </a:graphicData>
            </a:graphic>
          </wp:anchor>
        </w:drawing>
        <w:t>SIGNATURE</w:t>
      </w:r>
    </w:p>
    <w:p>
      <w:pPr>
        <w:spacing w:after="0" w:line="172" w:lineRule="exact"/>
        <w:rPr>
          <w:sz w:val="20"/>
          <w:szCs w:val="20"/>
          <w:color w:val="auto"/>
        </w:rPr>
      </w:pPr>
    </w:p>
    <w:p>
      <w:pPr>
        <w:ind w:left="660" w:right="679" w:firstLine="512"/>
        <w:spacing w:after="0" w:line="273"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hereunto duly authorized.</w:t>
      </w:r>
    </w:p>
    <w:p>
      <w:pPr>
        <w:spacing w:after="0" w:line="12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4"/>
          <w:szCs w:val="14"/>
          <w:b w:val="1"/>
          <w:bCs w:val="1"/>
          <w:color w:val="auto"/>
        </w:rPr>
        <w:t>USCB Financial Holdings, Inc.</w:t>
      </w:r>
    </w:p>
    <w:p>
      <w:pPr>
        <w:spacing w:after="0" w:line="332" w:lineRule="exact"/>
        <w:rPr>
          <w:sz w:val="20"/>
          <w:szCs w:val="20"/>
          <w:color w:val="auto"/>
        </w:rPr>
      </w:pPr>
    </w:p>
    <w:tbl>
      <w:tblPr>
        <w:tblLayout w:type="fixed"/>
        <w:tblInd w:w="5200" w:type="dxa"/>
        <w:tblCellMar>
          <w:top w:w="0" w:type="dxa"/>
          <w:left w:w="0" w:type="dxa"/>
          <w:bottom w:w="0" w:type="dxa"/>
          <w:right w:w="0" w:type="dxa"/>
        </w:tblCellMar>
      </w:tblPr>
      <w:tr>
        <w:trPr>
          <w:trHeight w:val="174"/>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2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Robert Anderson</w:t>
            </w:r>
          </w:p>
        </w:tc>
      </w:tr>
      <w:tr>
        <w:trPr>
          <w:trHeight w:val="136"/>
        </w:trPr>
        <w:tc>
          <w:tcPr>
            <w:tcW w:w="580" w:type="dxa"/>
            <w:vAlign w:val="bottom"/>
          </w:tcPr>
          <w:p>
            <w:pPr>
              <w:spacing w:after="0" w:line="137" w:lineRule="exact"/>
              <w:rPr>
                <w:sz w:val="20"/>
                <w:szCs w:val="20"/>
                <w:color w:val="auto"/>
              </w:rPr>
            </w:pPr>
            <w:r>
              <w:rPr>
                <w:rFonts w:ascii="Times New Roman" w:cs="Times New Roman" w:eastAsia="Times New Roman" w:hAnsi="Times New Roman"/>
                <w:sz w:val="14"/>
                <w:szCs w:val="14"/>
                <w:color w:val="auto"/>
              </w:rPr>
              <w:t>Name:</w:t>
            </w:r>
          </w:p>
        </w:tc>
        <w:tc>
          <w:tcPr>
            <w:tcW w:w="2560" w:type="dxa"/>
            <w:vAlign w:val="bottom"/>
          </w:tcPr>
          <w:p>
            <w:pPr>
              <w:spacing w:after="0" w:line="137" w:lineRule="exact"/>
              <w:rPr>
                <w:sz w:val="20"/>
                <w:szCs w:val="20"/>
                <w:color w:val="auto"/>
              </w:rPr>
            </w:pPr>
            <w:r>
              <w:rPr>
                <w:rFonts w:ascii="Times New Roman" w:cs="Times New Roman" w:eastAsia="Times New Roman" w:hAnsi="Times New Roman"/>
                <w:sz w:val="14"/>
                <w:szCs w:val="14"/>
                <w:color w:val="auto"/>
              </w:rPr>
              <w:t>Robert Anderson</w:t>
            </w:r>
          </w:p>
        </w:tc>
      </w:tr>
      <w:tr>
        <w:trPr>
          <w:trHeight w:val="184"/>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2560" w:type="dxa"/>
            <w:vAlign w:val="bottom"/>
          </w:tcPr>
          <w:p>
            <w:pPr>
              <w:spacing w:after="0"/>
              <w:rPr>
                <w:sz w:val="20"/>
                <w:szCs w:val="20"/>
                <w:color w:val="auto"/>
              </w:rPr>
            </w:pPr>
            <w:r>
              <w:rPr>
                <w:rFonts w:ascii="Times New Roman" w:cs="Times New Roman" w:eastAsia="Times New Roman" w:hAnsi="Times New Roman"/>
                <w:sz w:val="14"/>
                <w:szCs w:val="14"/>
                <w:color w:val="auto"/>
              </w:rPr>
              <w:t>Chief Financial Officer</w:t>
            </w:r>
          </w:p>
        </w:tc>
      </w:tr>
    </w:tbl>
    <w:p>
      <w:pPr>
        <w:spacing w:after="0" w:line="1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Date: April 23,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9019"/>
          </w:cols>
          <w:pgMar w:left="1440" w:top="721" w:right="1440" w:bottom="1440" w:gutter="0" w:footer="0" w:header="0"/>
        </w:sectPr>
      </w:pPr>
    </w:p>
    <w:bookmarkStart w:id="3" w:name="page4"/>
    <w:bookmarkEnd w:id="3"/>
    <w:p>
      <w:pPr>
        <w:ind w:left="762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Exhibit 99.1</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b w:val="1"/>
          <w:bCs w:val="1"/>
          <w:color w:val="auto"/>
        </w:rPr>
        <w:t>EARNINGS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left="660" w:right="679"/>
        <w:spacing w:after="0" w:line="212" w:lineRule="exact"/>
        <w:rPr>
          <w:sz w:val="20"/>
          <w:szCs w:val="20"/>
          <w:color w:val="auto"/>
        </w:rPr>
      </w:pPr>
      <w:r>
        <w:rPr>
          <w:rFonts w:ascii="Times New Roman" w:cs="Times New Roman" w:eastAsia="Times New Roman" w:hAnsi="Times New Roman"/>
          <w:sz w:val="16"/>
          <w:szCs w:val="16"/>
          <w:b w:val="1"/>
          <w:bCs w:val="1"/>
          <w:color w:val="auto"/>
        </w:rPr>
        <w:t>USCB Financial Holdings, Inc. Delivers Record Quarter: $0.51 diluted EPS, up 33% over prior year. ROAA 1.34%, ROAE 17.07%, and 22% Year</w:t>
      </w:r>
      <w:r>
        <w:rPr>
          <w:rFonts w:ascii="MS PGothic" w:cs="MS PGothic" w:eastAsia="MS PGothic" w:hAnsi="MS PGothic"/>
          <w:sz w:val="16"/>
          <w:szCs w:val="16"/>
          <w:color w:val="auto"/>
          <w:strike w:val="1"/>
        </w:rPr>
        <w:t>‑</w:t>
      </w:r>
      <w:r>
        <w:rPr>
          <w:rFonts w:ascii="Times New Roman" w:cs="Times New Roman" w:eastAsia="Times New Roman" w:hAnsi="Times New Roman"/>
          <w:sz w:val="16"/>
          <w:szCs w:val="16"/>
          <w:b w:val="1"/>
          <w:bCs w:val="1"/>
          <w:color w:val="auto"/>
        </w:rPr>
        <w:t>Over</w:t>
      </w:r>
      <w:r>
        <w:rPr>
          <w:rFonts w:ascii="MS PGothic" w:cs="MS PGothic" w:eastAsia="MS PGothic" w:hAnsi="MS PGothic"/>
          <w:sz w:val="16"/>
          <w:szCs w:val="16"/>
          <w:color w:val="auto"/>
          <w:strike w:val="1"/>
        </w:rPr>
        <w:t>‑</w:t>
      </w:r>
      <w:r>
        <w:rPr>
          <w:rFonts w:ascii="Times New Roman" w:cs="Times New Roman" w:eastAsia="Times New Roman" w:hAnsi="Times New Roman"/>
          <w:sz w:val="16"/>
          <w:szCs w:val="16"/>
          <w:b w:val="1"/>
          <w:bCs w:val="1"/>
          <w:color w:val="auto"/>
        </w:rPr>
        <w:t>Year Net Income Growth.</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MIAMI, FL – April 23, 2026 – USCB Financial Holdings, Inc. (the “Company”) (NASDAQ: USCB)</w:t>
      </w:r>
      <w:r>
        <w:rPr>
          <w:rFonts w:ascii="Times New Roman" w:cs="Times New Roman" w:eastAsia="Times New Roman" w:hAnsi="Times New Roman"/>
          <w:sz w:val="14"/>
          <w:szCs w:val="14"/>
          <w:color w:val="auto"/>
        </w:rPr>
        <w:t>, the holding company for</w:t>
      </w:r>
    </w:p>
    <w:p>
      <w:pPr>
        <w:spacing w:after="0" w:line="25" w:lineRule="exact"/>
        <w:rPr>
          <w:sz w:val="20"/>
          <w:szCs w:val="20"/>
          <w:color w:val="auto"/>
        </w:rPr>
      </w:pPr>
    </w:p>
    <w:p>
      <w:pPr>
        <w:jc w:val="both"/>
        <w:ind w:left="660" w:right="679"/>
        <w:spacing w:after="0" w:line="253" w:lineRule="auto"/>
        <w:rPr>
          <w:sz w:val="20"/>
          <w:szCs w:val="20"/>
          <w:color w:val="auto"/>
        </w:rPr>
      </w:pPr>
      <w:r>
        <w:rPr>
          <w:rFonts w:ascii="Times New Roman" w:cs="Times New Roman" w:eastAsia="Times New Roman" w:hAnsi="Times New Roman"/>
          <w:sz w:val="14"/>
          <w:szCs w:val="14"/>
          <w:color w:val="auto"/>
        </w:rPr>
        <w:t>U.S. Century Bank (the “Bank”), reported net income of $9.4 million or $0.51 per fully diluted share for the three months ended March 31, 2026, compared with net income of $7.7 million or $0.38 per fully diluted share for the same period in 2025.</w:t>
      </w:r>
    </w:p>
    <w:p>
      <w:pPr>
        <w:spacing w:after="0" w:line="138" w:lineRule="exact"/>
        <w:rPr>
          <w:sz w:val="20"/>
          <w:szCs w:val="20"/>
          <w:color w:val="auto"/>
        </w:rPr>
      </w:pPr>
    </w:p>
    <w:p>
      <w:pPr>
        <w:jc w:val="both"/>
        <w:ind w:left="660" w:right="679"/>
        <w:spacing w:after="0" w:line="251" w:lineRule="auto"/>
        <w:rPr>
          <w:sz w:val="20"/>
          <w:szCs w:val="20"/>
          <w:color w:val="auto"/>
        </w:rPr>
      </w:pPr>
      <w:r>
        <w:rPr>
          <w:rFonts w:ascii="Times New Roman" w:cs="Times New Roman" w:eastAsia="Times New Roman" w:hAnsi="Times New Roman"/>
          <w:sz w:val="14"/>
          <w:szCs w:val="14"/>
          <w:color w:val="auto"/>
        </w:rPr>
        <w:t>“The Company delivered a record quarter driven by strong core earnings performance and disciplined balance sheet execution. Diluted earnings per share reached a record $0.51, while quarterly ROAA increased to 1.34%. Net income increased 22% year-over-year, supported by 15.3% growth in net interest income, reflecting effective asset deployment and continued margin resilience. Credit quality remained strong, underscoring the strength of the Company’s underwriting standards and risk management framework,” said Luis de la Aguilera, Chairman, President, and CEO.</w:t>
      </w:r>
    </w:p>
    <w:p>
      <w:pPr>
        <w:spacing w:after="0" w:line="140" w:lineRule="exact"/>
        <w:rPr>
          <w:sz w:val="20"/>
          <w:szCs w:val="20"/>
          <w:color w:val="auto"/>
        </w:rPr>
      </w:pPr>
    </w:p>
    <w:p>
      <w:pPr>
        <w:jc w:val="both"/>
        <w:ind w:left="660" w:right="679"/>
        <w:spacing w:after="0" w:line="273" w:lineRule="auto"/>
        <w:rPr>
          <w:sz w:val="20"/>
          <w:szCs w:val="20"/>
          <w:color w:val="auto"/>
        </w:rPr>
      </w:pPr>
      <w:r>
        <w:rPr>
          <w:rFonts w:ascii="Times New Roman" w:cs="Times New Roman" w:eastAsia="Times New Roman" w:hAnsi="Times New Roman"/>
          <w:sz w:val="14"/>
          <w:szCs w:val="14"/>
          <w:color w:val="auto"/>
        </w:rPr>
        <w:t>Unless otherwise stated, all percentage comparisons in the bullet points below are calculated at or for the quarter ended March 31, 2026 compared to at or for the quarter ended March 31, 2025 and annualized where appropriate.</w:t>
      </w:r>
    </w:p>
    <w:p>
      <w:pPr>
        <w:spacing w:after="0" w:line="1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b w:val="1"/>
          <w:bCs w:val="1"/>
          <w:color w:val="auto"/>
        </w:rPr>
        <w:t>Profitability</w:t>
      </w:r>
    </w:p>
    <w:p>
      <w:pPr>
        <w:spacing w:after="0" w:line="161" w:lineRule="exact"/>
        <w:rPr>
          <w:sz w:val="20"/>
          <w:szCs w:val="20"/>
          <w:color w:val="auto"/>
        </w:rPr>
      </w:pPr>
    </w:p>
    <w:p>
      <w:pPr>
        <w:ind w:left="920" w:right="699" w:hanging="257"/>
        <w:spacing w:after="0" w:line="289" w:lineRule="auto"/>
        <w:tabs>
          <w:tab w:leader="none" w:pos="9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Annualized return on average assets for the quarter ended March 31, 2026 was 1.34% compared to 1.19% for the first quarter of 2025.</w:t>
      </w:r>
    </w:p>
    <w:p>
      <w:pPr>
        <w:spacing w:after="0" w:line="103" w:lineRule="exact"/>
        <w:rPr>
          <w:rFonts w:ascii="Times New Roman" w:cs="Times New Roman" w:eastAsia="Times New Roman" w:hAnsi="Times New Roman"/>
          <w:sz w:val="14"/>
          <w:szCs w:val="14"/>
          <w:color w:val="auto"/>
        </w:rPr>
      </w:pPr>
    </w:p>
    <w:p>
      <w:pPr>
        <w:ind w:left="920" w:right="679" w:hanging="257"/>
        <w:spacing w:after="0" w:line="289" w:lineRule="auto"/>
        <w:tabs>
          <w:tab w:leader="none" w:pos="9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Annualized return on average stockholders’ equity for the quarter ended March 31, 2026 was 17.07% compared to 14.15% for the first quarter of 2025.</w:t>
      </w:r>
    </w:p>
    <w:p>
      <w:pPr>
        <w:spacing w:after="0" w:line="103" w:lineRule="exact"/>
        <w:rPr>
          <w:rFonts w:ascii="Times New Roman" w:cs="Times New Roman" w:eastAsia="Times New Roman" w:hAnsi="Times New Roman"/>
          <w:sz w:val="14"/>
          <w:szCs w:val="14"/>
          <w:color w:val="auto"/>
        </w:rPr>
      </w:pPr>
    </w:p>
    <w:p>
      <w:pPr>
        <w:ind w:left="920" w:hanging="257"/>
        <w:spacing w:after="0"/>
        <w:tabs>
          <w:tab w:leader="none" w:pos="9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efficiency ratio for the quarter ended March 31, 2026 was 52.34% compared to 52.79% for the first quarter of 2025.</w:t>
      </w:r>
    </w:p>
    <w:p>
      <w:pPr>
        <w:spacing w:after="0" w:line="169" w:lineRule="exact"/>
        <w:rPr>
          <w:rFonts w:ascii="Times New Roman" w:cs="Times New Roman" w:eastAsia="Times New Roman" w:hAnsi="Times New Roman"/>
          <w:sz w:val="14"/>
          <w:szCs w:val="14"/>
          <w:color w:val="auto"/>
        </w:rPr>
      </w:pPr>
    </w:p>
    <w:p>
      <w:pPr>
        <w:ind w:left="920" w:hanging="257"/>
        <w:spacing w:after="0"/>
        <w:tabs>
          <w:tab w:leader="none" w:pos="9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interest margin for the quarter ended March 31, 2026 was 3.27 % compared to 3.10% for the first quarter of 2025.</w:t>
      </w:r>
    </w:p>
    <w:p>
      <w:pPr>
        <w:spacing w:after="0" w:line="169" w:lineRule="exact"/>
        <w:rPr>
          <w:rFonts w:ascii="Times New Roman" w:cs="Times New Roman" w:eastAsia="Times New Roman" w:hAnsi="Times New Roman"/>
          <w:sz w:val="14"/>
          <w:szCs w:val="14"/>
          <w:color w:val="auto"/>
        </w:rPr>
      </w:pPr>
    </w:p>
    <w:p>
      <w:pPr>
        <w:ind w:left="920" w:right="679" w:hanging="257"/>
        <w:spacing w:after="0" w:line="273" w:lineRule="auto"/>
        <w:tabs>
          <w:tab w:leader="none" w:pos="9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interest income before provision for credit losses was $22.0 million for the quarter ended March 31, 2026, an increase of $2.9 million or 15.3% compared to $19.1 million for the same period in 2025.</w:t>
      </w:r>
    </w:p>
    <w:p>
      <w:pPr>
        <w:spacing w:after="0" w:line="124" w:lineRule="exact"/>
        <w:rPr>
          <w:rFonts w:ascii="Times New Roman" w:cs="Times New Roman" w:eastAsia="Times New Roman" w:hAnsi="Times New Roman"/>
          <w:sz w:val="14"/>
          <w:szCs w:val="14"/>
          <w:color w:val="auto"/>
        </w:rPr>
      </w:pPr>
    </w:p>
    <w:p>
      <w:pPr>
        <w:ind w:left="920" w:right="679" w:hanging="257"/>
        <w:spacing w:after="0" w:line="273" w:lineRule="auto"/>
        <w:tabs>
          <w:tab w:leader="none" w:pos="9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recognized a $619 thousand income tax benefit in the first quarter of 2026 due to an adjustment to the deferred tax asset calculation from 2025.</w:t>
      </w:r>
    </w:p>
    <w:p>
      <w:pPr>
        <w:spacing w:after="0" w:line="1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b w:val="1"/>
          <w:bCs w:val="1"/>
          <w:color w:val="auto"/>
        </w:rPr>
        <w:t>Balance Sheet</w:t>
      </w:r>
    </w:p>
    <w:p>
      <w:pPr>
        <w:spacing w:after="0" w:line="161" w:lineRule="exact"/>
        <w:rPr>
          <w:sz w:val="20"/>
          <w:szCs w:val="20"/>
          <w:color w:val="auto"/>
        </w:rPr>
      </w:pPr>
    </w:p>
    <w:p>
      <w:pPr>
        <w:ind w:left="920" w:right="679" w:hanging="257"/>
        <w:spacing w:after="0" w:line="289" w:lineRule="auto"/>
        <w:tabs>
          <w:tab w:leader="none" w:pos="9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assets were $2.8 billion at March 31, 2026, representing an increase of $168.4 million or 6.3% from $2.7 billion at March 31, 2025.</w:t>
      </w:r>
    </w:p>
    <w:p>
      <w:pPr>
        <w:spacing w:after="0" w:line="113" w:lineRule="exact"/>
        <w:rPr>
          <w:rFonts w:ascii="Times New Roman" w:cs="Times New Roman" w:eastAsia="Times New Roman" w:hAnsi="Times New Roman"/>
          <w:sz w:val="14"/>
          <w:szCs w:val="14"/>
          <w:color w:val="auto"/>
        </w:rPr>
      </w:pPr>
    </w:p>
    <w:p>
      <w:pPr>
        <w:ind w:left="920" w:right="679" w:hanging="257"/>
        <w:spacing w:after="0" w:line="273" w:lineRule="auto"/>
        <w:tabs>
          <w:tab w:leader="none" w:pos="9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loans held for investment were $2.2 billion at March 31, 2026, representing an increase of $204.8 million or 10.1% from $2.0 billion at March 31, 2025.</w:t>
      </w:r>
    </w:p>
    <w:p>
      <w:pPr>
        <w:spacing w:after="0" w:line="113" w:lineRule="exact"/>
        <w:rPr>
          <w:rFonts w:ascii="Times New Roman" w:cs="Times New Roman" w:eastAsia="Times New Roman" w:hAnsi="Times New Roman"/>
          <w:sz w:val="14"/>
          <w:szCs w:val="14"/>
          <w:color w:val="auto"/>
        </w:rPr>
      </w:pPr>
    </w:p>
    <w:p>
      <w:pPr>
        <w:ind w:left="920" w:right="679" w:hanging="257"/>
        <w:spacing w:after="0" w:line="289" w:lineRule="auto"/>
        <w:tabs>
          <w:tab w:leader="none" w:pos="9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deposits were $2.5 billion at March 31, 2026, representing an increase of $184.0 million or 8.0% from $2.3 billion at March 31, 2025.</w:t>
      </w:r>
    </w:p>
    <w:p>
      <w:pPr>
        <w:spacing w:after="0" w:line="113" w:lineRule="exact"/>
        <w:rPr>
          <w:rFonts w:ascii="Times New Roman" w:cs="Times New Roman" w:eastAsia="Times New Roman" w:hAnsi="Times New Roman"/>
          <w:sz w:val="14"/>
          <w:szCs w:val="14"/>
          <w:color w:val="auto"/>
        </w:rPr>
      </w:pPr>
    </w:p>
    <w:p>
      <w:pPr>
        <w:jc w:val="both"/>
        <w:ind w:left="920" w:right="679" w:hanging="257"/>
        <w:spacing w:after="0" w:line="251" w:lineRule="auto"/>
        <w:tabs>
          <w:tab w:leader="none" w:pos="9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highlight w:val="white"/>
        </w:rPr>
        <w:t>Total stockholders’ equity was $</w:t>
      </w:r>
      <w:r>
        <w:rPr>
          <w:rFonts w:ascii="Times New Roman" w:cs="Times New Roman" w:eastAsia="Times New Roman" w:hAnsi="Times New Roman"/>
          <w:sz w:val="14"/>
          <w:szCs w:val="14"/>
          <w:color w:val="auto"/>
        </w:rPr>
        <w:t>223.2</w:t>
      </w:r>
      <w:r>
        <w:rPr>
          <w:rFonts w:ascii="Times New Roman" w:cs="Times New Roman" w:eastAsia="Times New Roman" w:hAnsi="Times New Roman"/>
          <w:sz w:val="14"/>
          <w:szCs w:val="14"/>
          <w:color w:val="auto"/>
          <w:highlight w:val="white"/>
        </w:rPr>
        <w:t xml:space="preserve"> million at March 31, 2026, representing </w:t>
      </w:r>
      <w:r>
        <w:rPr>
          <w:rFonts w:ascii="Times New Roman" w:cs="Times New Roman" w:eastAsia="Times New Roman" w:hAnsi="Times New Roman"/>
          <w:sz w:val="14"/>
          <w:szCs w:val="14"/>
          <w:color w:val="auto"/>
        </w:rPr>
        <w:t>a decrease of $1.8</w:t>
      </w:r>
      <w:r>
        <w:rPr>
          <w:rFonts w:ascii="Times New Roman" w:cs="Times New Roman" w:eastAsia="Times New Roman" w:hAnsi="Times New Roman"/>
          <w:sz w:val="14"/>
          <w:szCs w:val="14"/>
          <w:color w:val="auto"/>
          <w:highlight w:val="white"/>
        </w:rPr>
        <w:t xml:space="preserve"> million or </w:t>
      </w:r>
      <w:r>
        <w:rPr>
          <w:rFonts w:ascii="Times New Roman" w:cs="Times New Roman" w:eastAsia="Times New Roman" w:hAnsi="Times New Roman"/>
          <w:sz w:val="14"/>
          <w:szCs w:val="14"/>
          <w:color w:val="auto"/>
        </w:rPr>
        <w:t>0.8%</w:t>
      </w:r>
      <w:r>
        <w:rPr>
          <w:rFonts w:ascii="Times New Roman" w:cs="Times New Roman" w:eastAsia="Times New Roman" w:hAnsi="Times New Roman"/>
          <w:sz w:val="14"/>
          <w:szCs w:val="14"/>
          <w:color w:val="auto"/>
          <w:highlight w:val="white"/>
        </w:rPr>
        <w:t xml:space="preserve"> from $</w:t>
      </w:r>
      <w:r>
        <w:rPr>
          <w:rFonts w:ascii="Times New Roman" w:cs="Times New Roman" w:eastAsia="Times New Roman" w:hAnsi="Times New Roman"/>
          <w:sz w:val="14"/>
          <w:szCs w:val="14"/>
          <w:color w:val="auto"/>
        </w:rPr>
        <w:t>225.1</w:t>
      </w:r>
      <w:r>
        <w:rPr>
          <w:rFonts w:ascii="Times New Roman" w:cs="Times New Roman" w:eastAsia="Times New Roman" w:hAnsi="Times New Roman"/>
          <w:sz w:val="14"/>
          <w:szCs w:val="14"/>
          <w:color w:val="auto"/>
          <w:highlight w:val="white"/>
        </w:rPr>
        <w:t xml:space="preserve"> million at </w:t>
      </w:r>
      <w:r>
        <w:rPr>
          <w:rFonts w:ascii="Times New Roman" w:cs="Times New Roman" w:eastAsia="Times New Roman" w:hAnsi="Times New Roman"/>
          <w:sz w:val="14"/>
          <w:szCs w:val="14"/>
          <w:color w:val="auto"/>
        </w:rPr>
        <w:t>March 31, 2025. Total stockholders’ equity included accumulated other comprehensive loss of $31.3 million at March 31,</w:t>
      </w:r>
      <w:r>
        <w:rPr>
          <w:rFonts w:ascii="Times New Roman" w:cs="Times New Roman" w:eastAsia="Times New Roman" w:hAnsi="Times New Roman"/>
          <w:sz w:val="14"/>
          <w:szCs w:val="14"/>
          <w:color w:val="auto"/>
          <w:highlight w:val="white"/>
        </w:rPr>
        <w:t xml:space="preserve"> </w:t>
      </w:r>
      <w:r>
        <w:rPr>
          <w:rFonts w:ascii="Times New Roman" w:cs="Times New Roman" w:eastAsia="Times New Roman" w:hAnsi="Times New Roman"/>
          <w:sz w:val="14"/>
          <w:szCs w:val="14"/>
          <w:color w:val="auto"/>
        </w:rPr>
        <w:t>2026 compared to accumulated other comprehensive loss of $41.1 million at March 31, 2025. The decrease in total stockholders’ equity was driven primarily by the repurchase of 2.0 million shares of Class A common stock conducted in September 2025 as previously disclosed.</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9019"/>
          </w:cols>
          <w:pgMar w:left="1440" w:top="721" w:right="1440" w:bottom="1440" w:gutter="0" w:footer="0" w:header="0"/>
        </w:sectPr>
      </w:pPr>
    </w:p>
    <w:bookmarkStart w:id="4" w:name="page5"/>
    <w:bookmarkEnd w:id="4"/>
    <w:p>
      <w:pPr>
        <w:ind w:left="66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Asset Quality</w:t>
      </w:r>
    </w:p>
    <w:p>
      <w:pPr>
        <w:spacing w:after="0" w:line="172" w:lineRule="exact"/>
        <w:rPr>
          <w:sz w:val="20"/>
          <w:szCs w:val="20"/>
          <w:color w:val="auto"/>
        </w:rPr>
      </w:pPr>
    </w:p>
    <w:p>
      <w:pPr>
        <w:ind w:left="920" w:right="679" w:hanging="257"/>
        <w:spacing w:after="0" w:line="273" w:lineRule="auto"/>
        <w:tabs>
          <w:tab w:leader="none" w:pos="9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allowance for credit losses (“ACL”) increased by $1.4 million to $26.1 million at March 31, 2026 from $24.7 million at March 31, 2025.</w:t>
      </w:r>
    </w:p>
    <w:p>
      <w:pPr>
        <w:spacing w:after="0" w:line="124" w:lineRule="exact"/>
        <w:rPr>
          <w:rFonts w:ascii="Times New Roman" w:cs="Times New Roman" w:eastAsia="Times New Roman" w:hAnsi="Times New Roman"/>
          <w:sz w:val="14"/>
          <w:szCs w:val="14"/>
          <w:color w:val="auto"/>
        </w:rPr>
      </w:pPr>
    </w:p>
    <w:p>
      <w:pPr>
        <w:ind w:left="920" w:hanging="257"/>
        <w:spacing w:after="0"/>
        <w:tabs>
          <w:tab w:leader="none" w:pos="9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ACL represented 1.16% of total loans at March 31, 2026 and 1.22% of total loans at March 31, 2025.</w:t>
      </w:r>
    </w:p>
    <w:p>
      <w:pPr>
        <w:spacing w:after="0" w:line="169" w:lineRule="exact"/>
        <w:rPr>
          <w:rFonts w:ascii="Times New Roman" w:cs="Times New Roman" w:eastAsia="Times New Roman" w:hAnsi="Times New Roman"/>
          <w:sz w:val="14"/>
          <w:szCs w:val="14"/>
          <w:color w:val="auto"/>
        </w:rPr>
      </w:pPr>
    </w:p>
    <w:p>
      <w:pPr>
        <w:ind w:left="920" w:right="679" w:hanging="257"/>
        <w:spacing w:after="0" w:line="273" w:lineRule="auto"/>
        <w:tabs>
          <w:tab w:leader="none" w:pos="9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provision for credit loss was $801 thousand for the quarter ended March 31, 2026, an increase of $120 thousand compared to $681 thousand for the same period in 2025.</w:t>
      </w:r>
    </w:p>
    <w:p>
      <w:pPr>
        <w:spacing w:after="0" w:line="124" w:lineRule="exact"/>
        <w:rPr>
          <w:rFonts w:ascii="Times New Roman" w:cs="Times New Roman" w:eastAsia="Times New Roman" w:hAnsi="Times New Roman"/>
          <w:sz w:val="14"/>
          <w:szCs w:val="14"/>
          <w:color w:val="auto"/>
        </w:rPr>
      </w:pPr>
    </w:p>
    <w:p>
      <w:pPr>
        <w:ind w:left="920" w:right="679" w:hanging="257"/>
        <w:spacing w:after="0" w:line="273" w:lineRule="auto"/>
        <w:tabs>
          <w:tab w:leader="none" w:pos="9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ratio of non-performing loans to total loans was 0.16% for the quarter ended March 31, 2026 and 0.20% for the quarter ended March 31, 2025. Non-performing loans totaled $3.6 million at March 31, 2026 and $4.2 million at March 31, 2025.</w:t>
      </w:r>
    </w:p>
    <w:p>
      <w:pPr>
        <w:spacing w:after="0" w:line="1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b w:val="1"/>
          <w:bCs w:val="1"/>
          <w:color w:val="auto"/>
        </w:rPr>
        <w:t>Non-interest Income and Non-interest Expense</w:t>
      </w:r>
    </w:p>
    <w:p>
      <w:pPr>
        <w:spacing w:after="0" w:line="161" w:lineRule="exact"/>
        <w:rPr>
          <w:sz w:val="20"/>
          <w:szCs w:val="20"/>
          <w:color w:val="auto"/>
        </w:rPr>
      </w:pPr>
    </w:p>
    <w:p>
      <w:pPr>
        <w:ind w:left="920" w:right="679" w:hanging="257"/>
        <w:spacing w:after="0" w:line="289" w:lineRule="auto"/>
        <w:tabs>
          <w:tab w:leader="none" w:pos="9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Non-interest income was $4.2 million for the three months ended March 31, 2026, an increase of $434 thousand or 11.7% compared to $3.7 million for the same period in 2025.</w:t>
      </w:r>
    </w:p>
    <w:p>
      <w:pPr>
        <w:spacing w:after="0" w:line="103" w:lineRule="exact"/>
        <w:rPr>
          <w:rFonts w:ascii="Times New Roman" w:cs="Times New Roman" w:eastAsia="Times New Roman" w:hAnsi="Times New Roman"/>
          <w:sz w:val="14"/>
          <w:szCs w:val="14"/>
          <w:color w:val="auto"/>
        </w:rPr>
      </w:pPr>
    </w:p>
    <w:p>
      <w:pPr>
        <w:ind w:left="920" w:right="679" w:hanging="257"/>
        <w:spacing w:after="0" w:line="289" w:lineRule="auto"/>
        <w:tabs>
          <w:tab w:leader="none" w:pos="9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Non-interest expense was $13.7 million for the three months ended March 31, 2026, an increase of $1.7 million or 13.8% compared to $12.1 million for the three months ended March 31, 2025.</w:t>
      </w:r>
    </w:p>
    <w:p>
      <w:pPr>
        <w:spacing w:after="0" w:line="1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b w:val="1"/>
          <w:bCs w:val="1"/>
          <w:color w:val="auto"/>
        </w:rPr>
        <w:t>Capital</w:t>
      </w:r>
    </w:p>
    <w:p>
      <w:pPr>
        <w:spacing w:after="0" w:line="172" w:lineRule="exact"/>
        <w:rPr>
          <w:sz w:val="20"/>
          <w:szCs w:val="20"/>
          <w:color w:val="auto"/>
        </w:rPr>
      </w:pPr>
    </w:p>
    <w:p>
      <w:pPr>
        <w:jc w:val="both"/>
        <w:ind w:left="920" w:right="679" w:hanging="257"/>
        <w:spacing w:after="0" w:line="263" w:lineRule="auto"/>
        <w:tabs>
          <w:tab w:leader="none" w:pos="9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April 20, 2026, the Company’s Board of Directors declared a quarterly cash dividend of $0.125 per share of the Company’s Class A common stock. The dividend will be paid on June 5, 2026 to shareholders of record at the close of business on May 15, 2026.</w:t>
      </w:r>
    </w:p>
    <w:p>
      <w:pPr>
        <w:spacing w:after="0" w:line="121" w:lineRule="exact"/>
        <w:rPr>
          <w:rFonts w:ascii="Times New Roman" w:cs="Times New Roman" w:eastAsia="Times New Roman" w:hAnsi="Times New Roman"/>
          <w:sz w:val="14"/>
          <w:szCs w:val="14"/>
          <w:color w:val="auto"/>
        </w:rPr>
      </w:pPr>
    </w:p>
    <w:p>
      <w:pPr>
        <w:ind w:left="920" w:right="679" w:hanging="257"/>
        <w:spacing w:after="0" w:line="289" w:lineRule="auto"/>
        <w:tabs>
          <w:tab w:leader="none" w:pos="9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March 31, 2026, total risk-based capital ratios for the Company and the Bank were 14.09% and 13.96%, respectively, well in excess of regulatory requirements (only applicable to the Bank currently) .</w:t>
      </w:r>
    </w:p>
    <w:p>
      <w:pPr>
        <w:spacing w:after="0" w:line="103" w:lineRule="exact"/>
        <w:rPr>
          <w:rFonts w:ascii="Times New Roman" w:cs="Times New Roman" w:eastAsia="Times New Roman" w:hAnsi="Times New Roman"/>
          <w:sz w:val="14"/>
          <w:szCs w:val="14"/>
          <w:color w:val="auto"/>
        </w:rPr>
      </w:pPr>
    </w:p>
    <w:p>
      <w:pPr>
        <w:jc w:val="both"/>
        <w:ind w:left="920" w:right="679" w:hanging="257"/>
        <w:spacing w:after="0" w:line="255" w:lineRule="auto"/>
        <w:tabs>
          <w:tab w:leader="none" w:pos="9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Tangible book value per common share (non-GAAP financial measure) was $12.23 at March 31, 2026, representing an increase of $1.00 or 8.9% from $11.23 at March 31, 2025. At March 31, 2026, tangible book value per common share was negatively affected by ($1.72) per share due to an accumulated other comprehensive loss of $31.3 million mostly due to changes in the market value of the Company’s available for sale securities. At March 31, 2025, tangible book value per common share was negatively affected by ($2.05) per share due to an accumulated other comprehensive loss of $41.1 million.</w:t>
      </w:r>
    </w:p>
    <w:p>
      <w:pPr>
        <w:spacing w:after="0" w:line="1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b w:val="1"/>
          <w:bCs w:val="1"/>
          <w:color w:val="auto"/>
        </w:rPr>
        <w:t>Conference Call and Webcast</w:t>
      </w:r>
    </w:p>
    <w:p>
      <w:pPr>
        <w:spacing w:after="0" w:line="172" w:lineRule="exact"/>
        <w:rPr>
          <w:sz w:val="20"/>
          <w:szCs w:val="20"/>
          <w:color w:val="auto"/>
        </w:rPr>
      </w:pPr>
    </w:p>
    <w:p>
      <w:pPr>
        <w:jc w:val="both"/>
        <w:ind w:left="660" w:right="679"/>
        <w:spacing w:after="0" w:line="263" w:lineRule="auto"/>
        <w:rPr>
          <w:sz w:val="20"/>
          <w:szCs w:val="20"/>
          <w:color w:val="auto"/>
        </w:rPr>
      </w:pPr>
      <w:r>
        <w:rPr>
          <w:rFonts w:ascii="Times New Roman" w:cs="Times New Roman" w:eastAsia="Times New Roman" w:hAnsi="Times New Roman"/>
          <w:sz w:val="14"/>
          <w:szCs w:val="14"/>
          <w:color w:val="auto"/>
        </w:rPr>
        <w:t>The Company will host a conference call on Friday, April 24, 2026, at 11:00 a.m. Eastern Time to discuss the Company’s unaudited financial results for the quarter ended March 31, 2026. To access the conference call, dial (833) 816-1416 (U.S. toll-free) and ask to join the USCB Financial Holdings Call.</w:t>
      </w:r>
    </w:p>
    <w:p>
      <w:pPr>
        <w:spacing w:after="0" w:line="122" w:lineRule="exact"/>
        <w:rPr>
          <w:sz w:val="20"/>
          <w:szCs w:val="20"/>
          <w:color w:val="auto"/>
        </w:rPr>
      </w:pPr>
    </w:p>
    <w:p>
      <w:pPr>
        <w:jc w:val="both"/>
        <w:ind w:left="660" w:right="679"/>
        <w:spacing w:after="0" w:line="289" w:lineRule="auto"/>
        <w:rPr>
          <w:sz w:val="20"/>
          <w:szCs w:val="20"/>
          <w:color w:val="auto"/>
        </w:rPr>
      </w:pPr>
      <w:r>
        <w:rPr>
          <w:rFonts w:ascii="Times New Roman" w:cs="Times New Roman" w:eastAsia="Times New Roman" w:hAnsi="Times New Roman"/>
          <w:sz w:val="14"/>
          <w:szCs w:val="14"/>
          <w:color w:val="auto"/>
        </w:rPr>
        <w:t>Additionally, interested parties can listen to a live webcast of the call in the “Investor Relations” section of the Company’s website at www.uscentury.com . An archived version of the webcast will be available in the same location shortly after the live call has ended.</w:t>
      </w:r>
    </w:p>
    <w:p>
      <w:pPr>
        <w:spacing w:after="0" w:line="1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b w:val="1"/>
          <w:bCs w:val="1"/>
          <w:color w:val="auto"/>
        </w:rPr>
        <w:t>About USCB Financial Holdings, Inc.</w:t>
      </w:r>
    </w:p>
    <w:p>
      <w:pPr>
        <w:spacing w:after="0" w:line="172" w:lineRule="exact"/>
        <w:rPr>
          <w:sz w:val="20"/>
          <w:szCs w:val="20"/>
          <w:color w:val="auto"/>
        </w:rPr>
      </w:pPr>
    </w:p>
    <w:p>
      <w:pPr>
        <w:jc w:val="both"/>
        <w:ind w:left="660" w:right="679"/>
        <w:spacing w:after="0" w:line="251" w:lineRule="auto"/>
        <w:rPr>
          <w:sz w:val="20"/>
          <w:szCs w:val="20"/>
          <w:color w:val="auto"/>
        </w:rPr>
      </w:pPr>
      <w:r>
        <w:rPr>
          <w:rFonts w:ascii="Times New Roman" w:cs="Times New Roman" w:eastAsia="Times New Roman" w:hAnsi="Times New Roman"/>
          <w:sz w:val="14"/>
          <w:szCs w:val="14"/>
          <w:color w:val="auto"/>
        </w:rPr>
        <w:t>USCB Financial Holdings, Inc. is the bank holding company for U.S. Century Bank. Established in 2002, U.S. Century Bank is one of the largest community banks headquartered in Miami, and one of the largest community banks in the State of Florida. U.S. Century Bank is rated 5-Stars by BauerFinancial, the nation’s leading independent bank rating firm. U.S. Century Bank offers customers a wide range of financial products and services and supports numerous community organizations, including the Greater Miami Chamber of Commerce, the South Florida Hispanic Chamber of Commerce, and ChamberSouth. For more information about us or to find a banking center near you, please call (305) 715-5200 or visit www.uscentury.com.</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b w:val="1"/>
          <w:bCs w:val="1"/>
          <w:color w:val="auto"/>
        </w:rPr>
        <w:t>Forward-Looking Statements</w:t>
      </w:r>
    </w:p>
    <w:p>
      <w:pPr>
        <w:spacing w:after="0" w:line="172" w:lineRule="exact"/>
        <w:rPr>
          <w:sz w:val="20"/>
          <w:szCs w:val="20"/>
          <w:color w:val="auto"/>
        </w:rPr>
      </w:pPr>
    </w:p>
    <w:p>
      <w:pPr>
        <w:jc w:val="both"/>
        <w:ind w:left="660" w:right="659"/>
        <w:spacing w:after="0" w:line="274" w:lineRule="auto"/>
        <w:rPr>
          <w:sz w:val="20"/>
          <w:szCs w:val="20"/>
          <w:color w:val="auto"/>
        </w:rPr>
      </w:pPr>
      <w:r>
        <w:rPr>
          <w:rFonts w:ascii="Times New Roman" w:cs="Times New Roman" w:eastAsia="Times New Roman" w:hAnsi="Times New Roman"/>
          <w:sz w:val="13"/>
          <w:szCs w:val="13"/>
          <w:color w:val="auto"/>
        </w:rPr>
        <w:t>This earnings release may contain statements that are not historical in nature and are intended to be, and are hereby identified as, forward-looking statements for purposes of the safe harbor provided by Section 21E of the Securities Exchange Act of 1934, as amended. Forward-looking statements are those that are not historical facts. The words “may,” “will,” “anticipate,” “could,” “should,” “would,” “believe,” “contemplate,” “expect,” “aim,” “plan,” “estimate,” “seek,” “continue,” and “intend,”, the negative of these terms, as well as other similar words and expressions of the future, are intended to identify forward-looking statements. These forward-looking statements include, but are not limited to, statements related to our projected growth, anticipated future financial performance, and management’s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9019"/>
          </w:cols>
          <w:pgMar w:left="1440" w:top="721" w:right="1440" w:bottom="1440" w:gutter="0" w:footer="0" w:header="0"/>
        </w:sectPr>
      </w:pPr>
    </w:p>
    <w:bookmarkStart w:id="5" w:name="page6"/>
    <w:bookmarkEnd w:id="5"/>
    <w:p>
      <w:pPr>
        <w:jc w:val="both"/>
        <w:ind w:left="660" w:right="659"/>
        <w:spacing w:after="0" w:line="26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long-term performance goals, as well as statements relating to the anticipated effects on our results of operations and financial condition from expected or potential developments or events, or business and growth strategies, including anticipated internal growth and potential future additional balance sheet restructuring.</w:t>
      </w:r>
    </w:p>
    <w:p>
      <w:pPr>
        <w:spacing w:after="0" w:line="132" w:lineRule="exact"/>
        <w:rPr>
          <w:sz w:val="20"/>
          <w:szCs w:val="20"/>
          <w:color w:val="auto"/>
        </w:rPr>
      </w:pPr>
    </w:p>
    <w:p>
      <w:pPr>
        <w:jc w:val="both"/>
        <w:ind w:left="660" w:right="679"/>
        <w:spacing w:after="0" w:line="273" w:lineRule="auto"/>
        <w:rPr>
          <w:sz w:val="20"/>
          <w:szCs w:val="20"/>
          <w:color w:val="auto"/>
        </w:rPr>
      </w:pPr>
      <w:r>
        <w:rPr>
          <w:rFonts w:ascii="Times New Roman" w:cs="Times New Roman" w:eastAsia="Times New Roman" w:hAnsi="Times New Roman"/>
          <w:sz w:val="14"/>
          <w:szCs w:val="14"/>
          <w:color w:val="auto"/>
        </w:rPr>
        <w:t>These forward-looking statements involve significant risks and uncertainties that could cause our actual results to differ materially from those anticipated in such statements. Potential risks and uncertainties include, but are not limited to:</w:t>
      </w:r>
    </w:p>
    <w:p>
      <w:pPr>
        <w:spacing w:after="0" w:line="125" w:lineRule="exact"/>
        <w:rPr>
          <w:sz w:val="20"/>
          <w:szCs w:val="20"/>
          <w:color w:val="auto"/>
        </w:rPr>
      </w:pPr>
    </w:p>
    <w:p>
      <w:pPr>
        <w:ind w:left="920" w:hanging="257"/>
        <w:spacing w:after="0"/>
        <w:tabs>
          <w:tab w:leader="none" w:pos="9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strength of the United States economy in general and the strength of the local economies in which we conduct operations;</w:t>
      </w:r>
    </w:p>
    <w:p>
      <w:pPr>
        <w:spacing w:after="0" w:line="15" w:lineRule="exact"/>
        <w:rPr>
          <w:rFonts w:ascii="Times New Roman" w:cs="Times New Roman" w:eastAsia="Times New Roman" w:hAnsi="Times New Roman"/>
          <w:sz w:val="14"/>
          <w:szCs w:val="14"/>
          <w:color w:val="auto"/>
        </w:rPr>
      </w:pPr>
    </w:p>
    <w:p>
      <w:pPr>
        <w:ind w:left="920" w:hanging="257"/>
        <w:spacing w:after="0"/>
        <w:tabs>
          <w:tab w:leader="none" w:pos="9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successfully manage interest rate risk, credit risk, liquidity risk, and other risks inherent to our industry;</w:t>
      </w:r>
    </w:p>
    <w:p>
      <w:pPr>
        <w:ind w:left="920" w:right="679" w:hanging="257"/>
        <w:spacing w:after="0" w:line="246" w:lineRule="auto"/>
        <w:tabs>
          <w:tab w:leader="none" w:pos="9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accuracy of our financial statement estimates and assumptions, including the estimates used for our allowance for credit losses and deferred tax asset valuation allowance;</w:t>
      </w:r>
    </w:p>
    <w:p>
      <w:pPr>
        <w:ind w:left="920" w:hanging="257"/>
        <w:spacing w:after="0"/>
        <w:tabs>
          <w:tab w:leader="none" w:pos="9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efficiency and effectiveness of our internal control procedures and processes;</w:t>
      </w:r>
    </w:p>
    <w:p>
      <w:pPr>
        <w:ind w:left="920" w:right="679" w:hanging="257"/>
        <w:spacing w:after="0" w:line="246" w:lineRule="auto"/>
        <w:tabs>
          <w:tab w:leader="none" w:pos="9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comply with the extensive laws and regulations to which we are subject, including the laws for each jurisdiction where we operate;</w:t>
      </w:r>
    </w:p>
    <w:p>
      <w:pPr>
        <w:ind w:left="920" w:hanging="257"/>
        <w:spacing w:after="0"/>
        <w:tabs>
          <w:tab w:leader="none" w:pos="9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adverse changes or conditions in capital and financial markets, including actual or potential stresses in the banking industry;</w:t>
      </w:r>
    </w:p>
    <w:p>
      <w:pPr>
        <w:ind w:left="920" w:hanging="257"/>
        <w:spacing w:after="0"/>
        <w:tabs>
          <w:tab w:leader="none" w:pos="9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deposit attrition and the level of our uninsured deposits;</w:t>
      </w:r>
    </w:p>
    <w:p>
      <w:pPr>
        <w:spacing w:after="0" w:line="7" w:lineRule="exact"/>
        <w:rPr>
          <w:rFonts w:ascii="Times New Roman" w:cs="Times New Roman" w:eastAsia="Times New Roman" w:hAnsi="Times New Roman"/>
          <w:sz w:val="14"/>
          <w:szCs w:val="14"/>
          <w:color w:val="auto"/>
        </w:rPr>
      </w:pPr>
    </w:p>
    <w:p>
      <w:pPr>
        <w:ind w:left="920" w:right="679" w:hanging="257"/>
        <w:spacing w:after="0"/>
        <w:tabs>
          <w:tab w:leader="none" w:pos="9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legislative or regulatory changes, including the enactment of the One Big Beautiful Bill and changes in accounting principles, policies, practices or guidelines, including the on-going effects of the Current Expected Credit Losses (“CECL”) standard;</w:t>
      </w:r>
    </w:p>
    <w:p>
      <w:pPr>
        <w:jc w:val="both"/>
        <w:ind w:left="920" w:right="679" w:hanging="257"/>
        <w:spacing w:after="0" w:line="243" w:lineRule="auto"/>
        <w:tabs>
          <w:tab w:leader="none" w:pos="9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lack of a significantly diversified loan portfolio and our concentration in the South Florida market, including the risks of geographic, depositor, and industry concentrations, including our concentration in loans secured by real estate, in particular, commercial real estate;</w:t>
      </w:r>
    </w:p>
    <w:p>
      <w:pPr>
        <w:spacing w:after="0" w:line="1" w:lineRule="exact"/>
        <w:rPr>
          <w:rFonts w:ascii="Times New Roman" w:cs="Times New Roman" w:eastAsia="Times New Roman" w:hAnsi="Times New Roman"/>
          <w:sz w:val="14"/>
          <w:szCs w:val="14"/>
          <w:color w:val="auto"/>
        </w:rPr>
      </w:pPr>
    </w:p>
    <w:p>
      <w:pPr>
        <w:ind w:left="920" w:hanging="257"/>
        <w:spacing w:after="0"/>
        <w:tabs>
          <w:tab w:leader="none" w:pos="9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effects of climate change;</w:t>
      </w:r>
    </w:p>
    <w:p>
      <w:pPr>
        <w:spacing w:after="0" w:line="7" w:lineRule="exact"/>
        <w:rPr>
          <w:rFonts w:ascii="Times New Roman" w:cs="Times New Roman" w:eastAsia="Times New Roman" w:hAnsi="Times New Roman"/>
          <w:sz w:val="14"/>
          <w:szCs w:val="14"/>
          <w:color w:val="auto"/>
        </w:rPr>
      </w:pPr>
    </w:p>
    <w:p>
      <w:pPr>
        <w:ind w:left="920" w:hanging="257"/>
        <w:spacing w:after="0"/>
        <w:tabs>
          <w:tab w:leader="none" w:pos="9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concentration of ownership of our common stock;</w:t>
      </w:r>
    </w:p>
    <w:p>
      <w:pPr>
        <w:spacing w:after="0" w:line="1" w:lineRule="exact"/>
        <w:rPr>
          <w:rFonts w:ascii="Times New Roman" w:cs="Times New Roman" w:eastAsia="Times New Roman" w:hAnsi="Times New Roman"/>
          <w:sz w:val="14"/>
          <w:szCs w:val="14"/>
          <w:color w:val="auto"/>
        </w:rPr>
      </w:pPr>
    </w:p>
    <w:p>
      <w:pPr>
        <w:ind w:left="920" w:hanging="257"/>
        <w:spacing w:after="0"/>
        <w:tabs>
          <w:tab w:leader="none" w:pos="9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fluctuations in the price of our common stock;</w:t>
      </w:r>
    </w:p>
    <w:p>
      <w:pPr>
        <w:ind w:left="920" w:right="699" w:hanging="257"/>
        <w:spacing w:after="0" w:line="246" w:lineRule="auto"/>
        <w:tabs>
          <w:tab w:leader="none" w:pos="9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fund or access the capital markets at attractive rates and terms and manage our growth, both organic growth as well as growth through other means, such as future acquisitions;</w:t>
      </w:r>
    </w:p>
    <w:p>
      <w:pPr>
        <w:ind w:left="920" w:hanging="257"/>
        <w:spacing w:after="0"/>
        <w:tabs>
          <w:tab w:leader="none" w:pos="9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inflation, interest rate, unemployment rate, and market and monetary fluctuations;</w:t>
      </w:r>
    </w:p>
    <w:p>
      <w:pPr>
        <w:ind w:left="920" w:hanging="257"/>
        <w:spacing w:after="0"/>
        <w:tabs>
          <w:tab w:leader="none" w:pos="9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effects of potential new or increased tariffs, retaliatory tariffs and trade restrictions;</w:t>
      </w:r>
    </w:p>
    <w:p>
      <w:pPr>
        <w:spacing w:after="0" w:line="7" w:lineRule="exact"/>
        <w:rPr>
          <w:rFonts w:ascii="Times New Roman" w:cs="Times New Roman" w:eastAsia="Times New Roman" w:hAnsi="Times New Roman"/>
          <w:sz w:val="14"/>
          <w:szCs w:val="14"/>
          <w:color w:val="auto"/>
        </w:rPr>
      </w:pPr>
    </w:p>
    <w:p>
      <w:pPr>
        <w:ind w:left="920" w:hanging="257"/>
        <w:spacing w:after="0"/>
        <w:tabs>
          <w:tab w:leader="none" w:pos="9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international hostilities and geopolitical events;</w:t>
      </w:r>
    </w:p>
    <w:p>
      <w:pPr>
        <w:spacing w:after="0" w:line="1" w:lineRule="exact"/>
        <w:rPr>
          <w:rFonts w:ascii="Times New Roman" w:cs="Times New Roman" w:eastAsia="Times New Roman" w:hAnsi="Times New Roman"/>
          <w:sz w:val="14"/>
          <w:szCs w:val="14"/>
          <w:color w:val="auto"/>
        </w:rPr>
      </w:pPr>
    </w:p>
    <w:p>
      <w:pPr>
        <w:ind w:left="920" w:right="699" w:hanging="257"/>
        <w:spacing w:after="0" w:line="244" w:lineRule="auto"/>
        <w:tabs>
          <w:tab w:leader="none" w:pos="9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increased competition and its effect on the pricing of our products and services as well as our interest rate spread and net interest margin;</w:t>
      </w:r>
    </w:p>
    <w:p>
      <w:pPr>
        <w:ind w:left="920" w:hanging="257"/>
        <w:spacing w:after="0"/>
        <w:tabs>
          <w:tab w:leader="none" w:pos="9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loss of key employees;</w:t>
      </w:r>
    </w:p>
    <w:p>
      <w:pPr>
        <w:spacing w:after="0" w:line="1" w:lineRule="exact"/>
        <w:rPr>
          <w:rFonts w:ascii="Times New Roman" w:cs="Times New Roman" w:eastAsia="Times New Roman" w:hAnsi="Times New Roman"/>
          <w:sz w:val="14"/>
          <w:szCs w:val="14"/>
          <w:color w:val="auto"/>
        </w:rPr>
      </w:pPr>
    </w:p>
    <w:p>
      <w:pPr>
        <w:ind w:left="920" w:right="679" w:hanging="257"/>
        <w:spacing w:after="0" w:line="244" w:lineRule="auto"/>
        <w:tabs>
          <w:tab w:leader="none" w:pos="9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effectiveness of our risk management strategies, including operational risks, including, but not limited to, client, employee, or third-party fraud and security breaches; and</w:t>
      </w:r>
    </w:p>
    <w:p>
      <w:pPr>
        <w:ind w:left="920" w:hanging="257"/>
        <w:spacing w:after="0"/>
        <w:tabs>
          <w:tab w:leader="none" w:pos="9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risks described in this earnings release and other filings we make with the Securities and Exchange Commission (“SEC”).</w:t>
      </w:r>
    </w:p>
    <w:p>
      <w:pPr>
        <w:spacing w:after="0" w:line="146" w:lineRule="exact"/>
        <w:rPr>
          <w:sz w:val="20"/>
          <w:szCs w:val="20"/>
          <w:color w:val="auto"/>
        </w:rPr>
      </w:pPr>
    </w:p>
    <w:p>
      <w:pPr>
        <w:jc w:val="both"/>
        <w:ind w:left="660" w:right="679"/>
        <w:spacing w:after="0" w:line="251" w:lineRule="auto"/>
        <w:rPr>
          <w:sz w:val="20"/>
          <w:szCs w:val="20"/>
          <w:color w:val="auto"/>
        </w:rPr>
      </w:pPr>
      <w:r>
        <w:rPr>
          <w:rFonts w:ascii="Times New Roman" w:cs="Times New Roman" w:eastAsia="Times New Roman" w:hAnsi="Times New Roman"/>
          <w:sz w:val="14"/>
          <w:szCs w:val="14"/>
          <w:color w:val="auto"/>
        </w:rPr>
        <w:t>All forward-looking statements are necessarily only estimates of future results, and there can be no assurance that actual results will not differ materially from expectations. Therefore, you are cautioned not to place undue reliance on any forward-looking statements. Further, forward-looking statements included in this earnings release are made only as of the date hereof, and we undertake no obligation to update or revise any forward-looking statement to reflect events or circumstances after the date on which the statements are made or to reflect the occurrence of unanticipated events, unless required to do so under the federal securities laws. You should also review the risk factors described in the reports the Company has filed or will file with the SEC.</w:t>
      </w:r>
    </w:p>
    <w:p>
      <w:pPr>
        <w:spacing w:after="0" w:line="1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b w:val="1"/>
          <w:bCs w:val="1"/>
          <w:color w:val="auto"/>
        </w:rPr>
        <w:t>Non-GAAP Financial Measures</w:t>
      </w:r>
    </w:p>
    <w:p>
      <w:pPr>
        <w:spacing w:after="0" w:line="161" w:lineRule="exact"/>
        <w:rPr>
          <w:sz w:val="20"/>
          <w:szCs w:val="20"/>
          <w:color w:val="auto"/>
        </w:rPr>
      </w:pPr>
    </w:p>
    <w:p>
      <w:pPr>
        <w:jc w:val="both"/>
        <w:ind w:left="660" w:right="659"/>
        <w:spacing w:after="0" w:line="248" w:lineRule="auto"/>
        <w:rPr>
          <w:sz w:val="20"/>
          <w:szCs w:val="20"/>
          <w:color w:val="auto"/>
        </w:rPr>
      </w:pPr>
      <w:r>
        <w:rPr>
          <w:rFonts w:ascii="Times New Roman" w:cs="Times New Roman" w:eastAsia="Times New Roman" w:hAnsi="Times New Roman"/>
          <w:sz w:val="14"/>
          <w:szCs w:val="14"/>
          <w:color w:val="auto"/>
        </w:rPr>
        <w:t>This earnings release includes financial information determined by methods other than in accordance with generally accepted accounting principles (“GAAP”). This financial information includes certain operating performance measures. Management has included these non-GAAP measures because it believes these measures may provide useful supplemental information for evaluating the Company’s operations and underlying performance trends. Further, management uses these measures in managing and evaluating the Company’s business and intends to refer to them in discussions about our operations and performance. Operating performance measures should be viewed in addition to, and not as an alternative to or substitute for, measures determined in accordance with GAAP, and are not necessarily comparable to non-GAAP measures that may be presented by other companies. Reconciliations of these non-GAAP measures to the most directly comparable GAAP measures can be found in the ‘Non-GAAP Reconciliation Tables’ included in the exhibits to this earnings release.</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All numbers included in this press release are unaudited unless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9019"/>
          </w:cols>
          <w:pgMar w:left="1440" w:top="723" w:right="1440" w:bottom="1440" w:gutter="0" w:footer="0" w:header="0"/>
        </w:sectPr>
      </w:pPr>
    </w:p>
    <w:bookmarkStart w:id="6" w:name="page7"/>
    <w:bookmarkEnd w:id="6"/>
    <w:p>
      <w:pPr>
        <w:ind w:left="66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Contacts:</w:t>
      </w:r>
    </w:p>
    <w:p>
      <w:pPr>
        <w:spacing w:after="0" w:line="1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b w:val="1"/>
          <w:bCs w:val="1"/>
          <w:color w:val="auto"/>
        </w:rPr>
        <w:t>Investor Relations</w:t>
      </w:r>
    </w:p>
    <w:p>
      <w:pPr>
        <w:spacing w:after="0" w:line="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0000FF"/>
        </w:rPr>
        <w:t>InvestorRelations@uscentury.com</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b w:val="1"/>
          <w:bCs w:val="1"/>
          <w:color w:val="auto"/>
        </w:rPr>
        <w:t>Media Relations</w:t>
      </w:r>
    </w:p>
    <w:p>
      <w:pPr>
        <w:spacing w:after="0" w:line="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Martha Guerra-Kattou</w:t>
      </w:r>
    </w:p>
    <w:p>
      <w:pPr>
        <w:spacing w:after="0" w:line="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0000FF"/>
        </w:rPr>
        <w:t>MGuerra@uscentury.com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9019"/>
          </w:cols>
          <w:pgMar w:left="1440" w:top="721" w:right="1440"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USCB FINANCIAL HOLDINGS, INC.</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CONSOLIDATED STATEMENTS OF INCOME (UNAUDITED)</w:t>
      </w:r>
    </w:p>
    <w:p>
      <w:pPr>
        <w:jc w:val="center"/>
        <w:ind w:right="19"/>
        <w:spacing w:after="0"/>
        <w:rPr>
          <w:sz w:val="20"/>
          <w:szCs w:val="20"/>
          <w:color w:val="auto"/>
        </w:rPr>
      </w:pPr>
      <w:r>
        <w:rPr>
          <w:rFonts w:ascii="Times New Roman" w:cs="Times New Roman" w:eastAsia="Times New Roman" w:hAnsi="Times New Roman"/>
          <w:sz w:val="14"/>
          <w:szCs w:val="14"/>
          <w:color w:val="auto"/>
        </w:rPr>
        <w:t>(Dollars in thousands, except per share data)</w:t>
      </w:r>
    </w:p>
    <w:p>
      <w:pPr>
        <w:spacing w:after="0" w:line="169" w:lineRule="exact"/>
        <w:rPr>
          <w:sz w:val="20"/>
          <w:szCs w:val="20"/>
          <w:color w:val="auto"/>
        </w:rPr>
      </w:pPr>
    </w:p>
    <w:tbl>
      <w:tblPr>
        <w:tblLayout w:type="fixed"/>
        <w:tblInd w:w="660" w:type="dxa"/>
        <w:tblCellMar>
          <w:top w:w="0" w:type="dxa"/>
          <w:left w:w="0" w:type="dxa"/>
          <w:bottom w:w="0" w:type="dxa"/>
          <w:right w:w="0" w:type="dxa"/>
        </w:tblCellMar>
      </w:tblPr>
      <w:tr>
        <w:trPr>
          <w:trHeight w:val="137"/>
        </w:trPr>
        <w:tc>
          <w:tcPr>
            <w:tcW w:w="55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920" w:type="dxa"/>
            <w:vAlign w:val="bottom"/>
            <w:tcBorders>
              <w:bottom w:val="single" w:sz="8" w:color="auto"/>
            </w:tcBorders>
            <w:gridSpan w:val="6"/>
          </w:tcPr>
          <w:p>
            <w:pPr>
              <w:jc w:val="right"/>
              <w:ind w:right="183"/>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31"/>
        </w:trPr>
        <w:tc>
          <w:tcPr>
            <w:tcW w:w="5560" w:type="dxa"/>
            <w:vAlign w:val="bottom"/>
            <w:tcBorders>
              <w:bottom w:val="single" w:sz="8" w:color="CCEEFF"/>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1"/>
                <w:szCs w:val="11"/>
                <w:b w:val="1"/>
                <w:bCs w:val="1"/>
                <w:color w:val="auto"/>
              </w:rPr>
              <w:t>2026</w:t>
            </w:r>
          </w:p>
        </w:tc>
        <w:tc>
          <w:tcPr>
            <w:tcW w:w="20" w:type="dxa"/>
            <w:vAlign w:val="bottom"/>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1"/>
                <w:szCs w:val="11"/>
                <w:b w:val="1"/>
                <w:bCs w:val="1"/>
                <w:color w:val="auto"/>
              </w:rPr>
              <w:t>2025</w:t>
            </w:r>
          </w:p>
        </w:tc>
        <w:tc>
          <w:tcPr>
            <w:tcW w:w="20" w:type="dxa"/>
            <w:vAlign w:val="bottom"/>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r>
      <w:tr>
        <w:trPr>
          <w:trHeight w:val="149"/>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Interest income:</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9"/>
        </w:trPr>
        <w:tc>
          <w:tcPr>
            <w:tcW w:w="55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Loans, including fees</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32,789</w:t>
            </w:r>
          </w:p>
        </w:tc>
        <w:tc>
          <w:tcPr>
            <w:tcW w:w="20" w:type="dxa"/>
            <w:vAlign w:val="bottom"/>
          </w:tcPr>
          <w:p>
            <w:pPr>
              <w:spacing w:after="0"/>
              <w:rPr>
                <w:sz w:val="12"/>
                <w:szCs w:val="12"/>
                <w:color w:val="auto"/>
              </w:rPr>
            </w:pPr>
          </w:p>
        </w:tc>
        <w:tc>
          <w:tcPr>
            <w:tcW w:w="18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30,245</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0"/>
        </w:trPr>
        <w:tc>
          <w:tcPr>
            <w:tcW w:w="5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Investment securities</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3,411</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3,024</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r>
      <w:tr>
        <w:trPr>
          <w:trHeight w:val="160"/>
        </w:trPr>
        <w:tc>
          <w:tcPr>
            <w:tcW w:w="55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1"/>
                <w:szCs w:val="11"/>
                <w:color w:val="auto"/>
              </w:rPr>
              <w:t>Interest-bearing deposits in financial institutions</w:t>
            </w: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832</w:t>
            </w:r>
          </w:p>
        </w:tc>
        <w:tc>
          <w:tcPr>
            <w:tcW w:w="20" w:type="dxa"/>
            <w:vAlign w:val="bottom"/>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709</w:t>
            </w:r>
          </w:p>
        </w:tc>
        <w:tc>
          <w:tcPr>
            <w:tcW w:w="20" w:type="dxa"/>
            <w:vAlign w:val="bottom"/>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r>
      <w:tr>
        <w:trPr>
          <w:trHeight w:val="140"/>
        </w:trPr>
        <w:tc>
          <w:tcPr>
            <w:tcW w:w="55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Total interest income</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37,032</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33,978</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60"/>
        </w:trPr>
        <w:tc>
          <w:tcPr>
            <w:tcW w:w="55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Interest expense:</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49"/>
        </w:trPr>
        <w:tc>
          <w:tcPr>
            <w:tcW w:w="5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Interest-bearing checking deposits</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310</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338</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60"/>
        </w:trPr>
        <w:tc>
          <w:tcPr>
            <w:tcW w:w="55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Savings and money market deposits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8,133</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9,335</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60"/>
        </w:trPr>
        <w:tc>
          <w:tcPr>
            <w:tcW w:w="5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Time deposits</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4,700</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3,918</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r>
      <w:tr>
        <w:trPr>
          <w:trHeight w:val="160"/>
        </w:trPr>
        <w:tc>
          <w:tcPr>
            <w:tcW w:w="55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FHLB advances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1,040</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1,272</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49"/>
        </w:trPr>
        <w:tc>
          <w:tcPr>
            <w:tcW w:w="55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Subordinated notes</w:t>
            </w:r>
          </w:p>
        </w:tc>
        <w:tc>
          <w:tcPr>
            <w:tcW w:w="2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801</w:t>
            </w:r>
          </w:p>
        </w:tc>
        <w:tc>
          <w:tcPr>
            <w:tcW w:w="2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r>
      <w:tr>
        <w:trPr>
          <w:trHeight w:val="160"/>
        </w:trPr>
        <w:tc>
          <w:tcPr>
            <w:tcW w:w="556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Total interest expense</w:t>
            </w: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14,984</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14,863</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20"/>
        </w:trPr>
        <w:tc>
          <w:tcPr>
            <w:tcW w:w="5560" w:type="dxa"/>
            <w:vAlign w:val="bottom"/>
            <w:tcBorders>
              <w:top w:val="single" w:sz="8" w:color="CCEEFF"/>
            </w:tcBorders>
            <w:shd w:val="clear" w:color="auto" w:fill="CCEEFF"/>
          </w:tcPr>
          <w:p>
            <w:pPr>
              <w:ind w:left="200"/>
              <w:spacing w:after="0" w:line="120" w:lineRule="exact"/>
              <w:rPr>
                <w:sz w:val="20"/>
                <w:szCs w:val="20"/>
                <w:color w:val="auto"/>
              </w:rPr>
            </w:pPr>
            <w:r>
              <w:rPr>
                <w:rFonts w:ascii="Times New Roman" w:cs="Times New Roman" w:eastAsia="Times New Roman" w:hAnsi="Times New Roman"/>
                <w:sz w:val="11"/>
                <w:szCs w:val="11"/>
                <w:color w:val="auto"/>
              </w:rPr>
              <w:t>Net interest income before provision for credit losses</w:t>
            </w:r>
          </w:p>
        </w:tc>
        <w:tc>
          <w:tcPr>
            <w:tcW w:w="20" w:type="dxa"/>
            <w:vAlign w:val="bottom"/>
            <w:tcBorders>
              <w:top w:val="single" w:sz="8" w:color="CCEEFF"/>
              <w:bottom w:val="single" w:sz="8" w:color="auto"/>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860" w:type="dxa"/>
            <w:vAlign w:val="bottom"/>
            <w:tcBorders>
              <w:bottom w:val="single" w:sz="8" w:color="auto"/>
            </w:tcBorders>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22,048</w:t>
            </w:r>
          </w:p>
        </w:tc>
        <w:tc>
          <w:tcPr>
            <w:tcW w:w="20" w:type="dxa"/>
            <w:vAlign w:val="bottom"/>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auto"/>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860" w:type="dxa"/>
            <w:vAlign w:val="bottom"/>
            <w:tcBorders>
              <w:bottom w:val="single" w:sz="8" w:color="auto"/>
            </w:tcBorders>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19,115</w:t>
            </w:r>
          </w:p>
        </w:tc>
        <w:tc>
          <w:tcPr>
            <w:tcW w:w="20" w:type="dxa"/>
            <w:vAlign w:val="bottom"/>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r>
      <w:tr>
        <w:trPr>
          <w:trHeight w:val="140"/>
        </w:trPr>
        <w:tc>
          <w:tcPr>
            <w:tcW w:w="55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1"/>
                <w:szCs w:val="11"/>
                <w:color w:val="auto"/>
              </w:rPr>
              <w:t>Provision for credit losses</w:t>
            </w: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801</w:t>
            </w:r>
          </w:p>
        </w:tc>
        <w:tc>
          <w:tcPr>
            <w:tcW w:w="20" w:type="dxa"/>
            <w:vAlign w:val="bottom"/>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681</w:t>
            </w:r>
          </w:p>
        </w:tc>
        <w:tc>
          <w:tcPr>
            <w:tcW w:w="20" w:type="dxa"/>
            <w:vAlign w:val="bottom"/>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r>
      <w:tr>
        <w:trPr>
          <w:trHeight w:val="140"/>
        </w:trPr>
        <w:tc>
          <w:tcPr>
            <w:tcW w:w="55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Net interest income after provision for credit losses</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21,247</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18,434</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60"/>
        </w:trPr>
        <w:tc>
          <w:tcPr>
            <w:tcW w:w="55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Non-interest income:</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60"/>
        </w:trPr>
        <w:tc>
          <w:tcPr>
            <w:tcW w:w="5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Service fees</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3,100</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2,331</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r>
      <w:tr>
        <w:trPr>
          <w:trHeight w:val="149"/>
        </w:trPr>
        <w:tc>
          <w:tcPr>
            <w:tcW w:w="55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Gain on sale of securities available for sale, net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0"/>
        </w:trPr>
        <w:tc>
          <w:tcPr>
            <w:tcW w:w="5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Gain on sale of loans held for sale, net</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106</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525</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r>
      <w:tr>
        <w:trPr>
          <w:trHeight w:val="160"/>
        </w:trPr>
        <w:tc>
          <w:tcPr>
            <w:tcW w:w="55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1"/>
                <w:szCs w:val="11"/>
                <w:color w:val="auto"/>
              </w:rPr>
              <w:t>Other non-interest income</w:t>
            </w: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930</w:t>
            </w:r>
          </w:p>
        </w:tc>
        <w:tc>
          <w:tcPr>
            <w:tcW w:w="20" w:type="dxa"/>
            <w:vAlign w:val="bottom"/>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860</w:t>
            </w:r>
          </w:p>
        </w:tc>
        <w:tc>
          <w:tcPr>
            <w:tcW w:w="20" w:type="dxa"/>
            <w:vAlign w:val="bottom"/>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r>
      <w:tr>
        <w:trPr>
          <w:trHeight w:val="140"/>
        </w:trPr>
        <w:tc>
          <w:tcPr>
            <w:tcW w:w="55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Total non-interest income</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4,150</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3,716</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60"/>
        </w:trPr>
        <w:tc>
          <w:tcPr>
            <w:tcW w:w="55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Non-interest expense:</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49"/>
        </w:trPr>
        <w:tc>
          <w:tcPr>
            <w:tcW w:w="5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Salaries and employee benefits</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8,570</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7,636</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60"/>
        </w:trPr>
        <w:tc>
          <w:tcPr>
            <w:tcW w:w="55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Occupancy</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1,316</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1,284</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60"/>
        </w:trPr>
        <w:tc>
          <w:tcPr>
            <w:tcW w:w="5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Regulatory assessments and fees</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484</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421</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r>
      <w:tr>
        <w:trPr>
          <w:trHeight w:val="160"/>
        </w:trPr>
        <w:tc>
          <w:tcPr>
            <w:tcW w:w="55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Consulting and legal fees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561</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193</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60"/>
        </w:trPr>
        <w:tc>
          <w:tcPr>
            <w:tcW w:w="5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Network and information technology services</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560</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505</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r>
      <w:tr>
        <w:trPr>
          <w:trHeight w:val="149"/>
        </w:trPr>
        <w:tc>
          <w:tcPr>
            <w:tcW w:w="55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1"/>
                <w:szCs w:val="11"/>
                <w:color w:val="auto"/>
              </w:rPr>
              <w:t>Other operating expense</w:t>
            </w: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2,220</w:t>
            </w:r>
          </w:p>
        </w:tc>
        <w:tc>
          <w:tcPr>
            <w:tcW w:w="20" w:type="dxa"/>
            <w:vAlign w:val="bottom"/>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2,013</w:t>
            </w:r>
          </w:p>
        </w:tc>
        <w:tc>
          <w:tcPr>
            <w:tcW w:w="20" w:type="dxa"/>
            <w:vAlign w:val="bottom"/>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r>
      <w:tr>
        <w:trPr>
          <w:trHeight w:val="140"/>
        </w:trPr>
        <w:tc>
          <w:tcPr>
            <w:tcW w:w="55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Total non-interest expense</w:t>
            </w:r>
          </w:p>
        </w:tc>
        <w:tc>
          <w:tcPr>
            <w:tcW w:w="2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13,711</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12,052</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0"/>
        </w:trPr>
        <w:tc>
          <w:tcPr>
            <w:tcW w:w="556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Income before income tax expense</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11,686</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10,098</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55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Income tax expense</w:t>
            </w:r>
          </w:p>
        </w:tc>
        <w:tc>
          <w:tcPr>
            <w:tcW w:w="2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2,335</w:t>
            </w:r>
          </w:p>
        </w:tc>
        <w:tc>
          <w:tcPr>
            <w:tcW w:w="2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2,440</w:t>
            </w:r>
          </w:p>
        </w:tc>
        <w:tc>
          <w:tcPr>
            <w:tcW w:w="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r>
      <w:tr>
        <w:trPr>
          <w:trHeight w:val="152"/>
        </w:trPr>
        <w:tc>
          <w:tcPr>
            <w:tcW w:w="556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Net income</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9,351</w:t>
            </w:r>
          </w:p>
        </w:tc>
        <w:tc>
          <w:tcPr>
            <w:tcW w:w="20" w:type="dxa"/>
            <w:vAlign w:val="bottom"/>
          </w:tcPr>
          <w:p>
            <w:pPr>
              <w:spacing w:after="0"/>
              <w:rPr>
                <w:sz w:val="13"/>
                <w:szCs w:val="13"/>
                <w:color w:val="auto"/>
              </w:rPr>
            </w:pPr>
          </w:p>
        </w:tc>
        <w:tc>
          <w:tcPr>
            <w:tcW w:w="18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7,658</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28"/>
        </w:trPr>
        <w:tc>
          <w:tcPr>
            <w:tcW w:w="5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Per share information:</w:t>
            </w: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r>
      <w:tr>
        <w:trPr>
          <w:trHeight w:val="160"/>
        </w:trPr>
        <w:tc>
          <w:tcPr>
            <w:tcW w:w="556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Net income per common share, basic</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0.51</w:t>
            </w:r>
          </w:p>
        </w:tc>
        <w:tc>
          <w:tcPr>
            <w:tcW w:w="20" w:type="dxa"/>
            <w:vAlign w:val="bottom"/>
          </w:tcPr>
          <w:p>
            <w:pPr>
              <w:spacing w:after="0"/>
              <w:rPr>
                <w:sz w:val="13"/>
                <w:szCs w:val="13"/>
                <w:color w:val="auto"/>
              </w:rPr>
            </w:pPr>
          </w:p>
        </w:tc>
        <w:tc>
          <w:tcPr>
            <w:tcW w:w="18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0.38</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60"/>
        </w:trPr>
        <w:tc>
          <w:tcPr>
            <w:tcW w:w="55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Net income per common share, diluted</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0.51</w:t>
            </w:r>
          </w:p>
        </w:tc>
        <w:tc>
          <w:tcPr>
            <w:tcW w:w="20" w:type="dxa"/>
            <w:vAlign w:val="bottom"/>
            <w:shd w:val="clear" w:color="auto" w:fill="CCEEFF"/>
          </w:tcPr>
          <w:p>
            <w:pPr>
              <w:spacing w:after="0"/>
              <w:rPr>
                <w:sz w:val="13"/>
                <w:szCs w:val="13"/>
                <w:color w:val="auto"/>
              </w:rPr>
            </w:pPr>
          </w:p>
        </w:tc>
        <w:tc>
          <w:tcPr>
            <w:tcW w:w="60" w:type="dxa"/>
            <w:vAlign w:val="bottom"/>
            <w:gridSpan w:val="2"/>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0.38</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r>
      <w:tr>
        <w:trPr>
          <w:trHeight w:val="160"/>
        </w:trPr>
        <w:tc>
          <w:tcPr>
            <w:tcW w:w="556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Cash dividends declared</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0.125</w:t>
            </w:r>
          </w:p>
        </w:tc>
        <w:tc>
          <w:tcPr>
            <w:tcW w:w="20" w:type="dxa"/>
            <w:vAlign w:val="bottom"/>
          </w:tcPr>
          <w:p>
            <w:pPr>
              <w:spacing w:after="0"/>
              <w:rPr>
                <w:sz w:val="13"/>
                <w:szCs w:val="13"/>
                <w:color w:val="auto"/>
              </w:rPr>
            </w:pPr>
          </w:p>
        </w:tc>
        <w:tc>
          <w:tcPr>
            <w:tcW w:w="18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0.10</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60"/>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Weighted average shares outstanding:</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r>
      <w:tr>
        <w:trPr>
          <w:trHeight w:val="149"/>
        </w:trPr>
        <w:tc>
          <w:tcPr>
            <w:tcW w:w="556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Common shares, basic</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18,214,041</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20,020,933</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0"/>
        </w:trPr>
        <w:tc>
          <w:tcPr>
            <w:tcW w:w="55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Common shares, diluted</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18,454,006</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20,319,535</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9019"/>
          </w:cols>
          <w:pgMar w:left="1440" w:top="721" w:right="1440"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1"/>
          <w:szCs w:val="11"/>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USCB FINANCIAL HOLDINGS, INC.</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SELECTED FINANCIAL DATA (UNAUDITED)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(Dollars in thousands, except per share data)</w:t>
      </w:r>
    </w:p>
    <w:p>
      <w:pPr>
        <w:spacing w:after="0" w:line="149" w:lineRule="exact"/>
        <w:rPr>
          <w:sz w:val="20"/>
          <w:szCs w:val="20"/>
          <w:color w:val="auto"/>
        </w:rPr>
      </w:pPr>
    </w:p>
    <w:tbl>
      <w:tblPr>
        <w:tblLayout w:type="fixed"/>
        <w:tblInd w:w="660" w:type="dxa"/>
        <w:tblCellMar>
          <w:top w:w="0" w:type="dxa"/>
          <w:left w:w="0" w:type="dxa"/>
          <w:bottom w:w="0" w:type="dxa"/>
          <w:right w:w="0" w:type="dxa"/>
        </w:tblCellMar>
      </w:tblPr>
      <w:tr>
        <w:trPr>
          <w:trHeight w:val="137"/>
        </w:trPr>
        <w:tc>
          <w:tcPr>
            <w:tcW w:w="10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500" w:type="dxa"/>
            <w:vAlign w:val="bottom"/>
            <w:tcBorders>
              <w:bottom w:val="single" w:sz="8" w:color="auto"/>
            </w:tcBorders>
            <w:gridSpan w:val="10"/>
          </w:tcPr>
          <w:p>
            <w:pPr>
              <w:jc w:val="right"/>
              <w:ind w:right="343"/>
              <w:spacing w:after="0"/>
              <w:rPr>
                <w:sz w:val="20"/>
                <w:szCs w:val="20"/>
                <w:color w:val="auto"/>
              </w:rPr>
            </w:pPr>
            <w:r>
              <w:rPr>
                <w:rFonts w:ascii="Times New Roman" w:cs="Times New Roman" w:eastAsia="Times New Roman" w:hAnsi="Times New Roman"/>
                <w:sz w:val="11"/>
                <w:szCs w:val="11"/>
                <w:b w:val="1"/>
                <w:bCs w:val="1"/>
                <w:color w:val="auto"/>
              </w:rPr>
              <w:t>As of or For the Three Months Ended</w:t>
            </w: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00" w:type="dxa"/>
            <w:vAlign w:val="bottom"/>
            <w:tcBorders>
              <w:bottom w:val="single" w:sz="8" w:color="CCEEFF"/>
            </w:tcBorders>
          </w:tcPr>
          <w:p>
            <w:pPr>
              <w:spacing w:after="0"/>
              <w:rPr>
                <w:sz w:val="11"/>
                <w:szCs w:val="11"/>
                <w:color w:val="auto"/>
              </w:rPr>
            </w:pPr>
          </w:p>
        </w:tc>
        <w:tc>
          <w:tcPr>
            <w:tcW w:w="3140" w:type="dxa"/>
            <w:vAlign w:val="bottom"/>
            <w:tcBorders>
              <w:bottom w:val="single" w:sz="8" w:color="CCEEFF"/>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b w:val="1"/>
                <w:bCs w:val="1"/>
                <w:color w:val="auto"/>
              </w:rPr>
              <w:t>3/31/2026</w:t>
            </w:r>
          </w:p>
        </w:tc>
        <w:tc>
          <w:tcPr>
            <w:tcW w:w="40" w:type="dxa"/>
            <w:vAlign w:val="bottom"/>
            <w:tcBorders>
              <w:bottom w:val="single" w:sz="8" w:color="CCEEFF"/>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w w:val="99"/>
              </w:rPr>
              <w:t>12/31/2025</w:t>
            </w:r>
          </w:p>
        </w:tc>
        <w:tc>
          <w:tcPr>
            <w:tcW w:w="60" w:type="dxa"/>
            <w:vAlign w:val="bottom"/>
            <w:tcBorders>
              <w:bottom w:val="single" w:sz="8" w:color="CCEEFF"/>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b w:val="1"/>
                <w:bCs w:val="1"/>
                <w:color w:val="auto"/>
              </w:rPr>
              <w:t>9/30/2025</w:t>
            </w:r>
          </w:p>
        </w:tc>
        <w:tc>
          <w:tcPr>
            <w:tcW w:w="20" w:type="dxa"/>
            <w:vAlign w:val="bottom"/>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1"/>
                <w:szCs w:val="11"/>
                <w:b w:val="1"/>
                <w:bCs w:val="1"/>
                <w:color w:val="auto"/>
              </w:rPr>
              <w:t>6/30/2025</w:t>
            </w:r>
          </w:p>
        </w:tc>
        <w:tc>
          <w:tcPr>
            <w:tcW w:w="40" w:type="dxa"/>
            <w:vAlign w:val="bottom"/>
            <w:tcBorders>
              <w:bottom w:val="single" w:sz="8" w:color="CCEEFF"/>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b w:val="1"/>
                <w:bCs w:val="1"/>
                <w:color w:val="auto"/>
              </w:rPr>
              <w:t>3/31/2025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Income statement data:</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Net interest income before provision for credit losses</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22,048</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22,207</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21,274</w:t>
            </w:r>
          </w:p>
        </w:tc>
        <w:tc>
          <w:tcPr>
            <w:tcW w:w="20" w:type="dxa"/>
            <w:vAlign w:val="bottom"/>
          </w:tcPr>
          <w:p>
            <w:pPr>
              <w:spacing w:after="0"/>
              <w:rPr>
                <w:sz w:val="12"/>
                <w:szCs w:val="12"/>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21,034</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19,115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 w:type="dxa"/>
            <w:vAlign w:val="bottom"/>
            <w:shd w:val="clear" w:color="auto" w:fill="CCEEFF"/>
          </w:tcPr>
          <w:p>
            <w:pPr>
              <w:spacing w:after="0"/>
              <w:rPr>
                <w:sz w:val="12"/>
                <w:szCs w:val="12"/>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Provision for credit losses</w:t>
            </w:r>
          </w:p>
        </w:tc>
        <w:tc>
          <w:tcPr>
            <w:tcW w:w="2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801</w:t>
            </w:r>
          </w:p>
        </w:tc>
        <w:tc>
          <w:tcPr>
            <w:tcW w:w="4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480</w:t>
            </w:r>
          </w:p>
        </w:tc>
        <w:tc>
          <w:tcPr>
            <w:tcW w:w="6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105</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1,031</w:t>
            </w:r>
          </w:p>
        </w:tc>
        <w:tc>
          <w:tcPr>
            <w:tcW w:w="4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681</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00" w:type="dxa"/>
            <w:vAlign w:val="bottom"/>
          </w:tcPr>
          <w:p>
            <w:pPr>
              <w:spacing w:after="0"/>
              <w:rPr>
                <w:sz w:val="11"/>
                <w:szCs w:val="11"/>
                <w:color w:val="auto"/>
              </w:rPr>
            </w:pPr>
          </w:p>
        </w:tc>
        <w:tc>
          <w:tcPr>
            <w:tcW w:w="31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Net interest income after provision for credit losses</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21,247</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21,727</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21,169</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20,003</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18,434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00" w:type="dxa"/>
            <w:vAlign w:val="bottom"/>
            <w:shd w:val="clear" w:color="auto" w:fill="CCEEFF"/>
          </w:tcPr>
          <w:p>
            <w:pPr>
              <w:spacing w:after="0"/>
              <w:rPr>
                <w:sz w:val="12"/>
                <w:szCs w:val="12"/>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Service fees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3,100</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2,209</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2,661</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2,402</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2,331</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Gain (loss) on sale of securities available for sale, net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(7,498)</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(28)</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 w:type="dxa"/>
            <w:vAlign w:val="bottom"/>
            <w:shd w:val="clear" w:color="auto" w:fill="CCEEFF"/>
          </w:tcPr>
          <w:p>
            <w:pPr>
              <w:spacing w:after="0"/>
              <w:rPr>
                <w:sz w:val="12"/>
                <w:szCs w:val="12"/>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Gain on sale of loans held for sale, net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106</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197</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128</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151</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525</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24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Other non-interest income</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930</w:t>
            </w:r>
          </w:p>
        </w:tc>
        <w:tc>
          <w:tcPr>
            <w:tcW w:w="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914</w:t>
            </w:r>
          </w:p>
        </w:tc>
        <w:tc>
          <w:tcPr>
            <w:tcW w:w="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923</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817</w:t>
            </w:r>
          </w:p>
        </w:tc>
        <w:tc>
          <w:tcPr>
            <w:tcW w:w="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860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100" w:type="dxa"/>
            <w:vAlign w:val="bottom"/>
            <w:tcBorders>
              <w:top w:val="single" w:sz="8" w:color="CCEEFF"/>
            </w:tcBorders>
            <w:shd w:val="clear" w:color="auto" w:fill="CCEEFF"/>
          </w:tcPr>
          <w:p>
            <w:pPr>
              <w:spacing w:after="0"/>
              <w:rPr>
                <w:sz w:val="10"/>
                <w:szCs w:val="10"/>
                <w:color w:val="auto"/>
              </w:rPr>
            </w:pPr>
          </w:p>
        </w:tc>
        <w:tc>
          <w:tcPr>
            <w:tcW w:w="3140" w:type="dxa"/>
            <w:vAlign w:val="bottom"/>
            <w:tcBorders>
              <w:top w:val="single" w:sz="8" w:color="CCEEFF"/>
            </w:tcBorders>
            <w:shd w:val="clear" w:color="auto" w:fill="CCEEFF"/>
          </w:tcPr>
          <w:p>
            <w:pPr>
              <w:ind w:left="100"/>
              <w:spacing w:after="0" w:line="120" w:lineRule="exact"/>
              <w:rPr>
                <w:sz w:val="20"/>
                <w:szCs w:val="20"/>
                <w:color w:val="auto"/>
              </w:rPr>
            </w:pPr>
            <w:r>
              <w:rPr>
                <w:rFonts w:ascii="Times New Roman" w:cs="Times New Roman" w:eastAsia="Times New Roman" w:hAnsi="Times New Roman"/>
                <w:sz w:val="11"/>
                <w:szCs w:val="11"/>
                <w:color w:val="auto"/>
              </w:rPr>
              <w:t>Total non-interest income</w:t>
            </w:r>
          </w:p>
        </w:tc>
        <w:tc>
          <w:tcPr>
            <w:tcW w:w="20" w:type="dxa"/>
            <w:vAlign w:val="bottom"/>
            <w:tcBorders>
              <w:top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4,150</w:t>
            </w: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(4,178)</w:t>
            </w:r>
          </w:p>
        </w:tc>
        <w:tc>
          <w:tcPr>
            <w:tcW w:w="6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3,684</w:t>
            </w:r>
          </w:p>
        </w:tc>
        <w:tc>
          <w:tcPr>
            <w:tcW w:w="20" w:type="dxa"/>
            <w:vAlign w:val="bottom"/>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3,370</w:t>
            </w: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3,716</w:t>
            </w:r>
          </w:p>
        </w:tc>
        <w:tc>
          <w:tcPr>
            <w:tcW w:w="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24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Salaries and employee benefits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8,570</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8,668</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7,909</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7,954</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7,636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 w:type="dxa"/>
            <w:vAlign w:val="bottom"/>
            <w:shd w:val="clear" w:color="auto" w:fill="CCEEFF"/>
          </w:tcPr>
          <w:p>
            <w:pPr>
              <w:spacing w:after="0"/>
              <w:rPr>
                <w:sz w:val="12"/>
                <w:szCs w:val="12"/>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Occupancy</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1,316</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1,327</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1,382</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1,337</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1,284</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Regulatory assessments and fees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484</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443</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377</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396</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 w:type="dxa"/>
            <w:vAlign w:val="bottom"/>
            <w:shd w:val="clear" w:color="auto" w:fill="CCEEFF"/>
          </w:tcPr>
          <w:p>
            <w:pPr>
              <w:spacing w:after="0"/>
              <w:rPr>
                <w:sz w:val="12"/>
                <w:szCs w:val="12"/>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Consulting and legal fees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561</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900</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585</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263</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193</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Network and information technology services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560</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599</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656</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564</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 w:type="dxa"/>
            <w:vAlign w:val="bottom"/>
            <w:shd w:val="clear" w:color="auto" w:fill="CCEEFF"/>
          </w:tcPr>
          <w:p>
            <w:pPr>
              <w:spacing w:after="0"/>
              <w:rPr>
                <w:sz w:val="12"/>
                <w:szCs w:val="12"/>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Other operating expense</w:t>
            </w:r>
          </w:p>
        </w:tc>
        <w:tc>
          <w:tcPr>
            <w:tcW w:w="2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2,220</w:t>
            </w:r>
          </w:p>
        </w:tc>
        <w:tc>
          <w:tcPr>
            <w:tcW w:w="4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2,338</w:t>
            </w:r>
          </w:p>
        </w:tc>
        <w:tc>
          <w:tcPr>
            <w:tcW w:w="6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2,139</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2,120</w:t>
            </w:r>
          </w:p>
        </w:tc>
        <w:tc>
          <w:tcPr>
            <w:tcW w:w="4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2,013</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00" w:type="dxa"/>
            <w:vAlign w:val="bottom"/>
            <w:tcBorders>
              <w:bottom w:val="single" w:sz="8" w:color="CCEEFF"/>
            </w:tcBorders>
          </w:tcPr>
          <w:p>
            <w:pPr>
              <w:spacing w:after="0"/>
              <w:rPr>
                <w:sz w:val="11"/>
                <w:szCs w:val="11"/>
                <w:color w:val="auto"/>
              </w:rPr>
            </w:pPr>
          </w:p>
        </w:tc>
        <w:tc>
          <w:tcPr>
            <w:tcW w:w="31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1"/>
                <w:szCs w:val="11"/>
                <w:color w:val="auto"/>
              </w:rPr>
              <w:t>Total non-interest expense</w:t>
            </w: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13,711</w:t>
            </w:r>
          </w:p>
        </w:tc>
        <w:tc>
          <w:tcPr>
            <w:tcW w:w="40" w:type="dxa"/>
            <w:vAlign w:val="bottom"/>
            <w:tcBorders>
              <w:bottom w:val="single" w:sz="8" w:color="CCEEFF"/>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14,275</w:t>
            </w:r>
          </w:p>
        </w:tc>
        <w:tc>
          <w:tcPr>
            <w:tcW w:w="60" w:type="dxa"/>
            <w:vAlign w:val="bottom"/>
            <w:tcBorders>
              <w:bottom w:val="single" w:sz="8" w:color="CCEEFF"/>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13,048</w:t>
            </w:r>
          </w:p>
        </w:tc>
        <w:tc>
          <w:tcPr>
            <w:tcW w:w="20" w:type="dxa"/>
            <w:vAlign w:val="bottom"/>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12,634</w:t>
            </w:r>
          </w:p>
        </w:tc>
        <w:tc>
          <w:tcPr>
            <w:tcW w:w="40" w:type="dxa"/>
            <w:vAlign w:val="bottom"/>
            <w:tcBorders>
              <w:bottom w:val="single" w:sz="8" w:color="CCEEFF"/>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12,052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00" w:type="dxa"/>
            <w:vAlign w:val="bottom"/>
            <w:shd w:val="clear" w:color="auto" w:fill="CCEEFF"/>
          </w:tcPr>
          <w:p>
            <w:pPr>
              <w:spacing w:after="0"/>
              <w:rPr>
                <w:sz w:val="11"/>
                <w:szCs w:val="11"/>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income before income tax expense</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11,686</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3,274</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11,805</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10,739</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10,098</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24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1"/>
                <w:szCs w:val="11"/>
                <w:color w:val="auto"/>
              </w:rPr>
              <w:t>Income tax expense</w:t>
            </w: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2,335</w:t>
            </w:r>
          </w:p>
        </w:tc>
        <w:tc>
          <w:tcPr>
            <w:tcW w:w="4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1,911</w:t>
            </w:r>
          </w:p>
        </w:tc>
        <w:tc>
          <w:tcPr>
            <w:tcW w:w="6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2,866</w:t>
            </w:r>
          </w:p>
        </w:tc>
        <w:tc>
          <w:tcPr>
            <w:tcW w:w="20" w:type="dxa"/>
            <w:vAlign w:val="bottom"/>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2,599</w:t>
            </w:r>
          </w:p>
        </w:tc>
        <w:tc>
          <w:tcPr>
            <w:tcW w:w="4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2,440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00" w:type="dxa"/>
            <w:vAlign w:val="bottom"/>
            <w:shd w:val="clear" w:color="auto" w:fill="CCEEFF"/>
          </w:tcPr>
          <w:p>
            <w:pPr>
              <w:spacing w:after="0"/>
              <w:rPr>
                <w:sz w:val="11"/>
                <w:szCs w:val="11"/>
                <w:color w:val="auto"/>
              </w:rPr>
            </w:pPr>
          </w:p>
        </w:tc>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Net income</w:t>
            </w:r>
          </w:p>
        </w:tc>
        <w:tc>
          <w:tcPr>
            <w:tcW w:w="2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9,351</w:t>
            </w:r>
          </w:p>
        </w:tc>
        <w:tc>
          <w:tcPr>
            <w:tcW w:w="60" w:type="dxa"/>
            <w:vAlign w:val="bottom"/>
            <w:gridSpan w:val="2"/>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1,363</w:t>
            </w:r>
          </w:p>
        </w:tc>
        <w:tc>
          <w:tcPr>
            <w:tcW w:w="80" w:type="dxa"/>
            <w:vAlign w:val="bottom"/>
            <w:gridSpan w:val="2"/>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8,939</w:t>
            </w:r>
          </w:p>
        </w:tc>
        <w:tc>
          <w:tcPr>
            <w:tcW w:w="20" w:type="dxa"/>
            <w:vAlign w:val="bottom"/>
            <w:tcBorders>
              <w:bottom w:val="single" w:sz="8" w:color="auto"/>
            </w:tcBorders>
            <w:shd w:val="clear" w:color="auto" w:fill="CCEEFF"/>
          </w:tcPr>
          <w:p>
            <w:pPr>
              <w:spacing w:after="0"/>
              <w:rPr>
                <w:sz w:val="11"/>
                <w:szCs w:val="11"/>
                <w:color w:val="auto"/>
              </w:rPr>
            </w:pPr>
          </w:p>
        </w:tc>
        <w:tc>
          <w:tcPr>
            <w:tcW w:w="60" w:type="dxa"/>
            <w:vAlign w:val="bottom"/>
            <w:gridSpan w:val="2"/>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8,140</w:t>
            </w:r>
          </w:p>
        </w:tc>
        <w:tc>
          <w:tcPr>
            <w:tcW w:w="60" w:type="dxa"/>
            <w:vAlign w:val="bottom"/>
            <w:gridSpan w:val="2"/>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7,658</w:t>
            </w:r>
          </w:p>
        </w:tc>
        <w:tc>
          <w:tcPr>
            <w:tcW w:w="20" w:type="dxa"/>
            <w:vAlign w:val="bottom"/>
            <w:tcBorders>
              <w:bottom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24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Per share information:</w:t>
            </w: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324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100" w:type="dxa"/>
            <w:vAlign w:val="bottom"/>
            <w:shd w:val="clear" w:color="auto" w:fill="CCEEFF"/>
          </w:tcPr>
          <w:p>
            <w:pPr>
              <w:spacing w:after="0"/>
              <w:rPr>
                <w:sz w:val="12"/>
                <w:szCs w:val="12"/>
                <w:color w:val="auto"/>
              </w:rPr>
            </w:pPr>
          </w:p>
        </w:tc>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Net income per common share, basic</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0.51</w:t>
            </w:r>
          </w:p>
        </w:tc>
        <w:tc>
          <w:tcPr>
            <w:tcW w:w="60" w:type="dxa"/>
            <w:vAlign w:val="bottom"/>
            <w:gridSpan w:val="2"/>
            <w:shd w:val="clear" w:color="auto" w:fill="CCEEFF"/>
          </w:tcPr>
          <w:p>
            <w:pPr>
              <w:spacing w:after="0"/>
              <w:rPr>
                <w:sz w:val="12"/>
                <w:szCs w:val="1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0.08</w:t>
            </w:r>
          </w:p>
        </w:tc>
        <w:tc>
          <w:tcPr>
            <w:tcW w:w="80" w:type="dxa"/>
            <w:vAlign w:val="bottom"/>
            <w:gridSpan w:val="2"/>
            <w:shd w:val="clear" w:color="auto" w:fill="CCEEFF"/>
          </w:tcPr>
          <w:p>
            <w:pPr>
              <w:spacing w:after="0"/>
              <w:rPr>
                <w:sz w:val="12"/>
                <w:szCs w:val="1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0.46</w:t>
            </w:r>
          </w:p>
        </w:tc>
        <w:tc>
          <w:tcPr>
            <w:tcW w:w="20" w:type="dxa"/>
            <w:vAlign w:val="bottom"/>
            <w:shd w:val="clear" w:color="auto" w:fill="CCEEFF"/>
          </w:tcPr>
          <w:p>
            <w:pPr>
              <w:spacing w:after="0"/>
              <w:rPr>
                <w:sz w:val="12"/>
                <w:szCs w:val="12"/>
                <w:color w:val="auto"/>
              </w:rPr>
            </w:pPr>
          </w:p>
        </w:tc>
        <w:tc>
          <w:tcPr>
            <w:tcW w:w="60" w:type="dxa"/>
            <w:vAlign w:val="bottom"/>
            <w:gridSpan w:val="2"/>
            <w:shd w:val="clear" w:color="auto" w:fill="CCEEFF"/>
          </w:tcPr>
          <w:p>
            <w:pPr>
              <w:spacing w:after="0"/>
              <w:rPr>
                <w:sz w:val="12"/>
                <w:szCs w:val="1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0.41</w:t>
            </w:r>
          </w:p>
        </w:tc>
        <w:tc>
          <w:tcPr>
            <w:tcW w:w="60" w:type="dxa"/>
            <w:vAlign w:val="bottom"/>
            <w:gridSpan w:val="2"/>
            <w:shd w:val="clear" w:color="auto" w:fill="CCEEFF"/>
          </w:tcPr>
          <w:p>
            <w:pPr>
              <w:spacing w:after="0"/>
              <w:rPr>
                <w:sz w:val="12"/>
                <w:szCs w:val="1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0.38</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31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Net income per common share, diluted</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0.51</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0.07</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0.45</w:t>
            </w:r>
          </w:p>
        </w:tc>
        <w:tc>
          <w:tcPr>
            <w:tcW w:w="20" w:type="dxa"/>
            <w:vAlign w:val="bottom"/>
          </w:tcPr>
          <w:p>
            <w:pPr>
              <w:spacing w:after="0"/>
              <w:rPr>
                <w:sz w:val="12"/>
                <w:szCs w:val="12"/>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0.40</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0.38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 w:type="dxa"/>
            <w:vAlign w:val="bottom"/>
            <w:shd w:val="clear" w:color="auto" w:fill="CCEEFF"/>
          </w:tcPr>
          <w:p>
            <w:pPr>
              <w:spacing w:after="0"/>
              <w:rPr>
                <w:sz w:val="12"/>
                <w:szCs w:val="12"/>
                <w:color w:val="auto"/>
              </w:rPr>
            </w:pPr>
          </w:p>
        </w:tc>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Cash dividends declared</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0.125</w:t>
            </w:r>
          </w:p>
        </w:tc>
        <w:tc>
          <w:tcPr>
            <w:tcW w:w="60" w:type="dxa"/>
            <w:vAlign w:val="bottom"/>
            <w:gridSpan w:val="2"/>
            <w:shd w:val="clear" w:color="auto" w:fill="CCEEFF"/>
          </w:tcPr>
          <w:p>
            <w:pPr>
              <w:spacing w:after="0"/>
              <w:rPr>
                <w:sz w:val="12"/>
                <w:szCs w:val="1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0.10</w:t>
            </w:r>
          </w:p>
        </w:tc>
        <w:tc>
          <w:tcPr>
            <w:tcW w:w="80" w:type="dxa"/>
            <w:vAlign w:val="bottom"/>
            <w:gridSpan w:val="2"/>
            <w:shd w:val="clear" w:color="auto" w:fill="CCEEFF"/>
          </w:tcPr>
          <w:p>
            <w:pPr>
              <w:spacing w:after="0"/>
              <w:rPr>
                <w:sz w:val="12"/>
                <w:szCs w:val="1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0.10</w:t>
            </w:r>
          </w:p>
        </w:tc>
        <w:tc>
          <w:tcPr>
            <w:tcW w:w="20" w:type="dxa"/>
            <w:vAlign w:val="bottom"/>
            <w:shd w:val="clear" w:color="auto" w:fill="CCEEFF"/>
          </w:tcPr>
          <w:p>
            <w:pPr>
              <w:spacing w:after="0"/>
              <w:rPr>
                <w:sz w:val="12"/>
                <w:szCs w:val="12"/>
                <w:color w:val="auto"/>
              </w:rPr>
            </w:pPr>
          </w:p>
        </w:tc>
        <w:tc>
          <w:tcPr>
            <w:tcW w:w="60" w:type="dxa"/>
            <w:vAlign w:val="bottom"/>
            <w:gridSpan w:val="2"/>
            <w:shd w:val="clear" w:color="auto" w:fill="CCEEFF"/>
          </w:tcPr>
          <w:p>
            <w:pPr>
              <w:spacing w:after="0"/>
              <w:rPr>
                <w:sz w:val="12"/>
                <w:szCs w:val="1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0.10</w:t>
            </w:r>
          </w:p>
        </w:tc>
        <w:tc>
          <w:tcPr>
            <w:tcW w:w="60" w:type="dxa"/>
            <w:vAlign w:val="bottom"/>
            <w:gridSpan w:val="2"/>
            <w:shd w:val="clear" w:color="auto" w:fill="CCEEFF"/>
          </w:tcPr>
          <w:p>
            <w:pPr>
              <w:spacing w:after="0"/>
              <w:rPr>
                <w:sz w:val="12"/>
                <w:szCs w:val="1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0.10</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Balance sheet data (at period-end):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 w:type="dxa"/>
            <w:vAlign w:val="bottom"/>
            <w:shd w:val="clear" w:color="auto" w:fill="CCEEFF"/>
          </w:tcPr>
          <w:p>
            <w:pPr>
              <w:spacing w:after="0"/>
              <w:rPr>
                <w:sz w:val="12"/>
                <w:szCs w:val="12"/>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Cash and cash equivalents</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78,963</w:t>
            </w:r>
          </w:p>
        </w:tc>
        <w:tc>
          <w:tcPr>
            <w:tcW w:w="60" w:type="dxa"/>
            <w:vAlign w:val="bottom"/>
            <w:gridSpan w:val="2"/>
            <w:shd w:val="clear" w:color="auto" w:fill="CCEEFF"/>
          </w:tcPr>
          <w:p>
            <w:pPr>
              <w:spacing w:after="0"/>
              <w:rPr>
                <w:sz w:val="12"/>
                <w:szCs w:val="1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38,477</w:t>
            </w:r>
          </w:p>
        </w:tc>
        <w:tc>
          <w:tcPr>
            <w:tcW w:w="80" w:type="dxa"/>
            <w:vAlign w:val="bottom"/>
            <w:gridSpan w:val="2"/>
            <w:shd w:val="clear" w:color="auto" w:fill="CCEEFF"/>
          </w:tcPr>
          <w:p>
            <w:pPr>
              <w:spacing w:after="0"/>
              <w:rPr>
                <w:sz w:val="12"/>
                <w:szCs w:val="1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56,811</w:t>
            </w:r>
          </w:p>
        </w:tc>
        <w:tc>
          <w:tcPr>
            <w:tcW w:w="20" w:type="dxa"/>
            <w:vAlign w:val="bottom"/>
            <w:shd w:val="clear" w:color="auto" w:fill="CCEEFF"/>
          </w:tcPr>
          <w:p>
            <w:pPr>
              <w:spacing w:after="0"/>
              <w:rPr>
                <w:sz w:val="12"/>
                <w:szCs w:val="12"/>
                <w:color w:val="auto"/>
              </w:rPr>
            </w:pPr>
          </w:p>
        </w:tc>
        <w:tc>
          <w:tcPr>
            <w:tcW w:w="60" w:type="dxa"/>
            <w:vAlign w:val="bottom"/>
            <w:gridSpan w:val="2"/>
            <w:shd w:val="clear" w:color="auto" w:fill="CCEEFF"/>
          </w:tcPr>
          <w:p>
            <w:pPr>
              <w:spacing w:after="0"/>
              <w:rPr>
                <w:sz w:val="12"/>
                <w:szCs w:val="1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54,819</w:t>
            </w:r>
          </w:p>
        </w:tc>
        <w:tc>
          <w:tcPr>
            <w:tcW w:w="60" w:type="dxa"/>
            <w:vAlign w:val="bottom"/>
            <w:gridSpan w:val="2"/>
            <w:shd w:val="clear" w:color="auto" w:fill="CCEEFF"/>
          </w:tcPr>
          <w:p>
            <w:pPr>
              <w:spacing w:after="0"/>
              <w:rPr>
                <w:sz w:val="12"/>
                <w:szCs w:val="1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97,984</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Securities available-for-sale</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277,160</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307,490</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324,179</w:t>
            </w:r>
          </w:p>
        </w:tc>
        <w:tc>
          <w:tcPr>
            <w:tcW w:w="20" w:type="dxa"/>
            <w:vAlign w:val="bottom"/>
          </w:tcPr>
          <w:p>
            <w:pPr>
              <w:spacing w:after="0"/>
              <w:rPr>
                <w:sz w:val="12"/>
                <w:szCs w:val="12"/>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285,382</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275,139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 w:type="dxa"/>
            <w:vAlign w:val="bottom"/>
            <w:shd w:val="clear" w:color="auto" w:fill="CCEEFF"/>
          </w:tcPr>
          <w:p>
            <w:pPr>
              <w:spacing w:after="0"/>
              <w:rPr>
                <w:sz w:val="12"/>
                <w:szCs w:val="12"/>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Securities held-to-maturity</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149,931</w:t>
            </w:r>
          </w:p>
        </w:tc>
        <w:tc>
          <w:tcPr>
            <w:tcW w:w="60" w:type="dxa"/>
            <w:vAlign w:val="bottom"/>
            <w:gridSpan w:val="2"/>
            <w:shd w:val="clear" w:color="auto" w:fill="CCEEFF"/>
          </w:tcPr>
          <w:p>
            <w:pPr>
              <w:spacing w:after="0"/>
              <w:rPr>
                <w:sz w:val="12"/>
                <w:szCs w:val="1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153,941</w:t>
            </w:r>
          </w:p>
        </w:tc>
        <w:tc>
          <w:tcPr>
            <w:tcW w:w="80" w:type="dxa"/>
            <w:vAlign w:val="bottom"/>
            <w:gridSpan w:val="2"/>
            <w:shd w:val="clear" w:color="auto" w:fill="CCEEFF"/>
          </w:tcPr>
          <w:p>
            <w:pPr>
              <w:spacing w:after="0"/>
              <w:rPr>
                <w:sz w:val="12"/>
                <w:szCs w:val="1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156,365</w:t>
            </w:r>
          </w:p>
        </w:tc>
        <w:tc>
          <w:tcPr>
            <w:tcW w:w="20" w:type="dxa"/>
            <w:vAlign w:val="bottom"/>
            <w:shd w:val="clear" w:color="auto" w:fill="CCEEFF"/>
          </w:tcPr>
          <w:p>
            <w:pPr>
              <w:spacing w:after="0"/>
              <w:rPr>
                <w:sz w:val="12"/>
                <w:szCs w:val="12"/>
                <w:color w:val="auto"/>
              </w:rPr>
            </w:pPr>
          </w:p>
        </w:tc>
        <w:tc>
          <w:tcPr>
            <w:tcW w:w="60" w:type="dxa"/>
            <w:vAlign w:val="bottom"/>
            <w:gridSpan w:val="2"/>
            <w:shd w:val="clear" w:color="auto" w:fill="CCEEFF"/>
          </w:tcPr>
          <w:p>
            <w:pPr>
              <w:spacing w:after="0"/>
              <w:rPr>
                <w:sz w:val="12"/>
                <w:szCs w:val="1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158,740</w:t>
            </w:r>
          </w:p>
        </w:tc>
        <w:tc>
          <w:tcPr>
            <w:tcW w:w="60" w:type="dxa"/>
            <w:vAlign w:val="bottom"/>
            <w:gridSpan w:val="2"/>
            <w:shd w:val="clear" w:color="auto" w:fill="CCEEFF"/>
          </w:tcPr>
          <w:p>
            <w:pPr>
              <w:spacing w:after="0"/>
              <w:rPr>
                <w:sz w:val="12"/>
                <w:szCs w:val="1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161,790</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Total securities</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427,091</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461,431</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480,544</w:t>
            </w:r>
          </w:p>
        </w:tc>
        <w:tc>
          <w:tcPr>
            <w:tcW w:w="20" w:type="dxa"/>
            <w:vAlign w:val="bottom"/>
          </w:tcPr>
          <w:p>
            <w:pPr>
              <w:spacing w:after="0"/>
              <w:rPr>
                <w:sz w:val="12"/>
                <w:szCs w:val="12"/>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444,122</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436,929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 w:type="dxa"/>
            <w:vAlign w:val="bottom"/>
            <w:shd w:val="clear" w:color="auto" w:fill="CCEEFF"/>
          </w:tcPr>
          <w:p>
            <w:pPr>
              <w:spacing w:after="0"/>
              <w:rPr>
                <w:sz w:val="12"/>
                <w:szCs w:val="12"/>
                <w:color w:val="auto"/>
              </w:rPr>
            </w:pPr>
          </w:p>
        </w:tc>
        <w:tc>
          <w:tcPr>
            <w:tcW w:w="31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1"/>
                <w:szCs w:val="11"/>
                <w:color w:val="auto"/>
              </w:rPr>
              <w:t xml:space="preserve">Loans held for investment </w:t>
            </w:r>
            <w:r>
              <w:rPr>
                <w:rFonts w:ascii="Times New Roman" w:cs="Times New Roman" w:eastAsia="Times New Roman" w:hAnsi="Times New Roman"/>
                <w:sz w:val="14"/>
                <w:szCs w:val="14"/>
                <w:color w:val="auto"/>
                <w:vertAlign w:val="superscript"/>
              </w:rPr>
              <w:t>(1)</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2,241,051</w:t>
            </w:r>
          </w:p>
        </w:tc>
        <w:tc>
          <w:tcPr>
            <w:tcW w:w="60" w:type="dxa"/>
            <w:vAlign w:val="bottom"/>
            <w:gridSpan w:val="2"/>
            <w:shd w:val="clear" w:color="auto" w:fill="CCEEFF"/>
          </w:tcPr>
          <w:p>
            <w:pPr>
              <w:spacing w:after="0"/>
              <w:rPr>
                <w:sz w:val="12"/>
                <w:szCs w:val="1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2,189,257</w:t>
            </w:r>
          </w:p>
        </w:tc>
        <w:tc>
          <w:tcPr>
            <w:tcW w:w="80" w:type="dxa"/>
            <w:vAlign w:val="bottom"/>
            <w:gridSpan w:val="2"/>
            <w:shd w:val="clear" w:color="auto" w:fill="CCEEFF"/>
          </w:tcPr>
          <w:p>
            <w:pPr>
              <w:spacing w:after="0"/>
              <w:rPr>
                <w:sz w:val="12"/>
                <w:szCs w:val="1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2,130,966</w:t>
            </w:r>
          </w:p>
        </w:tc>
        <w:tc>
          <w:tcPr>
            <w:tcW w:w="20" w:type="dxa"/>
            <w:vAlign w:val="bottom"/>
            <w:shd w:val="clear" w:color="auto" w:fill="CCEEFF"/>
          </w:tcPr>
          <w:p>
            <w:pPr>
              <w:spacing w:after="0"/>
              <w:rPr>
                <w:sz w:val="12"/>
                <w:szCs w:val="12"/>
                <w:color w:val="auto"/>
              </w:rPr>
            </w:pPr>
          </w:p>
        </w:tc>
        <w:tc>
          <w:tcPr>
            <w:tcW w:w="60" w:type="dxa"/>
            <w:vAlign w:val="bottom"/>
            <w:gridSpan w:val="2"/>
            <w:shd w:val="clear" w:color="auto" w:fill="CCEEFF"/>
          </w:tcPr>
          <w:p>
            <w:pPr>
              <w:spacing w:after="0"/>
              <w:rPr>
                <w:sz w:val="12"/>
                <w:szCs w:val="1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2,113,318</w:t>
            </w:r>
          </w:p>
        </w:tc>
        <w:tc>
          <w:tcPr>
            <w:tcW w:w="60" w:type="dxa"/>
            <w:vAlign w:val="bottom"/>
            <w:gridSpan w:val="2"/>
            <w:shd w:val="clear" w:color="auto" w:fill="CCEEFF"/>
          </w:tcPr>
          <w:p>
            <w:pPr>
              <w:spacing w:after="0"/>
              <w:rPr>
                <w:sz w:val="12"/>
                <w:szCs w:val="1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2,036,212</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Allowance for credit losses</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(26,102)</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(25,500)</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(24,964)</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(24,933)</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(24,740)</w:t>
            </w:r>
          </w:p>
        </w:tc>
        <w:tc>
          <w:tcPr>
            <w:tcW w:w="0" w:type="dxa"/>
            <w:vAlign w:val="bottom"/>
          </w:tcPr>
          <w:p>
            <w:pPr>
              <w:spacing w:after="0"/>
              <w:rPr>
                <w:sz w:val="1"/>
                <w:szCs w:val="1"/>
                <w:color w:val="auto"/>
              </w:rPr>
            </w:pPr>
          </w:p>
        </w:tc>
      </w:tr>
      <w:tr>
        <w:trPr>
          <w:trHeight w:val="149"/>
        </w:trPr>
        <w:tc>
          <w:tcPr>
            <w:tcW w:w="100" w:type="dxa"/>
            <w:vAlign w:val="bottom"/>
            <w:shd w:val="clear" w:color="auto" w:fill="CCEEFF"/>
          </w:tcPr>
          <w:p>
            <w:pPr>
              <w:spacing w:after="0"/>
              <w:rPr>
                <w:sz w:val="12"/>
                <w:szCs w:val="12"/>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Total assets</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2,845,735</w:t>
            </w:r>
          </w:p>
        </w:tc>
        <w:tc>
          <w:tcPr>
            <w:tcW w:w="60" w:type="dxa"/>
            <w:vAlign w:val="bottom"/>
            <w:gridSpan w:val="2"/>
            <w:shd w:val="clear" w:color="auto" w:fill="CCEEFF"/>
          </w:tcPr>
          <w:p>
            <w:pPr>
              <w:spacing w:after="0"/>
              <w:rPr>
                <w:sz w:val="12"/>
                <w:szCs w:val="1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2,791,540</w:t>
            </w:r>
          </w:p>
        </w:tc>
        <w:tc>
          <w:tcPr>
            <w:tcW w:w="80" w:type="dxa"/>
            <w:vAlign w:val="bottom"/>
            <w:gridSpan w:val="2"/>
            <w:shd w:val="clear" w:color="auto" w:fill="CCEEFF"/>
          </w:tcPr>
          <w:p>
            <w:pPr>
              <w:spacing w:after="0"/>
              <w:rPr>
                <w:sz w:val="12"/>
                <w:szCs w:val="1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2,767,945</w:t>
            </w:r>
          </w:p>
        </w:tc>
        <w:tc>
          <w:tcPr>
            <w:tcW w:w="20" w:type="dxa"/>
            <w:vAlign w:val="bottom"/>
            <w:shd w:val="clear" w:color="auto" w:fill="CCEEFF"/>
          </w:tcPr>
          <w:p>
            <w:pPr>
              <w:spacing w:after="0"/>
              <w:rPr>
                <w:sz w:val="12"/>
                <w:szCs w:val="12"/>
                <w:color w:val="auto"/>
              </w:rPr>
            </w:pPr>
          </w:p>
        </w:tc>
        <w:tc>
          <w:tcPr>
            <w:tcW w:w="60" w:type="dxa"/>
            <w:vAlign w:val="bottom"/>
            <w:gridSpan w:val="2"/>
            <w:shd w:val="clear" w:color="auto" w:fill="CCEEFF"/>
          </w:tcPr>
          <w:p>
            <w:pPr>
              <w:spacing w:after="0"/>
              <w:rPr>
                <w:sz w:val="12"/>
                <w:szCs w:val="1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2,719,474</w:t>
            </w:r>
          </w:p>
        </w:tc>
        <w:tc>
          <w:tcPr>
            <w:tcW w:w="60" w:type="dxa"/>
            <w:vAlign w:val="bottom"/>
            <w:gridSpan w:val="2"/>
            <w:shd w:val="clear" w:color="auto" w:fill="CCEEFF"/>
          </w:tcPr>
          <w:p>
            <w:pPr>
              <w:spacing w:after="0"/>
              <w:rPr>
                <w:sz w:val="12"/>
                <w:szCs w:val="1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2,677,382</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Non-interest-bearing demand deposits</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620,714</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583,860</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584,240</w:t>
            </w:r>
          </w:p>
        </w:tc>
        <w:tc>
          <w:tcPr>
            <w:tcW w:w="20" w:type="dxa"/>
            <w:vAlign w:val="bottom"/>
          </w:tcPr>
          <w:p>
            <w:pPr>
              <w:spacing w:after="0"/>
              <w:rPr>
                <w:sz w:val="12"/>
                <w:szCs w:val="12"/>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584,895</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605,489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 w:type="dxa"/>
            <w:vAlign w:val="bottom"/>
            <w:shd w:val="clear" w:color="auto" w:fill="CCEEFF"/>
          </w:tcPr>
          <w:p>
            <w:pPr>
              <w:spacing w:after="0"/>
              <w:rPr>
                <w:sz w:val="12"/>
                <w:szCs w:val="12"/>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Interest-bearing deposits</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1,872,866</w:t>
            </w:r>
          </w:p>
        </w:tc>
        <w:tc>
          <w:tcPr>
            <w:tcW w:w="60" w:type="dxa"/>
            <w:vAlign w:val="bottom"/>
            <w:gridSpan w:val="2"/>
            <w:shd w:val="clear" w:color="auto" w:fill="CCEEFF"/>
          </w:tcPr>
          <w:p>
            <w:pPr>
              <w:spacing w:after="0"/>
              <w:rPr>
                <w:sz w:val="12"/>
                <w:szCs w:val="1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1,761,220</w:t>
            </w:r>
          </w:p>
        </w:tc>
        <w:tc>
          <w:tcPr>
            <w:tcW w:w="80" w:type="dxa"/>
            <w:vAlign w:val="bottom"/>
            <w:gridSpan w:val="2"/>
            <w:shd w:val="clear" w:color="auto" w:fill="CCEEFF"/>
          </w:tcPr>
          <w:p>
            <w:pPr>
              <w:spacing w:after="0"/>
              <w:rPr>
                <w:sz w:val="12"/>
                <w:szCs w:val="1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1,871,374</w:t>
            </w:r>
          </w:p>
        </w:tc>
        <w:tc>
          <w:tcPr>
            <w:tcW w:w="20" w:type="dxa"/>
            <w:vAlign w:val="bottom"/>
            <w:shd w:val="clear" w:color="auto" w:fill="CCEEFF"/>
          </w:tcPr>
          <w:p>
            <w:pPr>
              <w:spacing w:after="0"/>
              <w:rPr>
                <w:sz w:val="12"/>
                <w:szCs w:val="12"/>
                <w:color w:val="auto"/>
              </w:rPr>
            </w:pPr>
          </w:p>
        </w:tc>
        <w:tc>
          <w:tcPr>
            <w:tcW w:w="60" w:type="dxa"/>
            <w:vAlign w:val="bottom"/>
            <w:gridSpan w:val="2"/>
            <w:shd w:val="clear" w:color="auto" w:fill="CCEEFF"/>
          </w:tcPr>
          <w:p>
            <w:pPr>
              <w:spacing w:after="0"/>
              <w:rPr>
                <w:sz w:val="12"/>
                <w:szCs w:val="1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1,750,766</w:t>
            </w:r>
          </w:p>
        </w:tc>
        <w:tc>
          <w:tcPr>
            <w:tcW w:w="60" w:type="dxa"/>
            <w:vAlign w:val="bottom"/>
            <w:gridSpan w:val="2"/>
            <w:shd w:val="clear" w:color="auto" w:fill="CCEEFF"/>
          </w:tcPr>
          <w:p>
            <w:pPr>
              <w:spacing w:after="0"/>
              <w:rPr>
                <w:sz w:val="12"/>
                <w:szCs w:val="1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1,704,080</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Total deposits</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2,493,580</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2,345,080</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2,455,614</w:t>
            </w:r>
          </w:p>
        </w:tc>
        <w:tc>
          <w:tcPr>
            <w:tcW w:w="20" w:type="dxa"/>
            <w:vAlign w:val="bottom"/>
          </w:tcPr>
          <w:p>
            <w:pPr>
              <w:spacing w:after="0"/>
              <w:rPr>
                <w:sz w:val="12"/>
                <w:szCs w:val="12"/>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2,335,661</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2,309,569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 w:type="dxa"/>
            <w:vAlign w:val="bottom"/>
            <w:shd w:val="clear" w:color="auto" w:fill="CCEEFF"/>
          </w:tcPr>
          <w:p>
            <w:pPr>
              <w:spacing w:after="0"/>
              <w:rPr>
                <w:sz w:val="12"/>
                <w:szCs w:val="12"/>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FHLB advances</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53,000</w:t>
            </w:r>
          </w:p>
        </w:tc>
        <w:tc>
          <w:tcPr>
            <w:tcW w:w="60" w:type="dxa"/>
            <w:vAlign w:val="bottom"/>
            <w:gridSpan w:val="2"/>
            <w:shd w:val="clear" w:color="auto" w:fill="CCEEFF"/>
          </w:tcPr>
          <w:p>
            <w:pPr>
              <w:spacing w:after="0"/>
              <w:rPr>
                <w:sz w:val="12"/>
                <w:szCs w:val="1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158,250</w:t>
            </w:r>
          </w:p>
        </w:tc>
        <w:tc>
          <w:tcPr>
            <w:tcW w:w="80" w:type="dxa"/>
            <w:vAlign w:val="bottom"/>
            <w:gridSpan w:val="2"/>
            <w:shd w:val="clear" w:color="auto" w:fill="CCEEFF"/>
          </w:tcPr>
          <w:p>
            <w:pPr>
              <w:spacing w:after="0"/>
              <w:rPr>
                <w:sz w:val="12"/>
                <w:szCs w:val="1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11,000</w:t>
            </w:r>
          </w:p>
        </w:tc>
        <w:tc>
          <w:tcPr>
            <w:tcW w:w="20" w:type="dxa"/>
            <w:vAlign w:val="bottom"/>
            <w:shd w:val="clear" w:color="auto" w:fill="CCEEFF"/>
          </w:tcPr>
          <w:p>
            <w:pPr>
              <w:spacing w:after="0"/>
              <w:rPr>
                <w:sz w:val="12"/>
                <w:szCs w:val="12"/>
                <w:color w:val="auto"/>
              </w:rPr>
            </w:pPr>
          </w:p>
        </w:tc>
        <w:tc>
          <w:tcPr>
            <w:tcW w:w="60" w:type="dxa"/>
            <w:vAlign w:val="bottom"/>
            <w:gridSpan w:val="2"/>
            <w:shd w:val="clear" w:color="auto" w:fill="CCEEFF"/>
          </w:tcPr>
          <w:p>
            <w:pPr>
              <w:spacing w:after="0"/>
              <w:rPr>
                <w:sz w:val="12"/>
                <w:szCs w:val="1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108,000</w:t>
            </w:r>
          </w:p>
        </w:tc>
        <w:tc>
          <w:tcPr>
            <w:tcW w:w="60" w:type="dxa"/>
            <w:vAlign w:val="bottom"/>
            <w:gridSpan w:val="2"/>
            <w:shd w:val="clear" w:color="auto" w:fill="CCEEFF"/>
          </w:tcPr>
          <w:p>
            <w:pPr>
              <w:spacing w:after="0"/>
              <w:rPr>
                <w:sz w:val="12"/>
                <w:szCs w:val="1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108,000</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Subordinated notes</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39,338</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39,300</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39,262</w:t>
            </w:r>
          </w:p>
        </w:tc>
        <w:tc>
          <w:tcPr>
            <w:tcW w:w="20" w:type="dxa"/>
            <w:vAlign w:val="bottom"/>
          </w:tcPr>
          <w:p>
            <w:pPr>
              <w:spacing w:after="0"/>
              <w:rPr>
                <w:sz w:val="12"/>
                <w:szCs w:val="12"/>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 w:type="dxa"/>
            <w:vAlign w:val="bottom"/>
            <w:shd w:val="clear" w:color="auto" w:fill="CCEEFF"/>
          </w:tcPr>
          <w:p>
            <w:pPr>
              <w:spacing w:after="0"/>
              <w:rPr>
                <w:sz w:val="12"/>
                <w:szCs w:val="12"/>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Total liabilities</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2,622,489</w:t>
            </w:r>
          </w:p>
        </w:tc>
        <w:tc>
          <w:tcPr>
            <w:tcW w:w="60" w:type="dxa"/>
            <w:vAlign w:val="bottom"/>
            <w:gridSpan w:val="2"/>
            <w:shd w:val="clear" w:color="auto" w:fill="CCEEFF"/>
          </w:tcPr>
          <w:p>
            <w:pPr>
              <w:spacing w:after="0"/>
              <w:rPr>
                <w:sz w:val="12"/>
                <w:szCs w:val="1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2,574,357</w:t>
            </w:r>
          </w:p>
        </w:tc>
        <w:tc>
          <w:tcPr>
            <w:tcW w:w="80" w:type="dxa"/>
            <w:vAlign w:val="bottom"/>
            <w:gridSpan w:val="2"/>
            <w:shd w:val="clear" w:color="auto" w:fill="CCEEFF"/>
          </w:tcPr>
          <w:p>
            <w:pPr>
              <w:spacing w:after="0"/>
              <w:rPr>
                <w:sz w:val="12"/>
                <w:szCs w:val="1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2,558,850</w:t>
            </w:r>
          </w:p>
        </w:tc>
        <w:tc>
          <w:tcPr>
            <w:tcW w:w="20" w:type="dxa"/>
            <w:vAlign w:val="bottom"/>
            <w:shd w:val="clear" w:color="auto" w:fill="CCEEFF"/>
          </w:tcPr>
          <w:p>
            <w:pPr>
              <w:spacing w:after="0"/>
              <w:rPr>
                <w:sz w:val="12"/>
                <w:szCs w:val="12"/>
                <w:color w:val="auto"/>
              </w:rPr>
            </w:pPr>
          </w:p>
        </w:tc>
        <w:tc>
          <w:tcPr>
            <w:tcW w:w="60" w:type="dxa"/>
            <w:vAlign w:val="bottom"/>
            <w:gridSpan w:val="2"/>
            <w:shd w:val="clear" w:color="auto" w:fill="CCEEFF"/>
          </w:tcPr>
          <w:p>
            <w:pPr>
              <w:spacing w:after="0"/>
              <w:rPr>
                <w:sz w:val="12"/>
                <w:szCs w:val="1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2,487,891</w:t>
            </w:r>
          </w:p>
        </w:tc>
        <w:tc>
          <w:tcPr>
            <w:tcW w:w="60" w:type="dxa"/>
            <w:vAlign w:val="bottom"/>
            <w:gridSpan w:val="2"/>
            <w:shd w:val="clear" w:color="auto" w:fill="CCEEFF"/>
          </w:tcPr>
          <w:p>
            <w:pPr>
              <w:spacing w:after="0"/>
              <w:rPr>
                <w:sz w:val="12"/>
                <w:szCs w:val="1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2,452,294</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Total stockholders' equity</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223,246</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217,183</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209,095</w:t>
            </w:r>
          </w:p>
        </w:tc>
        <w:tc>
          <w:tcPr>
            <w:tcW w:w="20" w:type="dxa"/>
            <w:vAlign w:val="bottom"/>
          </w:tcPr>
          <w:p>
            <w:pPr>
              <w:spacing w:after="0"/>
              <w:rPr>
                <w:sz w:val="12"/>
                <w:szCs w:val="12"/>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231,583</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225,088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1"/>
                <w:szCs w:val="11"/>
                <w:b w:val="1"/>
                <w:bCs w:val="1"/>
                <w:color w:val="auto"/>
              </w:rPr>
              <w:t>Capital ratios:</w:t>
            </w:r>
            <w:r>
              <w:rPr>
                <w:rFonts w:ascii="Times New Roman" w:cs="Times New Roman" w:eastAsia="Times New Roman" w:hAnsi="Times New Roman"/>
                <w:sz w:val="14"/>
                <w:szCs w:val="14"/>
                <w:color w:val="auto"/>
                <w:vertAlign w:val="superscript"/>
              </w:rPr>
              <w:t>(2)</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Leverage ratio</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8.61%</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8.46%</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8.47%</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9.72%</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9.61%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 w:type="dxa"/>
            <w:vAlign w:val="bottom"/>
            <w:shd w:val="clear" w:color="auto" w:fill="CCEEFF"/>
          </w:tcPr>
          <w:p>
            <w:pPr>
              <w:spacing w:after="0"/>
              <w:rPr>
                <w:sz w:val="12"/>
                <w:szCs w:val="12"/>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Common equity tier 1 capital</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11.09%</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10.92%</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11.17%</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12.52%</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12.48%</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Tier 1 risk-based capital</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11.09%</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10.92%</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11.17%</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12.52%</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12.48%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 w:type="dxa"/>
            <w:vAlign w:val="bottom"/>
            <w:shd w:val="clear" w:color="auto" w:fill="CCEEFF"/>
          </w:tcPr>
          <w:p>
            <w:pPr>
              <w:spacing w:after="0"/>
              <w:rPr>
                <w:sz w:val="12"/>
                <w:szCs w:val="12"/>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Total risk-based capital</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14.09%</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13.91%</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14.20%</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13.73%</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13.72%</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860" w:hanging="197"/>
        <w:spacing w:after="0"/>
        <w:tabs>
          <w:tab w:leader="none" w:pos="860" w:val="left"/>
        </w:tabs>
        <w:numPr>
          <w:ilvl w:val="0"/>
          <w:numId w:val="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Loan amounts include deferred fees/costs.</w:t>
      </w:r>
    </w:p>
    <w:p>
      <w:pPr>
        <w:spacing w:after="0" w:line="22" w:lineRule="exact"/>
        <w:rPr>
          <w:rFonts w:ascii="Times New Roman" w:cs="Times New Roman" w:eastAsia="Times New Roman" w:hAnsi="Times New Roman"/>
          <w:sz w:val="11"/>
          <w:szCs w:val="11"/>
          <w:color w:val="auto"/>
        </w:rPr>
      </w:pPr>
    </w:p>
    <w:p>
      <w:pPr>
        <w:ind w:left="660" w:right="719" w:firstLine="3"/>
        <w:spacing w:after="0" w:line="283" w:lineRule="auto"/>
        <w:tabs>
          <w:tab w:leader="none" w:pos="851" w:val="left"/>
        </w:tabs>
        <w:numPr>
          <w:ilvl w:val="0"/>
          <w:numId w:val="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Reflects the Company's regulatory capital ratios which are provided for informational purposes only; as a small bank holding company, the Company is not subject to regulatory capital requirements. The Bank's total risk-based capital at March 31, 2026 was 13.96%.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9019"/>
          </w:cols>
          <w:pgMar w:left="1440" w:top="760" w:right="1440" w:bottom="1440" w:gutter="0" w:footer="0" w:header="0"/>
        </w:sectPr>
      </w:pPr>
    </w:p>
    <w:bookmarkStart w:id="9" w:name="page10"/>
    <w:bookmarkEnd w:id="9"/>
    <w:p>
      <w:pPr>
        <w:ind w:left="3540"/>
        <w:spacing w:after="0"/>
        <w:rPr>
          <w:sz w:val="20"/>
          <w:szCs w:val="20"/>
          <w:color w:val="auto"/>
        </w:rPr>
      </w:pPr>
      <w:r>
        <w:rPr>
          <w:rFonts w:ascii="Times New Roman" w:cs="Times New Roman" w:eastAsia="Times New Roman" w:hAnsi="Times New Roman"/>
          <w:sz w:val="11"/>
          <w:szCs w:val="11"/>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USCB FINANCIAL HOLDINGS, INC.</w:t>
      </w:r>
    </w:p>
    <w:p>
      <w:pPr>
        <w:spacing w:after="0" w:line="34"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1"/>
          <w:szCs w:val="11"/>
          <w:b w:val="1"/>
          <w:bCs w:val="1"/>
          <w:color w:val="auto"/>
        </w:rPr>
        <w:t>AVERAGE BALANCES, RATIOS, AND OTHER DATA (UNAUDITED)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(Dollars in thousands)</w:t>
      </w:r>
    </w:p>
    <w:p>
      <w:pPr>
        <w:spacing w:after="0" w:line="192" w:lineRule="exact"/>
        <w:rPr>
          <w:sz w:val="20"/>
          <w:szCs w:val="20"/>
          <w:color w:val="auto"/>
        </w:rPr>
      </w:pPr>
    </w:p>
    <w:tbl>
      <w:tblPr>
        <w:tblLayout w:type="fixed"/>
        <w:tblInd w:w="660" w:type="dxa"/>
        <w:tblCellMar>
          <w:top w:w="0" w:type="dxa"/>
          <w:left w:w="0" w:type="dxa"/>
          <w:bottom w:w="0" w:type="dxa"/>
          <w:right w:w="0" w:type="dxa"/>
        </w:tblCellMar>
      </w:tblPr>
      <w:tr>
        <w:trPr>
          <w:trHeight w:val="137"/>
        </w:trPr>
        <w:tc>
          <w:tcPr>
            <w:tcW w:w="314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540" w:type="dxa"/>
            <w:vAlign w:val="bottom"/>
            <w:tcBorders>
              <w:bottom w:val="single" w:sz="8" w:color="auto"/>
            </w:tcBorders>
            <w:gridSpan w:val="10"/>
          </w:tcPr>
          <w:p>
            <w:pPr>
              <w:jc w:val="right"/>
              <w:ind w:right="440"/>
              <w:spacing w:after="0"/>
              <w:rPr>
                <w:sz w:val="20"/>
                <w:szCs w:val="20"/>
                <w:color w:val="auto"/>
              </w:rPr>
            </w:pPr>
            <w:r>
              <w:rPr>
                <w:rFonts w:ascii="Times New Roman" w:cs="Times New Roman" w:eastAsia="Times New Roman" w:hAnsi="Times New Roman"/>
                <w:sz w:val="11"/>
                <w:szCs w:val="11"/>
                <w:b w:val="1"/>
                <w:bCs w:val="1"/>
                <w:color w:val="auto"/>
              </w:rPr>
              <w:t>As of or For the Three Months Ended</w:t>
            </w:r>
          </w:p>
        </w:tc>
        <w:tc>
          <w:tcPr>
            <w:tcW w:w="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131"/>
        </w:trPr>
        <w:tc>
          <w:tcPr>
            <w:tcW w:w="314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b w:val="1"/>
                <w:bCs w:val="1"/>
                <w:color w:val="auto"/>
              </w:rPr>
              <w:t>3/31/2026</w:t>
            </w:r>
          </w:p>
        </w:tc>
        <w:tc>
          <w:tcPr>
            <w:tcW w:w="20" w:type="dxa"/>
            <w:vAlign w:val="bottom"/>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w w:val="99"/>
              </w:rPr>
              <w:t>12/31/2025</w:t>
            </w:r>
          </w:p>
        </w:tc>
        <w:tc>
          <w:tcPr>
            <w:tcW w:w="20" w:type="dxa"/>
            <w:vAlign w:val="bottom"/>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b w:val="1"/>
                <w:bCs w:val="1"/>
                <w:color w:val="auto"/>
              </w:rPr>
              <w:t>9/30/2025</w:t>
            </w:r>
          </w:p>
        </w:tc>
        <w:tc>
          <w:tcPr>
            <w:tcW w:w="20" w:type="dxa"/>
            <w:vAlign w:val="bottom"/>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1"/>
                <w:szCs w:val="11"/>
                <w:b w:val="1"/>
                <w:bCs w:val="1"/>
                <w:color w:val="auto"/>
              </w:rPr>
              <w:t>6/30/2025</w:t>
            </w:r>
          </w:p>
        </w:tc>
        <w:tc>
          <w:tcPr>
            <w:tcW w:w="20" w:type="dxa"/>
            <w:vAlign w:val="bottom"/>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1"/>
                <w:szCs w:val="11"/>
                <w:b w:val="1"/>
                <w:bCs w:val="1"/>
                <w:color w:val="auto"/>
              </w:rPr>
              <w:t>3/31/2025</w:t>
            </w:r>
          </w:p>
        </w:tc>
        <w:tc>
          <w:tcPr>
            <w:tcW w:w="20" w:type="dxa"/>
            <w:vAlign w:val="bottom"/>
          </w:tcPr>
          <w:p>
            <w:pPr>
              <w:spacing w:after="0"/>
              <w:rPr>
                <w:sz w:val="11"/>
                <w:szCs w:val="11"/>
                <w:color w:val="auto"/>
              </w:rPr>
            </w:pPr>
          </w:p>
        </w:tc>
      </w:tr>
      <w:tr>
        <w:trPr>
          <w:trHeight w:val="149"/>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Average balance sheet data:</w:t>
            </w: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149"/>
        </w:trPr>
        <w:tc>
          <w:tcPr>
            <w:tcW w:w="31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Cash and cash equivalents</w:t>
            </w: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112,107</w:t>
            </w:r>
          </w:p>
        </w:tc>
        <w:tc>
          <w:tcPr>
            <w:tcW w:w="20" w:type="dxa"/>
            <w:vAlign w:val="bottom"/>
          </w:tcPr>
          <w:p>
            <w:pPr>
              <w:spacing w:after="0"/>
              <w:rPr>
                <w:sz w:val="12"/>
                <w:szCs w:val="12"/>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82,338</w:t>
            </w:r>
          </w:p>
        </w:tc>
        <w:tc>
          <w:tcPr>
            <w:tcW w:w="20" w:type="dxa"/>
            <w:vAlign w:val="bottom"/>
          </w:tcPr>
          <w:p>
            <w:pPr>
              <w:spacing w:after="0"/>
              <w:rPr>
                <w:sz w:val="12"/>
                <w:szCs w:val="12"/>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139,389</w:t>
            </w:r>
          </w:p>
        </w:tc>
        <w:tc>
          <w:tcPr>
            <w:tcW w:w="20" w:type="dxa"/>
            <w:vAlign w:val="bottom"/>
          </w:tcPr>
          <w:p>
            <w:pPr>
              <w:spacing w:after="0"/>
              <w:rPr>
                <w:sz w:val="12"/>
                <w:szCs w:val="12"/>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71,388</w:t>
            </w:r>
          </w:p>
        </w:tc>
        <w:tc>
          <w:tcPr>
            <w:tcW w:w="20" w:type="dxa"/>
            <w:vAlign w:val="bottom"/>
          </w:tcPr>
          <w:p>
            <w:pPr>
              <w:spacing w:after="0"/>
              <w:rPr>
                <w:sz w:val="12"/>
                <w:szCs w:val="12"/>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82,610</w:t>
            </w:r>
          </w:p>
        </w:tc>
        <w:tc>
          <w:tcPr>
            <w:tcW w:w="20" w:type="dxa"/>
            <w:vAlign w:val="bottom"/>
          </w:tcPr>
          <w:p>
            <w:pPr>
              <w:spacing w:after="0"/>
              <w:rPr>
                <w:sz w:val="12"/>
                <w:szCs w:val="12"/>
                <w:color w:val="auto"/>
              </w:rPr>
            </w:pPr>
          </w:p>
        </w:tc>
      </w:tr>
      <w:tr>
        <w:trPr>
          <w:trHeight w:val="160"/>
        </w:trPr>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Securities available-for-sale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295,065</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332,356</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299,892</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281,840</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265,154</w:t>
            </w:r>
          </w:p>
        </w:tc>
        <w:tc>
          <w:tcPr>
            <w:tcW w:w="20" w:type="dxa"/>
            <w:vAlign w:val="bottom"/>
            <w:shd w:val="clear" w:color="auto" w:fill="CCEEFF"/>
          </w:tcPr>
          <w:p>
            <w:pPr>
              <w:spacing w:after="0"/>
              <w:rPr>
                <w:sz w:val="13"/>
                <w:szCs w:val="13"/>
                <w:color w:val="auto"/>
              </w:rPr>
            </w:pPr>
          </w:p>
        </w:tc>
      </w:tr>
      <w:tr>
        <w:trPr>
          <w:trHeight w:val="160"/>
        </w:trPr>
        <w:tc>
          <w:tcPr>
            <w:tcW w:w="31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Securities held-to-maturity</w:t>
            </w: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152,144</w:t>
            </w:r>
          </w:p>
        </w:tc>
        <w:tc>
          <w:tcPr>
            <w:tcW w:w="20" w:type="dxa"/>
            <w:vAlign w:val="bottom"/>
          </w:tcPr>
          <w:p>
            <w:pPr>
              <w:spacing w:after="0"/>
              <w:rPr>
                <w:sz w:val="13"/>
                <w:szCs w:val="13"/>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155,269</w:t>
            </w:r>
          </w:p>
        </w:tc>
        <w:tc>
          <w:tcPr>
            <w:tcW w:w="20" w:type="dxa"/>
            <w:vAlign w:val="bottom"/>
          </w:tcPr>
          <w:p>
            <w:pPr>
              <w:spacing w:after="0"/>
              <w:rPr>
                <w:sz w:val="13"/>
                <w:szCs w:val="13"/>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157,702</w:t>
            </w:r>
          </w:p>
        </w:tc>
        <w:tc>
          <w:tcPr>
            <w:tcW w:w="20" w:type="dxa"/>
            <w:vAlign w:val="bottom"/>
          </w:tcPr>
          <w:p>
            <w:pPr>
              <w:spacing w:after="0"/>
              <w:rPr>
                <w:sz w:val="13"/>
                <w:szCs w:val="13"/>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160,443</w:t>
            </w:r>
          </w:p>
        </w:tc>
        <w:tc>
          <w:tcPr>
            <w:tcW w:w="20" w:type="dxa"/>
            <w:vAlign w:val="bottom"/>
          </w:tcPr>
          <w:p>
            <w:pPr>
              <w:spacing w:after="0"/>
              <w:rPr>
                <w:sz w:val="13"/>
                <w:szCs w:val="13"/>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163,510</w:t>
            </w:r>
          </w:p>
        </w:tc>
        <w:tc>
          <w:tcPr>
            <w:tcW w:w="20" w:type="dxa"/>
            <w:vAlign w:val="bottom"/>
          </w:tcPr>
          <w:p>
            <w:pPr>
              <w:spacing w:after="0"/>
              <w:rPr>
                <w:sz w:val="13"/>
                <w:szCs w:val="13"/>
                <w:color w:val="auto"/>
              </w:rPr>
            </w:pPr>
          </w:p>
        </w:tc>
      </w:tr>
      <w:tr>
        <w:trPr>
          <w:trHeight w:val="160"/>
        </w:trPr>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Total securities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447,209</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487,625</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457,594</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442,283</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428,664</w:t>
            </w:r>
          </w:p>
        </w:tc>
        <w:tc>
          <w:tcPr>
            <w:tcW w:w="20" w:type="dxa"/>
            <w:vAlign w:val="bottom"/>
            <w:shd w:val="clear" w:color="auto" w:fill="CCEEFF"/>
          </w:tcPr>
          <w:p>
            <w:pPr>
              <w:spacing w:after="0"/>
              <w:rPr>
                <w:sz w:val="13"/>
                <w:szCs w:val="13"/>
                <w:color w:val="auto"/>
              </w:rPr>
            </w:pPr>
          </w:p>
        </w:tc>
      </w:tr>
      <w:tr>
        <w:trPr>
          <w:trHeight w:val="160"/>
        </w:trPr>
        <w:tc>
          <w:tcPr>
            <w:tcW w:w="31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Loans held for investment</w:t>
            </w:r>
            <w:r>
              <w:rPr>
                <w:rFonts w:ascii="Times New Roman" w:cs="Times New Roman" w:eastAsia="Times New Roman" w:hAnsi="Times New Roman"/>
                <w:sz w:val="14"/>
                <w:szCs w:val="14"/>
                <w:color w:val="auto"/>
                <w:vertAlign w:val="superscript"/>
              </w:rPr>
              <w:t>(1)</w:t>
            </w: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2,177,734</w:t>
            </w:r>
          </w:p>
        </w:tc>
        <w:tc>
          <w:tcPr>
            <w:tcW w:w="20" w:type="dxa"/>
            <w:vAlign w:val="bottom"/>
          </w:tcPr>
          <w:p>
            <w:pPr>
              <w:spacing w:after="0"/>
              <w:rPr>
                <w:sz w:val="13"/>
                <w:szCs w:val="13"/>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2,130,898</w:t>
            </w:r>
          </w:p>
        </w:tc>
        <w:tc>
          <w:tcPr>
            <w:tcW w:w="20" w:type="dxa"/>
            <w:vAlign w:val="bottom"/>
          </w:tcPr>
          <w:p>
            <w:pPr>
              <w:spacing w:after="0"/>
              <w:rPr>
                <w:sz w:val="13"/>
                <w:szCs w:val="13"/>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2,099,043</w:t>
            </w:r>
          </w:p>
        </w:tc>
        <w:tc>
          <w:tcPr>
            <w:tcW w:w="20" w:type="dxa"/>
            <w:vAlign w:val="bottom"/>
          </w:tcPr>
          <w:p>
            <w:pPr>
              <w:spacing w:after="0"/>
              <w:rPr>
                <w:sz w:val="13"/>
                <w:szCs w:val="13"/>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2,057,445</w:t>
            </w:r>
          </w:p>
        </w:tc>
        <w:tc>
          <w:tcPr>
            <w:tcW w:w="20" w:type="dxa"/>
            <w:vAlign w:val="bottom"/>
          </w:tcPr>
          <w:p>
            <w:pPr>
              <w:spacing w:after="0"/>
              <w:rPr>
                <w:sz w:val="13"/>
                <w:szCs w:val="13"/>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1,986,856</w:t>
            </w:r>
          </w:p>
        </w:tc>
        <w:tc>
          <w:tcPr>
            <w:tcW w:w="20" w:type="dxa"/>
            <w:vAlign w:val="bottom"/>
          </w:tcPr>
          <w:p>
            <w:pPr>
              <w:spacing w:after="0"/>
              <w:rPr>
                <w:sz w:val="13"/>
                <w:szCs w:val="13"/>
                <w:color w:val="auto"/>
              </w:rPr>
            </w:pPr>
          </w:p>
        </w:tc>
      </w:tr>
      <w:tr>
        <w:trPr>
          <w:trHeight w:val="149"/>
        </w:trPr>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Total assets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2,834,717</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2,799,863</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2,798,115</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2,677,198</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2,606,593</w:t>
            </w:r>
          </w:p>
        </w:tc>
        <w:tc>
          <w:tcPr>
            <w:tcW w:w="20" w:type="dxa"/>
            <w:vAlign w:val="bottom"/>
            <w:shd w:val="clear" w:color="auto" w:fill="CCEEFF"/>
          </w:tcPr>
          <w:p>
            <w:pPr>
              <w:spacing w:after="0"/>
              <w:rPr>
                <w:sz w:val="12"/>
                <w:szCs w:val="12"/>
                <w:color w:val="auto"/>
              </w:rPr>
            </w:pPr>
          </w:p>
        </w:tc>
      </w:tr>
      <w:tr>
        <w:trPr>
          <w:trHeight w:val="160"/>
        </w:trPr>
        <w:tc>
          <w:tcPr>
            <w:tcW w:w="31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Interest-bearing deposits</w:t>
            </w: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1,842,283</w:t>
            </w:r>
          </w:p>
        </w:tc>
        <w:tc>
          <w:tcPr>
            <w:tcW w:w="20" w:type="dxa"/>
            <w:vAlign w:val="bottom"/>
          </w:tcPr>
          <w:p>
            <w:pPr>
              <w:spacing w:after="0"/>
              <w:rPr>
                <w:sz w:val="13"/>
                <w:szCs w:val="13"/>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1,857,218</w:t>
            </w:r>
          </w:p>
        </w:tc>
        <w:tc>
          <w:tcPr>
            <w:tcW w:w="20" w:type="dxa"/>
            <w:vAlign w:val="bottom"/>
          </w:tcPr>
          <w:p>
            <w:pPr>
              <w:spacing w:after="0"/>
              <w:rPr>
                <w:sz w:val="13"/>
                <w:szCs w:val="13"/>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1,887,545</w:t>
            </w:r>
          </w:p>
        </w:tc>
        <w:tc>
          <w:tcPr>
            <w:tcW w:w="20" w:type="dxa"/>
            <w:vAlign w:val="bottom"/>
          </w:tcPr>
          <w:p>
            <w:pPr>
              <w:spacing w:after="0"/>
              <w:rPr>
                <w:sz w:val="13"/>
                <w:szCs w:val="13"/>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1,710,568</w:t>
            </w:r>
          </w:p>
        </w:tc>
        <w:tc>
          <w:tcPr>
            <w:tcW w:w="20" w:type="dxa"/>
            <w:vAlign w:val="bottom"/>
          </w:tcPr>
          <w:p>
            <w:pPr>
              <w:spacing w:after="0"/>
              <w:rPr>
                <w:sz w:val="13"/>
                <w:szCs w:val="13"/>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1,652,147</w:t>
            </w:r>
          </w:p>
        </w:tc>
        <w:tc>
          <w:tcPr>
            <w:tcW w:w="20" w:type="dxa"/>
            <w:vAlign w:val="bottom"/>
          </w:tcPr>
          <w:p>
            <w:pPr>
              <w:spacing w:after="0"/>
              <w:rPr>
                <w:sz w:val="13"/>
                <w:szCs w:val="13"/>
                <w:color w:val="auto"/>
              </w:rPr>
            </w:pPr>
          </w:p>
        </w:tc>
      </w:tr>
      <w:tr>
        <w:trPr>
          <w:trHeight w:val="160"/>
        </w:trPr>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Non-interest-bearing demand deposits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584,784</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595,969</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569,522</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580,121</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563,040</w:t>
            </w:r>
          </w:p>
        </w:tc>
        <w:tc>
          <w:tcPr>
            <w:tcW w:w="20" w:type="dxa"/>
            <w:vAlign w:val="bottom"/>
            <w:shd w:val="clear" w:color="auto" w:fill="CCEEFF"/>
          </w:tcPr>
          <w:p>
            <w:pPr>
              <w:spacing w:after="0"/>
              <w:rPr>
                <w:sz w:val="13"/>
                <w:szCs w:val="13"/>
                <w:color w:val="auto"/>
              </w:rPr>
            </w:pPr>
          </w:p>
        </w:tc>
      </w:tr>
      <w:tr>
        <w:trPr>
          <w:trHeight w:val="160"/>
        </w:trPr>
        <w:tc>
          <w:tcPr>
            <w:tcW w:w="31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Total deposits</w:t>
            </w: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2,427,067</w:t>
            </w:r>
          </w:p>
        </w:tc>
        <w:tc>
          <w:tcPr>
            <w:tcW w:w="20" w:type="dxa"/>
            <w:vAlign w:val="bottom"/>
          </w:tcPr>
          <w:p>
            <w:pPr>
              <w:spacing w:after="0"/>
              <w:rPr>
                <w:sz w:val="13"/>
                <w:szCs w:val="13"/>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2,453,187</w:t>
            </w:r>
          </w:p>
        </w:tc>
        <w:tc>
          <w:tcPr>
            <w:tcW w:w="20" w:type="dxa"/>
            <w:vAlign w:val="bottom"/>
          </w:tcPr>
          <w:p>
            <w:pPr>
              <w:spacing w:after="0"/>
              <w:rPr>
                <w:sz w:val="13"/>
                <w:szCs w:val="13"/>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2,457,067</w:t>
            </w:r>
          </w:p>
        </w:tc>
        <w:tc>
          <w:tcPr>
            <w:tcW w:w="20" w:type="dxa"/>
            <w:vAlign w:val="bottom"/>
          </w:tcPr>
          <w:p>
            <w:pPr>
              <w:spacing w:after="0"/>
              <w:rPr>
                <w:sz w:val="13"/>
                <w:szCs w:val="13"/>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2,290,689</w:t>
            </w:r>
          </w:p>
        </w:tc>
        <w:tc>
          <w:tcPr>
            <w:tcW w:w="20" w:type="dxa"/>
            <w:vAlign w:val="bottom"/>
          </w:tcPr>
          <w:p>
            <w:pPr>
              <w:spacing w:after="0"/>
              <w:rPr>
                <w:sz w:val="13"/>
                <w:szCs w:val="13"/>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2,215,187</w:t>
            </w:r>
          </w:p>
        </w:tc>
        <w:tc>
          <w:tcPr>
            <w:tcW w:w="20" w:type="dxa"/>
            <w:vAlign w:val="bottom"/>
          </w:tcPr>
          <w:p>
            <w:pPr>
              <w:spacing w:after="0"/>
              <w:rPr>
                <w:sz w:val="13"/>
                <w:szCs w:val="13"/>
                <w:color w:val="auto"/>
              </w:rPr>
            </w:pPr>
          </w:p>
        </w:tc>
      </w:tr>
      <w:tr>
        <w:trPr>
          <w:trHeight w:val="160"/>
        </w:trPr>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FHLB advances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110,045</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51,462</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40,065</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116,527</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138,944</w:t>
            </w:r>
          </w:p>
        </w:tc>
        <w:tc>
          <w:tcPr>
            <w:tcW w:w="20" w:type="dxa"/>
            <w:vAlign w:val="bottom"/>
            <w:shd w:val="clear" w:color="auto" w:fill="CCEEFF"/>
          </w:tcPr>
          <w:p>
            <w:pPr>
              <w:spacing w:after="0"/>
              <w:rPr>
                <w:sz w:val="13"/>
                <w:szCs w:val="13"/>
                <w:color w:val="auto"/>
              </w:rPr>
            </w:pPr>
          </w:p>
        </w:tc>
      </w:tr>
      <w:tr>
        <w:trPr>
          <w:trHeight w:val="160"/>
        </w:trPr>
        <w:tc>
          <w:tcPr>
            <w:tcW w:w="31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Subordinated notes</w:t>
            </w: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39,313</w:t>
            </w:r>
          </w:p>
        </w:tc>
        <w:tc>
          <w:tcPr>
            <w:tcW w:w="20" w:type="dxa"/>
            <w:vAlign w:val="bottom"/>
          </w:tcPr>
          <w:p>
            <w:pPr>
              <w:spacing w:after="0"/>
              <w:rPr>
                <w:sz w:val="13"/>
                <w:szCs w:val="13"/>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39,287</w:t>
            </w:r>
          </w:p>
        </w:tc>
        <w:tc>
          <w:tcPr>
            <w:tcW w:w="20" w:type="dxa"/>
            <w:vAlign w:val="bottom"/>
          </w:tcPr>
          <w:p>
            <w:pPr>
              <w:spacing w:after="0"/>
              <w:rPr>
                <w:sz w:val="13"/>
                <w:szCs w:val="13"/>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26,029</w:t>
            </w:r>
          </w:p>
        </w:tc>
        <w:tc>
          <w:tcPr>
            <w:tcW w:w="20" w:type="dxa"/>
            <w:vAlign w:val="bottom"/>
          </w:tcPr>
          <w:p>
            <w:pPr>
              <w:spacing w:after="0"/>
              <w:rPr>
                <w:sz w:val="13"/>
                <w:szCs w:val="13"/>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3"/>
                <w:szCs w:val="13"/>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3"/>
                <w:szCs w:val="13"/>
                <w:color w:val="auto"/>
              </w:rPr>
            </w:pPr>
          </w:p>
        </w:tc>
      </w:tr>
      <w:tr>
        <w:trPr>
          <w:trHeight w:val="149"/>
        </w:trPr>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Total liabilities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2,612,491</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2,587,470</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2,572,799</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2,448,706</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2,387,088</w:t>
            </w:r>
          </w:p>
        </w:tc>
        <w:tc>
          <w:tcPr>
            <w:tcW w:w="20" w:type="dxa"/>
            <w:vAlign w:val="bottom"/>
            <w:shd w:val="clear" w:color="auto" w:fill="CCEEFF"/>
          </w:tcPr>
          <w:p>
            <w:pPr>
              <w:spacing w:after="0"/>
              <w:rPr>
                <w:sz w:val="12"/>
                <w:szCs w:val="12"/>
                <w:color w:val="auto"/>
              </w:rPr>
            </w:pPr>
          </w:p>
        </w:tc>
      </w:tr>
      <w:tr>
        <w:trPr>
          <w:trHeight w:val="160"/>
        </w:trPr>
        <w:tc>
          <w:tcPr>
            <w:tcW w:w="31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Total stockholders' equity</w:t>
            </w: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222,226</w:t>
            </w:r>
          </w:p>
        </w:tc>
        <w:tc>
          <w:tcPr>
            <w:tcW w:w="20" w:type="dxa"/>
            <w:vAlign w:val="bottom"/>
          </w:tcPr>
          <w:p>
            <w:pPr>
              <w:spacing w:after="0"/>
              <w:rPr>
                <w:sz w:val="13"/>
                <w:szCs w:val="13"/>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212,393</w:t>
            </w:r>
          </w:p>
        </w:tc>
        <w:tc>
          <w:tcPr>
            <w:tcW w:w="20" w:type="dxa"/>
            <w:vAlign w:val="bottom"/>
          </w:tcPr>
          <w:p>
            <w:pPr>
              <w:spacing w:after="0"/>
              <w:rPr>
                <w:sz w:val="13"/>
                <w:szCs w:val="13"/>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225,316</w:t>
            </w:r>
          </w:p>
        </w:tc>
        <w:tc>
          <w:tcPr>
            <w:tcW w:w="20" w:type="dxa"/>
            <w:vAlign w:val="bottom"/>
          </w:tcPr>
          <w:p>
            <w:pPr>
              <w:spacing w:after="0"/>
              <w:rPr>
                <w:sz w:val="13"/>
                <w:szCs w:val="13"/>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228,492</w:t>
            </w:r>
          </w:p>
        </w:tc>
        <w:tc>
          <w:tcPr>
            <w:tcW w:w="20" w:type="dxa"/>
            <w:vAlign w:val="bottom"/>
          </w:tcPr>
          <w:p>
            <w:pPr>
              <w:spacing w:after="0"/>
              <w:rPr>
                <w:sz w:val="13"/>
                <w:szCs w:val="13"/>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219,505</w:t>
            </w:r>
          </w:p>
        </w:tc>
        <w:tc>
          <w:tcPr>
            <w:tcW w:w="20" w:type="dxa"/>
            <w:vAlign w:val="bottom"/>
          </w:tcPr>
          <w:p>
            <w:pPr>
              <w:spacing w:after="0"/>
              <w:rPr>
                <w:sz w:val="13"/>
                <w:szCs w:val="13"/>
                <w:color w:val="auto"/>
              </w:rPr>
            </w:pPr>
          </w:p>
        </w:tc>
      </w:tr>
      <w:tr>
        <w:trPr>
          <w:trHeight w:val="160"/>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Performance ratios:</w:t>
            </w: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60"/>
        </w:trPr>
        <w:tc>
          <w:tcPr>
            <w:tcW w:w="31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 xml:space="preserve">Return on average assets </w:t>
            </w:r>
            <w:r>
              <w:rPr>
                <w:rFonts w:ascii="Times New Roman" w:cs="Times New Roman" w:eastAsia="Times New Roman" w:hAnsi="Times New Roman"/>
                <w:sz w:val="14"/>
                <w:szCs w:val="14"/>
                <w:color w:val="auto"/>
                <w:vertAlign w:val="superscript"/>
              </w:rPr>
              <w:t>(2)</w:t>
            </w:r>
          </w:p>
        </w:tc>
        <w:tc>
          <w:tcPr>
            <w:tcW w:w="200" w:type="dxa"/>
            <w:vAlign w:val="bottom"/>
          </w:tcPr>
          <w:p>
            <w:pPr>
              <w:spacing w:after="0"/>
              <w:rPr>
                <w:sz w:val="13"/>
                <w:szCs w:val="13"/>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1.34%</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0.19%</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1.27%</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1.22%</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1.19%</w:t>
            </w:r>
          </w:p>
        </w:tc>
      </w:tr>
      <w:tr>
        <w:trPr>
          <w:trHeight w:val="160"/>
        </w:trPr>
        <w:tc>
          <w:tcPr>
            <w:tcW w:w="314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1"/>
                <w:szCs w:val="11"/>
                <w:color w:val="auto"/>
              </w:rPr>
              <w:t xml:space="preserve">Return on average equity </w:t>
            </w:r>
            <w:r>
              <w:rPr>
                <w:rFonts w:ascii="Times New Roman" w:cs="Times New Roman" w:eastAsia="Times New Roman" w:hAnsi="Times New Roman"/>
                <w:sz w:val="14"/>
                <w:szCs w:val="14"/>
                <w:color w:val="auto"/>
                <w:vertAlign w:val="superscript"/>
              </w:rPr>
              <w:t>(2)</w:t>
            </w:r>
          </w:p>
        </w:tc>
        <w:tc>
          <w:tcPr>
            <w:tcW w:w="2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17.07%</w:t>
            </w: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2.55%</w:t>
            </w: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15.74%</w:t>
            </w: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14.29%</w:t>
            </w: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14.15%</w:t>
            </w:r>
          </w:p>
        </w:tc>
      </w:tr>
      <w:tr>
        <w:trPr>
          <w:trHeight w:val="149"/>
        </w:trPr>
        <w:tc>
          <w:tcPr>
            <w:tcW w:w="3140" w:type="dxa"/>
            <w:vAlign w:val="bottom"/>
          </w:tcPr>
          <w:p>
            <w:pPr>
              <w:ind w:left="100"/>
              <w:spacing w:after="0" w:line="149" w:lineRule="exact"/>
              <w:rPr>
                <w:sz w:val="20"/>
                <w:szCs w:val="20"/>
                <w:color w:val="auto"/>
              </w:rPr>
            </w:pPr>
            <w:r>
              <w:rPr>
                <w:rFonts w:ascii="Times New Roman" w:cs="Times New Roman" w:eastAsia="Times New Roman" w:hAnsi="Times New Roman"/>
                <w:sz w:val="11"/>
                <w:szCs w:val="11"/>
                <w:color w:val="auto"/>
              </w:rPr>
              <w:t xml:space="preserve">Net interest margin </w:t>
            </w:r>
            <w:r>
              <w:rPr>
                <w:rFonts w:ascii="Times New Roman" w:cs="Times New Roman" w:eastAsia="Times New Roman" w:hAnsi="Times New Roman"/>
                <w:sz w:val="14"/>
                <w:szCs w:val="14"/>
                <w:color w:val="auto"/>
                <w:vertAlign w:val="superscript"/>
              </w:rPr>
              <w:t>(2)</w:t>
            </w:r>
          </w:p>
        </w:tc>
        <w:tc>
          <w:tcPr>
            <w:tcW w:w="200" w:type="dxa"/>
            <w:vAlign w:val="bottom"/>
          </w:tcPr>
          <w:p>
            <w:pPr>
              <w:spacing w:after="0"/>
              <w:rPr>
                <w:sz w:val="12"/>
                <w:szCs w:val="12"/>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3.27%</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3.27%</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3.14%</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3.28%</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3.10%</w:t>
            </w:r>
          </w:p>
        </w:tc>
      </w:tr>
      <w:tr>
        <w:trPr>
          <w:trHeight w:val="160"/>
        </w:trPr>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 xml:space="preserve">Non-interest income to average assets </w:t>
            </w:r>
            <w:r>
              <w:rPr>
                <w:rFonts w:ascii="Times New Roman" w:cs="Times New Roman" w:eastAsia="Times New Roman" w:hAnsi="Times New Roman"/>
                <w:sz w:val="14"/>
                <w:szCs w:val="14"/>
                <w:color w:val="auto"/>
                <w:vertAlign w:val="superscript"/>
              </w:rPr>
              <w:t>(2)</w:t>
            </w: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0.59%</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(0.59)%</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0.52%</w:t>
            </w: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0.50%</w:t>
            </w: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0.58%</w:t>
            </w:r>
          </w:p>
        </w:tc>
      </w:tr>
      <w:tr>
        <w:trPr>
          <w:trHeight w:val="160"/>
        </w:trPr>
        <w:tc>
          <w:tcPr>
            <w:tcW w:w="31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 xml:space="preserve">Non-interest expense to average assets </w:t>
            </w:r>
            <w:r>
              <w:rPr>
                <w:rFonts w:ascii="Times New Roman" w:cs="Times New Roman" w:eastAsia="Times New Roman" w:hAnsi="Times New Roman"/>
                <w:sz w:val="14"/>
                <w:szCs w:val="14"/>
                <w:color w:val="auto"/>
                <w:vertAlign w:val="superscript"/>
              </w:rPr>
              <w:t>(2)</w:t>
            </w:r>
          </w:p>
        </w:tc>
        <w:tc>
          <w:tcPr>
            <w:tcW w:w="200" w:type="dxa"/>
            <w:vAlign w:val="bottom"/>
          </w:tcPr>
          <w:p>
            <w:pPr>
              <w:spacing w:after="0"/>
              <w:rPr>
                <w:sz w:val="13"/>
                <w:szCs w:val="13"/>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1.96%</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2.02%</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1.85%</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1.89%</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1.88%</w:t>
            </w:r>
          </w:p>
        </w:tc>
      </w:tr>
      <w:tr>
        <w:trPr>
          <w:trHeight w:val="160"/>
        </w:trPr>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 xml:space="preserve">Efficiency ratio </w:t>
            </w:r>
            <w:r>
              <w:rPr>
                <w:rFonts w:ascii="Times New Roman" w:cs="Times New Roman" w:eastAsia="Times New Roman" w:hAnsi="Times New Roman"/>
                <w:sz w:val="14"/>
                <w:szCs w:val="14"/>
                <w:color w:val="auto"/>
                <w:vertAlign w:val="superscript"/>
              </w:rPr>
              <w:t>(3)</w:t>
            </w:r>
          </w:p>
        </w:tc>
        <w:tc>
          <w:tcPr>
            <w:tcW w:w="2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52.34%</w:t>
            </w: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79.18%</w:t>
            </w: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52.28%</w:t>
            </w: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51.77%</w:t>
            </w: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52.79%</w:t>
            </w:r>
          </w:p>
        </w:tc>
      </w:tr>
      <w:tr>
        <w:trPr>
          <w:trHeight w:val="160"/>
        </w:trPr>
        <w:tc>
          <w:tcPr>
            <w:tcW w:w="31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 xml:space="preserve">Loans by type (at period end): </w:t>
            </w:r>
            <w:r>
              <w:rPr>
                <w:rFonts w:ascii="Times New Roman" w:cs="Times New Roman" w:eastAsia="Times New Roman" w:hAnsi="Times New Roman"/>
                <w:sz w:val="14"/>
                <w:szCs w:val="14"/>
                <w:color w:val="auto"/>
                <w:vertAlign w:val="superscript"/>
              </w:rPr>
              <w:t>(4)</w:t>
            </w: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9"/>
        </w:trPr>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Residential real estate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346,917</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307,692</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316,557</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307,020</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301,164</w:t>
            </w:r>
          </w:p>
        </w:tc>
        <w:tc>
          <w:tcPr>
            <w:tcW w:w="20" w:type="dxa"/>
            <w:vAlign w:val="bottom"/>
            <w:shd w:val="clear" w:color="auto" w:fill="CCEEFF"/>
          </w:tcPr>
          <w:p>
            <w:pPr>
              <w:spacing w:after="0"/>
              <w:rPr>
                <w:sz w:val="12"/>
                <w:szCs w:val="12"/>
                <w:color w:val="auto"/>
              </w:rPr>
            </w:pPr>
          </w:p>
        </w:tc>
      </w:tr>
      <w:tr>
        <w:trPr>
          <w:trHeight w:val="160"/>
        </w:trPr>
        <w:tc>
          <w:tcPr>
            <w:tcW w:w="31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Commercial real estate</w:t>
            </w: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1,259,642</w:t>
            </w:r>
          </w:p>
        </w:tc>
        <w:tc>
          <w:tcPr>
            <w:tcW w:w="20" w:type="dxa"/>
            <w:vAlign w:val="bottom"/>
          </w:tcPr>
          <w:p>
            <w:pPr>
              <w:spacing w:after="0"/>
              <w:rPr>
                <w:sz w:val="13"/>
                <w:szCs w:val="13"/>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1,244,835</w:t>
            </w:r>
          </w:p>
        </w:tc>
        <w:tc>
          <w:tcPr>
            <w:tcW w:w="20" w:type="dxa"/>
            <w:vAlign w:val="bottom"/>
          </w:tcPr>
          <w:p>
            <w:pPr>
              <w:spacing w:after="0"/>
              <w:rPr>
                <w:sz w:val="13"/>
                <w:szCs w:val="13"/>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1,226,121</w:t>
            </w:r>
          </w:p>
        </w:tc>
        <w:tc>
          <w:tcPr>
            <w:tcW w:w="20" w:type="dxa"/>
            <w:vAlign w:val="bottom"/>
          </w:tcPr>
          <w:p>
            <w:pPr>
              <w:spacing w:after="0"/>
              <w:rPr>
                <w:sz w:val="13"/>
                <w:szCs w:val="13"/>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1,206,621</w:t>
            </w:r>
          </w:p>
        </w:tc>
        <w:tc>
          <w:tcPr>
            <w:tcW w:w="20" w:type="dxa"/>
            <w:vAlign w:val="bottom"/>
          </w:tcPr>
          <w:p>
            <w:pPr>
              <w:spacing w:after="0"/>
              <w:rPr>
                <w:sz w:val="13"/>
                <w:szCs w:val="13"/>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1,150,129</w:t>
            </w:r>
          </w:p>
        </w:tc>
        <w:tc>
          <w:tcPr>
            <w:tcW w:w="20" w:type="dxa"/>
            <w:vAlign w:val="bottom"/>
          </w:tcPr>
          <w:p>
            <w:pPr>
              <w:spacing w:after="0"/>
              <w:rPr>
                <w:sz w:val="13"/>
                <w:szCs w:val="13"/>
                <w:color w:val="auto"/>
              </w:rPr>
            </w:pPr>
          </w:p>
        </w:tc>
      </w:tr>
      <w:tr>
        <w:trPr>
          <w:trHeight w:val="160"/>
        </w:trPr>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Commercial and industrial</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291,333</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295,548</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269,430</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263,966</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256,326</w:t>
            </w:r>
          </w:p>
        </w:tc>
        <w:tc>
          <w:tcPr>
            <w:tcW w:w="20" w:type="dxa"/>
            <w:vAlign w:val="bottom"/>
            <w:shd w:val="clear" w:color="auto" w:fill="CCEEFF"/>
          </w:tcPr>
          <w:p>
            <w:pPr>
              <w:spacing w:after="0"/>
              <w:rPr>
                <w:sz w:val="13"/>
                <w:szCs w:val="13"/>
                <w:color w:val="auto"/>
              </w:rPr>
            </w:pPr>
          </w:p>
        </w:tc>
      </w:tr>
      <w:tr>
        <w:trPr>
          <w:trHeight w:val="160"/>
        </w:trPr>
        <w:tc>
          <w:tcPr>
            <w:tcW w:w="31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Correspondent banks</w:t>
            </w: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128,722</w:t>
            </w:r>
          </w:p>
        </w:tc>
        <w:tc>
          <w:tcPr>
            <w:tcW w:w="20" w:type="dxa"/>
            <w:vAlign w:val="bottom"/>
          </w:tcPr>
          <w:p>
            <w:pPr>
              <w:spacing w:after="0"/>
              <w:rPr>
                <w:sz w:val="13"/>
                <w:szCs w:val="13"/>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127,968</w:t>
            </w:r>
          </w:p>
        </w:tc>
        <w:tc>
          <w:tcPr>
            <w:tcW w:w="20" w:type="dxa"/>
            <w:vAlign w:val="bottom"/>
          </w:tcPr>
          <w:p>
            <w:pPr>
              <w:spacing w:after="0"/>
              <w:rPr>
                <w:sz w:val="13"/>
                <w:szCs w:val="13"/>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104,598</w:t>
            </w:r>
          </w:p>
        </w:tc>
        <w:tc>
          <w:tcPr>
            <w:tcW w:w="20" w:type="dxa"/>
            <w:vAlign w:val="bottom"/>
          </w:tcPr>
          <w:p>
            <w:pPr>
              <w:spacing w:after="0"/>
              <w:rPr>
                <w:sz w:val="13"/>
                <w:szCs w:val="13"/>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110,155</w:t>
            </w:r>
          </w:p>
        </w:tc>
        <w:tc>
          <w:tcPr>
            <w:tcW w:w="20" w:type="dxa"/>
            <w:vAlign w:val="bottom"/>
          </w:tcPr>
          <w:p>
            <w:pPr>
              <w:spacing w:after="0"/>
              <w:rPr>
                <w:sz w:val="13"/>
                <w:szCs w:val="13"/>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103,026</w:t>
            </w:r>
          </w:p>
        </w:tc>
        <w:tc>
          <w:tcPr>
            <w:tcW w:w="20" w:type="dxa"/>
            <w:vAlign w:val="bottom"/>
          </w:tcPr>
          <w:p>
            <w:pPr>
              <w:spacing w:after="0"/>
              <w:rPr>
                <w:sz w:val="13"/>
                <w:szCs w:val="13"/>
                <w:color w:val="auto"/>
              </w:rPr>
            </w:pPr>
          </w:p>
        </w:tc>
      </w:tr>
      <w:tr>
        <w:trPr>
          <w:trHeight w:val="160"/>
        </w:trPr>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Consumer and other</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207,794</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207,215</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207,939</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218,426</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218,711</w:t>
            </w:r>
          </w:p>
        </w:tc>
        <w:tc>
          <w:tcPr>
            <w:tcW w:w="20" w:type="dxa"/>
            <w:vAlign w:val="bottom"/>
            <w:shd w:val="clear" w:color="auto" w:fill="CCEEFF"/>
          </w:tcPr>
          <w:p>
            <w:pPr>
              <w:spacing w:after="0"/>
              <w:rPr>
                <w:sz w:val="13"/>
                <w:szCs w:val="13"/>
                <w:color w:val="auto"/>
              </w:rPr>
            </w:pPr>
          </w:p>
        </w:tc>
      </w:tr>
      <w:tr>
        <w:trPr>
          <w:trHeight w:val="149"/>
        </w:trPr>
        <w:tc>
          <w:tcPr>
            <w:tcW w:w="31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Asset quality data:</w:t>
            </w: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0"/>
        </w:trPr>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Allowance for credit losses to total loans</w:t>
            </w:r>
          </w:p>
        </w:tc>
        <w:tc>
          <w:tcPr>
            <w:tcW w:w="2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1.16%</w:t>
            </w: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1.16%</w:t>
            </w: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1.17%</w:t>
            </w: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1.18%</w:t>
            </w: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1.22%</w:t>
            </w:r>
          </w:p>
        </w:tc>
      </w:tr>
      <w:tr>
        <w:trPr>
          <w:trHeight w:val="160"/>
        </w:trPr>
        <w:tc>
          <w:tcPr>
            <w:tcW w:w="31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Allowance for credit losses to non-performing loans</w:t>
            </w:r>
          </w:p>
        </w:tc>
        <w:tc>
          <w:tcPr>
            <w:tcW w:w="200" w:type="dxa"/>
            <w:vAlign w:val="bottom"/>
          </w:tcPr>
          <w:p>
            <w:pPr>
              <w:spacing w:after="0"/>
              <w:rPr>
                <w:sz w:val="13"/>
                <w:szCs w:val="13"/>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717%</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813%</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1906%</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1825%</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595%</w:t>
            </w:r>
          </w:p>
        </w:tc>
      </w:tr>
      <w:tr>
        <w:trPr>
          <w:trHeight w:val="160"/>
        </w:trPr>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Total non-performing loans</w:t>
            </w:r>
            <w:r>
              <w:rPr>
                <w:rFonts w:ascii="Times New Roman" w:cs="Times New Roman" w:eastAsia="Times New Roman" w:hAnsi="Times New Roman"/>
                <w:sz w:val="14"/>
                <w:szCs w:val="14"/>
                <w:color w:val="auto"/>
                <w:vertAlign w:val="superscript"/>
              </w:rPr>
              <w:t>(5)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3,640</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3,138</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1,310</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1,366</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4,156</w:t>
            </w:r>
          </w:p>
        </w:tc>
        <w:tc>
          <w:tcPr>
            <w:tcW w:w="20" w:type="dxa"/>
            <w:vAlign w:val="bottom"/>
            <w:shd w:val="clear" w:color="auto" w:fill="CCEEFF"/>
          </w:tcPr>
          <w:p>
            <w:pPr>
              <w:spacing w:after="0"/>
              <w:rPr>
                <w:sz w:val="13"/>
                <w:szCs w:val="13"/>
                <w:color w:val="auto"/>
              </w:rPr>
            </w:pPr>
          </w:p>
        </w:tc>
      </w:tr>
      <w:tr>
        <w:trPr>
          <w:trHeight w:val="160"/>
        </w:trPr>
        <w:tc>
          <w:tcPr>
            <w:tcW w:w="31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Non-performing loans to total loans</w:t>
            </w:r>
          </w:p>
        </w:tc>
        <w:tc>
          <w:tcPr>
            <w:tcW w:w="200" w:type="dxa"/>
            <w:vAlign w:val="bottom"/>
          </w:tcPr>
          <w:p>
            <w:pPr>
              <w:spacing w:after="0"/>
              <w:rPr>
                <w:sz w:val="13"/>
                <w:szCs w:val="13"/>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0.16%</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0.14%</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0.06%</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0.06%</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0.20%</w:t>
            </w:r>
          </w:p>
        </w:tc>
      </w:tr>
      <w:tr>
        <w:trPr>
          <w:trHeight w:val="149"/>
        </w:trPr>
        <w:tc>
          <w:tcPr>
            <w:tcW w:w="314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1"/>
                <w:szCs w:val="11"/>
                <w:color w:val="auto"/>
              </w:rPr>
              <w:t>Non-performing assets to total assets</w:t>
            </w:r>
            <w:r>
              <w:rPr>
                <w:rFonts w:ascii="Times New Roman" w:cs="Times New Roman" w:eastAsia="Times New Roman" w:hAnsi="Times New Roman"/>
                <w:sz w:val="14"/>
                <w:szCs w:val="14"/>
                <w:color w:val="auto"/>
                <w:vertAlign w:val="superscript"/>
              </w:rPr>
              <w:t>(5)</w:t>
            </w:r>
          </w:p>
        </w:tc>
        <w:tc>
          <w:tcPr>
            <w:tcW w:w="2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0.13%</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0.11%</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0.05%</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0.05%</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0.16%</w:t>
            </w:r>
          </w:p>
        </w:tc>
      </w:tr>
      <w:tr>
        <w:trPr>
          <w:trHeight w:val="160"/>
        </w:trPr>
        <w:tc>
          <w:tcPr>
            <w:tcW w:w="31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 xml:space="preserve">Net charge-offs (recoveries of) to average loans </w:t>
            </w:r>
            <w:r>
              <w:rPr>
                <w:rFonts w:ascii="Times New Roman" w:cs="Times New Roman" w:eastAsia="Times New Roman" w:hAnsi="Times New Roman"/>
                <w:sz w:val="14"/>
                <w:szCs w:val="14"/>
                <w:color w:val="auto"/>
                <w:vertAlign w:val="superscript"/>
              </w:rPr>
              <w:t>(2)</w:t>
            </w:r>
          </w:p>
        </w:tc>
        <w:tc>
          <w:tcPr>
            <w:tcW w:w="2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(0.00)%</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(0.00)%</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(0.00)%</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0.14%</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0.00%</w:t>
            </w:r>
          </w:p>
        </w:tc>
        <w:tc>
          <w:tcPr>
            <w:tcW w:w="20" w:type="dxa"/>
            <w:vAlign w:val="bottom"/>
          </w:tcPr>
          <w:p>
            <w:pPr>
              <w:spacing w:after="0"/>
              <w:rPr>
                <w:sz w:val="13"/>
                <w:szCs w:val="13"/>
                <w:color w:val="auto"/>
              </w:rPr>
            </w:pPr>
          </w:p>
        </w:tc>
      </w:tr>
      <w:tr>
        <w:trPr>
          <w:trHeight w:val="160"/>
        </w:trPr>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Net charge-offs (recovery) of credit losses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702</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20" w:type="dxa"/>
            <w:vAlign w:val="bottom"/>
            <w:shd w:val="clear" w:color="auto" w:fill="CCEEFF"/>
          </w:tcPr>
          <w:p>
            <w:pPr>
              <w:spacing w:after="0"/>
              <w:rPr>
                <w:sz w:val="13"/>
                <w:szCs w:val="13"/>
                <w:color w:val="auto"/>
              </w:rPr>
            </w:pPr>
          </w:p>
        </w:tc>
      </w:tr>
      <w:tr>
        <w:trPr>
          <w:trHeight w:val="160"/>
        </w:trPr>
        <w:tc>
          <w:tcPr>
            <w:tcW w:w="31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Interest rates and yields:</w:t>
            </w:r>
            <w:r>
              <w:rPr>
                <w:rFonts w:ascii="Times New Roman" w:cs="Times New Roman" w:eastAsia="Times New Roman" w:hAnsi="Times New Roman"/>
                <w:sz w:val="14"/>
                <w:szCs w:val="14"/>
                <w:color w:val="auto"/>
                <w:vertAlign w:val="superscript"/>
              </w:rPr>
              <w:t>(2)</w:t>
            </w: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Loans held for investment</w:t>
            </w:r>
          </w:p>
        </w:tc>
        <w:tc>
          <w:tcPr>
            <w:tcW w:w="2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6.11%</w:t>
            </w: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6.16%</w:t>
            </w: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6.21%</w:t>
            </w: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6.23%</w:t>
            </w: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6.17%</w:t>
            </w:r>
          </w:p>
        </w:tc>
      </w:tr>
      <w:tr>
        <w:trPr>
          <w:trHeight w:val="149"/>
        </w:trPr>
        <w:tc>
          <w:tcPr>
            <w:tcW w:w="31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Investment securities</w:t>
            </w:r>
          </w:p>
        </w:tc>
        <w:tc>
          <w:tcPr>
            <w:tcW w:w="200" w:type="dxa"/>
            <w:vAlign w:val="bottom"/>
          </w:tcPr>
          <w:p>
            <w:pPr>
              <w:spacing w:after="0"/>
              <w:rPr>
                <w:sz w:val="12"/>
                <w:szCs w:val="12"/>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3.05%</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3.01%</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3.03%</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3.06%</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2.81%</w:t>
            </w:r>
          </w:p>
        </w:tc>
      </w:tr>
      <w:tr>
        <w:trPr>
          <w:trHeight w:val="160"/>
        </w:trPr>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Total interest-earning assets</w:t>
            </w:r>
          </w:p>
        </w:tc>
        <w:tc>
          <w:tcPr>
            <w:tcW w:w="2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5.49%</w:t>
            </w: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5.54%</w:t>
            </w: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5.56%</w:t>
            </w: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5.64%</w:t>
            </w: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5.51%</w:t>
            </w:r>
          </w:p>
        </w:tc>
      </w:tr>
      <w:tr>
        <w:trPr>
          <w:trHeight w:val="160"/>
        </w:trPr>
        <w:tc>
          <w:tcPr>
            <w:tcW w:w="31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Deposits</w:t>
            </w:r>
            <w:r>
              <w:rPr>
                <w:rFonts w:ascii="Times New Roman" w:cs="Times New Roman" w:eastAsia="Times New Roman" w:hAnsi="Times New Roman"/>
                <w:sz w:val="14"/>
                <w:szCs w:val="14"/>
                <w:color w:val="auto"/>
                <w:vertAlign w:val="superscript"/>
              </w:rPr>
              <w:t>(6)</w:t>
            </w:r>
          </w:p>
        </w:tc>
        <w:tc>
          <w:tcPr>
            <w:tcW w:w="200" w:type="dxa"/>
            <w:vAlign w:val="bottom"/>
          </w:tcPr>
          <w:p>
            <w:pPr>
              <w:spacing w:after="0"/>
              <w:rPr>
                <w:sz w:val="13"/>
                <w:szCs w:val="13"/>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2.20%</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2.28%</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2.53%</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2.46%</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2.49%</w:t>
            </w:r>
          </w:p>
        </w:tc>
      </w:tr>
      <w:tr>
        <w:trPr>
          <w:trHeight w:val="160"/>
        </w:trPr>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FHLB advances</w:t>
            </w:r>
          </w:p>
        </w:tc>
        <w:tc>
          <w:tcPr>
            <w:tcW w:w="2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3.83%</w:t>
            </w: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3.91%</w:t>
            </w: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3.73%</w:t>
            </w: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3.72%</w:t>
            </w: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3.71%</w:t>
            </w:r>
          </w:p>
        </w:tc>
      </w:tr>
      <w:tr>
        <w:trPr>
          <w:trHeight w:val="160"/>
        </w:trPr>
        <w:tc>
          <w:tcPr>
            <w:tcW w:w="31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Subordinated notes</w:t>
            </w:r>
          </w:p>
        </w:tc>
        <w:tc>
          <w:tcPr>
            <w:tcW w:w="200" w:type="dxa"/>
            <w:vAlign w:val="bottom"/>
          </w:tcPr>
          <w:p>
            <w:pPr>
              <w:spacing w:after="0"/>
              <w:rPr>
                <w:sz w:val="13"/>
                <w:szCs w:val="13"/>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8.26%</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8.09%</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6.16%</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3"/>
                <w:szCs w:val="13"/>
                <w:color w:val="auto"/>
              </w:rPr>
            </w:pPr>
          </w:p>
        </w:tc>
      </w:tr>
      <w:tr>
        <w:trPr>
          <w:trHeight w:val="149"/>
        </w:trPr>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Total interest-bearing liabilities</w:t>
            </w:r>
          </w:p>
        </w:tc>
        <w:tc>
          <w:tcPr>
            <w:tcW w:w="2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3.05%</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3.14%</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3.34%</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3.32%</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3.37%</w:t>
            </w:r>
          </w:p>
        </w:tc>
      </w:tr>
      <w:tr>
        <w:trPr>
          <w:trHeight w:val="160"/>
        </w:trPr>
        <w:tc>
          <w:tcPr>
            <w:tcW w:w="31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Other information:</w:t>
            </w: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Full-time equivalent employees</w:t>
            </w: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211</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204</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206</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201</w:t>
            </w:r>
          </w:p>
        </w:tc>
        <w:tc>
          <w:tcPr>
            <w:tcW w:w="20" w:type="dxa"/>
            <w:vAlign w:val="bottom"/>
            <w:shd w:val="clear" w:color="auto" w:fill="CCEEFF"/>
          </w:tcPr>
          <w:p>
            <w:pPr>
              <w:spacing w:after="0"/>
              <w:rPr>
                <w:sz w:val="13"/>
                <w:szCs w:val="13"/>
                <w:color w:val="auto"/>
              </w:rPr>
            </w:pPr>
          </w:p>
        </w:tc>
      </w:tr>
    </w:tbl>
    <w:p>
      <w:pPr>
        <w:spacing w:after="0" w:line="163" w:lineRule="exact"/>
        <w:rPr>
          <w:sz w:val="20"/>
          <w:szCs w:val="20"/>
          <w:color w:val="auto"/>
        </w:rPr>
      </w:pPr>
    </w:p>
    <w:p>
      <w:pPr>
        <w:ind w:left="860" w:hanging="197"/>
        <w:spacing w:after="0"/>
        <w:tabs>
          <w:tab w:leader="none" w:pos="860" w:val="left"/>
        </w:tabs>
        <w:numPr>
          <w:ilvl w:val="0"/>
          <w:numId w:val="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Loan amounts include deferred fees/costs.</w:t>
      </w:r>
    </w:p>
    <w:p>
      <w:pPr>
        <w:spacing w:after="0" w:line="22" w:lineRule="exact"/>
        <w:rPr>
          <w:rFonts w:ascii="Times New Roman" w:cs="Times New Roman" w:eastAsia="Times New Roman" w:hAnsi="Times New Roman"/>
          <w:sz w:val="11"/>
          <w:szCs w:val="11"/>
          <w:color w:val="auto"/>
        </w:rPr>
      </w:pPr>
    </w:p>
    <w:p>
      <w:pPr>
        <w:ind w:left="860" w:hanging="197"/>
        <w:spacing w:after="0"/>
        <w:tabs>
          <w:tab w:leader="none" w:pos="860" w:val="left"/>
        </w:tabs>
        <w:numPr>
          <w:ilvl w:val="0"/>
          <w:numId w:val="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Annualized.</w:t>
      </w:r>
    </w:p>
    <w:p>
      <w:pPr>
        <w:spacing w:after="0" w:line="33" w:lineRule="exact"/>
        <w:rPr>
          <w:rFonts w:ascii="Times New Roman" w:cs="Times New Roman" w:eastAsia="Times New Roman" w:hAnsi="Times New Roman"/>
          <w:sz w:val="11"/>
          <w:szCs w:val="11"/>
          <w:color w:val="auto"/>
        </w:rPr>
      </w:pPr>
    </w:p>
    <w:p>
      <w:pPr>
        <w:ind w:left="860" w:hanging="197"/>
        <w:spacing w:after="0"/>
        <w:tabs>
          <w:tab w:leader="none" w:pos="860" w:val="left"/>
        </w:tabs>
        <w:numPr>
          <w:ilvl w:val="0"/>
          <w:numId w:val="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Efficiency ratio is defined as total non-interest expense divided by sum of net interest income and total non-interest income.</w:t>
      </w:r>
    </w:p>
    <w:p>
      <w:pPr>
        <w:spacing w:after="0" w:line="22" w:lineRule="exact"/>
        <w:rPr>
          <w:rFonts w:ascii="Times New Roman" w:cs="Times New Roman" w:eastAsia="Times New Roman" w:hAnsi="Times New Roman"/>
          <w:sz w:val="11"/>
          <w:szCs w:val="11"/>
          <w:color w:val="auto"/>
        </w:rPr>
      </w:pPr>
    </w:p>
    <w:p>
      <w:pPr>
        <w:ind w:left="860" w:hanging="197"/>
        <w:spacing w:after="0"/>
        <w:tabs>
          <w:tab w:leader="none" w:pos="860" w:val="left"/>
        </w:tabs>
        <w:numPr>
          <w:ilvl w:val="0"/>
          <w:numId w:val="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Loan amounts exclude deferred fees/costs.</w:t>
      </w:r>
    </w:p>
    <w:p>
      <w:pPr>
        <w:spacing w:after="0" w:line="33" w:lineRule="exact"/>
        <w:rPr>
          <w:rFonts w:ascii="Times New Roman" w:cs="Times New Roman" w:eastAsia="Times New Roman" w:hAnsi="Times New Roman"/>
          <w:sz w:val="11"/>
          <w:szCs w:val="11"/>
          <w:color w:val="auto"/>
        </w:rPr>
      </w:pPr>
    </w:p>
    <w:p>
      <w:pPr>
        <w:ind w:left="660" w:right="739" w:firstLine="3"/>
        <w:spacing w:after="0" w:line="283" w:lineRule="auto"/>
        <w:tabs>
          <w:tab w:leader="none" w:pos="851" w:val="left"/>
        </w:tabs>
        <w:numPr>
          <w:ilvl w:val="0"/>
          <w:numId w:val="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amounts for total non-performing loans and total non-performing assets are the same at the dates presented since there was no other real estate owned (OREO) recorded at any of the dates presented.</w:t>
      </w:r>
    </w:p>
    <w:p>
      <w:pPr>
        <w:spacing w:after="0" w:line="21" w:lineRule="exact"/>
        <w:rPr>
          <w:rFonts w:ascii="Times New Roman" w:cs="Times New Roman" w:eastAsia="Times New Roman" w:hAnsi="Times New Roman"/>
          <w:sz w:val="11"/>
          <w:szCs w:val="11"/>
          <w:color w:val="auto"/>
        </w:rPr>
      </w:pPr>
    </w:p>
    <w:p>
      <w:pPr>
        <w:ind w:left="820" w:hanging="157"/>
        <w:spacing w:after="0"/>
        <w:tabs>
          <w:tab w:leader="none" w:pos="820" w:val="left"/>
        </w:tabs>
        <w:numPr>
          <w:ilvl w:val="0"/>
          <w:numId w:val="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Reflects effect of non-interest-bearing deposits.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9019"/>
          </w:cols>
          <w:pgMar w:left="1440" w:top="760" w:right="1440"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1"/>
          <w:szCs w:val="11"/>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USCB FINANCIAL HOLDINGS, INC.</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NET INTEREST MARGIN (UNAUDITED)</w:t>
      </w:r>
    </w:p>
    <w:p>
      <w:pPr>
        <w:spacing w:after="0" w:line="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(Dollars in thousands)</w:t>
      </w:r>
    </w:p>
    <w:p>
      <w:pPr>
        <w:spacing w:after="0" w:line="224" w:lineRule="exact"/>
        <w:rPr>
          <w:sz w:val="20"/>
          <w:szCs w:val="20"/>
          <w:color w:val="auto"/>
        </w:rPr>
      </w:pPr>
    </w:p>
    <w:tbl>
      <w:tblPr>
        <w:tblLayout w:type="fixed"/>
        <w:tblInd w:w="660" w:type="dxa"/>
        <w:tblCellMar>
          <w:top w:w="0" w:type="dxa"/>
          <w:left w:w="0" w:type="dxa"/>
          <w:bottom w:w="0" w:type="dxa"/>
          <w:right w:w="0" w:type="dxa"/>
        </w:tblCellMar>
      </w:tblPr>
      <w:tr>
        <w:trPr>
          <w:trHeight w:val="137"/>
        </w:trPr>
        <w:tc>
          <w:tcPr>
            <w:tcW w:w="26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660" w:type="dxa"/>
            <w:vAlign w:val="bottom"/>
            <w:tcBorders>
              <w:bottom w:val="single" w:sz="8" w:color="auto"/>
            </w:tcBorders>
            <w:gridSpan w:val="8"/>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6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b w:val="1"/>
                <w:bCs w:val="1"/>
                <w:color w:val="auto"/>
              </w:rPr>
              <w:t>2026</w:t>
            </w: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b w:val="1"/>
                <w:bCs w:val="1"/>
                <w:color w:val="auto"/>
              </w:rPr>
              <w:t>2025</w:t>
            </w: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ind w:right="163"/>
              <w:spacing w:after="0"/>
              <w:rPr>
                <w:sz w:val="20"/>
                <w:szCs w:val="20"/>
                <w:color w:val="auto"/>
              </w:rPr>
            </w:pPr>
            <w:r>
              <w:rPr>
                <w:rFonts w:ascii="Times New Roman" w:cs="Times New Roman" w:eastAsia="Times New Roman" w:hAnsi="Times New Roman"/>
                <w:sz w:val="11"/>
                <w:szCs w:val="11"/>
                <w:b w:val="1"/>
                <w:bCs w:val="1"/>
                <w:color w:val="auto"/>
              </w:rPr>
              <w:t>Average</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ind w:right="163"/>
              <w:spacing w:after="0"/>
              <w:rPr>
                <w:sz w:val="20"/>
                <w:szCs w:val="20"/>
                <w:color w:val="auto"/>
              </w:rPr>
            </w:pPr>
            <w:r>
              <w:rPr>
                <w:rFonts w:ascii="Times New Roman" w:cs="Times New Roman" w:eastAsia="Times New Roman" w:hAnsi="Times New Roman"/>
                <w:sz w:val="11"/>
                <w:szCs w:val="11"/>
                <w:b w:val="1"/>
                <w:bCs w:val="1"/>
                <w:color w:val="auto"/>
              </w:rPr>
              <w:t>Average</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2620" w:type="dxa"/>
            <w:vAlign w:val="bottom"/>
            <w:tcBorders>
              <w:bottom w:val="single" w:sz="8" w:color="CCEEFF"/>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1"/>
                <w:szCs w:val="11"/>
                <w:b w:val="1"/>
                <w:bCs w:val="1"/>
                <w:color w:val="auto"/>
              </w:rPr>
              <w:t>Balance</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b w:val="1"/>
                <w:bCs w:val="1"/>
                <w:color w:val="auto"/>
              </w:rPr>
              <w:t>Interest</w:t>
            </w:r>
          </w:p>
        </w:tc>
        <w:tc>
          <w:tcPr>
            <w:tcW w:w="2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Borders>
              <w:bottom w:val="single" w:sz="8" w:color="auto"/>
            </w:tcBorders>
          </w:tcPr>
          <w:p>
            <w:pPr>
              <w:jc w:val="right"/>
              <w:spacing w:after="0" w:line="137" w:lineRule="exact"/>
              <w:rPr>
                <w:sz w:val="20"/>
                <w:szCs w:val="20"/>
                <w:color w:val="auto"/>
              </w:rPr>
            </w:pPr>
            <w:r>
              <w:rPr>
                <w:rFonts w:ascii="Times New Roman" w:cs="Times New Roman" w:eastAsia="Times New Roman" w:hAnsi="Times New Roman"/>
                <w:sz w:val="11"/>
                <w:szCs w:val="11"/>
                <w:b w:val="1"/>
                <w:bCs w:val="1"/>
                <w:color w:val="auto"/>
              </w:rPr>
              <w:t xml:space="preserve">Yield/Rate </w:t>
            </w:r>
            <w:r>
              <w:rPr>
                <w:rFonts w:ascii="Times New Roman" w:cs="Times New Roman" w:eastAsia="Times New Roman" w:hAnsi="Times New Roman"/>
                <w:sz w:val="14"/>
                <w:szCs w:val="14"/>
                <w:color w:val="auto"/>
                <w:vertAlign w:val="superscript"/>
              </w:rPr>
              <w:t>(1)</w:t>
            </w:r>
          </w:p>
        </w:tc>
        <w:tc>
          <w:tcPr>
            <w:tcW w:w="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1"/>
                <w:szCs w:val="11"/>
                <w:b w:val="1"/>
                <w:bCs w:val="1"/>
                <w:color w:val="auto"/>
              </w:rPr>
              <w:t>Balance</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b w:val="1"/>
                <w:bCs w:val="1"/>
                <w:color w:val="auto"/>
              </w:rPr>
              <w:t>Interest</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Borders>
              <w:bottom w:val="single" w:sz="8" w:color="auto"/>
            </w:tcBorders>
          </w:tcPr>
          <w:p>
            <w:pPr>
              <w:jc w:val="right"/>
              <w:spacing w:after="0" w:line="137" w:lineRule="exact"/>
              <w:rPr>
                <w:sz w:val="20"/>
                <w:szCs w:val="20"/>
                <w:color w:val="auto"/>
              </w:rPr>
            </w:pPr>
            <w:r>
              <w:rPr>
                <w:rFonts w:ascii="Times New Roman" w:cs="Times New Roman" w:eastAsia="Times New Roman" w:hAnsi="Times New Roman"/>
                <w:sz w:val="11"/>
                <w:szCs w:val="11"/>
                <w:b w:val="1"/>
                <w:bCs w:val="1"/>
                <w:color w:val="auto"/>
              </w:rPr>
              <w:t xml:space="preserve">Yield/Rate </w:t>
            </w:r>
            <w:r>
              <w:rPr>
                <w:rFonts w:ascii="Times New Roman" w:cs="Times New Roman" w:eastAsia="Times New Roman" w:hAnsi="Times New Roman"/>
                <w:sz w:val="14"/>
                <w:szCs w:val="14"/>
                <w:color w:val="auto"/>
                <w:vertAlign w:val="superscript"/>
              </w:rPr>
              <w:t>(1)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6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Interest-earning assets:</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Loans held for investment</w:t>
            </w:r>
            <w:r>
              <w:rPr>
                <w:rFonts w:ascii="Times New Roman" w:cs="Times New Roman" w:eastAsia="Times New Roman" w:hAnsi="Times New Roman"/>
                <w:sz w:val="14"/>
                <w:szCs w:val="14"/>
                <w:color w:val="auto"/>
                <w:vertAlign w:val="superscript"/>
              </w:rPr>
              <w:t>(2)</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2,177,734</w:t>
            </w:r>
          </w:p>
        </w:tc>
        <w:tc>
          <w:tcPr>
            <w:tcW w:w="20" w:type="dxa"/>
            <w:vAlign w:val="bottom"/>
            <w:shd w:val="clear" w:color="auto" w:fill="CCEEFF"/>
          </w:tcPr>
          <w:p>
            <w:pPr>
              <w:spacing w:after="0"/>
              <w:rPr>
                <w:sz w:val="14"/>
                <w:szCs w:val="14"/>
                <w:color w:val="auto"/>
              </w:rPr>
            </w:pPr>
          </w:p>
        </w:tc>
        <w:tc>
          <w:tcPr>
            <w:tcW w:w="60" w:type="dxa"/>
            <w:vAlign w:val="bottom"/>
            <w:gridSpan w:val="2"/>
            <w:shd w:val="clear" w:color="auto" w:fill="CCEEFF"/>
          </w:tcPr>
          <w:p>
            <w:pPr>
              <w:spacing w:after="0"/>
              <w:rPr>
                <w:sz w:val="14"/>
                <w:szCs w:val="14"/>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32,789</w:t>
            </w:r>
          </w:p>
        </w:tc>
        <w:tc>
          <w:tcPr>
            <w:tcW w:w="40" w:type="dxa"/>
            <w:vAlign w:val="bottom"/>
            <w:gridSpan w:val="2"/>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6.11%</w:t>
            </w:r>
          </w:p>
        </w:tc>
        <w:tc>
          <w:tcPr>
            <w:tcW w:w="80" w:type="dxa"/>
            <w:vAlign w:val="bottom"/>
            <w:gridSpan w:val="2"/>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1,986,856</w:t>
            </w:r>
          </w:p>
        </w:tc>
        <w:tc>
          <w:tcPr>
            <w:tcW w:w="20" w:type="dxa"/>
            <w:vAlign w:val="bottom"/>
            <w:shd w:val="clear" w:color="auto" w:fill="CCEEFF"/>
          </w:tcPr>
          <w:p>
            <w:pPr>
              <w:spacing w:after="0"/>
              <w:rPr>
                <w:sz w:val="14"/>
                <w:szCs w:val="14"/>
                <w:color w:val="auto"/>
              </w:rPr>
            </w:pPr>
          </w:p>
        </w:tc>
        <w:tc>
          <w:tcPr>
            <w:tcW w:w="60" w:type="dxa"/>
            <w:vAlign w:val="bottom"/>
            <w:gridSpan w:val="2"/>
            <w:shd w:val="clear" w:color="auto" w:fill="CCEEFF"/>
          </w:tcPr>
          <w:p>
            <w:pPr>
              <w:spacing w:after="0"/>
              <w:rPr>
                <w:sz w:val="14"/>
                <w:szCs w:val="14"/>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30,245</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6.17%</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6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 xml:space="preserve">Investment securities </w:t>
            </w:r>
            <w:r>
              <w:rPr>
                <w:rFonts w:ascii="Times New Roman" w:cs="Times New Roman" w:eastAsia="Times New Roman" w:hAnsi="Times New Roman"/>
                <w:sz w:val="14"/>
                <w:szCs w:val="14"/>
                <w:color w:val="auto"/>
                <w:vertAlign w:val="superscript"/>
              </w:rPr>
              <w:t>(3)</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454,262</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3,411</w:t>
            </w:r>
          </w:p>
        </w:tc>
        <w:tc>
          <w:tcPr>
            <w:tcW w:w="760" w:type="dxa"/>
            <w:vAlign w:val="bottom"/>
            <w:gridSpan w:val="4"/>
          </w:tcPr>
          <w:p>
            <w:pPr>
              <w:jc w:val="right"/>
              <w:spacing w:after="0"/>
              <w:rPr>
                <w:sz w:val="20"/>
                <w:szCs w:val="20"/>
                <w:color w:val="auto"/>
              </w:rPr>
            </w:pPr>
            <w:r>
              <w:rPr>
                <w:rFonts w:ascii="Times New Roman" w:cs="Times New Roman" w:eastAsia="Times New Roman" w:hAnsi="Times New Roman"/>
                <w:sz w:val="11"/>
                <w:szCs w:val="11"/>
                <w:color w:val="auto"/>
              </w:rPr>
              <w:t>3.05%</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436,935</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3,024</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2.81%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6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Other interest-earning assets</w:t>
            </w:r>
          </w:p>
        </w:tc>
        <w:tc>
          <w:tcPr>
            <w:tcW w:w="2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105,457</w:t>
            </w: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832</w:t>
            </w:r>
          </w:p>
        </w:tc>
        <w:tc>
          <w:tcPr>
            <w:tcW w:w="2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3.20%</w:t>
            </w:r>
          </w:p>
        </w:tc>
        <w:tc>
          <w:tcPr>
            <w:tcW w:w="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75,182</w:t>
            </w: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709</w:t>
            </w: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3.82%</w:t>
            </w:r>
          </w:p>
        </w:tc>
        <w:tc>
          <w:tcPr>
            <w:tcW w:w="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62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Total interest-earning assets</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2,737,453</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37,032</w:t>
            </w:r>
          </w:p>
        </w:tc>
        <w:tc>
          <w:tcPr>
            <w:tcW w:w="760" w:type="dxa"/>
            <w:vAlign w:val="bottom"/>
            <w:gridSpan w:val="4"/>
          </w:tcPr>
          <w:p>
            <w:pPr>
              <w:jc w:val="right"/>
              <w:spacing w:after="0"/>
              <w:rPr>
                <w:sz w:val="20"/>
                <w:szCs w:val="20"/>
                <w:color w:val="auto"/>
              </w:rPr>
            </w:pPr>
            <w:r>
              <w:rPr>
                <w:rFonts w:ascii="Times New Roman" w:cs="Times New Roman" w:eastAsia="Times New Roman" w:hAnsi="Times New Roman"/>
                <w:sz w:val="11"/>
                <w:szCs w:val="11"/>
                <w:color w:val="auto"/>
              </w:rPr>
              <w:t>5.49%</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2,498,973</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33,978</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5.51%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6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Non-interest-earning assets</w:t>
            </w:r>
          </w:p>
        </w:tc>
        <w:tc>
          <w:tcPr>
            <w:tcW w:w="2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97,264</w:t>
            </w: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107,620</w:t>
            </w: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262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Total assets</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2,834,717</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2,606,593</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1"/>
        </w:trPr>
        <w:tc>
          <w:tcPr>
            <w:tcW w:w="2620" w:type="dxa"/>
            <w:vAlign w:val="bottom"/>
            <w:tcBorders>
              <w:top w:val="single" w:sz="8" w:color="CCEEFF"/>
            </w:tcBorders>
            <w:shd w:val="clear" w:color="auto" w:fill="CCEEFF"/>
          </w:tcPr>
          <w:p>
            <w:pPr>
              <w:spacing w:after="0" w:line="111" w:lineRule="exact"/>
              <w:rPr>
                <w:sz w:val="20"/>
                <w:szCs w:val="20"/>
                <w:color w:val="auto"/>
              </w:rPr>
            </w:pPr>
            <w:r>
              <w:rPr>
                <w:rFonts w:ascii="Times New Roman" w:cs="Times New Roman" w:eastAsia="Times New Roman" w:hAnsi="Times New Roman"/>
                <w:sz w:val="11"/>
                <w:szCs w:val="11"/>
                <w:b w:val="1"/>
                <w:bCs w:val="1"/>
                <w:color w:val="auto"/>
              </w:rPr>
              <w:t>Liabilities and stockholders' equity</w:t>
            </w:r>
          </w:p>
        </w:tc>
        <w:tc>
          <w:tcPr>
            <w:tcW w:w="2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26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Interest-bearing liabilities:</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Interest-bearing checking deposits</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52,099</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310</w:t>
            </w:r>
          </w:p>
        </w:tc>
        <w:tc>
          <w:tcPr>
            <w:tcW w:w="40" w:type="dxa"/>
            <w:vAlign w:val="bottom"/>
            <w:gridSpan w:val="2"/>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2.41%</w:t>
            </w:r>
          </w:p>
        </w:tc>
        <w:tc>
          <w:tcPr>
            <w:tcW w:w="80" w:type="dxa"/>
            <w:vAlign w:val="bottom"/>
            <w:gridSpan w:val="2"/>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53,611</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338</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2.56%</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6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Saving and money market deposits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1,256,418</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8,133</w:t>
            </w:r>
          </w:p>
        </w:tc>
        <w:tc>
          <w:tcPr>
            <w:tcW w:w="760" w:type="dxa"/>
            <w:vAlign w:val="bottom"/>
            <w:gridSpan w:val="4"/>
          </w:tcPr>
          <w:p>
            <w:pPr>
              <w:jc w:val="right"/>
              <w:spacing w:after="0"/>
              <w:rPr>
                <w:sz w:val="20"/>
                <w:szCs w:val="20"/>
                <w:color w:val="auto"/>
              </w:rPr>
            </w:pPr>
            <w:r>
              <w:rPr>
                <w:rFonts w:ascii="Times New Roman" w:cs="Times New Roman" w:eastAsia="Times New Roman" w:hAnsi="Times New Roman"/>
                <w:sz w:val="11"/>
                <w:szCs w:val="11"/>
                <w:color w:val="auto"/>
              </w:rPr>
              <w:t>2.63%</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1,199,027</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9,335</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3.16%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Time deposits</w:t>
            </w:r>
          </w:p>
        </w:tc>
        <w:tc>
          <w:tcPr>
            <w:tcW w:w="2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533,766</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4,700</w:t>
            </w:r>
          </w:p>
        </w:tc>
        <w:tc>
          <w:tcPr>
            <w:tcW w:w="20" w:type="dxa"/>
            <w:vAlign w:val="bottom"/>
            <w:tcBorders>
              <w:bottom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3.57%</w:t>
            </w:r>
          </w:p>
        </w:tc>
        <w:tc>
          <w:tcPr>
            <w:tcW w:w="6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399,509</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3,918</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3.98%</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62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Total interest-bearing deposits</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1,842,283</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13,143</w:t>
            </w:r>
          </w:p>
        </w:tc>
        <w:tc>
          <w:tcPr>
            <w:tcW w:w="760" w:type="dxa"/>
            <w:vAlign w:val="bottom"/>
            <w:gridSpan w:val="4"/>
          </w:tcPr>
          <w:p>
            <w:pPr>
              <w:jc w:val="right"/>
              <w:spacing w:after="0"/>
              <w:rPr>
                <w:sz w:val="20"/>
                <w:szCs w:val="20"/>
                <w:color w:val="auto"/>
              </w:rPr>
            </w:pPr>
            <w:r>
              <w:rPr>
                <w:rFonts w:ascii="Times New Roman" w:cs="Times New Roman" w:eastAsia="Times New Roman" w:hAnsi="Times New Roman"/>
                <w:sz w:val="11"/>
                <w:szCs w:val="11"/>
                <w:color w:val="auto"/>
              </w:rPr>
              <w:t>2.89%</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1,652,147</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13,591</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3.34%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FHLB advances</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110,045</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1,040</w:t>
            </w:r>
          </w:p>
        </w:tc>
        <w:tc>
          <w:tcPr>
            <w:tcW w:w="40" w:type="dxa"/>
            <w:vAlign w:val="bottom"/>
            <w:gridSpan w:val="2"/>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3.83%</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138,944</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1,272</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3.71%</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6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1"/>
                <w:szCs w:val="11"/>
                <w:color w:val="auto"/>
              </w:rPr>
              <w:t>Subordinated notes</w:t>
            </w: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39,313</w:t>
            </w:r>
          </w:p>
        </w:tc>
        <w:tc>
          <w:tcPr>
            <w:tcW w:w="20" w:type="dxa"/>
            <w:vAlign w:val="bottom"/>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801</w:t>
            </w:r>
          </w:p>
        </w:tc>
        <w:tc>
          <w:tcPr>
            <w:tcW w:w="20" w:type="dxa"/>
            <w:vAlign w:val="bottom"/>
            <w:tcBorders>
              <w:bottom w:val="single" w:sz="8" w:color="auto"/>
            </w:tcBorders>
          </w:tcPr>
          <w:p>
            <w:pPr>
              <w:spacing w:after="0"/>
              <w:rPr>
                <w:sz w:val="15"/>
                <w:szCs w:val="15"/>
                <w:color w:val="auto"/>
              </w:rPr>
            </w:pPr>
          </w:p>
        </w:tc>
        <w:tc>
          <w:tcPr>
            <w:tcW w:w="740" w:type="dxa"/>
            <w:vAlign w:val="bottom"/>
            <w:tcBorders>
              <w:bottom w:val="single" w:sz="8" w:color="CCEEFF"/>
            </w:tcBorders>
            <w:gridSpan w:val="3"/>
          </w:tcPr>
          <w:p>
            <w:pPr>
              <w:jc w:val="right"/>
              <w:spacing w:after="0"/>
              <w:rPr>
                <w:sz w:val="20"/>
                <w:szCs w:val="20"/>
                <w:color w:val="auto"/>
              </w:rPr>
            </w:pPr>
            <w:r>
              <w:rPr>
                <w:rFonts w:ascii="Times New Roman" w:cs="Times New Roman" w:eastAsia="Times New Roman" w:hAnsi="Times New Roman"/>
                <w:sz w:val="11"/>
                <w:szCs w:val="11"/>
                <w:color w:val="auto"/>
              </w:rPr>
              <w:t>8.26%</w:t>
            </w: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CCEEFF"/>
            </w:tcBorders>
            <w:gridSpan w:val="3"/>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Total interest-bearing liabilities</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1,991,641</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14,984</w:t>
            </w:r>
          </w:p>
        </w:tc>
        <w:tc>
          <w:tcPr>
            <w:tcW w:w="40" w:type="dxa"/>
            <w:vAlign w:val="bottom"/>
            <w:gridSpan w:val="2"/>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3.05%</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1,791,091</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14,863</w:t>
            </w: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3.37%</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6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Non-interest-bearing demand deposits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584,784</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563,040</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Other non-interest-bearing liabilities</w:t>
            </w:r>
          </w:p>
        </w:tc>
        <w:tc>
          <w:tcPr>
            <w:tcW w:w="2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36,066</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32,957</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62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Total liabilities</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2,612,491</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2,387,088</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Stockholders' equity</w:t>
            </w:r>
          </w:p>
        </w:tc>
        <w:tc>
          <w:tcPr>
            <w:tcW w:w="2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222,226</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219,505</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262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Total liabilities and stockholders' equity</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2,834,717</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2,606,593</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0"/>
        </w:trPr>
        <w:tc>
          <w:tcPr>
            <w:tcW w:w="2620" w:type="dxa"/>
            <w:vAlign w:val="bottom"/>
            <w:tcBorders>
              <w:top w:val="single" w:sz="8" w:color="CCEEFF"/>
            </w:tcBorders>
            <w:shd w:val="clear" w:color="auto" w:fill="CCEEFF"/>
          </w:tcPr>
          <w:p>
            <w:pPr>
              <w:spacing w:after="0" w:line="100" w:lineRule="exact"/>
              <w:rPr>
                <w:sz w:val="20"/>
                <w:szCs w:val="20"/>
                <w:color w:val="auto"/>
              </w:rPr>
            </w:pPr>
            <w:r>
              <w:rPr>
                <w:rFonts w:ascii="Times New Roman" w:cs="Times New Roman" w:eastAsia="Times New Roman" w:hAnsi="Times New Roman"/>
                <w:sz w:val="11"/>
                <w:szCs w:val="11"/>
                <w:color w:val="auto"/>
              </w:rPr>
              <w:t>Net interest income</w:t>
            </w:r>
          </w:p>
        </w:tc>
        <w:tc>
          <w:tcPr>
            <w:tcW w:w="2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c>
          <w:tcPr>
            <w:tcW w:w="240" w:type="dxa"/>
            <w:vAlign w:val="bottom"/>
            <w:tcBorders>
              <w:top w:val="single" w:sz="8" w:color="CCEEFF"/>
              <w:bottom w:val="single" w:sz="8" w:color="auto"/>
            </w:tcBorders>
            <w:gridSpan w:val="3"/>
            <w:shd w:val="clear" w:color="auto" w:fill="CCEEFF"/>
          </w:tcPr>
          <w:p>
            <w:pPr>
              <w:jc w:val="right"/>
              <w:spacing w:after="0" w:line="100" w:lineRule="exact"/>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top w:val="single" w:sz="8" w:color="CCEEFF"/>
              <w:bottom w:val="single" w:sz="8" w:color="auto"/>
            </w:tcBorders>
            <w:shd w:val="clear" w:color="auto" w:fill="CCEEFF"/>
          </w:tcPr>
          <w:p>
            <w:pPr>
              <w:jc w:val="right"/>
              <w:spacing w:after="0" w:line="100" w:lineRule="exact"/>
              <w:rPr>
                <w:sz w:val="20"/>
                <w:szCs w:val="20"/>
                <w:color w:val="auto"/>
              </w:rPr>
            </w:pPr>
            <w:r>
              <w:rPr>
                <w:rFonts w:ascii="Times New Roman" w:cs="Times New Roman" w:eastAsia="Times New Roman" w:hAnsi="Times New Roman"/>
                <w:sz w:val="11"/>
                <w:szCs w:val="11"/>
                <w:color w:val="auto"/>
              </w:rPr>
              <w:t>22,048</w:t>
            </w:r>
          </w:p>
        </w:tc>
        <w:tc>
          <w:tcPr>
            <w:tcW w:w="20" w:type="dxa"/>
            <w:vAlign w:val="bottom"/>
            <w:tcBorders>
              <w:top w:val="single" w:sz="8" w:color="CCEEFF"/>
              <w:bottom w:val="single" w:sz="8" w:color="auto"/>
            </w:tcBorders>
            <w:shd w:val="clear" w:color="auto" w:fill="CCEEFF"/>
          </w:tcPr>
          <w:p>
            <w:pPr>
              <w:spacing w:after="0"/>
              <w:rPr>
                <w:sz w:val="8"/>
                <w:szCs w:val="8"/>
                <w:color w:val="auto"/>
              </w:rPr>
            </w:pPr>
          </w:p>
        </w:tc>
        <w:tc>
          <w:tcPr>
            <w:tcW w:w="20" w:type="dxa"/>
            <w:vAlign w:val="bottom"/>
            <w:tcBorders>
              <w:top w:val="single" w:sz="8" w:color="CCEEFF"/>
              <w:bottom w:val="single" w:sz="8" w:color="auto"/>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gridSpan w:val="2"/>
            <w:shd w:val="clear" w:color="auto" w:fill="CCEEFF"/>
          </w:tcPr>
          <w:p>
            <w:pPr>
              <w:spacing w:after="0"/>
              <w:rPr>
                <w:sz w:val="8"/>
                <w:szCs w:val="8"/>
                <w:color w:val="auto"/>
              </w:rPr>
            </w:pPr>
          </w:p>
        </w:tc>
        <w:tc>
          <w:tcPr>
            <w:tcW w:w="180" w:type="dxa"/>
            <w:vAlign w:val="bottom"/>
            <w:tcBorders>
              <w:top w:val="single" w:sz="8" w:color="CCEEFF"/>
              <w:bottom w:val="single" w:sz="8" w:color="auto"/>
            </w:tcBorders>
            <w:shd w:val="clear" w:color="auto" w:fill="CCEEFF"/>
          </w:tcPr>
          <w:p>
            <w:pPr>
              <w:jc w:val="right"/>
              <w:spacing w:after="0" w:line="100"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top w:val="single" w:sz="8" w:color="CCEEFF"/>
              <w:bottom w:val="single" w:sz="8" w:color="auto"/>
            </w:tcBorders>
            <w:shd w:val="clear" w:color="auto" w:fill="CCEEFF"/>
          </w:tcPr>
          <w:p>
            <w:pPr>
              <w:jc w:val="right"/>
              <w:spacing w:after="0" w:line="100" w:lineRule="exact"/>
              <w:rPr>
                <w:sz w:val="20"/>
                <w:szCs w:val="20"/>
                <w:color w:val="auto"/>
              </w:rPr>
            </w:pPr>
            <w:r>
              <w:rPr>
                <w:rFonts w:ascii="Times New Roman" w:cs="Times New Roman" w:eastAsia="Times New Roman" w:hAnsi="Times New Roman"/>
                <w:sz w:val="11"/>
                <w:szCs w:val="11"/>
                <w:color w:val="auto"/>
              </w:rPr>
              <w:t>19,115</w:t>
            </w:r>
          </w:p>
        </w:tc>
        <w:tc>
          <w:tcPr>
            <w:tcW w:w="20" w:type="dxa"/>
            <w:vAlign w:val="bottom"/>
            <w:tcBorders>
              <w:top w:val="single" w:sz="8" w:color="CCEEFF"/>
              <w:bottom w:val="single" w:sz="8" w:color="auto"/>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620" w:type="dxa"/>
            <w:vAlign w:val="bottom"/>
            <w:vMerge w:val="restart"/>
          </w:tcPr>
          <w:p>
            <w:pPr>
              <w:spacing w:after="0" w:line="151" w:lineRule="exact"/>
              <w:rPr>
                <w:sz w:val="20"/>
                <w:szCs w:val="20"/>
                <w:color w:val="auto"/>
              </w:rPr>
            </w:pPr>
            <w:r>
              <w:rPr>
                <w:rFonts w:ascii="Times New Roman" w:cs="Times New Roman" w:eastAsia="Times New Roman" w:hAnsi="Times New Roman"/>
                <w:sz w:val="11"/>
                <w:szCs w:val="11"/>
                <w:color w:val="auto"/>
              </w:rPr>
              <w:t xml:space="preserve">Net interest spread </w:t>
            </w:r>
            <w:r>
              <w:rPr>
                <w:rFonts w:ascii="Times New Roman" w:cs="Times New Roman" w:eastAsia="Times New Roman" w:hAnsi="Times New Roman"/>
                <w:sz w:val="14"/>
                <w:szCs w:val="14"/>
                <w:color w:val="auto"/>
                <w:vertAlign w:val="superscript"/>
              </w:rPr>
              <w:t>(4)</w:t>
            </w: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262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760" w:type="dxa"/>
            <w:vAlign w:val="bottom"/>
            <w:gridSpan w:val="4"/>
          </w:tcPr>
          <w:p>
            <w:pPr>
              <w:jc w:val="right"/>
              <w:spacing w:after="0" w:line="111" w:lineRule="exact"/>
              <w:rPr>
                <w:sz w:val="20"/>
                <w:szCs w:val="20"/>
                <w:color w:val="auto"/>
              </w:rPr>
            </w:pPr>
            <w:r>
              <w:rPr>
                <w:rFonts w:ascii="Times New Roman" w:cs="Times New Roman" w:eastAsia="Times New Roman" w:hAnsi="Times New Roman"/>
                <w:sz w:val="11"/>
                <w:szCs w:val="11"/>
                <w:color w:val="auto"/>
              </w:rPr>
              <w:t>2.44%</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40" w:type="dxa"/>
            <w:vAlign w:val="bottom"/>
            <w:gridSpan w:val="3"/>
          </w:tcPr>
          <w:p>
            <w:pPr>
              <w:jc w:val="right"/>
              <w:spacing w:after="0" w:line="111" w:lineRule="exact"/>
              <w:rPr>
                <w:sz w:val="20"/>
                <w:szCs w:val="20"/>
                <w:color w:val="auto"/>
              </w:rPr>
            </w:pPr>
            <w:r>
              <w:rPr>
                <w:rFonts w:ascii="Times New Roman" w:cs="Times New Roman" w:eastAsia="Times New Roman" w:hAnsi="Times New Roman"/>
                <w:sz w:val="11"/>
                <w:szCs w:val="11"/>
                <w:color w:val="auto"/>
              </w:rPr>
              <w:t>2.14%</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 xml:space="preserve">Net interest margin </w:t>
            </w:r>
            <w:r>
              <w:rPr>
                <w:rFonts w:ascii="Times New Roman" w:cs="Times New Roman" w:eastAsia="Times New Roman" w:hAnsi="Times New Roman"/>
                <w:sz w:val="14"/>
                <w:szCs w:val="14"/>
                <w:color w:val="auto"/>
                <w:vertAlign w:val="superscript"/>
              </w:rPr>
              <w:t>(5)</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7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3.27%</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3.10%</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174" w:lineRule="exact"/>
        <w:rPr>
          <w:sz w:val="20"/>
          <w:szCs w:val="20"/>
          <w:color w:val="auto"/>
        </w:rPr>
      </w:pPr>
    </w:p>
    <w:p>
      <w:pPr>
        <w:ind w:left="860" w:hanging="197"/>
        <w:spacing w:after="0"/>
        <w:tabs>
          <w:tab w:leader="none" w:pos="860" w:val="left"/>
        </w:tabs>
        <w:numPr>
          <w:ilvl w:val="0"/>
          <w:numId w:val="1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Annualized.</w:t>
      </w:r>
    </w:p>
    <w:p>
      <w:pPr>
        <w:spacing w:after="0" w:line="22" w:lineRule="exact"/>
        <w:rPr>
          <w:rFonts w:ascii="Times New Roman" w:cs="Times New Roman" w:eastAsia="Times New Roman" w:hAnsi="Times New Roman"/>
          <w:sz w:val="11"/>
          <w:szCs w:val="11"/>
          <w:color w:val="auto"/>
        </w:rPr>
      </w:pPr>
    </w:p>
    <w:p>
      <w:pPr>
        <w:ind w:left="860" w:hanging="197"/>
        <w:spacing w:after="0"/>
        <w:tabs>
          <w:tab w:leader="none" w:pos="860" w:val="left"/>
        </w:tabs>
        <w:numPr>
          <w:ilvl w:val="0"/>
          <w:numId w:val="1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Average loan balances include non-accrual loans. Interest income on loans includes accretion of deferred loan fees, net of deferred loan costs.</w:t>
      </w:r>
    </w:p>
    <w:p>
      <w:pPr>
        <w:spacing w:after="0" w:line="33" w:lineRule="exact"/>
        <w:rPr>
          <w:rFonts w:ascii="Times New Roman" w:cs="Times New Roman" w:eastAsia="Times New Roman" w:hAnsi="Times New Roman"/>
          <w:sz w:val="11"/>
          <w:szCs w:val="11"/>
          <w:color w:val="auto"/>
        </w:rPr>
      </w:pPr>
    </w:p>
    <w:p>
      <w:pPr>
        <w:ind w:left="860" w:hanging="197"/>
        <w:spacing w:after="0"/>
        <w:tabs>
          <w:tab w:leader="none" w:pos="860" w:val="left"/>
        </w:tabs>
        <w:numPr>
          <w:ilvl w:val="0"/>
          <w:numId w:val="1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At fair value except for securities held to maturity. This amount includes FHLB stock.</w:t>
      </w:r>
    </w:p>
    <w:p>
      <w:pPr>
        <w:spacing w:after="0" w:line="33" w:lineRule="exact"/>
        <w:rPr>
          <w:rFonts w:ascii="Times New Roman" w:cs="Times New Roman" w:eastAsia="Times New Roman" w:hAnsi="Times New Roman"/>
          <w:sz w:val="11"/>
          <w:szCs w:val="11"/>
          <w:color w:val="auto"/>
        </w:rPr>
      </w:pPr>
    </w:p>
    <w:p>
      <w:pPr>
        <w:ind w:left="860" w:hanging="197"/>
        <w:spacing w:after="0"/>
        <w:tabs>
          <w:tab w:leader="none" w:pos="860" w:val="left"/>
        </w:tabs>
        <w:numPr>
          <w:ilvl w:val="0"/>
          <w:numId w:val="1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Net interest spread is the average yield earned on total interest-earning assets minus the average rate paid on total interest-bearing liabilities.</w:t>
      </w:r>
    </w:p>
    <w:p>
      <w:pPr>
        <w:spacing w:after="0" w:line="22" w:lineRule="exact"/>
        <w:rPr>
          <w:rFonts w:ascii="Times New Roman" w:cs="Times New Roman" w:eastAsia="Times New Roman" w:hAnsi="Times New Roman"/>
          <w:sz w:val="11"/>
          <w:szCs w:val="11"/>
          <w:color w:val="auto"/>
        </w:rPr>
      </w:pPr>
    </w:p>
    <w:p>
      <w:pPr>
        <w:ind w:left="860" w:hanging="197"/>
        <w:spacing w:after="0"/>
        <w:tabs>
          <w:tab w:leader="none" w:pos="860" w:val="left"/>
        </w:tabs>
        <w:numPr>
          <w:ilvl w:val="0"/>
          <w:numId w:val="1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Net interest margin is the ratio of net interest income to total interest-earning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9019"/>
          </w:cols>
          <w:pgMar w:left="1440" w:top="781" w:right="1440"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1"/>
          <w:szCs w:val="11"/>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USCB FINANCIAL HOLDINGS,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NON-GAAP FINANCIAL MEASURES (UNAUDITED)</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(Dollars in thousands)</w:t>
      </w:r>
    </w:p>
    <w:p>
      <w:pPr>
        <w:spacing w:after="0" w:line="202"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1"/>
          <w:szCs w:val="11"/>
          <w:b w:val="1"/>
          <w:bCs w:val="1"/>
          <w:color w:val="auto"/>
        </w:rPr>
        <w:t>As of or For the Three Months Ended</w:t>
      </w:r>
    </w:p>
    <w:p>
      <w:pPr>
        <w:spacing w:after="0" w:line="44" w:lineRule="exact"/>
        <w:rPr>
          <w:sz w:val="20"/>
          <w:szCs w:val="20"/>
          <w:color w:val="auto"/>
        </w:rPr>
      </w:pPr>
    </w:p>
    <w:tbl>
      <w:tblPr>
        <w:tblLayout w:type="fixed"/>
        <w:tblInd w:w="660" w:type="dxa"/>
        <w:tblCellMar>
          <w:top w:w="0" w:type="dxa"/>
          <w:left w:w="0" w:type="dxa"/>
          <w:bottom w:w="0" w:type="dxa"/>
          <w:right w:w="0" w:type="dxa"/>
        </w:tblCellMar>
      </w:tblPr>
      <w:tr>
        <w:trPr>
          <w:trHeight w:val="137"/>
        </w:trPr>
        <w:tc>
          <w:tcPr>
            <w:tcW w:w="2980" w:type="dxa"/>
            <w:vAlign w:val="bottom"/>
          </w:tcPr>
          <w:p>
            <w:pPr>
              <w:spacing w:after="0"/>
              <w:rPr>
                <w:sz w:val="11"/>
                <w:szCs w:val="11"/>
                <w:color w:val="auto"/>
              </w:rPr>
            </w:pPr>
          </w:p>
        </w:tc>
        <w:tc>
          <w:tcPr>
            <w:tcW w:w="170" w:type="dxa"/>
            <w:vAlign w:val="bottom"/>
            <w:tcBorders>
              <w:bottom w:val="single" w:sz="8" w:color="auto"/>
            </w:tcBorders>
          </w:tcPr>
          <w:p>
            <w:pPr>
              <w:spacing w:after="0"/>
              <w:rPr>
                <w:sz w:val="11"/>
                <w:szCs w:val="11"/>
                <w:color w:val="auto"/>
              </w:rPr>
            </w:pPr>
          </w:p>
        </w:tc>
        <w:tc>
          <w:tcPr>
            <w:tcW w:w="67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b w:val="1"/>
                <w:bCs w:val="1"/>
                <w:color w:val="auto"/>
              </w:rPr>
              <w:t>3/31/2026</w:t>
            </w:r>
          </w:p>
        </w:tc>
        <w:tc>
          <w:tcPr>
            <w:tcW w:w="1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rPr>
              <w:t>12/31/2025</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b w:val="1"/>
                <w:bCs w:val="1"/>
                <w:color w:val="auto"/>
              </w:rPr>
              <w:t>9/30/2025</w:t>
            </w:r>
          </w:p>
        </w:tc>
        <w:tc>
          <w:tcPr>
            <w:tcW w:w="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70" w:type="dxa"/>
            <w:vAlign w:val="bottom"/>
            <w:tcBorders>
              <w:bottom w:val="single" w:sz="8" w:color="auto"/>
            </w:tcBorders>
          </w:tcPr>
          <w:p>
            <w:pPr>
              <w:spacing w:after="0"/>
              <w:rPr>
                <w:sz w:val="11"/>
                <w:szCs w:val="11"/>
                <w:color w:val="auto"/>
              </w:rPr>
            </w:pPr>
          </w:p>
        </w:tc>
        <w:tc>
          <w:tcPr>
            <w:tcW w:w="67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b w:val="1"/>
                <w:bCs w:val="1"/>
                <w:color w:val="auto"/>
              </w:rPr>
              <w:t>6/30/2025</w:t>
            </w:r>
          </w:p>
        </w:tc>
        <w:tc>
          <w:tcPr>
            <w:tcW w:w="80" w:type="dxa"/>
            <w:vAlign w:val="bottom"/>
          </w:tcPr>
          <w:p>
            <w:pPr>
              <w:spacing w:after="0"/>
              <w:rPr>
                <w:sz w:val="11"/>
                <w:szCs w:val="11"/>
                <w:color w:val="auto"/>
              </w:rPr>
            </w:pPr>
          </w:p>
        </w:tc>
        <w:tc>
          <w:tcPr>
            <w:tcW w:w="170" w:type="dxa"/>
            <w:vAlign w:val="bottom"/>
            <w:tcBorders>
              <w:bottom w:val="single" w:sz="8" w:color="auto"/>
            </w:tcBorders>
          </w:tcPr>
          <w:p>
            <w:pPr>
              <w:spacing w:after="0"/>
              <w:rPr>
                <w:sz w:val="11"/>
                <w:szCs w:val="11"/>
                <w:color w:val="auto"/>
              </w:rPr>
            </w:pPr>
          </w:p>
        </w:tc>
        <w:tc>
          <w:tcPr>
            <w:tcW w:w="67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b w:val="1"/>
                <w:bCs w:val="1"/>
                <w:color w:val="auto"/>
              </w:rPr>
              <w:t>3/31/2025</w:t>
            </w:r>
          </w:p>
        </w:tc>
        <w:tc>
          <w:tcPr>
            <w:tcW w:w="20" w:type="dxa"/>
            <w:vAlign w:val="bottom"/>
          </w:tcPr>
          <w:p>
            <w:pPr>
              <w:spacing w:after="0"/>
              <w:rPr>
                <w:sz w:val="11"/>
                <w:szCs w:val="11"/>
                <w:color w:val="auto"/>
              </w:rPr>
            </w:pPr>
          </w:p>
        </w:tc>
      </w:tr>
      <w:tr>
        <w:trPr>
          <w:trHeight w:val="151"/>
        </w:trPr>
        <w:tc>
          <w:tcPr>
            <w:tcW w:w="2980" w:type="dxa"/>
            <w:vAlign w:val="bottom"/>
          </w:tcPr>
          <w:p>
            <w:pPr>
              <w:ind w:left="40"/>
              <w:spacing w:after="0" w:line="151" w:lineRule="exact"/>
              <w:rPr>
                <w:sz w:val="20"/>
                <w:szCs w:val="20"/>
                <w:color w:val="auto"/>
              </w:rPr>
            </w:pPr>
            <w:r>
              <w:rPr>
                <w:rFonts w:ascii="Times New Roman" w:cs="Times New Roman" w:eastAsia="Times New Roman" w:hAnsi="Times New Roman"/>
                <w:sz w:val="11"/>
                <w:szCs w:val="11"/>
                <w:b w:val="1"/>
                <w:bCs w:val="1"/>
                <w:color w:val="auto"/>
              </w:rPr>
              <w:t>Pre-tax pre-provision ("PTPP") income:</w:t>
            </w:r>
            <w:r>
              <w:rPr>
                <w:rFonts w:ascii="Times New Roman" w:cs="Times New Roman" w:eastAsia="Times New Roman" w:hAnsi="Times New Roman"/>
                <w:sz w:val="14"/>
                <w:szCs w:val="14"/>
                <w:color w:val="auto"/>
                <w:vertAlign w:val="superscript"/>
              </w:rPr>
              <w:t>(1)</w:t>
            </w:r>
          </w:p>
        </w:tc>
        <w:tc>
          <w:tcPr>
            <w:tcW w:w="170" w:type="dxa"/>
            <w:vAlign w:val="bottom"/>
          </w:tcPr>
          <w:p>
            <w:pPr>
              <w:spacing w:after="0"/>
              <w:rPr>
                <w:sz w:val="13"/>
                <w:szCs w:val="13"/>
                <w:color w:val="auto"/>
              </w:rPr>
            </w:pPr>
          </w:p>
        </w:tc>
        <w:tc>
          <w:tcPr>
            <w:tcW w:w="67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0" w:type="dxa"/>
            <w:vAlign w:val="bottom"/>
          </w:tcPr>
          <w:p>
            <w:pPr>
              <w:spacing w:after="0"/>
              <w:rPr>
                <w:sz w:val="13"/>
                <w:szCs w:val="13"/>
                <w:color w:val="auto"/>
              </w:rPr>
            </w:pPr>
          </w:p>
        </w:tc>
        <w:tc>
          <w:tcPr>
            <w:tcW w:w="67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0" w:type="dxa"/>
            <w:vAlign w:val="bottom"/>
          </w:tcPr>
          <w:p>
            <w:pPr>
              <w:spacing w:after="0"/>
              <w:rPr>
                <w:sz w:val="13"/>
                <w:szCs w:val="13"/>
                <w:color w:val="auto"/>
              </w:rPr>
            </w:pPr>
          </w:p>
        </w:tc>
        <w:tc>
          <w:tcPr>
            <w:tcW w:w="67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2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Net income</w:t>
            </w:r>
          </w:p>
        </w:tc>
        <w:tc>
          <w:tcPr>
            <w:tcW w:w="17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w:t>
            </w:r>
          </w:p>
        </w:tc>
        <w:tc>
          <w:tcPr>
            <w:tcW w:w="67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9,351</w:t>
            </w: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1,363</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8,939</w:t>
            </w:r>
          </w:p>
        </w:tc>
        <w:tc>
          <w:tcPr>
            <w:tcW w:w="80" w:type="dxa"/>
            <w:vAlign w:val="bottom"/>
            <w:gridSpan w:val="2"/>
            <w:shd w:val="clear" w:color="auto" w:fill="CCEEFF"/>
          </w:tcPr>
          <w:p>
            <w:pPr>
              <w:spacing w:after="0"/>
              <w:rPr>
                <w:sz w:val="13"/>
                <w:szCs w:val="13"/>
                <w:color w:val="auto"/>
              </w:rPr>
            </w:pPr>
          </w:p>
        </w:tc>
        <w:tc>
          <w:tcPr>
            <w:tcW w:w="17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w:t>
            </w:r>
          </w:p>
        </w:tc>
        <w:tc>
          <w:tcPr>
            <w:tcW w:w="67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8,140</w:t>
            </w:r>
          </w:p>
        </w:tc>
        <w:tc>
          <w:tcPr>
            <w:tcW w:w="80" w:type="dxa"/>
            <w:vAlign w:val="bottom"/>
            <w:shd w:val="clear" w:color="auto" w:fill="CCEEFF"/>
          </w:tcPr>
          <w:p>
            <w:pPr>
              <w:spacing w:after="0"/>
              <w:rPr>
                <w:sz w:val="13"/>
                <w:szCs w:val="13"/>
                <w:color w:val="auto"/>
              </w:rPr>
            </w:pPr>
          </w:p>
        </w:tc>
        <w:tc>
          <w:tcPr>
            <w:tcW w:w="17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w:t>
            </w:r>
          </w:p>
        </w:tc>
        <w:tc>
          <w:tcPr>
            <w:tcW w:w="67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7,658</w:t>
            </w:r>
          </w:p>
        </w:tc>
        <w:tc>
          <w:tcPr>
            <w:tcW w:w="20" w:type="dxa"/>
            <w:vAlign w:val="bottom"/>
            <w:shd w:val="clear" w:color="auto" w:fill="CCEEFF"/>
          </w:tcPr>
          <w:p>
            <w:pPr>
              <w:spacing w:after="0"/>
              <w:rPr>
                <w:sz w:val="13"/>
                <w:szCs w:val="13"/>
                <w:color w:val="auto"/>
              </w:rPr>
            </w:pPr>
          </w:p>
        </w:tc>
      </w:tr>
      <w:tr>
        <w:trPr>
          <w:trHeight w:val="171"/>
        </w:trPr>
        <w:tc>
          <w:tcPr>
            <w:tcW w:w="298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Plus: Income tax expense</w:t>
            </w:r>
          </w:p>
        </w:tc>
        <w:tc>
          <w:tcPr>
            <w:tcW w:w="170" w:type="dxa"/>
            <w:vAlign w:val="bottom"/>
          </w:tcPr>
          <w:p>
            <w:pPr>
              <w:spacing w:after="0"/>
              <w:rPr>
                <w:sz w:val="14"/>
                <w:szCs w:val="14"/>
                <w:color w:val="auto"/>
              </w:rPr>
            </w:pPr>
          </w:p>
        </w:tc>
        <w:tc>
          <w:tcPr>
            <w:tcW w:w="67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2,335</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1,911</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2,866</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0" w:type="dxa"/>
            <w:vAlign w:val="bottom"/>
          </w:tcPr>
          <w:p>
            <w:pPr>
              <w:spacing w:after="0"/>
              <w:rPr>
                <w:sz w:val="14"/>
                <w:szCs w:val="14"/>
                <w:color w:val="auto"/>
              </w:rPr>
            </w:pPr>
          </w:p>
        </w:tc>
        <w:tc>
          <w:tcPr>
            <w:tcW w:w="67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2,599</w:t>
            </w:r>
          </w:p>
        </w:tc>
        <w:tc>
          <w:tcPr>
            <w:tcW w:w="80" w:type="dxa"/>
            <w:vAlign w:val="bottom"/>
          </w:tcPr>
          <w:p>
            <w:pPr>
              <w:spacing w:after="0"/>
              <w:rPr>
                <w:sz w:val="14"/>
                <w:szCs w:val="14"/>
                <w:color w:val="auto"/>
              </w:rPr>
            </w:pPr>
          </w:p>
        </w:tc>
        <w:tc>
          <w:tcPr>
            <w:tcW w:w="170" w:type="dxa"/>
            <w:vAlign w:val="bottom"/>
          </w:tcPr>
          <w:p>
            <w:pPr>
              <w:spacing w:after="0"/>
              <w:rPr>
                <w:sz w:val="14"/>
                <w:szCs w:val="14"/>
                <w:color w:val="auto"/>
              </w:rPr>
            </w:pPr>
          </w:p>
        </w:tc>
        <w:tc>
          <w:tcPr>
            <w:tcW w:w="67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2,440</w:t>
            </w:r>
          </w:p>
        </w:tc>
        <w:tc>
          <w:tcPr>
            <w:tcW w:w="20" w:type="dxa"/>
            <w:vAlign w:val="bottom"/>
          </w:tcPr>
          <w:p>
            <w:pPr>
              <w:spacing w:after="0"/>
              <w:rPr>
                <w:sz w:val="14"/>
                <w:szCs w:val="14"/>
                <w:color w:val="auto"/>
              </w:rPr>
            </w:pPr>
          </w:p>
        </w:tc>
      </w:tr>
      <w:tr>
        <w:trPr>
          <w:trHeight w:val="160"/>
        </w:trPr>
        <w:tc>
          <w:tcPr>
            <w:tcW w:w="2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Plus: Provision for credit losses</w:t>
            </w:r>
          </w:p>
        </w:tc>
        <w:tc>
          <w:tcPr>
            <w:tcW w:w="170" w:type="dxa"/>
            <w:vAlign w:val="bottom"/>
            <w:tcBorders>
              <w:bottom w:val="single" w:sz="8" w:color="auto"/>
            </w:tcBorders>
            <w:shd w:val="clear" w:color="auto" w:fill="CCEEFF"/>
          </w:tcPr>
          <w:p>
            <w:pPr>
              <w:spacing w:after="0"/>
              <w:rPr>
                <w:sz w:val="13"/>
                <w:szCs w:val="13"/>
                <w:color w:val="auto"/>
              </w:rPr>
            </w:pPr>
          </w:p>
        </w:tc>
        <w:tc>
          <w:tcPr>
            <w:tcW w:w="67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801</w:t>
            </w:r>
          </w:p>
        </w:tc>
        <w:tc>
          <w:tcPr>
            <w:tcW w:w="16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480</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105</w:t>
            </w:r>
          </w:p>
        </w:tc>
        <w:tc>
          <w:tcPr>
            <w:tcW w:w="6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70" w:type="dxa"/>
            <w:vAlign w:val="bottom"/>
            <w:tcBorders>
              <w:bottom w:val="single" w:sz="8" w:color="auto"/>
            </w:tcBorders>
            <w:shd w:val="clear" w:color="auto" w:fill="CCEEFF"/>
          </w:tcPr>
          <w:p>
            <w:pPr>
              <w:spacing w:after="0"/>
              <w:rPr>
                <w:sz w:val="13"/>
                <w:szCs w:val="13"/>
                <w:color w:val="auto"/>
              </w:rPr>
            </w:pPr>
          </w:p>
        </w:tc>
        <w:tc>
          <w:tcPr>
            <w:tcW w:w="67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1,031</w:t>
            </w:r>
          </w:p>
        </w:tc>
        <w:tc>
          <w:tcPr>
            <w:tcW w:w="80" w:type="dxa"/>
            <w:vAlign w:val="bottom"/>
            <w:shd w:val="clear" w:color="auto" w:fill="CCEEFF"/>
          </w:tcPr>
          <w:p>
            <w:pPr>
              <w:spacing w:after="0"/>
              <w:rPr>
                <w:sz w:val="13"/>
                <w:szCs w:val="13"/>
                <w:color w:val="auto"/>
              </w:rPr>
            </w:pPr>
          </w:p>
        </w:tc>
        <w:tc>
          <w:tcPr>
            <w:tcW w:w="170" w:type="dxa"/>
            <w:vAlign w:val="bottom"/>
            <w:tcBorders>
              <w:bottom w:val="single" w:sz="8" w:color="auto"/>
            </w:tcBorders>
            <w:shd w:val="clear" w:color="auto" w:fill="CCEEFF"/>
          </w:tcPr>
          <w:p>
            <w:pPr>
              <w:spacing w:after="0"/>
              <w:rPr>
                <w:sz w:val="13"/>
                <w:szCs w:val="13"/>
                <w:color w:val="auto"/>
              </w:rPr>
            </w:pPr>
          </w:p>
        </w:tc>
        <w:tc>
          <w:tcPr>
            <w:tcW w:w="67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681</w:t>
            </w:r>
          </w:p>
        </w:tc>
        <w:tc>
          <w:tcPr>
            <w:tcW w:w="20" w:type="dxa"/>
            <w:vAlign w:val="bottom"/>
            <w:shd w:val="clear" w:color="auto" w:fill="CCEEFF"/>
          </w:tcPr>
          <w:p>
            <w:pPr>
              <w:spacing w:after="0"/>
              <w:rPr>
                <w:sz w:val="13"/>
                <w:szCs w:val="13"/>
                <w:color w:val="auto"/>
              </w:rPr>
            </w:pPr>
          </w:p>
        </w:tc>
      </w:tr>
      <w:tr>
        <w:trPr>
          <w:trHeight w:val="191"/>
        </w:trPr>
        <w:tc>
          <w:tcPr>
            <w:tcW w:w="298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PTPP income</w:t>
            </w:r>
          </w:p>
        </w:tc>
        <w:tc>
          <w:tcPr>
            <w:tcW w:w="17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w:t>
            </w:r>
          </w:p>
        </w:tc>
        <w:tc>
          <w:tcPr>
            <w:tcW w:w="67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12,487</w:t>
            </w:r>
          </w:p>
        </w:tc>
        <w:tc>
          <w:tcPr>
            <w:tcW w:w="16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3,754</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11,910</w:t>
            </w:r>
          </w:p>
        </w:tc>
        <w:tc>
          <w:tcPr>
            <w:tcW w:w="250" w:type="dxa"/>
            <w:vAlign w:val="bottom"/>
            <w:gridSpan w:val="3"/>
          </w:tcPr>
          <w:p>
            <w:pPr>
              <w:ind w:left="160"/>
              <w:spacing w:after="0"/>
              <w:rPr>
                <w:sz w:val="20"/>
                <w:szCs w:val="20"/>
                <w:color w:val="auto"/>
              </w:rPr>
            </w:pPr>
            <w:r>
              <w:rPr>
                <w:rFonts w:ascii="Times New Roman" w:cs="Times New Roman" w:eastAsia="Times New Roman" w:hAnsi="Times New Roman"/>
                <w:sz w:val="11"/>
                <w:szCs w:val="11"/>
                <w:color w:val="auto"/>
              </w:rPr>
              <w:t>$</w:t>
            </w:r>
          </w:p>
        </w:tc>
        <w:tc>
          <w:tcPr>
            <w:tcW w:w="67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11,770</w:t>
            </w:r>
          </w:p>
        </w:tc>
        <w:tc>
          <w:tcPr>
            <w:tcW w:w="25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w:t>
            </w:r>
          </w:p>
        </w:tc>
        <w:tc>
          <w:tcPr>
            <w:tcW w:w="67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10,779</w:t>
            </w:r>
          </w:p>
        </w:tc>
        <w:tc>
          <w:tcPr>
            <w:tcW w:w="20" w:type="dxa"/>
            <w:vAlign w:val="bottom"/>
          </w:tcPr>
          <w:p>
            <w:pPr>
              <w:spacing w:after="0"/>
              <w:rPr>
                <w:sz w:val="16"/>
                <w:szCs w:val="16"/>
                <w:color w:val="auto"/>
              </w:rPr>
            </w:pPr>
          </w:p>
        </w:tc>
      </w:tr>
      <w:tr>
        <w:trPr>
          <w:trHeight w:val="100"/>
        </w:trPr>
        <w:tc>
          <w:tcPr>
            <w:tcW w:w="2980" w:type="dxa"/>
            <w:vAlign w:val="bottom"/>
            <w:tcBorders>
              <w:top w:val="single" w:sz="8" w:color="CCEEFF"/>
            </w:tcBorders>
            <w:shd w:val="clear" w:color="auto" w:fill="CCEEFF"/>
          </w:tcPr>
          <w:p>
            <w:pPr>
              <w:spacing w:after="0"/>
              <w:rPr>
                <w:sz w:val="8"/>
                <w:szCs w:val="8"/>
                <w:color w:val="auto"/>
              </w:rPr>
            </w:pPr>
          </w:p>
        </w:tc>
        <w:tc>
          <w:tcPr>
            <w:tcW w:w="170" w:type="dxa"/>
            <w:vAlign w:val="bottom"/>
            <w:tcBorders>
              <w:top w:val="single" w:sz="8" w:color="auto"/>
            </w:tcBorders>
            <w:shd w:val="clear" w:color="auto" w:fill="CCEEFF"/>
          </w:tcPr>
          <w:p>
            <w:pPr>
              <w:spacing w:after="0"/>
              <w:rPr>
                <w:sz w:val="8"/>
                <w:szCs w:val="8"/>
                <w:color w:val="auto"/>
              </w:rPr>
            </w:pPr>
          </w:p>
        </w:tc>
        <w:tc>
          <w:tcPr>
            <w:tcW w:w="67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auto"/>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auto"/>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70" w:type="dxa"/>
            <w:vAlign w:val="bottom"/>
            <w:tcBorders>
              <w:top w:val="single" w:sz="8" w:color="auto"/>
            </w:tcBorders>
            <w:shd w:val="clear" w:color="auto" w:fill="CCEEFF"/>
          </w:tcPr>
          <w:p>
            <w:pPr>
              <w:spacing w:after="0"/>
              <w:rPr>
                <w:sz w:val="8"/>
                <w:szCs w:val="8"/>
                <w:color w:val="auto"/>
              </w:rPr>
            </w:pPr>
          </w:p>
        </w:tc>
        <w:tc>
          <w:tcPr>
            <w:tcW w:w="67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70" w:type="dxa"/>
            <w:vAlign w:val="bottom"/>
            <w:tcBorders>
              <w:top w:val="single" w:sz="8" w:color="auto"/>
            </w:tcBorders>
            <w:shd w:val="clear" w:color="auto" w:fill="CCEEFF"/>
          </w:tcPr>
          <w:p>
            <w:pPr>
              <w:spacing w:after="0"/>
              <w:rPr>
                <w:sz w:val="8"/>
                <w:szCs w:val="8"/>
                <w:color w:val="auto"/>
              </w:rPr>
            </w:pPr>
          </w:p>
        </w:tc>
        <w:tc>
          <w:tcPr>
            <w:tcW w:w="67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r>
      <w:tr>
        <w:trPr>
          <w:trHeight w:val="171"/>
        </w:trPr>
        <w:tc>
          <w:tcPr>
            <w:tcW w:w="298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PTPP return on average assets:</w:t>
            </w:r>
            <w:r>
              <w:rPr>
                <w:rFonts w:ascii="Times New Roman" w:cs="Times New Roman" w:eastAsia="Times New Roman" w:hAnsi="Times New Roman"/>
                <w:sz w:val="14"/>
                <w:szCs w:val="14"/>
                <w:color w:val="auto"/>
                <w:vertAlign w:val="superscript"/>
              </w:rPr>
              <w:t>(1)</w:t>
            </w:r>
          </w:p>
        </w:tc>
        <w:tc>
          <w:tcPr>
            <w:tcW w:w="170" w:type="dxa"/>
            <w:vAlign w:val="bottom"/>
          </w:tcPr>
          <w:p>
            <w:pPr>
              <w:spacing w:after="0"/>
              <w:rPr>
                <w:sz w:val="14"/>
                <w:szCs w:val="14"/>
                <w:color w:val="auto"/>
              </w:rPr>
            </w:pPr>
          </w:p>
        </w:tc>
        <w:tc>
          <w:tcPr>
            <w:tcW w:w="67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0" w:type="dxa"/>
            <w:vAlign w:val="bottom"/>
          </w:tcPr>
          <w:p>
            <w:pPr>
              <w:spacing w:after="0"/>
              <w:rPr>
                <w:sz w:val="14"/>
                <w:szCs w:val="14"/>
                <w:color w:val="auto"/>
              </w:rPr>
            </w:pPr>
          </w:p>
        </w:tc>
        <w:tc>
          <w:tcPr>
            <w:tcW w:w="67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 w:type="dxa"/>
            <w:vAlign w:val="bottom"/>
          </w:tcPr>
          <w:p>
            <w:pPr>
              <w:spacing w:after="0"/>
              <w:rPr>
                <w:sz w:val="14"/>
                <w:szCs w:val="14"/>
                <w:color w:val="auto"/>
              </w:rPr>
            </w:pPr>
          </w:p>
        </w:tc>
        <w:tc>
          <w:tcPr>
            <w:tcW w:w="67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0"/>
        </w:trPr>
        <w:tc>
          <w:tcPr>
            <w:tcW w:w="2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PTPP income</w:t>
            </w:r>
          </w:p>
        </w:tc>
        <w:tc>
          <w:tcPr>
            <w:tcW w:w="17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w:t>
            </w:r>
          </w:p>
        </w:tc>
        <w:tc>
          <w:tcPr>
            <w:tcW w:w="67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12,487</w:t>
            </w: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3,754</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11,910</w:t>
            </w:r>
          </w:p>
        </w:tc>
        <w:tc>
          <w:tcPr>
            <w:tcW w:w="80" w:type="dxa"/>
            <w:vAlign w:val="bottom"/>
            <w:gridSpan w:val="2"/>
            <w:shd w:val="clear" w:color="auto" w:fill="CCEEFF"/>
          </w:tcPr>
          <w:p>
            <w:pPr>
              <w:spacing w:after="0"/>
              <w:rPr>
                <w:sz w:val="13"/>
                <w:szCs w:val="13"/>
                <w:color w:val="auto"/>
              </w:rPr>
            </w:pPr>
          </w:p>
        </w:tc>
        <w:tc>
          <w:tcPr>
            <w:tcW w:w="17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w:t>
            </w:r>
          </w:p>
        </w:tc>
        <w:tc>
          <w:tcPr>
            <w:tcW w:w="67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11,770</w:t>
            </w:r>
          </w:p>
        </w:tc>
        <w:tc>
          <w:tcPr>
            <w:tcW w:w="80" w:type="dxa"/>
            <w:vAlign w:val="bottom"/>
            <w:shd w:val="clear" w:color="auto" w:fill="CCEEFF"/>
          </w:tcPr>
          <w:p>
            <w:pPr>
              <w:spacing w:after="0"/>
              <w:rPr>
                <w:sz w:val="13"/>
                <w:szCs w:val="13"/>
                <w:color w:val="auto"/>
              </w:rPr>
            </w:pPr>
          </w:p>
        </w:tc>
        <w:tc>
          <w:tcPr>
            <w:tcW w:w="17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w:t>
            </w:r>
          </w:p>
        </w:tc>
        <w:tc>
          <w:tcPr>
            <w:tcW w:w="67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10,779</w:t>
            </w:r>
          </w:p>
        </w:tc>
        <w:tc>
          <w:tcPr>
            <w:tcW w:w="20" w:type="dxa"/>
            <w:vAlign w:val="bottom"/>
            <w:shd w:val="clear" w:color="auto" w:fill="CCEEFF"/>
          </w:tcPr>
          <w:p>
            <w:pPr>
              <w:spacing w:after="0"/>
              <w:rPr>
                <w:sz w:val="13"/>
                <w:szCs w:val="13"/>
                <w:color w:val="auto"/>
              </w:rPr>
            </w:pPr>
          </w:p>
        </w:tc>
      </w:tr>
      <w:tr>
        <w:trPr>
          <w:trHeight w:val="171"/>
        </w:trPr>
        <w:tc>
          <w:tcPr>
            <w:tcW w:w="298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Average assets</w:t>
            </w:r>
          </w:p>
        </w:tc>
        <w:tc>
          <w:tcPr>
            <w:tcW w:w="17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w:t>
            </w:r>
          </w:p>
        </w:tc>
        <w:tc>
          <w:tcPr>
            <w:tcW w:w="67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2,834,717</w:t>
            </w:r>
          </w:p>
        </w:tc>
        <w:tc>
          <w:tcPr>
            <w:tcW w:w="16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2,799,863</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2,798,115</w:t>
            </w:r>
          </w:p>
        </w:tc>
        <w:tc>
          <w:tcPr>
            <w:tcW w:w="250" w:type="dxa"/>
            <w:vAlign w:val="bottom"/>
            <w:gridSpan w:val="3"/>
          </w:tcPr>
          <w:p>
            <w:pPr>
              <w:ind w:left="160"/>
              <w:spacing w:after="0"/>
              <w:rPr>
                <w:sz w:val="20"/>
                <w:szCs w:val="20"/>
                <w:color w:val="auto"/>
              </w:rPr>
            </w:pPr>
            <w:r>
              <w:rPr>
                <w:rFonts w:ascii="Times New Roman" w:cs="Times New Roman" w:eastAsia="Times New Roman" w:hAnsi="Times New Roman"/>
                <w:sz w:val="11"/>
                <w:szCs w:val="11"/>
                <w:color w:val="auto"/>
              </w:rPr>
              <w:t>$</w:t>
            </w:r>
          </w:p>
        </w:tc>
        <w:tc>
          <w:tcPr>
            <w:tcW w:w="67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2,677,198</w:t>
            </w:r>
          </w:p>
        </w:tc>
        <w:tc>
          <w:tcPr>
            <w:tcW w:w="25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w:t>
            </w:r>
          </w:p>
        </w:tc>
        <w:tc>
          <w:tcPr>
            <w:tcW w:w="67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2,606,593</w:t>
            </w:r>
          </w:p>
        </w:tc>
        <w:tc>
          <w:tcPr>
            <w:tcW w:w="20" w:type="dxa"/>
            <w:vAlign w:val="bottom"/>
          </w:tcPr>
          <w:p>
            <w:pPr>
              <w:spacing w:after="0"/>
              <w:rPr>
                <w:sz w:val="14"/>
                <w:szCs w:val="14"/>
                <w:color w:val="auto"/>
              </w:rPr>
            </w:pPr>
          </w:p>
        </w:tc>
      </w:tr>
      <w:tr>
        <w:trPr>
          <w:trHeight w:val="160"/>
        </w:trPr>
        <w:tc>
          <w:tcPr>
            <w:tcW w:w="2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 xml:space="preserve">PTPP return on average assets </w:t>
            </w:r>
            <w:r>
              <w:rPr>
                <w:rFonts w:ascii="Times New Roman" w:cs="Times New Roman" w:eastAsia="Times New Roman" w:hAnsi="Times New Roman"/>
                <w:sz w:val="14"/>
                <w:szCs w:val="14"/>
                <w:color w:val="auto"/>
                <w:vertAlign w:val="superscript"/>
              </w:rPr>
              <w:t>(2)</w:t>
            </w:r>
          </w:p>
        </w:tc>
        <w:tc>
          <w:tcPr>
            <w:tcW w:w="170" w:type="dxa"/>
            <w:vAlign w:val="bottom"/>
            <w:shd w:val="clear" w:color="auto" w:fill="CCEEFF"/>
          </w:tcPr>
          <w:p>
            <w:pPr>
              <w:spacing w:after="0"/>
              <w:rPr>
                <w:sz w:val="13"/>
                <w:szCs w:val="13"/>
                <w:color w:val="auto"/>
              </w:rPr>
            </w:pPr>
          </w:p>
        </w:tc>
        <w:tc>
          <w:tcPr>
            <w:tcW w:w="67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1.79%</w:t>
            </w: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0.53%</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1.69%</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70" w:type="dxa"/>
            <w:vAlign w:val="bottom"/>
            <w:shd w:val="clear" w:color="auto" w:fill="CCEEFF"/>
          </w:tcPr>
          <w:p>
            <w:pPr>
              <w:spacing w:after="0"/>
              <w:rPr>
                <w:sz w:val="13"/>
                <w:szCs w:val="13"/>
                <w:color w:val="auto"/>
              </w:rPr>
            </w:pPr>
          </w:p>
        </w:tc>
        <w:tc>
          <w:tcPr>
            <w:tcW w:w="67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1.76%</w:t>
            </w:r>
          </w:p>
        </w:tc>
        <w:tc>
          <w:tcPr>
            <w:tcW w:w="80" w:type="dxa"/>
            <w:vAlign w:val="bottom"/>
            <w:shd w:val="clear" w:color="auto" w:fill="CCEEFF"/>
          </w:tcPr>
          <w:p>
            <w:pPr>
              <w:spacing w:after="0"/>
              <w:rPr>
                <w:sz w:val="13"/>
                <w:szCs w:val="13"/>
                <w:color w:val="auto"/>
              </w:rPr>
            </w:pPr>
          </w:p>
        </w:tc>
        <w:tc>
          <w:tcPr>
            <w:tcW w:w="170" w:type="dxa"/>
            <w:vAlign w:val="bottom"/>
            <w:shd w:val="clear" w:color="auto" w:fill="CCEEFF"/>
          </w:tcPr>
          <w:p>
            <w:pPr>
              <w:spacing w:after="0"/>
              <w:rPr>
                <w:sz w:val="13"/>
                <w:szCs w:val="13"/>
                <w:color w:val="auto"/>
              </w:rPr>
            </w:pPr>
          </w:p>
        </w:tc>
        <w:tc>
          <w:tcPr>
            <w:tcW w:w="67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1.68%</w:t>
            </w:r>
          </w:p>
        </w:tc>
        <w:tc>
          <w:tcPr>
            <w:tcW w:w="20" w:type="dxa"/>
            <w:vAlign w:val="bottom"/>
            <w:shd w:val="clear" w:color="auto" w:fill="CCEEFF"/>
          </w:tcPr>
          <w:p>
            <w:pPr>
              <w:spacing w:after="0"/>
              <w:rPr>
                <w:sz w:val="13"/>
                <w:szCs w:val="13"/>
                <w:color w:val="auto"/>
              </w:rPr>
            </w:pPr>
          </w:p>
        </w:tc>
      </w:tr>
      <w:tr>
        <w:trPr>
          <w:trHeight w:val="171"/>
        </w:trPr>
        <w:tc>
          <w:tcPr>
            <w:tcW w:w="2980" w:type="dxa"/>
            <w:vAlign w:val="bottom"/>
          </w:tcPr>
          <w:p>
            <w:pPr>
              <w:spacing w:after="0"/>
              <w:rPr>
                <w:sz w:val="14"/>
                <w:szCs w:val="14"/>
                <w:color w:val="auto"/>
              </w:rPr>
            </w:pPr>
          </w:p>
        </w:tc>
        <w:tc>
          <w:tcPr>
            <w:tcW w:w="170" w:type="dxa"/>
            <w:vAlign w:val="bottom"/>
          </w:tcPr>
          <w:p>
            <w:pPr>
              <w:spacing w:after="0"/>
              <w:rPr>
                <w:sz w:val="14"/>
                <w:szCs w:val="14"/>
                <w:color w:val="auto"/>
              </w:rPr>
            </w:pPr>
          </w:p>
        </w:tc>
        <w:tc>
          <w:tcPr>
            <w:tcW w:w="67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0" w:type="dxa"/>
            <w:vAlign w:val="bottom"/>
          </w:tcPr>
          <w:p>
            <w:pPr>
              <w:spacing w:after="0"/>
              <w:rPr>
                <w:sz w:val="14"/>
                <w:szCs w:val="14"/>
                <w:color w:val="auto"/>
              </w:rPr>
            </w:pPr>
          </w:p>
        </w:tc>
        <w:tc>
          <w:tcPr>
            <w:tcW w:w="67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 w:type="dxa"/>
            <w:vAlign w:val="bottom"/>
          </w:tcPr>
          <w:p>
            <w:pPr>
              <w:spacing w:after="0"/>
              <w:rPr>
                <w:sz w:val="14"/>
                <w:szCs w:val="14"/>
                <w:color w:val="auto"/>
              </w:rPr>
            </w:pPr>
          </w:p>
        </w:tc>
        <w:tc>
          <w:tcPr>
            <w:tcW w:w="67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0"/>
        </w:trPr>
        <w:tc>
          <w:tcPr>
            <w:tcW w:w="2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b w:val="1"/>
                <w:bCs w:val="1"/>
                <w:color w:val="auto"/>
              </w:rPr>
              <w:t>Operating net income:</w:t>
            </w:r>
            <w:r>
              <w:rPr>
                <w:rFonts w:ascii="Times New Roman" w:cs="Times New Roman" w:eastAsia="Times New Roman" w:hAnsi="Times New Roman"/>
                <w:sz w:val="14"/>
                <w:szCs w:val="14"/>
                <w:color w:val="auto"/>
                <w:vertAlign w:val="superscript"/>
              </w:rPr>
              <w:t>(1)</w:t>
            </w:r>
          </w:p>
        </w:tc>
        <w:tc>
          <w:tcPr>
            <w:tcW w:w="170" w:type="dxa"/>
            <w:vAlign w:val="bottom"/>
            <w:shd w:val="clear" w:color="auto" w:fill="CCEEFF"/>
          </w:tcPr>
          <w:p>
            <w:pPr>
              <w:spacing w:after="0"/>
              <w:rPr>
                <w:sz w:val="13"/>
                <w:szCs w:val="13"/>
                <w:color w:val="auto"/>
              </w:rPr>
            </w:pPr>
          </w:p>
        </w:tc>
        <w:tc>
          <w:tcPr>
            <w:tcW w:w="67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70" w:type="dxa"/>
            <w:vAlign w:val="bottom"/>
            <w:shd w:val="clear" w:color="auto" w:fill="CCEEFF"/>
          </w:tcPr>
          <w:p>
            <w:pPr>
              <w:spacing w:after="0"/>
              <w:rPr>
                <w:sz w:val="13"/>
                <w:szCs w:val="13"/>
                <w:color w:val="auto"/>
              </w:rPr>
            </w:pPr>
          </w:p>
        </w:tc>
        <w:tc>
          <w:tcPr>
            <w:tcW w:w="67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70" w:type="dxa"/>
            <w:vAlign w:val="bottom"/>
            <w:shd w:val="clear" w:color="auto" w:fill="CCEEFF"/>
          </w:tcPr>
          <w:p>
            <w:pPr>
              <w:spacing w:after="0"/>
              <w:rPr>
                <w:sz w:val="13"/>
                <w:szCs w:val="13"/>
                <w:color w:val="auto"/>
              </w:rPr>
            </w:pPr>
          </w:p>
        </w:tc>
        <w:tc>
          <w:tcPr>
            <w:tcW w:w="67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71"/>
        </w:trPr>
        <w:tc>
          <w:tcPr>
            <w:tcW w:w="298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Net income</w:t>
            </w:r>
          </w:p>
        </w:tc>
        <w:tc>
          <w:tcPr>
            <w:tcW w:w="17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w:t>
            </w:r>
          </w:p>
        </w:tc>
        <w:tc>
          <w:tcPr>
            <w:tcW w:w="67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9,351</w:t>
            </w:r>
          </w:p>
        </w:tc>
        <w:tc>
          <w:tcPr>
            <w:tcW w:w="16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1,363</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8,939</w:t>
            </w:r>
          </w:p>
        </w:tc>
        <w:tc>
          <w:tcPr>
            <w:tcW w:w="250" w:type="dxa"/>
            <w:vAlign w:val="bottom"/>
            <w:gridSpan w:val="3"/>
          </w:tcPr>
          <w:p>
            <w:pPr>
              <w:ind w:left="160"/>
              <w:spacing w:after="0"/>
              <w:rPr>
                <w:sz w:val="20"/>
                <w:szCs w:val="20"/>
                <w:color w:val="auto"/>
              </w:rPr>
            </w:pPr>
            <w:r>
              <w:rPr>
                <w:rFonts w:ascii="Times New Roman" w:cs="Times New Roman" w:eastAsia="Times New Roman" w:hAnsi="Times New Roman"/>
                <w:sz w:val="11"/>
                <w:szCs w:val="11"/>
                <w:color w:val="auto"/>
              </w:rPr>
              <w:t>$</w:t>
            </w:r>
          </w:p>
        </w:tc>
        <w:tc>
          <w:tcPr>
            <w:tcW w:w="67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8,140</w:t>
            </w:r>
          </w:p>
        </w:tc>
        <w:tc>
          <w:tcPr>
            <w:tcW w:w="25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w:t>
            </w:r>
          </w:p>
        </w:tc>
        <w:tc>
          <w:tcPr>
            <w:tcW w:w="67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7,658</w:t>
            </w:r>
          </w:p>
        </w:tc>
        <w:tc>
          <w:tcPr>
            <w:tcW w:w="20" w:type="dxa"/>
            <w:vAlign w:val="bottom"/>
          </w:tcPr>
          <w:p>
            <w:pPr>
              <w:spacing w:after="0"/>
              <w:rPr>
                <w:sz w:val="14"/>
                <w:szCs w:val="14"/>
                <w:color w:val="auto"/>
              </w:rPr>
            </w:pPr>
          </w:p>
        </w:tc>
      </w:tr>
      <w:tr>
        <w:trPr>
          <w:trHeight w:val="171"/>
        </w:trPr>
        <w:tc>
          <w:tcPr>
            <w:tcW w:w="2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Less: Net gains (losses) on sale of securities</w:t>
            </w:r>
          </w:p>
        </w:tc>
        <w:tc>
          <w:tcPr>
            <w:tcW w:w="170" w:type="dxa"/>
            <w:vAlign w:val="bottom"/>
            <w:shd w:val="clear" w:color="auto" w:fill="CCEEFF"/>
          </w:tcPr>
          <w:p>
            <w:pPr>
              <w:spacing w:after="0"/>
              <w:rPr>
                <w:sz w:val="14"/>
                <w:szCs w:val="14"/>
                <w:color w:val="auto"/>
              </w:rPr>
            </w:pPr>
          </w:p>
        </w:tc>
        <w:tc>
          <w:tcPr>
            <w:tcW w:w="67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14</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(7,498)</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70" w:type="dxa"/>
            <w:vAlign w:val="bottom"/>
            <w:shd w:val="clear" w:color="auto" w:fill="CCEEFF"/>
          </w:tcPr>
          <w:p>
            <w:pPr>
              <w:spacing w:after="0"/>
              <w:rPr>
                <w:sz w:val="14"/>
                <w:szCs w:val="14"/>
                <w:color w:val="auto"/>
              </w:rPr>
            </w:pPr>
          </w:p>
        </w:tc>
        <w:tc>
          <w:tcPr>
            <w:tcW w:w="67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170" w:type="dxa"/>
            <w:vAlign w:val="bottom"/>
            <w:shd w:val="clear" w:color="auto" w:fill="CCEEFF"/>
          </w:tcPr>
          <w:p>
            <w:pPr>
              <w:spacing w:after="0"/>
              <w:rPr>
                <w:sz w:val="14"/>
                <w:szCs w:val="14"/>
                <w:color w:val="auto"/>
              </w:rPr>
            </w:pPr>
          </w:p>
        </w:tc>
        <w:tc>
          <w:tcPr>
            <w:tcW w:w="67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4"/>
                <w:szCs w:val="14"/>
                <w:color w:val="auto"/>
              </w:rPr>
            </w:pPr>
          </w:p>
        </w:tc>
      </w:tr>
      <w:tr>
        <w:trPr>
          <w:trHeight w:val="160"/>
        </w:trPr>
        <w:tc>
          <w:tcPr>
            <w:tcW w:w="298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Less: Tax effect on sale of securities</w:t>
            </w:r>
          </w:p>
        </w:tc>
        <w:tc>
          <w:tcPr>
            <w:tcW w:w="170" w:type="dxa"/>
            <w:vAlign w:val="bottom"/>
          </w:tcPr>
          <w:p>
            <w:pPr>
              <w:spacing w:after="0"/>
              <w:rPr>
                <w:sz w:val="13"/>
                <w:szCs w:val="13"/>
                <w:color w:val="auto"/>
              </w:rPr>
            </w:pPr>
          </w:p>
        </w:tc>
        <w:tc>
          <w:tcPr>
            <w:tcW w:w="67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1,900</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7</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0" w:type="dxa"/>
            <w:vAlign w:val="bottom"/>
          </w:tcPr>
          <w:p>
            <w:pPr>
              <w:spacing w:after="0"/>
              <w:rPr>
                <w:sz w:val="13"/>
                <w:szCs w:val="13"/>
                <w:color w:val="auto"/>
              </w:rPr>
            </w:pPr>
          </w:p>
        </w:tc>
        <w:tc>
          <w:tcPr>
            <w:tcW w:w="67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70" w:type="dxa"/>
            <w:vAlign w:val="bottom"/>
          </w:tcPr>
          <w:p>
            <w:pPr>
              <w:spacing w:after="0"/>
              <w:rPr>
                <w:sz w:val="13"/>
                <w:szCs w:val="13"/>
                <w:color w:val="auto"/>
              </w:rPr>
            </w:pPr>
          </w:p>
        </w:tc>
        <w:tc>
          <w:tcPr>
            <w:tcW w:w="67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3"/>
                <w:szCs w:val="13"/>
                <w:color w:val="auto"/>
              </w:rPr>
            </w:pPr>
          </w:p>
        </w:tc>
      </w:tr>
      <w:tr>
        <w:trPr>
          <w:trHeight w:val="160"/>
        </w:trPr>
        <w:tc>
          <w:tcPr>
            <w:tcW w:w="29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Plus: Tax (benefit) liability expense from prior periods</w:t>
            </w:r>
          </w:p>
        </w:tc>
        <w:tc>
          <w:tcPr>
            <w:tcW w:w="170" w:type="dxa"/>
            <w:vAlign w:val="bottom"/>
            <w:tcBorders>
              <w:bottom w:val="single" w:sz="8" w:color="auto"/>
            </w:tcBorders>
            <w:shd w:val="clear" w:color="auto" w:fill="CCEEFF"/>
          </w:tcPr>
          <w:p>
            <w:pPr>
              <w:spacing w:after="0"/>
              <w:rPr>
                <w:sz w:val="13"/>
                <w:szCs w:val="13"/>
                <w:color w:val="auto"/>
              </w:rPr>
            </w:pPr>
          </w:p>
        </w:tc>
        <w:tc>
          <w:tcPr>
            <w:tcW w:w="67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(619)</w:t>
            </w:r>
          </w:p>
        </w:tc>
        <w:tc>
          <w:tcPr>
            <w:tcW w:w="16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7"/>
                <w:szCs w:val="7"/>
                <w:color w:val="auto"/>
              </w:rPr>
              <w:t>(3)</w:t>
            </w:r>
          </w:p>
        </w:tc>
        <w:tc>
          <w:tcPr>
            <w:tcW w:w="16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1,096</w:t>
            </w:r>
          </w:p>
        </w:tc>
        <w:tc>
          <w:tcPr>
            <w:tcW w:w="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jc w:val="right"/>
              <w:ind w:right="24"/>
              <w:spacing w:after="0"/>
              <w:rPr>
                <w:sz w:val="20"/>
                <w:szCs w:val="20"/>
                <w:color w:val="auto"/>
              </w:rPr>
            </w:pPr>
            <w:r>
              <w:rPr>
                <w:rFonts w:ascii="Times New Roman" w:cs="Times New Roman" w:eastAsia="Times New Roman" w:hAnsi="Times New Roman"/>
                <w:sz w:val="7"/>
                <w:szCs w:val="7"/>
                <w:color w:val="auto"/>
                <w:w w:val="72"/>
              </w:rPr>
              <w:t>(4)</w:t>
            </w:r>
          </w:p>
        </w:tc>
        <w:tc>
          <w:tcPr>
            <w:tcW w:w="16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70" w:type="dxa"/>
            <w:vAlign w:val="bottom"/>
            <w:tcBorders>
              <w:bottom w:val="single" w:sz="8" w:color="auto"/>
            </w:tcBorders>
            <w:shd w:val="clear" w:color="auto" w:fill="CCEEFF"/>
          </w:tcPr>
          <w:p>
            <w:pPr>
              <w:spacing w:after="0"/>
              <w:rPr>
                <w:sz w:val="13"/>
                <w:szCs w:val="13"/>
                <w:color w:val="auto"/>
              </w:rPr>
            </w:pPr>
          </w:p>
        </w:tc>
        <w:tc>
          <w:tcPr>
            <w:tcW w:w="67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170" w:type="dxa"/>
            <w:vAlign w:val="bottom"/>
            <w:tcBorders>
              <w:bottom w:val="single" w:sz="8" w:color="auto"/>
            </w:tcBorders>
            <w:shd w:val="clear" w:color="auto" w:fill="CCEEFF"/>
          </w:tcPr>
          <w:p>
            <w:pPr>
              <w:spacing w:after="0"/>
              <w:rPr>
                <w:sz w:val="13"/>
                <w:szCs w:val="13"/>
                <w:color w:val="auto"/>
              </w:rPr>
            </w:pPr>
          </w:p>
        </w:tc>
        <w:tc>
          <w:tcPr>
            <w:tcW w:w="67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Borders>
              <w:bottom w:val="single" w:sz="8" w:color="CCEEFF"/>
            </w:tcBorders>
            <w:shd w:val="clear" w:color="auto" w:fill="CCEEFF"/>
          </w:tcPr>
          <w:p>
            <w:pPr>
              <w:spacing w:after="0"/>
              <w:rPr>
                <w:sz w:val="13"/>
                <w:szCs w:val="13"/>
                <w:color w:val="auto"/>
              </w:rPr>
            </w:pPr>
          </w:p>
        </w:tc>
      </w:tr>
      <w:tr>
        <w:trPr>
          <w:trHeight w:val="211"/>
        </w:trPr>
        <w:tc>
          <w:tcPr>
            <w:tcW w:w="298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Operating net income</w:t>
            </w:r>
          </w:p>
        </w:tc>
        <w:tc>
          <w:tcPr>
            <w:tcW w:w="17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w:t>
            </w:r>
          </w:p>
        </w:tc>
        <w:tc>
          <w:tcPr>
            <w:tcW w:w="67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8,722</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8,057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8,960</w:t>
            </w:r>
          </w:p>
        </w:tc>
        <w:tc>
          <w:tcPr>
            <w:tcW w:w="250" w:type="dxa"/>
            <w:vAlign w:val="bottom"/>
            <w:gridSpan w:val="3"/>
          </w:tcPr>
          <w:p>
            <w:pPr>
              <w:ind w:left="160"/>
              <w:spacing w:after="0"/>
              <w:rPr>
                <w:sz w:val="20"/>
                <w:szCs w:val="20"/>
                <w:color w:val="auto"/>
              </w:rPr>
            </w:pPr>
            <w:r>
              <w:rPr>
                <w:rFonts w:ascii="Times New Roman" w:cs="Times New Roman" w:eastAsia="Times New Roman" w:hAnsi="Times New Roman"/>
                <w:sz w:val="11"/>
                <w:szCs w:val="11"/>
                <w:color w:val="auto"/>
              </w:rPr>
              <w:t>$</w:t>
            </w:r>
          </w:p>
        </w:tc>
        <w:tc>
          <w:tcPr>
            <w:tcW w:w="67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8,140</w:t>
            </w:r>
          </w:p>
        </w:tc>
        <w:tc>
          <w:tcPr>
            <w:tcW w:w="25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w:t>
            </w:r>
          </w:p>
        </w:tc>
        <w:tc>
          <w:tcPr>
            <w:tcW w:w="67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7,658</w:t>
            </w:r>
          </w:p>
        </w:tc>
        <w:tc>
          <w:tcPr>
            <w:tcW w:w="20" w:type="dxa"/>
            <w:vAlign w:val="bottom"/>
          </w:tcPr>
          <w:p>
            <w:pPr>
              <w:spacing w:after="0"/>
              <w:rPr>
                <w:sz w:val="18"/>
                <w:szCs w:val="18"/>
                <w:color w:val="auto"/>
              </w:rPr>
            </w:pPr>
          </w:p>
        </w:tc>
      </w:tr>
      <w:tr>
        <w:trPr>
          <w:trHeight w:val="91"/>
        </w:trPr>
        <w:tc>
          <w:tcPr>
            <w:tcW w:w="2980" w:type="dxa"/>
            <w:vAlign w:val="bottom"/>
            <w:tcBorders>
              <w:top w:val="single" w:sz="8" w:color="CCEEFF"/>
            </w:tcBorders>
            <w:shd w:val="clear" w:color="auto" w:fill="CCEEFF"/>
          </w:tcPr>
          <w:p>
            <w:pPr>
              <w:spacing w:after="0"/>
              <w:rPr>
                <w:sz w:val="7"/>
                <w:szCs w:val="7"/>
                <w:color w:val="auto"/>
              </w:rPr>
            </w:pPr>
          </w:p>
        </w:tc>
        <w:tc>
          <w:tcPr>
            <w:tcW w:w="170" w:type="dxa"/>
            <w:vAlign w:val="bottom"/>
            <w:tcBorders>
              <w:top w:val="single" w:sz="8" w:color="auto"/>
            </w:tcBorders>
            <w:shd w:val="clear" w:color="auto" w:fill="CCEEFF"/>
          </w:tcPr>
          <w:p>
            <w:pPr>
              <w:spacing w:after="0"/>
              <w:rPr>
                <w:sz w:val="7"/>
                <w:szCs w:val="7"/>
                <w:color w:val="auto"/>
              </w:rPr>
            </w:pPr>
          </w:p>
        </w:tc>
        <w:tc>
          <w:tcPr>
            <w:tcW w:w="670" w:type="dxa"/>
            <w:vAlign w:val="bottom"/>
            <w:tcBorders>
              <w:top w:val="single" w:sz="8" w:color="auto"/>
            </w:tcBorders>
            <w:shd w:val="clear" w:color="auto" w:fill="CCEEFF"/>
          </w:tcPr>
          <w:p>
            <w:pPr>
              <w:spacing w:after="0"/>
              <w:rPr>
                <w:sz w:val="7"/>
                <w:szCs w:val="7"/>
                <w:color w:val="auto"/>
              </w:rPr>
            </w:pPr>
          </w:p>
        </w:tc>
        <w:tc>
          <w:tcPr>
            <w:tcW w:w="160" w:type="dxa"/>
            <w:vAlign w:val="bottom"/>
            <w:tcBorders>
              <w:top w:val="single" w:sz="8" w:color="CCEEFF"/>
            </w:tcBorders>
            <w:shd w:val="clear" w:color="auto" w:fill="CCEEFF"/>
          </w:tcPr>
          <w:p>
            <w:pPr>
              <w:spacing w:after="0"/>
              <w:rPr>
                <w:sz w:val="7"/>
                <w:szCs w:val="7"/>
                <w:color w:val="auto"/>
              </w:rPr>
            </w:pPr>
          </w:p>
        </w:tc>
        <w:tc>
          <w:tcPr>
            <w:tcW w:w="160" w:type="dxa"/>
            <w:vAlign w:val="bottom"/>
            <w:tcBorders>
              <w:top w:val="single" w:sz="8" w:color="auto"/>
            </w:tcBorders>
            <w:shd w:val="clear" w:color="auto" w:fill="CCEEFF"/>
          </w:tcPr>
          <w:p>
            <w:pPr>
              <w:spacing w:after="0"/>
              <w:rPr>
                <w:sz w:val="7"/>
                <w:szCs w:val="7"/>
                <w:color w:val="auto"/>
              </w:rPr>
            </w:pPr>
          </w:p>
        </w:tc>
        <w:tc>
          <w:tcPr>
            <w:tcW w:w="700" w:type="dxa"/>
            <w:vAlign w:val="bottom"/>
            <w:tcBorders>
              <w:top w:val="single" w:sz="8" w:color="auto"/>
            </w:tcBorders>
            <w:shd w:val="clear" w:color="auto" w:fill="CCEEFF"/>
          </w:tcPr>
          <w:p>
            <w:pPr>
              <w:spacing w:after="0"/>
              <w:rPr>
                <w:sz w:val="7"/>
                <w:szCs w:val="7"/>
                <w:color w:val="auto"/>
              </w:rPr>
            </w:pPr>
          </w:p>
        </w:tc>
        <w:tc>
          <w:tcPr>
            <w:tcW w:w="20" w:type="dxa"/>
            <w:vAlign w:val="bottom"/>
            <w:tcBorders>
              <w:top w:val="single" w:sz="8" w:color="auto"/>
            </w:tcBorders>
            <w:shd w:val="clear" w:color="auto" w:fill="CCEEFF"/>
          </w:tcPr>
          <w:p>
            <w:pPr>
              <w:spacing w:after="0"/>
              <w:rPr>
                <w:sz w:val="7"/>
                <w:szCs w:val="7"/>
                <w:color w:val="auto"/>
              </w:rPr>
            </w:pPr>
          </w:p>
        </w:tc>
        <w:tc>
          <w:tcPr>
            <w:tcW w:w="140" w:type="dxa"/>
            <w:vAlign w:val="bottom"/>
            <w:tcBorders>
              <w:top w:val="single" w:sz="8" w:color="CCEEFF"/>
            </w:tcBorders>
            <w:shd w:val="clear" w:color="auto" w:fill="CCEEFF"/>
          </w:tcPr>
          <w:p>
            <w:pPr>
              <w:spacing w:after="0"/>
              <w:rPr>
                <w:sz w:val="7"/>
                <w:szCs w:val="7"/>
                <w:color w:val="auto"/>
              </w:rPr>
            </w:pPr>
          </w:p>
        </w:tc>
        <w:tc>
          <w:tcPr>
            <w:tcW w:w="160" w:type="dxa"/>
            <w:vAlign w:val="bottom"/>
            <w:tcBorders>
              <w:top w:val="single" w:sz="8" w:color="auto"/>
            </w:tcBorders>
            <w:shd w:val="clear" w:color="auto" w:fill="CCEEFF"/>
          </w:tcPr>
          <w:p>
            <w:pPr>
              <w:spacing w:after="0"/>
              <w:rPr>
                <w:sz w:val="7"/>
                <w:szCs w:val="7"/>
                <w:color w:val="auto"/>
              </w:rPr>
            </w:pPr>
          </w:p>
        </w:tc>
        <w:tc>
          <w:tcPr>
            <w:tcW w:w="68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170" w:type="dxa"/>
            <w:vAlign w:val="bottom"/>
            <w:tcBorders>
              <w:top w:val="single" w:sz="8" w:color="auto"/>
            </w:tcBorders>
            <w:shd w:val="clear" w:color="auto" w:fill="CCEEFF"/>
          </w:tcPr>
          <w:p>
            <w:pPr>
              <w:spacing w:after="0"/>
              <w:rPr>
                <w:sz w:val="7"/>
                <w:szCs w:val="7"/>
                <w:color w:val="auto"/>
              </w:rPr>
            </w:pPr>
          </w:p>
        </w:tc>
        <w:tc>
          <w:tcPr>
            <w:tcW w:w="67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170" w:type="dxa"/>
            <w:vAlign w:val="bottom"/>
            <w:tcBorders>
              <w:top w:val="single" w:sz="8" w:color="auto"/>
            </w:tcBorders>
            <w:shd w:val="clear" w:color="auto" w:fill="CCEEFF"/>
          </w:tcPr>
          <w:p>
            <w:pPr>
              <w:spacing w:after="0"/>
              <w:rPr>
                <w:sz w:val="7"/>
                <w:szCs w:val="7"/>
                <w:color w:val="auto"/>
              </w:rPr>
            </w:pPr>
          </w:p>
        </w:tc>
        <w:tc>
          <w:tcPr>
            <w:tcW w:w="670" w:type="dxa"/>
            <w:vAlign w:val="bottom"/>
            <w:tcBorders>
              <w:top w:val="single" w:sz="8" w:color="auto"/>
            </w:tcBorders>
            <w:shd w:val="clear" w:color="auto" w:fill="CCEEFF"/>
          </w:tcPr>
          <w:p>
            <w:pPr>
              <w:spacing w:after="0"/>
              <w:rPr>
                <w:sz w:val="7"/>
                <w:szCs w:val="7"/>
                <w:color w:val="auto"/>
              </w:rPr>
            </w:pPr>
          </w:p>
        </w:tc>
        <w:tc>
          <w:tcPr>
            <w:tcW w:w="20" w:type="dxa"/>
            <w:vAlign w:val="bottom"/>
            <w:tcBorders>
              <w:top w:val="single" w:sz="8" w:color="auto"/>
            </w:tcBorders>
            <w:shd w:val="clear" w:color="auto" w:fill="CCEEFF"/>
          </w:tcPr>
          <w:p>
            <w:pPr>
              <w:spacing w:after="0"/>
              <w:rPr>
                <w:sz w:val="7"/>
                <w:szCs w:val="7"/>
                <w:color w:val="auto"/>
              </w:rPr>
            </w:pPr>
          </w:p>
        </w:tc>
      </w:tr>
      <w:tr>
        <w:trPr>
          <w:trHeight w:val="160"/>
        </w:trPr>
        <w:tc>
          <w:tcPr>
            <w:tcW w:w="298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Operating return on average assets:</w:t>
            </w:r>
            <w:r>
              <w:rPr>
                <w:rFonts w:ascii="Times New Roman" w:cs="Times New Roman" w:eastAsia="Times New Roman" w:hAnsi="Times New Roman"/>
                <w:sz w:val="14"/>
                <w:szCs w:val="14"/>
                <w:color w:val="auto"/>
                <w:vertAlign w:val="superscript"/>
              </w:rPr>
              <w:t>(1)</w:t>
            </w:r>
          </w:p>
        </w:tc>
        <w:tc>
          <w:tcPr>
            <w:tcW w:w="170" w:type="dxa"/>
            <w:vAlign w:val="bottom"/>
          </w:tcPr>
          <w:p>
            <w:pPr>
              <w:spacing w:after="0"/>
              <w:rPr>
                <w:sz w:val="13"/>
                <w:szCs w:val="13"/>
                <w:color w:val="auto"/>
              </w:rPr>
            </w:pPr>
          </w:p>
        </w:tc>
        <w:tc>
          <w:tcPr>
            <w:tcW w:w="67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0" w:type="dxa"/>
            <w:vAlign w:val="bottom"/>
          </w:tcPr>
          <w:p>
            <w:pPr>
              <w:spacing w:after="0"/>
              <w:rPr>
                <w:sz w:val="13"/>
                <w:szCs w:val="13"/>
                <w:color w:val="auto"/>
              </w:rPr>
            </w:pPr>
          </w:p>
        </w:tc>
        <w:tc>
          <w:tcPr>
            <w:tcW w:w="67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0" w:type="dxa"/>
            <w:vAlign w:val="bottom"/>
          </w:tcPr>
          <w:p>
            <w:pPr>
              <w:spacing w:after="0"/>
              <w:rPr>
                <w:sz w:val="13"/>
                <w:szCs w:val="13"/>
                <w:color w:val="auto"/>
              </w:rPr>
            </w:pPr>
          </w:p>
        </w:tc>
        <w:tc>
          <w:tcPr>
            <w:tcW w:w="67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71"/>
        </w:trPr>
        <w:tc>
          <w:tcPr>
            <w:tcW w:w="2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Operating net income</w:t>
            </w:r>
          </w:p>
        </w:tc>
        <w:tc>
          <w:tcPr>
            <w:tcW w:w="17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w:t>
            </w:r>
          </w:p>
        </w:tc>
        <w:tc>
          <w:tcPr>
            <w:tcW w:w="67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8,722</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8,057</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8,960</w:t>
            </w:r>
          </w:p>
        </w:tc>
        <w:tc>
          <w:tcPr>
            <w:tcW w:w="80" w:type="dxa"/>
            <w:vAlign w:val="bottom"/>
            <w:gridSpan w:val="2"/>
            <w:shd w:val="clear" w:color="auto" w:fill="CCEEFF"/>
          </w:tcPr>
          <w:p>
            <w:pPr>
              <w:spacing w:after="0"/>
              <w:rPr>
                <w:sz w:val="14"/>
                <w:szCs w:val="14"/>
                <w:color w:val="auto"/>
              </w:rPr>
            </w:pPr>
          </w:p>
        </w:tc>
        <w:tc>
          <w:tcPr>
            <w:tcW w:w="17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w:t>
            </w:r>
          </w:p>
        </w:tc>
        <w:tc>
          <w:tcPr>
            <w:tcW w:w="67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8,140</w:t>
            </w:r>
          </w:p>
        </w:tc>
        <w:tc>
          <w:tcPr>
            <w:tcW w:w="80" w:type="dxa"/>
            <w:vAlign w:val="bottom"/>
            <w:shd w:val="clear" w:color="auto" w:fill="CCEEFF"/>
          </w:tcPr>
          <w:p>
            <w:pPr>
              <w:spacing w:after="0"/>
              <w:rPr>
                <w:sz w:val="14"/>
                <w:szCs w:val="14"/>
                <w:color w:val="auto"/>
              </w:rPr>
            </w:pPr>
          </w:p>
        </w:tc>
        <w:tc>
          <w:tcPr>
            <w:tcW w:w="17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w:t>
            </w:r>
          </w:p>
        </w:tc>
        <w:tc>
          <w:tcPr>
            <w:tcW w:w="67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7,658</w:t>
            </w:r>
          </w:p>
        </w:tc>
        <w:tc>
          <w:tcPr>
            <w:tcW w:w="20" w:type="dxa"/>
            <w:vAlign w:val="bottom"/>
            <w:shd w:val="clear" w:color="auto" w:fill="CCEEFF"/>
          </w:tcPr>
          <w:p>
            <w:pPr>
              <w:spacing w:after="0"/>
              <w:rPr>
                <w:sz w:val="14"/>
                <w:szCs w:val="14"/>
                <w:color w:val="auto"/>
              </w:rPr>
            </w:pPr>
          </w:p>
        </w:tc>
      </w:tr>
      <w:tr>
        <w:trPr>
          <w:trHeight w:val="160"/>
        </w:trPr>
        <w:tc>
          <w:tcPr>
            <w:tcW w:w="298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Average assets</w:t>
            </w:r>
          </w:p>
        </w:tc>
        <w:tc>
          <w:tcPr>
            <w:tcW w:w="17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w:t>
            </w:r>
          </w:p>
        </w:tc>
        <w:tc>
          <w:tcPr>
            <w:tcW w:w="67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2,834,717</w:t>
            </w:r>
          </w:p>
        </w:tc>
        <w:tc>
          <w:tcPr>
            <w:tcW w:w="16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2,799,863</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2,798,115</w:t>
            </w:r>
          </w:p>
        </w:tc>
        <w:tc>
          <w:tcPr>
            <w:tcW w:w="250" w:type="dxa"/>
            <w:vAlign w:val="bottom"/>
            <w:gridSpan w:val="3"/>
          </w:tcPr>
          <w:p>
            <w:pPr>
              <w:ind w:left="160"/>
              <w:spacing w:after="0"/>
              <w:rPr>
                <w:sz w:val="20"/>
                <w:szCs w:val="20"/>
                <w:color w:val="auto"/>
              </w:rPr>
            </w:pPr>
            <w:r>
              <w:rPr>
                <w:rFonts w:ascii="Times New Roman" w:cs="Times New Roman" w:eastAsia="Times New Roman" w:hAnsi="Times New Roman"/>
                <w:sz w:val="11"/>
                <w:szCs w:val="11"/>
                <w:color w:val="auto"/>
              </w:rPr>
              <w:t>$</w:t>
            </w:r>
          </w:p>
        </w:tc>
        <w:tc>
          <w:tcPr>
            <w:tcW w:w="67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2,677,198</w:t>
            </w:r>
          </w:p>
        </w:tc>
        <w:tc>
          <w:tcPr>
            <w:tcW w:w="25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w:t>
            </w:r>
          </w:p>
        </w:tc>
        <w:tc>
          <w:tcPr>
            <w:tcW w:w="67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2,606,593</w:t>
            </w:r>
          </w:p>
        </w:tc>
        <w:tc>
          <w:tcPr>
            <w:tcW w:w="20" w:type="dxa"/>
            <w:vAlign w:val="bottom"/>
          </w:tcPr>
          <w:p>
            <w:pPr>
              <w:spacing w:after="0"/>
              <w:rPr>
                <w:sz w:val="13"/>
                <w:szCs w:val="13"/>
                <w:color w:val="auto"/>
              </w:rPr>
            </w:pPr>
          </w:p>
        </w:tc>
      </w:tr>
      <w:tr>
        <w:trPr>
          <w:trHeight w:val="171"/>
        </w:trPr>
        <w:tc>
          <w:tcPr>
            <w:tcW w:w="2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 xml:space="preserve">Operating net income return on average assets </w:t>
            </w:r>
            <w:r>
              <w:rPr>
                <w:rFonts w:ascii="Times New Roman" w:cs="Times New Roman" w:eastAsia="Times New Roman" w:hAnsi="Times New Roman"/>
                <w:sz w:val="14"/>
                <w:szCs w:val="14"/>
                <w:color w:val="auto"/>
                <w:vertAlign w:val="superscript"/>
              </w:rPr>
              <w:t>(2)</w:t>
            </w:r>
          </w:p>
        </w:tc>
        <w:tc>
          <w:tcPr>
            <w:tcW w:w="170" w:type="dxa"/>
            <w:vAlign w:val="bottom"/>
            <w:shd w:val="clear" w:color="auto" w:fill="CCEEFF"/>
          </w:tcPr>
          <w:p>
            <w:pPr>
              <w:spacing w:after="0"/>
              <w:rPr>
                <w:sz w:val="14"/>
                <w:szCs w:val="14"/>
                <w:color w:val="auto"/>
              </w:rPr>
            </w:pPr>
          </w:p>
        </w:tc>
        <w:tc>
          <w:tcPr>
            <w:tcW w:w="67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1.25%</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1.14%</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1.27%</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70" w:type="dxa"/>
            <w:vAlign w:val="bottom"/>
            <w:shd w:val="clear" w:color="auto" w:fill="CCEEFF"/>
          </w:tcPr>
          <w:p>
            <w:pPr>
              <w:spacing w:after="0"/>
              <w:rPr>
                <w:sz w:val="14"/>
                <w:szCs w:val="14"/>
                <w:color w:val="auto"/>
              </w:rPr>
            </w:pPr>
          </w:p>
        </w:tc>
        <w:tc>
          <w:tcPr>
            <w:tcW w:w="67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1.22%</w:t>
            </w:r>
          </w:p>
        </w:tc>
        <w:tc>
          <w:tcPr>
            <w:tcW w:w="80" w:type="dxa"/>
            <w:vAlign w:val="bottom"/>
            <w:shd w:val="clear" w:color="auto" w:fill="CCEEFF"/>
          </w:tcPr>
          <w:p>
            <w:pPr>
              <w:spacing w:after="0"/>
              <w:rPr>
                <w:sz w:val="14"/>
                <w:szCs w:val="14"/>
                <w:color w:val="auto"/>
              </w:rPr>
            </w:pPr>
          </w:p>
        </w:tc>
        <w:tc>
          <w:tcPr>
            <w:tcW w:w="170" w:type="dxa"/>
            <w:vAlign w:val="bottom"/>
            <w:shd w:val="clear" w:color="auto" w:fill="CCEEFF"/>
          </w:tcPr>
          <w:p>
            <w:pPr>
              <w:spacing w:after="0"/>
              <w:rPr>
                <w:sz w:val="14"/>
                <w:szCs w:val="14"/>
                <w:color w:val="auto"/>
              </w:rPr>
            </w:pPr>
          </w:p>
        </w:tc>
        <w:tc>
          <w:tcPr>
            <w:tcW w:w="67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1.19%</w:t>
            </w:r>
          </w:p>
        </w:tc>
        <w:tc>
          <w:tcPr>
            <w:tcW w:w="20" w:type="dxa"/>
            <w:vAlign w:val="bottom"/>
            <w:shd w:val="clear" w:color="auto" w:fill="CCEEFF"/>
          </w:tcPr>
          <w:p>
            <w:pPr>
              <w:spacing w:after="0"/>
              <w:rPr>
                <w:sz w:val="14"/>
                <w:szCs w:val="14"/>
                <w:color w:val="auto"/>
              </w:rPr>
            </w:pPr>
          </w:p>
        </w:tc>
      </w:tr>
      <w:tr>
        <w:trPr>
          <w:trHeight w:val="160"/>
        </w:trPr>
        <w:tc>
          <w:tcPr>
            <w:tcW w:w="2980" w:type="dxa"/>
            <w:vAlign w:val="bottom"/>
          </w:tcPr>
          <w:p>
            <w:pPr>
              <w:spacing w:after="0"/>
              <w:rPr>
                <w:sz w:val="13"/>
                <w:szCs w:val="13"/>
                <w:color w:val="auto"/>
              </w:rPr>
            </w:pPr>
          </w:p>
        </w:tc>
        <w:tc>
          <w:tcPr>
            <w:tcW w:w="170" w:type="dxa"/>
            <w:vAlign w:val="bottom"/>
          </w:tcPr>
          <w:p>
            <w:pPr>
              <w:spacing w:after="0"/>
              <w:rPr>
                <w:sz w:val="13"/>
                <w:szCs w:val="13"/>
                <w:color w:val="auto"/>
              </w:rPr>
            </w:pPr>
          </w:p>
        </w:tc>
        <w:tc>
          <w:tcPr>
            <w:tcW w:w="67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0" w:type="dxa"/>
            <w:vAlign w:val="bottom"/>
          </w:tcPr>
          <w:p>
            <w:pPr>
              <w:spacing w:after="0"/>
              <w:rPr>
                <w:sz w:val="13"/>
                <w:szCs w:val="13"/>
                <w:color w:val="auto"/>
              </w:rPr>
            </w:pPr>
          </w:p>
        </w:tc>
        <w:tc>
          <w:tcPr>
            <w:tcW w:w="67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0" w:type="dxa"/>
            <w:vAlign w:val="bottom"/>
          </w:tcPr>
          <w:p>
            <w:pPr>
              <w:spacing w:after="0"/>
              <w:rPr>
                <w:sz w:val="13"/>
                <w:szCs w:val="13"/>
                <w:color w:val="auto"/>
              </w:rPr>
            </w:pPr>
          </w:p>
        </w:tc>
        <w:tc>
          <w:tcPr>
            <w:tcW w:w="67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71"/>
        </w:trPr>
        <w:tc>
          <w:tcPr>
            <w:tcW w:w="2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b w:val="1"/>
                <w:bCs w:val="1"/>
                <w:color w:val="auto"/>
              </w:rPr>
              <w:t>Operating return on average equity:</w:t>
            </w:r>
            <w:r>
              <w:rPr>
                <w:rFonts w:ascii="Times New Roman" w:cs="Times New Roman" w:eastAsia="Times New Roman" w:hAnsi="Times New Roman"/>
                <w:sz w:val="14"/>
                <w:szCs w:val="14"/>
                <w:color w:val="auto"/>
                <w:vertAlign w:val="superscript"/>
              </w:rPr>
              <w:t>(1)</w:t>
            </w:r>
          </w:p>
        </w:tc>
        <w:tc>
          <w:tcPr>
            <w:tcW w:w="170" w:type="dxa"/>
            <w:vAlign w:val="bottom"/>
            <w:shd w:val="clear" w:color="auto" w:fill="CCEEFF"/>
          </w:tcPr>
          <w:p>
            <w:pPr>
              <w:spacing w:after="0"/>
              <w:rPr>
                <w:sz w:val="14"/>
                <w:szCs w:val="14"/>
                <w:color w:val="auto"/>
              </w:rPr>
            </w:pPr>
          </w:p>
        </w:tc>
        <w:tc>
          <w:tcPr>
            <w:tcW w:w="67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70" w:type="dxa"/>
            <w:vAlign w:val="bottom"/>
            <w:shd w:val="clear" w:color="auto" w:fill="CCEEFF"/>
          </w:tcPr>
          <w:p>
            <w:pPr>
              <w:spacing w:after="0"/>
              <w:rPr>
                <w:sz w:val="14"/>
                <w:szCs w:val="14"/>
                <w:color w:val="auto"/>
              </w:rPr>
            </w:pPr>
          </w:p>
        </w:tc>
        <w:tc>
          <w:tcPr>
            <w:tcW w:w="67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70" w:type="dxa"/>
            <w:vAlign w:val="bottom"/>
            <w:shd w:val="clear" w:color="auto" w:fill="CCEEFF"/>
          </w:tcPr>
          <w:p>
            <w:pPr>
              <w:spacing w:after="0"/>
              <w:rPr>
                <w:sz w:val="14"/>
                <w:szCs w:val="14"/>
                <w:color w:val="auto"/>
              </w:rPr>
            </w:pPr>
          </w:p>
        </w:tc>
        <w:tc>
          <w:tcPr>
            <w:tcW w:w="67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60"/>
        </w:trPr>
        <w:tc>
          <w:tcPr>
            <w:tcW w:w="298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Operating net income</w:t>
            </w:r>
          </w:p>
        </w:tc>
        <w:tc>
          <w:tcPr>
            <w:tcW w:w="17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w:t>
            </w:r>
          </w:p>
        </w:tc>
        <w:tc>
          <w:tcPr>
            <w:tcW w:w="67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8,722</w:t>
            </w:r>
          </w:p>
        </w:tc>
        <w:tc>
          <w:tcPr>
            <w:tcW w:w="16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8,057</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8,960</w:t>
            </w:r>
          </w:p>
        </w:tc>
        <w:tc>
          <w:tcPr>
            <w:tcW w:w="250" w:type="dxa"/>
            <w:vAlign w:val="bottom"/>
            <w:gridSpan w:val="3"/>
          </w:tcPr>
          <w:p>
            <w:pPr>
              <w:ind w:left="160"/>
              <w:spacing w:after="0"/>
              <w:rPr>
                <w:sz w:val="20"/>
                <w:szCs w:val="20"/>
                <w:color w:val="auto"/>
              </w:rPr>
            </w:pPr>
            <w:r>
              <w:rPr>
                <w:rFonts w:ascii="Times New Roman" w:cs="Times New Roman" w:eastAsia="Times New Roman" w:hAnsi="Times New Roman"/>
                <w:sz w:val="11"/>
                <w:szCs w:val="11"/>
                <w:color w:val="auto"/>
              </w:rPr>
              <w:t>$</w:t>
            </w:r>
          </w:p>
        </w:tc>
        <w:tc>
          <w:tcPr>
            <w:tcW w:w="67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8,140</w:t>
            </w:r>
          </w:p>
        </w:tc>
        <w:tc>
          <w:tcPr>
            <w:tcW w:w="25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w:t>
            </w:r>
          </w:p>
        </w:tc>
        <w:tc>
          <w:tcPr>
            <w:tcW w:w="67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7,658</w:t>
            </w:r>
          </w:p>
        </w:tc>
        <w:tc>
          <w:tcPr>
            <w:tcW w:w="20" w:type="dxa"/>
            <w:vAlign w:val="bottom"/>
          </w:tcPr>
          <w:p>
            <w:pPr>
              <w:spacing w:after="0"/>
              <w:rPr>
                <w:sz w:val="13"/>
                <w:szCs w:val="13"/>
                <w:color w:val="auto"/>
              </w:rPr>
            </w:pPr>
          </w:p>
        </w:tc>
      </w:tr>
      <w:tr>
        <w:trPr>
          <w:trHeight w:val="171"/>
        </w:trPr>
        <w:tc>
          <w:tcPr>
            <w:tcW w:w="2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Average equity</w:t>
            </w:r>
          </w:p>
        </w:tc>
        <w:tc>
          <w:tcPr>
            <w:tcW w:w="17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w:t>
            </w:r>
          </w:p>
        </w:tc>
        <w:tc>
          <w:tcPr>
            <w:tcW w:w="67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222,226</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212,393</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225,316</w:t>
            </w:r>
          </w:p>
        </w:tc>
        <w:tc>
          <w:tcPr>
            <w:tcW w:w="80" w:type="dxa"/>
            <w:vAlign w:val="bottom"/>
            <w:gridSpan w:val="2"/>
            <w:shd w:val="clear" w:color="auto" w:fill="CCEEFF"/>
          </w:tcPr>
          <w:p>
            <w:pPr>
              <w:spacing w:after="0"/>
              <w:rPr>
                <w:sz w:val="14"/>
                <w:szCs w:val="14"/>
                <w:color w:val="auto"/>
              </w:rPr>
            </w:pPr>
          </w:p>
        </w:tc>
        <w:tc>
          <w:tcPr>
            <w:tcW w:w="17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w:t>
            </w:r>
          </w:p>
        </w:tc>
        <w:tc>
          <w:tcPr>
            <w:tcW w:w="67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228,492</w:t>
            </w:r>
          </w:p>
        </w:tc>
        <w:tc>
          <w:tcPr>
            <w:tcW w:w="80" w:type="dxa"/>
            <w:vAlign w:val="bottom"/>
            <w:shd w:val="clear" w:color="auto" w:fill="CCEEFF"/>
          </w:tcPr>
          <w:p>
            <w:pPr>
              <w:spacing w:after="0"/>
              <w:rPr>
                <w:sz w:val="14"/>
                <w:szCs w:val="14"/>
                <w:color w:val="auto"/>
              </w:rPr>
            </w:pPr>
          </w:p>
        </w:tc>
        <w:tc>
          <w:tcPr>
            <w:tcW w:w="17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w:t>
            </w:r>
          </w:p>
        </w:tc>
        <w:tc>
          <w:tcPr>
            <w:tcW w:w="67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219,505</w:t>
            </w:r>
          </w:p>
        </w:tc>
        <w:tc>
          <w:tcPr>
            <w:tcW w:w="20" w:type="dxa"/>
            <w:vAlign w:val="bottom"/>
            <w:shd w:val="clear" w:color="auto" w:fill="CCEEFF"/>
          </w:tcPr>
          <w:p>
            <w:pPr>
              <w:spacing w:after="0"/>
              <w:rPr>
                <w:sz w:val="14"/>
                <w:szCs w:val="14"/>
                <w:color w:val="auto"/>
              </w:rPr>
            </w:pPr>
          </w:p>
        </w:tc>
      </w:tr>
      <w:tr>
        <w:trPr>
          <w:trHeight w:val="171"/>
        </w:trPr>
        <w:tc>
          <w:tcPr>
            <w:tcW w:w="298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 xml:space="preserve">Operating net income return on average equity </w:t>
            </w:r>
            <w:r>
              <w:rPr>
                <w:rFonts w:ascii="Times New Roman" w:cs="Times New Roman" w:eastAsia="Times New Roman" w:hAnsi="Times New Roman"/>
                <w:sz w:val="14"/>
                <w:szCs w:val="14"/>
                <w:color w:val="auto"/>
                <w:vertAlign w:val="superscript"/>
              </w:rPr>
              <w:t>(2)</w:t>
            </w:r>
          </w:p>
        </w:tc>
        <w:tc>
          <w:tcPr>
            <w:tcW w:w="170" w:type="dxa"/>
            <w:vAlign w:val="bottom"/>
          </w:tcPr>
          <w:p>
            <w:pPr>
              <w:spacing w:after="0"/>
              <w:rPr>
                <w:sz w:val="14"/>
                <w:szCs w:val="14"/>
                <w:color w:val="auto"/>
              </w:rPr>
            </w:pPr>
          </w:p>
        </w:tc>
        <w:tc>
          <w:tcPr>
            <w:tcW w:w="67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15.92%</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15.05%</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15.78%</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0" w:type="dxa"/>
            <w:vAlign w:val="bottom"/>
          </w:tcPr>
          <w:p>
            <w:pPr>
              <w:spacing w:after="0"/>
              <w:rPr>
                <w:sz w:val="14"/>
                <w:szCs w:val="14"/>
                <w:color w:val="auto"/>
              </w:rPr>
            </w:pPr>
          </w:p>
        </w:tc>
        <w:tc>
          <w:tcPr>
            <w:tcW w:w="67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14.29%</w:t>
            </w:r>
          </w:p>
        </w:tc>
        <w:tc>
          <w:tcPr>
            <w:tcW w:w="80" w:type="dxa"/>
            <w:vAlign w:val="bottom"/>
          </w:tcPr>
          <w:p>
            <w:pPr>
              <w:spacing w:after="0"/>
              <w:rPr>
                <w:sz w:val="14"/>
                <w:szCs w:val="14"/>
                <w:color w:val="auto"/>
              </w:rPr>
            </w:pPr>
          </w:p>
        </w:tc>
        <w:tc>
          <w:tcPr>
            <w:tcW w:w="170" w:type="dxa"/>
            <w:vAlign w:val="bottom"/>
          </w:tcPr>
          <w:p>
            <w:pPr>
              <w:spacing w:after="0"/>
              <w:rPr>
                <w:sz w:val="14"/>
                <w:szCs w:val="14"/>
                <w:color w:val="auto"/>
              </w:rPr>
            </w:pPr>
          </w:p>
        </w:tc>
        <w:tc>
          <w:tcPr>
            <w:tcW w:w="67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14.15%</w:t>
            </w:r>
          </w:p>
        </w:tc>
        <w:tc>
          <w:tcPr>
            <w:tcW w:w="20" w:type="dxa"/>
            <w:vAlign w:val="bottom"/>
          </w:tcPr>
          <w:p>
            <w:pPr>
              <w:spacing w:after="0"/>
              <w:rPr>
                <w:sz w:val="14"/>
                <w:szCs w:val="14"/>
                <w:color w:val="auto"/>
              </w:rPr>
            </w:pPr>
          </w:p>
        </w:tc>
      </w:tr>
      <w:tr>
        <w:trPr>
          <w:trHeight w:val="160"/>
        </w:trPr>
        <w:tc>
          <w:tcPr>
            <w:tcW w:w="2980" w:type="dxa"/>
            <w:vAlign w:val="bottom"/>
            <w:shd w:val="clear" w:color="auto" w:fill="CCEEFF"/>
          </w:tcPr>
          <w:p>
            <w:pPr>
              <w:spacing w:after="0"/>
              <w:rPr>
                <w:sz w:val="13"/>
                <w:szCs w:val="13"/>
                <w:color w:val="auto"/>
              </w:rPr>
            </w:pPr>
          </w:p>
        </w:tc>
        <w:tc>
          <w:tcPr>
            <w:tcW w:w="170" w:type="dxa"/>
            <w:vAlign w:val="bottom"/>
            <w:shd w:val="clear" w:color="auto" w:fill="CCEEFF"/>
          </w:tcPr>
          <w:p>
            <w:pPr>
              <w:spacing w:after="0"/>
              <w:rPr>
                <w:sz w:val="13"/>
                <w:szCs w:val="13"/>
                <w:color w:val="auto"/>
              </w:rPr>
            </w:pPr>
          </w:p>
        </w:tc>
        <w:tc>
          <w:tcPr>
            <w:tcW w:w="67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70" w:type="dxa"/>
            <w:vAlign w:val="bottom"/>
            <w:shd w:val="clear" w:color="auto" w:fill="CCEEFF"/>
          </w:tcPr>
          <w:p>
            <w:pPr>
              <w:spacing w:after="0"/>
              <w:rPr>
                <w:sz w:val="13"/>
                <w:szCs w:val="13"/>
                <w:color w:val="auto"/>
              </w:rPr>
            </w:pPr>
          </w:p>
        </w:tc>
        <w:tc>
          <w:tcPr>
            <w:tcW w:w="67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70" w:type="dxa"/>
            <w:vAlign w:val="bottom"/>
            <w:shd w:val="clear" w:color="auto" w:fill="CCEEFF"/>
          </w:tcPr>
          <w:p>
            <w:pPr>
              <w:spacing w:after="0"/>
              <w:rPr>
                <w:sz w:val="13"/>
                <w:szCs w:val="13"/>
                <w:color w:val="auto"/>
              </w:rPr>
            </w:pPr>
          </w:p>
        </w:tc>
        <w:tc>
          <w:tcPr>
            <w:tcW w:w="67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71"/>
        </w:trPr>
        <w:tc>
          <w:tcPr>
            <w:tcW w:w="298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Operating revenue:</w:t>
            </w:r>
            <w:r>
              <w:rPr>
                <w:rFonts w:ascii="Times New Roman" w:cs="Times New Roman" w:eastAsia="Times New Roman" w:hAnsi="Times New Roman"/>
                <w:sz w:val="14"/>
                <w:szCs w:val="14"/>
                <w:color w:val="auto"/>
                <w:vertAlign w:val="superscript"/>
              </w:rPr>
              <w:t>(1)</w:t>
            </w:r>
          </w:p>
        </w:tc>
        <w:tc>
          <w:tcPr>
            <w:tcW w:w="170" w:type="dxa"/>
            <w:vAlign w:val="bottom"/>
          </w:tcPr>
          <w:p>
            <w:pPr>
              <w:spacing w:after="0"/>
              <w:rPr>
                <w:sz w:val="14"/>
                <w:szCs w:val="14"/>
                <w:color w:val="auto"/>
              </w:rPr>
            </w:pPr>
          </w:p>
        </w:tc>
        <w:tc>
          <w:tcPr>
            <w:tcW w:w="67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0" w:type="dxa"/>
            <w:vAlign w:val="bottom"/>
          </w:tcPr>
          <w:p>
            <w:pPr>
              <w:spacing w:after="0"/>
              <w:rPr>
                <w:sz w:val="14"/>
                <w:szCs w:val="14"/>
                <w:color w:val="auto"/>
              </w:rPr>
            </w:pPr>
          </w:p>
        </w:tc>
        <w:tc>
          <w:tcPr>
            <w:tcW w:w="67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 w:type="dxa"/>
            <w:vAlign w:val="bottom"/>
          </w:tcPr>
          <w:p>
            <w:pPr>
              <w:spacing w:after="0"/>
              <w:rPr>
                <w:sz w:val="14"/>
                <w:szCs w:val="14"/>
                <w:color w:val="auto"/>
              </w:rPr>
            </w:pPr>
          </w:p>
        </w:tc>
        <w:tc>
          <w:tcPr>
            <w:tcW w:w="67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0"/>
        </w:trPr>
        <w:tc>
          <w:tcPr>
            <w:tcW w:w="2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Net interest income</w:t>
            </w:r>
          </w:p>
        </w:tc>
        <w:tc>
          <w:tcPr>
            <w:tcW w:w="17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w:t>
            </w:r>
          </w:p>
        </w:tc>
        <w:tc>
          <w:tcPr>
            <w:tcW w:w="67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22,048</w:t>
            </w: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22,207</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21,274</w:t>
            </w:r>
          </w:p>
        </w:tc>
        <w:tc>
          <w:tcPr>
            <w:tcW w:w="80" w:type="dxa"/>
            <w:vAlign w:val="bottom"/>
            <w:gridSpan w:val="2"/>
            <w:shd w:val="clear" w:color="auto" w:fill="CCEEFF"/>
          </w:tcPr>
          <w:p>
            <w:pPr>
              <w:spacing w:after="0"/>
              <w:rPr>
                <w:sz w:val="13"/>
                <w:szCs w:val="13"/>
                <w:color w:val="auto"/>
              </w:rPr>
            </w:pPr>
          </w:p>
        </w:tc>
        <w:tc>
          <w:tcPr>
            <w:tcW w:w="17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w:t>
            </w:r>
          </w:p>
        </w:tc>
        <w:tc>
          <w:tcPr>
            <w:tcW w:w="67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21,034</w:t>
            </w:r>
          </w:p>
        </w:tc>
        <w:tc>
          <w:tcPr>
            <w:tcW w:w="80" w:type="dxa"/>
            <w:vAlign w:val="bottom"/>
            <w:shd w:val="clear" w:color="auto" w:fill="CCEEFF"/>
          </w:tcPr>
          <w:p>
            <w:pPr>
              <w:spacing w:after="0"/>
              <w:rPr>
                <w:sz w:val="13"/>
                <w:szCs w:val="13"/>
                <w:color w:val="auto"/>
              </w:rPr>
            </w:pPr>
          </w:p>
        </w:tc>
        <w:tc>
          <w:tcPr>
            <w:tcW w:w="17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w:t>
            </w:r>
          </w:p>
        </w:tc>
        <w:tc>
          <w:tcPr>
            <w:tcW w:w="67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19,115</w:t>
            </w:r>
          </w:p>
        </w:tc>
        <w:tc>
          <w:tcPr>
            <w:tcW w:w="20" w:type="dxa"/>
            <w:vAlign w:val="bottom"/>
            <w:shd w:val="clear" w:color="auto" w:fill="CCEEFF"/>
          </w:tcPr>
          <w:p>
            <w:pPr>
              <w:spacing w:after="0"/>
              <w:rPr>
                <w:sz w:val="13"/>
                <w:szCs w:val="13"/>
                <w:color w:val="auto"/>
              </w:rPr>
            </w:pPr>
          </w:p>
        </w:tc>
      </w:tr>
      <w:tr>
        <w:trPr>
          <w:trHeight w:val="171"/>
        </w:trPr>
        <w:tc>
          <w:tcPr>
            <w:tcW w:w="298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Non-interest income</w:t>
            </w:r>
          </w:p>
        </w:tc>
        <w:tc>
          <w:tcPr>
            <w:tcW w:w="170" w:type="dxa"/>
            <w:vAlign w:val="bottom"/>
          </w:tcPr>
          <w:p>
            <w:pPr>
              <w:spacing w:after="0"/>
              <w:rPr>
                <w:sz w:val="14"/>
                <w:szCs w:val="14"/>
                <w:color w:val="auto"/>
              </w:rPr>
            </w:pPr>
          </w:p>
        </w:tc>
        <w:tc>
          <w:tcPr>
            <w:tcW w:w="67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4,150</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(4,178)</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3,684</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0" w:type="dxa"/>
            <w:vAlign w:val="bottom"/>
          </w:tcPr>
          <w:p>
            <w:pPr>
              <w:spacing w:after="0"/>
              <w:rPr>
                <w:sz w:val="14"/>
                <w:szCs w:val="14"/>
                <w:color w:val="auto"/>
              </w:rPr>
            </w:pPr>
          </w:p>
        </w:tc>
        <w:tc>
          <w:tcPr>
            <w:tcW w:w="67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3,370</w:t>
            </w:r>
          </w:p>
        </w:tc>
        <w:tc>
          <w:tcPr>
            <w:tcW w:w="80" w:type="dxa"/>
            <w:vAlign w:val="bottom"/>
          </w:tcPr>
          <w:p>
            <w:pPr>
              <w:spacing w:after="0"/>
              <w:rPr>
                <w:sz w:val="14"/>
                <w:szCs w:val="14"/>
                <w:color w:val="auto"/>
              </w:rPr>
            </w:pPr>
          </w:p>
        </w:tc>
        <w:tc>
          <w:tcPr>
            <w:tcW w:w="170" w:type="dxa"/>
            <w:vAlign w:val="bottom"/>
          </w:tcPr>
          <w:p>
            <w:pPr>
              <w:spacing w:after="0"/>
              <w:rPr>
                <w:sz w:val="14"/>
                <w:szCs w:val="14"/>
                <w:color w:val="auto"/>
              </w:rPr>
            </w:pPr>
          </w:p>
        </w:tc>
        <w:tc>
          <w:tcPr>
            <w:tcW w:w="67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3,716</w:t>
            </w:r>
          </w:p>
        </w:tc>
        <w:tc>
          <w:tcPr>
            <w:tcW w:w="20" w:type="dxa"/>
            <w:vAlign w:val="bottom"/>
          </w:tcPr>
          <w:p>
            <w:pPr>
              <w:spacing w:after="0"/>
              <w:rPr>
                <w:sz w:val="14"/>
                <w:szCs w:val="14"/>
                <w:color w:val="auto"/>
              </w:rPr>
            </w:pPr>
          </w:p>
        </w:tc>
      </w:tr>
      <w:tr>
        <w:trPr>
          <w:trHeight w:val="160"/>
        </w:trPr>
        <w:tc>
          <w:tcPr>
            <w:tcW w:w="2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Less: Net gains (losses) on sale of securities</w:t>
            </w:r>
          </w:p>
        </w:tc>
        <w:tc>
          <w:tcPr>
            <w:tcW w:w="170" w:type="dxa"/>
            <w:vAlign w:val="bottom"/>
            <w:tcBorders>
              <w:bottom w:val="single" w:sz="8" w:color="auto"/>
            </w:tcBorders>
            <w:shd w:val="clear" w:color="auto" w:fill="CCEEFF"/>
          </w:tcPr>
          <w:p>
            <w:pPr>
              <w:spacing w:after="0"/>
              <w:rPr>
                <w:sz w:val="13"/>
                <w:szCs w:val="13"/>
                <w:color w:val="auto"/>
              </w:rPr>
            </w:pPr>
          </w:p>
        </w:tc>
        <w:tc>
          <w:tcPr>
            <w:tcW w:w="67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14</w:t>
            </w:r>
          </w:p>
        </w:tc>
        <w:tc>
          <w:tcPr>
            <w:tcW w:w="16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(7,498)</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w:t>
            </w:r>
          </w:p>
        </w:tc>
        <w:tc>
          <w:tcPr>
            <w:tcW w:w="6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70" w:type="dxa"/>
            <w:vAlign w:val="bottom"/>
            <w:tcBorders>
              <w:bottom w:val="single" w:sz="8" w:color="auto"/>
            </w:tcBorders>
            <w:shd w:val="clear" w:color="auto" w:fill="CCEEFF"/>
          </w:tcPr>
          <w:p>
            <w:pPr>
              <w:spacing w:after="0"/>
              <w:rPr>
                <w:sz w:val="13"/>
                <w:szCs w:val="13"/>
                <w:color w:val="auto"/>
              </w:rPr>
            </w:pPr>
          </w:p>
        </w:tc>
        <w:tc>
          <w:tcPr>
            <w:tcW w:w="67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3"/>
                <w:szCs w:val="13"/>
                <w:color w:val="auto"/>
              </w:rPr>
            </w:pPr>
          </w:p>
        </w:tc>
        <w:tc>
          <w:tcPr>
            <w:tcW w:w="170" w:type="dxa"/>
            <w:vAlign w:val="bottom"/>
            <w:tcBorders>
              <w:bottom w:val="single" w:sz="8" w:color="auto"/>
            </w:tcBorders>
            <w:shd w:val="clear" w:color="auto" w:fill="CCEEFF"/>
          </w:tcPr>
          <w:p>
            <w:pPr>
              <w:spacing w:after="0"/>
              <w:rPr>
                <w:sz w:val="13"/>
                <w:szCs w:val="13"/>
                <w:color w:val="auto"/>
              </w:rPr>
            </w:pPr>
          </w:p>
        </w:tc>
        <w:tc>
          <w:tcPr>
            <w:tcW w:w="67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3"/>
                <w:szCs w:val="13"/>
                <w:color w:val="auto"/>
              </w:rPr>
            </w:pPr>
          </w:p>
        </w:tc>
      </w:tr>
      <w:tr>
        <w:trPr>
          <w:trHeight w:val="191"/>
        </w:trPr>
        <w:tc>
          <w:tcPr>
            <w:tcW w:w="2980" w:type="dxa"/>
            <w:vAlign w:val="bottom"/>
          </w:tcPr>
          <w:p>
            <w:pPr>
              <w:ind w:left="320"/>
              <w:spacing w:after="0"/>
              <w:rPr>
                <w:sz w:val="20"/>
                <w:szCs w:val="20"/>
                <w:color w:val="auto"/>
              </w:rPr>
            </w:pPr>
            <w:r>
              <w:rPr>
                <w:rFonts w:ascii="Times New Roman" w:cs="Times New Roman" w:eastAsia="Times New Roman" w:hAnsi="Times New Roman"/>
                <w:sz w:val="11"/>
                <w:szCs w:val="11"/>
                <w:color w:val="auto"/>
              </w:rPr>
              <w:t>Operating revenue</w:t>
            </w:r>
          </w:p>
        </w:tc>
        <w:tc>
          <w:tcPr>
            <w:tcW w:w="17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w:t>
            </w:r>
          </w:p>
        </w:tc>
        <w:tc>
          <w:tcPr>
            <w:tcW w:w="67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26,184</w:t>
            </w:r>
          </w:p>
        </w:tc>
        <w:tc>
          <w:tcPr>
            <w:tcW w:w="16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25,527</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24,986</w:t>
            </w:r>
          </w:p>
        </w:tc>
        <w:tc>
          <w:tcPr>
            <w:tcW w:w="250" w:type="dxa"/>
            <w:vAlign w:val="bottom"/>
            <w:gridSpan w:val="3"/>
          </w:tcPr>
          <w:p>
            <w:pPr>
              <w:ind w:left="160"/>
              <w:spacing w:after="0"/>
              <w:rPr>
                <w:sz w:val="20"/>
                <w:szCs w:val="20"/>
                <w:color w:val="auto"/>
              </w:rPr>
            </w:pPr>
            <w:r>
              <w:rPr>
                <w:rFonts w:ascii="Times New Roman" w:cs="Times New Roman" w:eastAsia="Times New Roman" w:hAnsi="Times New Roman"/>
                <w:sz w:val="11"/>
                <w:szCs w:val="11"/>
                <w:color w:val="auto"/>
              </w:rPr>
              <w:t>$</w:t>
            </w:r>
          </w:p>
        </w:tc>
        <w:tc>
          <w:tcPr>
            <w:tcW w:w="67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24,404</w:t>
            </w:r>
          </w:p>
        </w:tc>
        <w:tc>
          <w:tcPr>
            <w:tcW w:w="25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w:t>
            </w:r>
          </w:p>
        </w:tc>
        <w:tc>
          <w:tcPr>
            <w:tcW w:w="67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22,831</w:t>
            </w:r>
          </w:p>
        </w:tc>
        <w:tc>
          <w:tcPr>
            <w:tcW w:w="20" w:type="dxa"/>
            <w:vAlign w:val="bottom"/>
          </w:tcPr>
          <w:p>
            <w:pPr>
              <w:spacing w:after="0"/>
              <w:rPr>
                <w:sz w:val="16"/>
                <w:szCs w:val="16"/>
                <w:color w:val="auto"/>
              </w:rPr>
            </w:pPr>
          </w:p>
        </w:tc>
      </w:tr>
      <w:tr>
        <w:trPr>
          <w:trHeight w:val="100"/>
        </w:trPr>
        <w:tc>
          <w:tcPr>
            <w:tcW w:w="2980" w:type="dxa"/>
            <w:vAlign w:val="bottom"/>
            <w:tcBorders>
              <w:top w:val="single" w:sz="8" w:color="CCEEFF"/>
            </w:tcBorders>
            <w:shd w:val="clear" w:color="auto" w:fill="CCEEFF"/>
          </w:tcPr>
          <w:p>
            <w:pPr>
              <w:spacing w:after="0"/>
              <w:rPr>
                <w:sz w:val="8"/>
                <w:szCs w:val="8"/>
                <w:color w:val="auto"/>
              </w:rPr>
            </w:pPr>
          </w:p>
        </w:tc>
        <w:tc>
          <w:tcPr>
            <w:tcW w:w="170" w:type="dxa"/>
            <w:vAlign w:val="bottom"/>
            <w:tcBorders>
              <w:top w:val="single" w:sz="8" w:color="auto"/>
            </w:tcBorders>
            <w:shd w:val="clear" w:color="auto" w:fill="CCEEFF"/>
          </w:tcPr>
          <w:p>
            <w:pPr>
              <w:spacing w:after="0"/>
              <w:rPr>
                <w:sz w:val="8"/>
                <w:szCs w:val="8"/>
                <w:color w:val="auto"/>
              </w:rPr>
            </w:pPr>
          </w:p>
        </w:tc>
        <w:tc>
          <w:tcPr>
            <w:tcW w:w="67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auto"/>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auto"/>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70" w:type="dxa"/>
            <w:vAlign w:val="bottom"/>
            <w:tcBorders>
              <w:top w:val="single" w:sz="8" w:color="auto"/>
            </w:tcBorders>
            <w:shd w:val="clear" w:color="auto" w:fill="CCEEFF"/>
          </w:tcPr>
          <w:p>
            <w:pPr>
              <w:spacing w:after="0"/>
              <w:rPr>
                <w:sz w:val="8"/>
                <w:szCs w:val="8"/>
                <w:color w:val="auto"/>
              </w:rPr>
            </w:pPr>
          </w:p>
        </w:tc>
        <w:tc>
          <w:tcPr>
            <w:tcW w:w="67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70" w:type="dxa"/>
            <w:vAlign w:val="bottom"/>
            <w:tcBorders>
              <w:top w:val="single" w:sz="8" w:color="auto"/>
            </w:tcBorders>
            <w:shd w:val="clear" w:color="auto" w:fill="CCEEFF"/>
          </w:tcPr>
          <w:p>
            <w:pPr>
              <w:spacing w:after="0"/>
              <w:rPr>
                <w:sz w:val="8"/>
                <w:szCs w:val="8"/>
                <w:color w:val="auto"/>
              </w:rPr>
            </w:pPr>
          </w:p>
        </w:tc>
        <w:tc>
          <w:tcPr>
            <w:tcW w:w="67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r>
      <w:tr>
        <w:trPr>
          <w:trHeight w:val="171"/>
        </w:trPr>
        <w:tc>
          <w:tcPr>
            <w:tcW w:w="298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Operating efficiency ratio:</w:t>
            </w:r>
            <w:r>
              <w:rPr>
                <w:rFonts w:ascii="Times New Roman" w:cs="Times New Roman" w:eastAsia="Times New Roman" w:hAnsi="Times New Roman"/>
                <w:sz w:val="14"/>
                <w:szCs w:val="14"/>
                <w:color w:val="auto"/>
                <w:vertAlign w:val="superscript"/>
              </w:rPr>
              <w:t>(1)</w:t>
            </w:r>
          </w:p>
        </w:tc>
        <w:tc>
          <w:tcPr>
            <w:tcW w:w="170" w:type="dxa"/>
            <w:vAlign w:val="bottom"/>
          </w:tcPr>
          <w:p>
            <w:pPr>
              <w:spacing w:after="0"/>
              <w:rPr>
                <w:sz w:val="14"/>
                <w:szCs w:val="14"/>
                <w:color w:val="auto"/>
              </w:rPr>
            </w:pPr>
          </w:p>
        </w:tc>
        <w:tc>
          <w:tcPr>
            <w:tcW w:w="67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0" w:type="dxa"/>
            <w:vAlign w:val="bottom"/>
          </w:tcPr>
          <w:p>
            <w:pPr>
              <w:spacing w:after="0"/>
              <w:rPr>
                <w:sz w:val="14"/>
                <w:szCs w:val="14"/>
                <w:color w:val="auto"/>
              </w:rPr>
            </w:pPr>
          </w:p>
        </w:tc>
        <w:tc>
          <w:tcPr>
            <w:tcW w:w="67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 w:type="dxa"/>
            <w:vAlign w:val="bottom"/>
          </w:tcPr>
          <w:p>
            <w:pPr>
              <w:spacing w:after="0"/>
              <w:rPr>
                <w:sz w:val="14"/>
                <w:szCs w:val="14"/>
                <w:color w:val="auto"/>
              </w:rPr>
            </w:pPr>
          </w:p>
        </w:tc>
        <w:tc>
          <w:tcPr>
            <w:tcW w:w="67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0"/>
        </w:trPr>
        <w:tc>
          <w:tcPr>
            <w:tcW w:w="2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Total non-interest expense</w:t>
            </w:r>
          </w:p>
        </w:tc>
        <w:tc>
          <w:tcPr>
            <w:tcW w:w="17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w:t>
            </w:r>
          </w:p>
        </w:tc>
        <w:tc>
          <w:tcPr>
            <w:tcW w:w="67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13,711</w:t>
            </w: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14,275</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13,048</w:t>
            </w:r>
          </w:p>
        </w:tc>
        <w:tc>
          <w:tcPr>
            <w:tcW w:w="80" w:type="dxa"/>
            <w:vAlign w:val="bottom"/>
            <w:gridSpan w:val="2"/>
            <w:shd w:val="clear" w:color="auto" w:fill="CCEEFF"/>
          </w:tcPr>
          <w:p>
            <w:pPr>
              <w:spacing w:after="0"/>
              <w:rPr>
                <w:sz w:val="13"/>
                <w:szCs w:val="13"/>
                <w:color w:val="auto"/>
              </w:rPr>
            </w:pPr>
          </w:p>
        </w:tc>
        <w:tc>
          <w:tcPr>
            <w:tcW w:w="17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w:t>
            </w:r>
          </w:p>
        </w:tc>
        <w:tc>
          <w:tcPr>
            <w:tcW w:w="67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12,634</w:t>
            </w:r>
          </w:p>
        </w:tc>
        <w:tc>
          <w:tcPr>
            <w:tcW w:w="80" w:type="dxa"/>
            <w:vAlign w:val="bottom"/>
            <w:shd w:val="clear" w:color="auto" w:fill="CCEEFF"/>
          </w:tcPr>
          <w:p>
            <w:pPr>
              <w:spacing w:after="0"/>
              <w:rPr>
                <w:sz w:val="13"/>
                <w:szCs w:val="13"/>
                <w:color w:val="auto"/>
              </w:rPr>
            </w:pPr>
          </w:p>
        </w:tc>
        <w:tc>
          <w:tcPr>
            <w:tcW w:w="17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w:t>
            </w:r>
          </w:p>
        </w:tc>
        <w:tc>
          <w:tcPr>
            <w:tcW w:w="67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12,052</w:t>
            </w:r>
          </w:p>
        </w:tc>
        <w:tc>
          <w:tcPr>
            <w:tcW w:w="20" w:type="dxa"/>
            <w:vAlign w:val="bottom"/>
            <w:shd w:val="clear" w:color="auto" w:fill="CCEEFF"/>
          </w:tcPr>
          <w:p>
            <w:pPr>
              <w:spacing w:after="0"/>
              <w:rPr>
                <w:sz w:val="13"/>
                <w:szCs w:val="13"/>
                <w:color w:val="auto"/>
              </w:rPr>
            </w:pPr>
          </w:p>
        </w:tc>
      </w:tr>
      <w:tr>
        <w:trPr>
          <w:trHeight w:val="171"/>
        </w:trPr>
        <w:tc>
          <w:tcPr>
            <w:tcW w:w="298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Operating revenue</w:t>
            </w:r>
          </w:p>
        </w:tc>
        <w:tc>
          <w:tcPr>
            <w:tcW w:w="17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w:t>
            </w:r>
          </w:p>
        </w:tc>
        <w:tc>
          <w:tcPr>
            <w:tcW w:w="67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26,184</w:t>
            </w:r>
          </w:p>
        </w:tc>
        <w:tc>
          <w:tcPr>
            <w:tcW w:w="16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25,527</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24,986</w:t>
            </w:r>
          </w:p>
        </w:tc>
        <w:tc>
          <w:tcPr>
            <w:tcW w:w="250" w:type="dxa"/>
            <w:vAlign w:val="bottom"/>
            <w:gridSpan w:val="3"/>
          </w:tcPr>
          <w:p>
            <w:pPr>
              <w:ind w:left="160"/>
              <w:spacing w:after="0"/>
              <w:rPr>
                <w:sz w:val="20"/>
                <w:szCs w:val="20"/>
                <w:color w:val="auto"/>
              </w:rPr>
            </w:pPr>
            <w:r>
              <w:rPr>
                <w:rFonts w:ascii="Times New Roman" w:cs="Times New Roman" w:eastAsia="Times New Roman" w:hAnsi="Times New Roman"/>
                <w:sz w:val="11"/>
                <w:szCs w:val="11"/>
                <w:color w:val="auto"/>
              </w:rPr>
              <w:t>$</w:t>
            </w:r>
          </w:p>
        </w:tc>
        <w:tc>
          <w:tcPr>
            <w:tcW w:w="67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24,404</w:t>
            </w:r>
          </w:p>
        </w:tc>
        <w:tc>
          <w:tcPr>
            <w:tcW w:w="25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w:t>
            </w:r>
          </w:p>
        </w:tc>
        <w:tc>
          <w:tcPr>
            <w:tcW w:w="67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22,831</w:t>
            </w:r>
          </w:p>
        </w:tc>
        <w:tc>
          <w:tcPr>
            <w:tcW w:w="20" w:type="dxa"/>
            <w:vAlign w:val="bottom"/>
          </w:tcPr>
          <w:p>
            <w:pPr>
              <w:spacing w:after="0"/>
              <w:rPr>
                <w:sz w:val="14"/>
                <w:szCs w:val="14"/>
                <w:color w:val="auto"/>
              </w:rPr>
            </w:pPr>
          </w:p>
        </w:tc>
      </w:tr>
      <w:tr>
        <w:trPr>
          <w:trHeight w:val="160"/>
        </w:trPr>
        <w:tc>
          <w:tcPr>
            <w:tcW w:w="2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1"/>
                <w:szCs w:val="11"/>
                <w:color w:val="auto"/>
              </w:rPr>
              <w:t>Operating efficiency ratio</w:t>
            </w:r>
          </w:p>
        </w:tc>
        <w:tc>
          <w:tcPr>
            <w:tcW w:w="170" w:type="dxa"/>
            <w:vAlign w:val="bottom"/>
            <w:shd w:val="clear" w:color="auto" w:fill="CCEEFF"/>
          </w:tcPr>
          <w:p>
            <w:pPr>
              <w:spacing w:after="0"/>
              <w:rPr>
                <w:sz w:val="13"/>
                <w:szCs w:val="13"/>
                <w:color w:val="auto"/>
              </w:rPr>
            </w:pPr>
          </w:p>
        </w:tc>
        <w:tc>
          <w:tcPr>
            <w:tcW w:w="67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52.36%</w:t>
            </w: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55.92%</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52.22%</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70" w:type="dxa"/>
            <w:vAlign w:val="bottom"/>
            <w:shd w:val="clear" w:color="auto" w:fill="CCEEFF"/>
          </w:tcPr>
          <w:p>
            <w:pPr>
              <w:spacing w:after="0"/>
              <w:rPr>
                <w:sz w:val="13"/>
                <w:szCs w:val="13"/>
                <w:color w:val="auto"/>
              </w:rPr>
            </w:pPr>
          </w:p>
        </w:tc>
        <w:tc>
          <w:tcPr>
            <w:tcW w:w="67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51.77%</w:t>
            </w:r>
          </w:p>
        </w:tc>
        <w:tc>
          <w:tcPr>
            <w:tcW w:w="80" w:type="dxa"/>
            <w:vAlign w:val="bottom"/>
            <w:shd w:val="clear" w:color="auto" w:fill="CCEEFF"/>
          </w:tcPr>
          <w:p>
            <w:pPr>
              <w:spacing w:after="0"/>
              <w:rPr>
                <w:sz w:val="13"/>
                <w:szCs w:val="13"/>
                <w:color w:val="auto"/>
              </w:rPr>
            </w:pPr>
          </w:p>
        </w:tc>
        <w:tc>
          <w:tcPr>
            <w:tcW w:w="170" w:type="dxa"/>
            <w:vAlign w:val="bottom"/>
            <w:shd w:val="clear" w:color="auto" w:fill="CCEEFF"/>
          </w:tcPr>
          <w:p>
            <w:pPr>
              <w:spacing w:after="0"/>
              <w:rPr>
                <w:sz w:val="13"/>
                <w:szCs w:val="13"/>
                <w:color w:val="auto"/>
              </w:rPr>
            </w:pPr>
          </w:p>
        </w:tc>
        <w:tc>
          <w:tcPr>
            <w:tcW w:w="67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52.79%</w:t>
            </w:r>
          </w:p>
        </w:tc>
        <w:tc>
          <w:tcPr>
            <w:tcW w:w="20" w:type="dxa"/>
            <w:vAlign w:val="bottom"/>
            <w:shd w:val="clear" w:color="auto" w:fill="CCEEFF"/>
          </w:tcPr>
          <w:p>
            <w:pPr>
              <w:spacing w:after="0"/>
              <w:rPr>
                <w:sz w:val="13"/>
                <w:szCs w:val="13"/>
                <w:color w:val="auto"/>
              </w:rPr>
            </w:pPr>
          </w:p>
        </w:tc>
      </w:tr>
    </w:tbl>
    <w:p>
      <w:pPr>
        <w:spacing w:after="0" w:line="195" w:lineRule="exact"/>
        <w:rPr>
          <w:sz w:val="20"/>
          <w:szCs w:val="20"/>
          <w:color w:val="auto"/>
        </w:rPr>
      </w:pPr>
    </w:p>
    <w:p>
      <w:pPr>
        <w:ind w:left="860" w:hanging="168"/>
        <w:spacing w:after="0"/>
        <w:tabs>
          <w:tab w:leader="none" w:pos="860" w:val="left"/>
        </w:tabs>
        <w:numPr>
          <w:ilvl w:val="0"/>
          <w:numId w:val="1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Company believes these non-GAAP financial measurements are key indicators of the ongoing earnings power of the Company.</w:t>
      </w:r>
    </w:p>
    <w:p>
      <w:pPr>
        <w:spacing w:after="0" w:line="54" w:lineRule="exact"/>
        <w:rPr>
          <w:rFonts w:ascii="Times New Roman" w:cs="Times New Roman" w:eastAsia="Times New Roman" w:hAnsi="Times New Roman"/>
          <w:sz w:val="11"/>
          <w:szCs w:val="11"/>
          <w:color w:val="auto"/>
        </w:rPr>
      </w:pPr>
    </w:p>
    <w:p>
      <w:pPr>
        <w:ind w:left="880" w:hanging="188"/>
        <w:spacing w:after="0"/>
        <w:tabs>
          <w:tab w:leader="none" w:pos="880" w:val="left"/>
        </w:tabs>
        <w:numPr>
          <w:ilvl w:val="0"/>
          <w:numId w:val="1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Annualized.</w:t>
      </w:r>
    </w:p>
    <w:p>
      <w:pPr>
        <w:spacing w:after="0" w:line="54" w:lineRule="exact"/>
        <w:rPr>
          <w:rFonts w:ascii="Times New Roman" w:cs="Times New Roman" w:eastAsia="Times New Roman" w:hAnsi="Times New Roman"/>
          <w:sz w:val="11"/>
          <w:szCs w:val="11"/>
          <w:color w:val="auto"/>
        </w:rPr>
      </w:pPr>
    </w:p>
    <w:p>
      <w:pPr>
        <w:ind w:left="880" w:hanging="188"/>
        <w:spacing w:after="0"/>
        <w:tabs>
          <w:tab w:leader="none" w:pos="880" w:val="left"/>
        </w:tabs>
        <w:numPr>
          <w:ilvl w:val="0"/>
          <w:numId w:val="1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Company recognized a $619 thousand income tax benefit in first quarter of 2026 due to an adjustment to the deferred tax asset calculation from 2025.</w:t>
      </w:r>
    </w:p>
    <w:p>
      <w:pPr>
        <w:spacing w:after="0" w:line="76" w:lineRule="exact"/>
        <w:rPr>
          <w:rFonts w:ascii="Times New Roman" w:cs="Times New Roman" w:eastAsia="Times New Roman" w:hAnsi="Times New Roman"/>
          <w:sz w:val="11"/>
          <w:szCs w:val="11"/>
          <w:color w:val="auto"/>
        </w:rPr>
      </w:pPr>
    </w:p>
    <w:p>
      <w:pPr>
        <w:ind w:left="700" w:right="859" w:hanging="8"/>
        <w:spacing w:after="0" w:line="283" w:lineRule="auto"/>
        <w:tabs>
          <w:tab w:leader="none" w:pos="862" w:val="left"/>
        </w:tabs>
        <w:numPr>
          <w:ilvl w:val="0"/>
          <w:numId w:val="1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State tax liability expenses for 2024 and for the first three quarters of 2025 were recognized during the fourth quarter of 2025. The state tax expense is related to taxes due on interest income on loans whose collateral are located outside of the State of Florida.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9019"/>
          </w:cols>
          <w:pgMar w:left="1440" w:top="760" w:right="1440"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1"/>
          <w:szCs w:val="11"/>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72624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895" cy="7262495"/>
                    </a:xfrm>
                    <a:prstGeom prst="rect">
                      <a:avLst/>
                    </a:prstGeom>
                    <a:noFill/>
                  </pic:spPr>
                </pic:pic>
              </a:graphicData>
            </a:graphic>
          </wp:anchor>
        </w:drawing>
        <w:t>USCB FINANCIAL HOLDINGS,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NON-GAAP FINANCIAL MEASURES (UNAUDITED)</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(Dollars in thousands, except per share data)</w:t>
      </w:r>
    </w:p>
    <w:p>
      <w:pPr>
        <w:spacing w:after="0" w:line="202" w:lineRule="exact"/>
        <w:rPr>
          <w:sz w:val="20"/>
          <w:szCs w:val="20"/>
          <w:color w:val="auto"/>
        </w:rPr>
      </w:pPr>
    </w:p>
    <w:tbl>
      <w:tblPr>
        <w:tblLayout w:type="fixed"/>
        <w:tblInd w:w="660" w:type="dxa"/>
        <w:tblCellMar>
          <w:top w:w="0" w:type="dxa"/>
          <w:left w:w="0" w:type="dxa"/>
          <w:bottom w:w="0" w:type="dxa"/>
          <w:right w:w="0" w:type="dxa"/>
        </w:tblCellMar>
      </w:tblPr>
      <w:tr>
        <w:trPr>
          <w:trHeight w:val="137"/>
        </w:trPr>
        <w:tc>
          <w:tcPr>
            <w:tcW w:w="20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480" w:type="dxa"/>
            <w:vAlign w:val="bottom"/>
            <w:tcBorders>
              <w:bottom w:val="single" w:sz="8" w:color="auto"/>
            </w:tcBorders>
            <w:gridSpan w:val="9"/>
          </w:tcPr>
          <w:p>
            <w:pPr>
              <w:ind w:left="260"/>
              <w:spacing w:after="0"/>
              <w:rPr>
                <w:sz w:val="20"/>
                <w:szCs w:val="20"/>
                <w:color w:val="auto"/>
              </w:rPr>
            </w:pPr>
            <w:r>
              <w:rPr>
                <w:rFonts w:ascii="Times New Roman" w:cs="Times New Roman" w:eastAsia="Times New Roman" w:hAnsi="Times New Roman"/>
                <w:sz w:val="11"/>
                <w:szCs w:val="11"/>
                <w:b w:val="1"/>
                <w:bCs w:val="1"/>
                <w:color w:val="auto"/>
              </w:rPr>
              <w:t>As of or For the Three Months Ended</w:t>
            </w: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131"/>
        </w:trPr>
        <w:tc>
          <w:tcPr>
            <w:tcW w:w="200" w:type="dxa"/>
            <w:vAlign w:val="bottom"/>
            <w:tcBorders>
              <w:bottom w:val="single" w:sz="8" w:color="CCEEFF"/>
            </w:tcBorders>
          </w:tcPr>
          <w:p>
            <w:pPr>
              <w:spacing w:after="0"/>
              <w:rPr>
                <w:sz w:val="11"/>
                <w:szCs w:val="11"/>
                <w:color w:val="auto"/>
              </w:rPr>
            </w:pPr>
          </w:p>
        </w:tc>
        <w:tc>
          <w:tcPr>
            <w:tcW w:w="3120" w:type="dxa"/>
            <w:vAlign w:val="bottom"/>
            <w:tcBorders>
              <w:bottom w:val="single" w:sz="8" w:color="CCEEFF"/>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b w:val="1"/>
                <w:bCs w:val="1"/>
                <w:color w:val="auto"/>
              </w:rPr>
              <w:t>3/31/2026</w:t>
            </w:r>
          </w:p>
        </w:tc>
        <w:tc>
          <w:tcPr>
            <w:tcW w:w="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rPr>
              <w:t>12/31/2025</w:t>
            </w: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b w:val="1"/>
                <w:bCs w:val="1"/>
                <w:color w:val="auto"/>
              </w:rPr>
              <w:t>9/30/2025</w:t>
            </w:r>
          </w:p>
        </w:tc>
        <w:tc>
          <w:tcPr>
            <w:tcW w:w="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b w:val="1"/>
                <w:bCs w:val="1"/>
                <w:color w:val="auto"/>
              </w:rPr>
              <w:t>6/30/2025</w:t>
            </w:r>
          </w:p>
        </w:tc>
        <w:tc>
          <w:tcPr>
            <w:tcW w:w="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b w:val="1"/>
                <w:bCs w:val="1"/>
                <w:color w:val="auto"/>
              </w:rPr>
              <w:t>3/31/2025</w:t>
            </w:r>
          </w:p>
        </w:tc>
        <w:tc>
          <w:tcPr>
            <w:tcW w:w="20" w:type="dxa"/>
            <w:vAlign w:val="bottom"/>
          </w:tcPr>
          <w:p>
            <w:pPr>
              <w:spacing w:after="0"/>
              <w:rPr>
                <w:sz w:val="11"/>
                <w:szCs w:val="11"/>
                <w:color w:val="auto"/>
              </w:rPr>
            </w:pPr>
          </w:p>
        </w:tc>
      </w:tr>
      <w:tr>
        <w:trPr>
          <w:trHeight w:val="139"/>
        </w:trPr>
        <w:tc>
          <w:tcPr>
            <w:tcW w:w="3320" w:type="dxa"/>
            <w:vAlign w:val="bottom"/>
            <w:gridSpan w:val="2"/>
            <w:shd w:val="clear" w:color="auto" w:fill="CCEEFF"/>
          </w:tcPr>
          <w:p>
            <w:pPr>
              <w:spacing w:after="0" w:line="139" w:lineRule="exact"/>
              <w:rPr>
                <w:sz w:val="20"/>
                <w:szCs w:val="20"/>
                <w:color w:val="auto"/>
              </w:rPr>
            </w:pPr>
            <w:r>
              <w:rPr>
                <w:rFonts w:ascii="Times New Roman" w:cs="Times New Roman" w:eastAsia="Times New Roman" w:hAnsi="Times New Roman"/>
                <w:sz w:val="11"/>
                <w:szCs w:val="11"/>
                <w:b w:val="1"/>
                <w:bCs w:val="1"/>
                <w:color w:val="auto"/>
              </w:rPr>
              <w:t>Tangible book value per common share (at period-end):</w:t>
            </w:r>
            <w:r>
              <w:rPr>
                <w:rFonts w:ascii="Times New Roman" w:cs="Times New Roman" w:eastAsia="Times New Roman" w:hAnsi="Times New Roman"/>
                <w:sz w:val="14"/>
                <w:szCs w:val="14"/>
                <w:color w:val="auto"/>
                <w:vertAlign w:val="superscript"/>
              </w:rPr>
              <w:t>(1)(4)</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160"/>
        </w:trPr>
        <w:tc>
          <w:tcPr>
            <w:tcW w:w="332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rPr>
              <w:t>Total stockholders' equity</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223,246</w:t>
            </w:r>
          </w:p>
        </w:tc>
        <w:tc>
          <w:tcPr>
            <w:tcW w:w="20" w:type="dxa"/>
            <w:vAlign w:val="bottom"/>
          </w:tcPr>
          <w:p>
            <w:pPr>
              <w:spacing w:after="0"/>
              <w:rPr>
                <w:sz w:val="13"/>
                <w:szCs w:val="13"/>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217,183</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209,095</w:t>
            </w:r>
          </w:p>
        </w:tc>
        <w:tc>
          <w:tcPr>
            <w:tcW w:w="20" w:type="dxa"/>
            <w:vAlign w:val="bottom"/>
          </w:tcPr>
          <w:p>
            <w:pPr>
              <w:spacing w:after="0"/>
              <w:rPr>
                <w:sz w:val="13"/>
                <w:szCs w:val="13"/>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231,583</w:t>
            </w:r>
          </w:p>
        </w:tc>
        <w:tc>
          <w:tcPr>
            <w:tcW w:w="20" w:type="dxa"/>
            <w:vAlign w:val="bottom"/>
          </w:tcPr>
          <w:p>
            <w:pPr>
              <w:spacing w:after="0"/>
              <w:rPr>
                <w:sz w:val="13"/>
                <w:szCs w:val="13"/>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225,088</w:t>
            </w:r>
          </w:p>
        </w:tc>
        <w:tc>
          <w:tcPr>
            <w:tcW w:w="20" w:type="dxa"/>
            <w:vAlign w:val="bottom"/>
          </w:tcPr>
          <w:p>
            <w:pPr>
              <w:spacing w:after="0"/>
              <w:rPr>
                <w:sz w:val="13"/>
                <w:szCs w:val="13"/>
                <w:color w:val="auto"/>
              </w:rPr>
            </w:pPr>
          </w:p>
        </w:tc>
      </w:tr>
      <w:tr>
        <w:trPr>
          <w:trHeight w:val="160"/>
        </w:trPr>
        <w:tc>
          <w:tcPr>
            <w:tcW w:w="200" w:type="dxa"/>
            <w:vAlign w:val="bottom"/>
            <w:shd w:val="clear" w:color="auto" w:fill="CCEEFF"/>
          </w:tcPr>
          <w:p>
            <w:pPr>
              <w:spacing w:after="0"/>
              <w:rPr>
                <w:sz w:val="13"/>
                <w:szCs w:val="13"/>
                <w:color w:val="auto"/>
              </w:rPr>
            </w:pPr>
          </w:p>
        </w:tc>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Less: Intangible assets</w:t>
            </w: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3"/>
                <w:szCs w:val="13"/>
                <w:color w:val="auto"/>
              </w:rPr>
            </w:pPr>
          </w:p>
        </w:tc>
      </w:tr>
      <w:tr>
        <w:trPr>
          <w:trHeight w:val="140"/>
        </w:trPr>
        <w:tc>
          <w:tcPr>
            <w:tcW w:w="200" w:type="dxa"/>
            <w:vAlign w:val="bottom"/>
          </w:tcPr>
          <w:p>
            <w:pPr>
              <w:spacing w:after="0"/>
              <w:rPr>
                <w:sz w:val="12"/>
                <w:szCs w:val="12"/>
                <w:color w:val="auto"/>
              </w:rPr>
            </w:pPr>
          </w:p>
        </w:tc>
        <w:tc>
          <w:tcPr>
            <w:tcW w:w="31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Tangible stockholders' equity</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223,246</w:t>
            </w:r>
          </w:p>
        </w:tc>
        <w:tc>
          <w:tcPr>
            <w:tcW w:w="20" w:type="dxa"/>
            <w:vAlign w:val="bottom"/>
          </w:tcPr>
          <w:p>
            <w:pPr>
              <w:spacing w:after="0"/>
              <w:rPr>
                <w:sz w:val="12"/>
                <w:szCs w:val="12"/>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217,183</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209,095</w:t>
            </w:r>
          </w:p>
        </w:tc>
        <w:tc>
          <w:tcPr>
            <w:tcW w:w="20" w:type="dxa"/>
            <w:vAlign w:val="bottom"/>
          </w:tcPr>
          <w:p>
            <w:pPr>
              <w:spacing w:after="0"/>
              <w:rPr>
                <w:sz w:val="12"/>
                <w:szCs w:val="12"/>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231,583</w:t>
            </w:r>
          </w:p>
        </w:tc>
        <w:tc>
          <w:tcPr>
            <w:tcW w:w="20" w:type="dxa"/>
            <w:vAlign w:val="bottom"/>
          </w:tcPr>
          <w:p>
            <w:pPr>
              <w:spacing w:after="0"/>
              <w:rPr>
                <w:sz w:val="12"/>
                <w:szCs w:val="12"/>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225,088</w:t>
            </w:r>
          </w:p>
        </w:tc>
        <w:tc>
          <w:tcPr>
            <w:tcW w:w="20" w:type="dxa"/>
            <w:vAlign w:val="bottom"/>
          </w:tcPr>
          <w:p>
            <w:pPr>
              <w:spacing w:after="0"/>
              <w:rPr>
                <w:sz w:val="12"/>
                <w:szCs w:val="12"/>
                <w:color w:val="auto"/>
              </w:rPr>
            </w:pPr>
          </w:p>
        </w:tc>
      </w:tr>
      <w:tr>
        <w:trPr>
          <w:trHeight w:val="160"/>
        </w:trPr>
        <w:tc>
          <w:tcPr>
            <w:tcW w:w="200" w:type="dxa"/>
            <w:vAlign w:val="bottom"/>
            <w:shd w:val="clear" w:color="auto" w:fill="CCEEFF"/>
          </w:tcPr>
          <w:p>
            <w:pPr>
              <w:spacing w:after="0"/>
              <w:rPr>
                <w:sz w:val="13"/>
                <w:szCs w:val="13"/>
                <w:color w:val="auto"/>
              </w:rPr>
            </w:pPr>
          </w:p>
        </w:tc>
        <w:tc>
          <w:tcPr>
            <w:tcW w:w="3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49"/>
        </w:trPr>
        <w:tc>
          <w:tcPr>
            <w:tcW w:w="332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Total shares issued and outstanding (at period-end):</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0"/>
        </w:trPr>
        <w:tc>
          <w:tcPr>
            <w:tcW w:w="200" w:type="dxa"/>
            <w:vAlign w:val="bottom"/>
            <w:shd w:val="clear" w:color="auto" w:fill="CCEEFF"/>
          </w:tcPr>
          <w:p>
            <w:pPr>
              <w:spacing w:after="0"/>
              <w:rPr>
                <w:sz w:val="13"/>
                <w:szCs w:val="13"/>
                <w:color w:val="auto"/>
              </w:rPr>
            </w:pPr>
          </w:p>
        </w:tc>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Total common shares issued and outstanding</w:t>
            </w: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18,257,400</w:t>
            </w:r>
          </w:p>
        </w:tc>
        <w:tc>
          <w:tcPr>
            <w:tcW w:w="2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18,137,885</w:t>
            </w:r>
          </w:p>
        </w:tc>
        <w:tc>
          <w:tcPr>
            <w:tcW w:w="2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18,107,385</w:t>
            </w:r>
          </w:p>
        </w:tc>
        <w:tc>
          <w:tcPr>
            <w:tcW w:w="2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20,078,385</w:t>
            </w:r>
          </w:p>
        </w:tc>
        <w:tc>
          <w:tcPr>
            <w:tcW w:w="2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20,048,385</w:t>
            </w:r>
          </w:p>
        </w:tc>
        <w:tc>
          <w:tcPr>
            <w:tcW w:w="20" w:type="dxa"/>
            <w:vAlign w:val="bottom"/>
            <w:shd w:val="clear" w:color="auto" w:fill="CCEEFF"/>
          </w:tcPr>
          <w:p>
            <w:pPr>
              <w:spacing w:after="0"/>
              <w:rPr>
                <w:sz w:val="13"/>
                <w:szCs w:val="13"/>
                <w:color w:val="auto"/>
              </w:rPr>
            </w:pPr>
          </w:p>
        </w:tc>
      </w:tr>
      <w:tr>
        <w:trPr>
          <w:trHeight w:val="212"/>
        </w:trPr>
        <w:tc>
          <w:tcPr>
            <w:tcW w:w="200" w:type="dxa"/>
            <w:vAlign w:val="bottom"/>
          </w:tcPr>
          <w:p>
            <w:pPr>
              <w:spacing w:after="0"/>
              <w:rPr>
                <w:sz w:val="18"/>
                <w:szCs w:val="18"/>
                <w:color w:val="auto"/>
              </w:rPr>
            </w:pPr>
          </w:p>
        </w:tc>
        <w:tc>
          <w:tcPr>
            <w:tcW w:w="31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Tangible book value per common share</w:t>
            </w:r>
            <w:r>
              <w:rPr>
                <w:rFonts w:ascii="Times New Roman" w:cs="Times New Roman" w:eastAsia="Times New Roman" w:hAnsi="Times New Roman"/>
                <w:sz w:val="14"/>
                <w:szCs w:val="14"/>
                <w:color w:val="auto"/>
                <w:vertAlign w:val="superscript"/>
              </w:rPr>
              <w:t>(2)</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12.23</w:t>
            </w:r>
          </w:p>
        </w:tc>
        <w:tc>
          <w:tcPr>
            <w:tcW w:w="2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11.97</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11.55</w:t>
            </w:r>
          </w:p>
        </w:tc>
        <w:tc>
          <w:tcPr>
            <w:tcW w:w="2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11.53</w:t>
            </w:r>
          </w:p>
        </w:tc>
        <w:tc>
          <w:tcPr>
            <w:tcW w:w="2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11.23</w:t>
            </w:r>
          </w:p>
        </w:tc>
        <w:tc>
          <w:tcPr>
            <w:tcW w:w="20" w:type="dxa"/>
            <w:vAlign w:val="bottom"/>
          </w:tcPr>
          <w:p>
            <w:pPr>
              <w:spacing w:after="0"/>
              <w:rPr>
                <w:sz w:val="18"/>
                <w:szCs w:val="18"/>
                <w:color w:val="auto"/>
              </w:rPr>
            </w:pPr>
          </w:p>
        </w:tc>
      </w:tr>
      <w:tr>
        <w:trPr>
          <w:trHeight w:val="100"/>
        </w:trPr>
        <w:tc>
          <w:tcPr>
            <w:tcW w:w="200" w:type="dxa"/>
            <w:vAlign w:val="bottom"/>
            <w:tcBorders>
              <w:top w:val="single" w:sz="8" w:color="CCEEFF"/>
            </w:tcBorders>
            <w:shd w:val="clear" w:color="auto" w:fill="CCEEFF"/>
          </w:tcPr>
          <w:p>
            <w:pPr>
              <w:spacing w:after="0"/>
              <w:rPr>
                <w:sz w:val="8"/>
                <w:szCs w:val="8"/>
                <w:color w:val="auto"/>
              </w:rPr>
            </w:pPr>
          </w:p>
        </w:tc>
        <w:tc>
          <w:tcPr>
            <w:tcW w:w="31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72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72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72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72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r>
      <w:tr>
        <w:trPr>
          <w:trHeight w:val="160"/>
        </w:trPr>
        <w:tc>
          <w:tcPr>
            <w:tcW w:w="332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Operating diluted net income per common share:</w:t>
            </w:r>
            <w:r>
              <w:rPr>
                <w:rFonts w:ascii="Times New Roman" w:cs="Times New Roman" w:eastAsia="Times New Roman" w:hAnsi="Times New Roman"/>
                <w:sz w:val="14"/>
                <w:szCs w:val="14"/>
                <w:color w:val="auto"/>
                <w:vertAlign w:val="superscript"/>
              </w:rPr>
              <w:t>(1)</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200" w:type="dxa"/>
            <w:vAlign w:val="bottom"/>
            <w:shd w:val="clear" w:color="auto" w:fill="CCEEFF"/>
          </w:tcPr>
          <w:p>
            <w:pPr>
              <w:spacing w:after="0"/>
              <w:rPr>
                <w:sz w:val="13"/>
                <w:szCs w:val="13"/>
                <w:color w:val="auto"/>
              </w:rPr>
            </w:pPr>
          </w:p>
        </w:tc>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Operating net income</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8,722</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8,057</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8,960</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8,140</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7,658</w:t>
            </w:r>
          </w:p>
        </w:tc>
        <w:tc>
          <w:tcPr>
            <w:tcW w:w="20" w:type="dxa"/>
            <w:vAlign w:val="bottom"/>
            <w:shd w:val="clear" w:color="auto" w:fill="CCEEFF"/>
          </w:tcPr>
          <w:p>
            <w:pPr>
              <w:spacing w:after="0"/>
              <w:rPr>
                <w:sz w:val="13"/>
                <w:szCs w:val="13"/>
                <w:color w:val="auto"/>
              </w:rPr>
            </w:pPr>
          </w:p>
        </w:tc>
      </w:tr>
      <w:tr>
        <w:trPr>
          <w:trHeight w:val="149"/>
        </w:trPr>
        <w:tc>
          <w:tcPr>
            <w:tcW w:w="332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1"/>
                <w:szCs w:val="11"/>
                <w:color w:val="auto"/>
              </w:rPr>
              <w:t>Total weighted average diluted shares of common stock</w:t>
            </w: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18,454,006</w:t>
            </w:r>
          </w:p>
        </w:tc>
        <w:tc>
          <w:tcPr>
            <w:tcW w:w="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18,348,725</w:t>
            </w: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19,755,820</w:t>
            </w:r>
          </w:p>
        </w:tc>
        <w:tc>
          <w:tcPr>
            <w:tcW w:w="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20,295,794</w:t>
            </w:r>
          </w:p>
        </w:tc>
        <w:tc>
          <w:tcPr>
            <w:tcW w:w="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20,319,535</w:t>
            </w:r>
          </w:p>
        </w:tc>
        <w:tc>
          <w:tcPr>
            <w:tcW w:w="20" w:type="dxa"/>
            <w:vAlign w:val="bottom"/>
          </w:tcPr>
          <w:p>
            <w:pPr>
              <w:spacing w:after="0"/>
              <w:rPr>
                <w:sz w:val="12"/>
                <w:szCs w:val="12"/>
                <w:color w:val="auto"/>
              </w:rPr>
            </w:pPr>
          </w:p>
        </w:tc>
      </w:tr>
      <w:tr>
        <w:trPr>
          <w:trHeight w:val="172"/>
        </w:trPr>
        <w:tc>
          <w:tcPr>
            <w:tcW w:w="200" w:type="dxa"/>
            <w:vAlign w:val="bottom"/>
            <w:shd w:val="clear" w:color="auto" w:fill="CCEEFF"/>
          </w:tcPr>
          <w:p>
            <w:pPr>
              <w:spacing w:after="0"/>
              <w:rPr>
                <w:sz w:val="14"/>
                <w:szCs w:val="14"/>
                <w:color w:val="auto"/>
              </w:rPr>
            </w:pPr>
          </w:p>
        </w:tc>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Operating diluted net income per common share:</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0.47</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0.44</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0.45</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0.40</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0.38</w:t>
            </w:r>
          </w:p>
        </w:tc>
        <w:tc>
          <w:tcPr>
            <w:tcW w:w="20" w:type="dxa"/>
            <w:vAlign w:val="bottom"/>
            <w:shd w:val="clear" w:color="auto" w:fill="CCEEFF"/>
          </w:tcPr>
          <w:p>
            <w:pPr>
              <w:spacing w:after="0"/>
              <w:rPr>
                <w:sz w:val="14"/>
                <w:szCs w:val="14"/>
                <w:color w:val="auto"/>
              </w:rPr>
            </w:pPr>
          </w:p>
        </w:tc>
      </w:tr>
      <w:tr>
        <w:trPr>
          <w:trHeight w:val="20"/>
        </w:trPr>
        <w:tc>
          <w:tcPr>
            <w:tcW w:w="20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152"/>
        </w:trPr>
        <w:tc>
          <w:tcPr>
            <w:tcW w:w="20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81"/>
        </w:trPr>
        <w:tc>
          <w:tcPr>
            <w:tcW w:w="3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Tangible Common Equity/Tangible Assets</w:t>
            </w:r>
            <w:r>
              <w:rPr>
                <w:rFonts w:ascii="Times New Roman" w:cs="Times New Roman" w:eastAsia="Times New Roman" w:hAnsi="Times New Roman"/>
                <w:sz w:val="14"/>
                <w:szCs w:val="14"/>
                <w:color w:val="auto"/>
                <w:vertAlign w:val="superscript"/>
              </w:rPr>
              <w:t>(1)(4)</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192"/>
        </w:trPr>
        <w:tc>
          <w:tcPr>
            <w:tcW w:w="332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Tangible stockholders' equity</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223,246</w:t>
            </w:r>
          </w:p>
        </w:tc>
        <w:tc>
          <w:tcPr>
            <w:tcW w:w="20" w:type="dxa"/>
            <w:vAlign w:val="bottom"/>
          </w:tcPr>
          <w:p>
            <w:pPr>
              <w:spacing w:after="0"/>
              <w:rPr>
                <w:sz w:val="16"/>
                <w:szCs w:val="16"/>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217,183</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209,095</w:t>
            </w:r>
          </w:p>
        </w:tc>
        <w:tc>
          <w:tcPr>
            <w:tcW w:w="20" w:type="dxa"/>
            <w:vAlign w:val="bottom"/>
          </w:tcPr>
          <w:p>
            <w:pPr>
              <w:spacing w:after="0"/>
              <w:rPr>
                <w:sz w:val="16"/>
                <w:szCs w:val="16"/>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231,583</w:t>
            </w:r>
          </w:p>
        </w:tc>
        <w:tc>
          <w:tcPr>
            <w:tcW w:w="20" w:type="dxa"/>
            <w:vAlign w:val="bottom"/>
          </w:tcPr>
          <w:p>
            <w:pPr>
              <w:spacing w:after="0"/>
              <w:rPr>
                <w:sz w:val="16"/>
                <w:szCs w:val="16"/>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225,088</w:t>
            </w:r>
          </w:p>
        </w:tc>
        <w:tc>
          <w:tcPr>
            <w:tcW w:w="20" w:type="dxa"/>
            <w:vAlign w:val="bottom"/>
          </w:tcPr>
          <w:p>
            <w:pPr>
              <w:spacing w:after="0"/>
              <w:rPr>
                <w:sz w:val="16"/>
                <w:szCs w:val="16"/>
                <w:color w:val="auto"/>
              </w:rPr>
            </w:pPr>
          </w:p>
        </w:tc>
      </w:tr>
      <w:tr>
        <w:trPr>
          <w:trHeight w:val="181"/>
        </w:trPr>
        <w:tc>
          <w:tcPr>
            <w:tcW w:w="3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Tangible total assets</w:t>
            </w:r>
            <w:r>
              <w:rPr>
                <w:rFonts w:ascii="Times New Roman" w:cs="Times New Roman" w:eastAsia="Times New Roman" w:hAnsi="Times New Roman"/>
                <w:sz w:val="14"/>
                <w:szCs w:val="14"/>
                <w:color w:val="auto"/>
                <w:vertAlign w:val="superscript"/>
              </w:rPr>
              <w:t>(3)</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2,845,735</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2,791,540</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2,767,945</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2,719,474</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2,677,382</w:t>
            </w:r>
          </w:p>
        </w:tc>
        <w:tc>
          <w:tcPr>
            <w:tcW w:w="20" w:type="dxa"/>
            <w:vAlign w:val="bottom"/>
            <w:shd w:val="clear" w:color="auto" w:fill="CCEEFF"/>
          </w:tcPr>
          <w:p>
            <w:pPr>
              <w:spacing w:after="0"/>
              <w:rPr>
                <w:sz w:val="15"/>
                <w:szCs w:val="15"/>
                <w:color w:val="auto"/>
              </w:rPr>
            </w:pPr>
          </w:p>
        </w:tc>
      </w:tr>
      <w:tr>
        <w:trPr>
          <w:trHeight w:val="171"/>
        </w:trPr>
        <w:tc>
          <w:tcPr>
            <w:tcW w:w="200" w:type="dxa"/>
            <w:vAlign w:val="bottom"/>
          </w:tcPr>
          <w:p>
            <w:pPr>
              <w:spacing w:after="0"/>
              <w:rPr>
                <w:sz w:val="14"/>
                <w:szCs w:val="14"/>
                <w:color w:val="auto"/>
              </w:rPr>
            </w:pPr>
          </w:p>
        </w:tc>
        <w:tc>
          <w:tcPr>
            <w:tcW w:w="31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Tangible Common Equity/Tangible Assets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7.84%</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7.78%</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7.55%</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8.52%</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8.41%</w:t>
            </w:r>
          </w:p>
        </w:tc>
        <w:tc>
          <w:tcPr>
            <w:tcW w:w="20" w:type="dxa"/>
            <w:vAlign w:val="bottom"/>
          </w:tcPr>
          <w:p>
            <w:pPr>
              <w:spacing w:after="0"/>
              <w:rPr>
                <w:sz w:val="14"/>
                <w:szCs w:val="14"/>
                <w:color w:val="auto"/>
              </w:rPr>
            </w:pPr>
          </w:p>
        </w:tc>
      </w:tr>
      <w:tr>
        <w:trPr>
          <w:trHeight w:val="181"/>
        </w:trPr>
        <w:tc>
          <w:tcPr>
            <w:tcW w:w="200" w:type="dxa"/>
            <w:vAlign w:val="bottom"/>
            <w:tcBorders>
              <w:bottom w:val="single" w:sz="8" w:color="auto"/>
            </w:tcBorders>
            <w:shd w:val="clear" w:color="auto" w:fill="CCEEFF"/>
          </w:tcPr>
          <w:p>
            <w:pPr>
              <w:spacing w:after="0"/>
              <w:rPr>
                <w:sz w:val="15"/>
                <w:szCs w:val="15"/>
                <w:color w:val="auto"/>
              </w:rPr>
            </w:pPr>
          </w:p>
        </w:tc>
        <w:tc>
          <w:tcPr>
            <w:tcW w:w="3120" w:type="dxa"/>
            <w:vAlign w:val="bottom"/>
            <w:tcBorders>
              <w:bottom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bl>
    <w:p>
      <w:pPr>
        <w:ind w:left="860" w:hanging="197"/>
        <w:spacing w:after="0"/>
        <w:tabs>
          <w:tab w:leader="none" w:pos="860" w:val="left"/>
        </w:tabs>
        <w:numPr>
          <w:ilvl w:val="0"/>
          <w:numId w:val="1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Company believes these non-GAAP financial measurements are key indicators of the ongoing earnings power of the Company.</w:t>
      </w:r>
    </w:p>
    <w:p>
      <w:pPr>
        <w:spacing w:after="0" w:line="26" w:lineRule="exact"/>
        <w:rPr>
          <w:rFonts w:ascii="Times New Roman" w:cs="Times New Roman" w:eastAsia="Times New Roman" w:hAnsi="Times New Roman"/>
          <w:sz w:val="11"/>
          <w:szCs w:val="11"/>
          <w:color w:val="auto"/>
        </w:rPr>
      </w:pPr>
    </w:p>
    <w:p>
      <w:pPr>
        <w:ind w:left="860" w:hanging="197"/>
        <w:spacing w:after="0"/>
        <w:tabs>
          <w:tab w:leader="none" w:pos="860" w:val="left"/>
        </w:tabs>
        <w:numPr>
          <w:ilvl w:val="0"/>
          <w:numId w:val="1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Excludes the dilutive effect, if any, of shares of common stock issuable upon exercise of outstanding stock options.</w:t>
      </w:r>
    </w:p>
    <w:p>
      <w:pPr>
        <w:spacing w:after="0" w:line="33" w:lineRule="exact"/>
        <w:rPr>
          <w:rFonts w:ascii="Times New Roman" w:cs="Times New Roman" w:eastAsia="Times New Roman" w:hAnsi="Times New Roman"/>
          <w:sz w:val="11"/>
          <w:szCs w:val="11"/>
          <w:color w:val="auto"/>
        </w:rPr>
      </w:pPr>
    </w:p>
    <w:p>
      <w:pPr>
        <w:ind w:left="660" w:right="879" w:firstLine="3"/>
        <w:spacing w:after="0" w:line="283" w:lineRule="auto"/>
        <w:tabs>
          <w:tab w:leader="none" w:pos="822" w:val="left"/>
        </w:tabs>
        <w:numPr>
          <w:ilvl w:val="0"/>
          <w:numId w:val="1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Since the Company has no intangible assets, tangible stockholders’ equity and tangible total assets are the same amounts as stockholders’ equity and total assets, respectively, as calculated under GAAP.</w:t>
      </w:r>
    </w:p>
    <w:p>
      <w:pPr>
        <w:spacing w:after="0" w:line="32" w:lineRule="exact"/>
        <w:rPr>
          <w:rFonts w:ascii="Times New Roman" w:cs="Times New Roman" w:eastAsia="Times New Roman" w:hAnsi="Times New Roman"/>
          <w:sz w:val="11"/>
          <w:szCs w:val="11"/>
          <w:color w:val="auto"/>
        </w:rPr>
      </w:pPr>
    </w:p>
    <w:p>
      <w:pPr>
        <w:ind w:left="820" w:hanging="157"/>
        <w:spacing w:after="0"/>
        <w:tabs>
          <w:tab w:leader="none" w:pos="820" w:val="left"/>
        </w:tabs>
        <w:numPr>
          <w:ilvl w:val="0"/>
          <w:numId w:val="1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decrease in total stockholders’ equity was driven primarily by the repurchase of 2.0 million shares of Class A common stock conducted in September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9019"/>
          </w:cols>
          <w:pgMar w:left="1440" w:top="760" w:right="1440" w:bottom="1440" w:gutter="0" w:footer="0" w:header="0"/>
        </w:sectPr>
      </w:pPr>
    </w:p>
    <w:bookmarkStart w:id="13" w:name="page14"/>
    <w:bookmarkEnd w:id="13"/>
    <w:p>
      <w:pPr>
        <w:ind w:left="936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t>Exhibit 99.2</w:t>
      </w:r>
    </w:p>
    <w:p>
      <w:pPr>
        <w:sectPr>
          <w:pgSz w:w="11900" w:h="16838" w:orient="portrait"/>
          <w:cols w:equalWidth="0" w:num="1">
            <w:col w:w="10100"/>
          </w:cols>
          <w:pgMar w:left="1440" w:top="433" w:right="359" w:bottom="1440"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56368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0425"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1)"/>
      <w:numFmt w:val="decimal"/>
      <w:start w:val="1"/>
    </w:lvl>
  </w:abstractNum>
  <w:abstractNum w:abstractNumId="8">
    <w:nsid w:val="216231B"/>
    <w:multiLevelType w:val="hybridMultilevel"/>
    <w:lvl w:ilvl="0">
      <w:lvlJc w:val="left"/>
      <w:lvlText w:val="(%1)"/>
      <w:numFmt w:val="decimal"/>
      <w:start w:val="1"/>
    </w:lvl>
  </w:abstractNum>
  <w:abstractNum w:abstractNumId="9">
    <w:nsid w:val="1F16E9E8"/>
    <w:multiLevelType w:val="hybridMultilevel"/>
    <w:lvl w:ilvl="0">
      <w:lvlJc w:val="left"/>
      <w:lvlText w:val="(%1)"/>
      <w:numFmt w:val="decimal"/>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2026-04-23T15:44:38Z</dcterms:created>
  <dcterms:modified xsi:type="dcterms:W3CDTF">2026-04-23T15:44:38Z</dcterms:modified>
</cp:coreProperties>
</file>