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8659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865949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WYCOFF W KIRK</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700"/>
        <w:spacing w:after="0" w:line="385" w:lineRule="auto"/>
        <w:rPr>
          <w:sz w:val="20"/>
          <w:szCs w:val="20"/>
          <w:color w:val="auto"/>
        </w:rPr>
      </w:pPr>
      <w:r>
        <w:rPr>
          <w:rFonts w:ascii="Times New Roman" w:cs="Times New Roman" w:eastAsia="Times New Roman" w:hAnsi="Times New Roman"/>
          <w:sz w:val="16"/>
          <w:szCs w:val="16"/>
          <w:color w:val="0000FF"/>
        </w:rPr>
        <w:t>FOUR RADNOR CORPORATE CENTER 100 MATSONFORD ROAD, SUITE 210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USCB FINANCIAL HOLDINGS, INC. </w:t>
              </w:r>
            </w:hyperlink>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3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4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34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380"/>
              <w:spacing w:after="0" w:line="14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09/16/2025</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25"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3"/>
                <w:szCs w:val="13"/>
                <w:color w:val="auto"/>
              </w:rPr>
            </w:pPr>
          </w:p>
        </w:tc>
        <w:tc>
          <w:tcPr>
            <w:tcW w:w="9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6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09/16/2025</w:t>
            </w: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4"/>
              </w:rPr>
              <w:t>D</w:t>
            </w:r>
          </w:p>
        </w:tc>
        <w:tc>
          <w:tcPr>
            <w:tcW w:w="8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1,250,000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17.19</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2,035,909</w:t>
            </w:r>
          </w:p>
        </w:tc>
        <w:tc>
          <w:tcPr>
            <w:tcW w:w="960" w:type="dxa"/>
            <w:vAlign w:val="bottom"/>
            <w:tcBorders>
              <w:bottom w:val="single" w:sz="8" w:color="2C2C2C"/>
            </w:tcBorders>
            <w:gridSpan w:val="2"/>
          </w:tcPr>
          <w:p>
            <w:pPr>
              <w:ind w:left="120"/>
              <w:spacing w:after="0" w:line="312"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(1)(2)(3)(4)</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jc w:val="center"/>
              <w:ind w:left="5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20" w:type="dxa"/>
            <w:vAlign w:val="bottom"/>
            <w:gridSpan w:val="14"/>
          </w:tcPr>
          <w:p>
            <w:pPr>
              <w:ind w:lef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4"/>
          </w:tcPr>
          <w:p>
            <w:pPr>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Class A</w:t>
            </w: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(5)</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restart"/>
          </w:tcPr>
          <w:p>
            <w:pPr>
              <w:jc w:val="center"/>
              <w:ind w:right="18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w:t>
            </w: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03/01/2016</w:t>
            </w:r>
          </w:p>
        </w:tc>
        <w:tc>
          <w:tcPr>
            <w:tcW w:w="660" w:type="dxa"/>
            <w:vAlign w:val="bottom"/>
            <w:vMerge w:val="continue"/>
          </w:tcPr>
          <w:p>
            <w:pPr>
              <w:spacing w:after="0"/>
              <w:rPr>
                <w:sz w:val="6"/>
                <w:szCs w:val="6"/>
                <w:color w:val="auto"/>
              </w:rPr>
            </w:pPr>
          </w:p>
        </w:tc>
        <w:tc>
          <w:tcPr>
            <w:tcW w:w="700" w:type="dxa"/>
            <w:vAlign w:val="bottom"/>
            <w:gridSpan w:val="2"/>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7,500</w:t>
            </w: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Class A</w:t>
            </w: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(5)</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restart"/>
          </w:tcPr>
          <w:p>
            <w:pPr>
              <w:jc w:val="center"/>
              <w:ind w:right="121"/>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09/23/2019</w:t>
            </w:r>
          </w:p>
        </w:tc>
        <w:tc>
          <w:tcPr>
            <w:tcW w:w="660" w:type="dxa"/>
            <w:vAlign w:val="bottom"/>
            <w:vMerge w:val="continue"/>
          </w:tcPr>
          <w:p>
            <w:pPr>
              <w:spacing w:after="0"/>
              <w:rPr>
                <w:sz w:val="6"/>
                <w:szCs w:val="6"/>
                <w:color w:val="auto"/>
              </w:rPr>
            </w:pPr>
          </w:p>
        </w:tc>
        <w:tc>
          <w:tcPr>
            <w:tcW w:w="700" w:type="dxa"/>
            <w:vAlign w:val="bottom"/>
            <w:gridSpan w:val="2"/>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4,000</w:t>
            </w: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4"/>
          </w:tcPr>
          <w:p>
            <w:pPr>
              <w:spacing w:after="0" w:line="22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WYCOFF W KIRK</w:t>
              </w:r>
            </w:hyperlink>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RADNOR</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PA</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19087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gridSpan w:val="6"/>
          </w:tcPr>
          <w:p>
            <w:pPr>
              <w:spacing w:after="0" w:line="223"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Patriot Financial Partners GP II, L.P.</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-5400675</wp:posOffset>
            </wp:positionV>
            <wp:extent cx="29210" cy="3020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302069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MATSONFORD ROAD, SUITE 210</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3"/>
          </w:tcPr>
          <w:p>
            <w:pPr>
              <w:spacing w:after="0" w:line="223" w:lineRule="exact"/>
              <w:rPr>
                <w:rFonts w:ascii="Times New Roman" w:cs="Times New Roman" w:eastAsia="Times New Roman" w:hAnsi="Times New Roman"/>
                <w:sz w:val="21"/>
                <w:szCs w:val="21"/>
                <w:color w:val="0000EE"/>
                <w:w w:val="98"/>
              </w:rPr>
            </w:pPr>
            <w:hyperlink r:id="rId17">
              <w:r>
                <w:rPr>
                  <w:rFonts w:ascii="Times New Roman" w:cs="Times New Roman" w:eastAsia="Times New Roman" w:hAnsi="Times New Roman"/>
                  <w:sz w:val="21"/>
                  <w:szCs w:val="21"/>
                  <w:color w:val="0000EE"/>
                  <w:w w:val="98"/>
                </w:rPr>
                <w:t>Patriot Financial Partners II, L.P.</w:t>
              </w:r>
            </w:hyperlink>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68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05430" cy="10525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5430" cy="1052512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Patriot Financial Partners Parallel II, L.P.</w:t>
        </w:r>
      </w:hyperlink>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4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20" w:type="dxa"/>
            <w:vAlign w:val="bottom"/>
          </w:tcPr>
          <w:p>
            <w:pPr>
              <w:spacing w:after="0"/>
              <w:rPr>
                <w:sz w:val="22"/>
                <w:szCs w:val="22"/>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Patriot Financial Partners GP II, LLC</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3"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Deutsch James F.</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3"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LUBERT IRA M</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FMC TOWER AT CIRA CENTRE SOUTH</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2929 WALNUT STREET, SUITE 1550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PHILADELPHIA</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19104</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3"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LYNCH JAMES J</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 MATSONFORD ROAD, SUITE 210</w:t>
      </w:r>
    </w:p>
    <w:p>
      <w:pPr>
        <w:sectPr>
          <w:pgSz w:w="11900" w:h="16838" w:orient="portrait"/>
          <w:cols w:equalWidth="0" w:num="1">
            <w:col w:w="9979"/>
          </w:cols>
          <w:pgMar w:left="480" w:top="257" w:right="1440"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17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-547370</wp:posOffset>
            </wp:positionV>
            <wp:extent cx="2805430" cy="624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05430" cy="62484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firstLine="3"/>
        <w:spacing w:after="0"/>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Patriot Financial Partners GP II, LLC ("Patriot LLC"), Patriot Financial Partners GP II, LP. ("Patriot GP"), Patriot Financial Partners II, LP. ("Patriot Fund II"), Patriot Financial Partners Parallel II, LP. ("Patriot Parallel Fund II," together with Patriot Fund II, the "Funds"), W. Kirk Wycoff, James J. Lynch, Ira M. Lubert and James F. Deutsch. Patriot GP is a general partner of each of the Funds and Patriot LLC is a general partner of Patriot GP. In addition, each of W. Kirk Wycoff, Ira M. Lubert and James J. Lynch serve as general partners of the Funds and is a member of Patriot LLC. James F. Deutsch is a member of the Patriot Funds Investment Committee.</w:t>
      </w:r>
    </w:p>
    <w:p>
      <w:pPr>
        <w:spacing w:after="0" w:line="27" w:lineRule="exact"/>
        <w:rPr>
          <w:rFonts w:ascii="Times New Roman" w:cs="Times New Roman" w:eastAsia="Times New Roman" w:hAnsi="Times New Roman"/>
          <w:sz w:val="13"/>
          <w:szCs w:val="13"/>
          <w:color w:val="008000"/>
        </w:rPr>
      </w:pPr>
    </w:p>
    <w:p>
      <w:pPr>
        <w:ind w:right="80" w:firstLine="3"/>
        <w:spacing w:after="0" w:line="260"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owned by the Funds may be regarded as being beneficially owned by Patriot GP, Patriot LLC, W. Kirk Wycoff, James J. Lynch, Ira M. Lubert and James F. Deutsch. On September 15, 2025, Patriot Fund II agreed to sell 1,119,391 shares of common stock and Patriot Parallel Fund II agreed to sell 130,609 shares of common stock.</w:t>
      </w:r>
    </w:p>
    <w:p>
      <w:pPr>
        <w:spacing w:after="0" w:line="14"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the sale, Patriot Fund II holds 1,823,182 shares of common stock and Patriot Parallel Fund II holds 212,727 shares of common stock.</w:t>
      </w:r>
    </w:p>
    <w:p>
      <w:pPr>
        <w:spacing w:after="0" w:line="45" w:lineRule="exact"/>
        <w:rPr>
          <w:rFonts w:ascii="Times New Roman" w:cs="Times New Roman" w:eastAsia="Times New Roman" w:hAnsi="Times New Roman"/>
          <w:sz w:val="13"/>
          <w:szCs w:val="13"/>
          <w:color w:val="008000"/>
        </w:rPr>
      </w:pPr>
    </w:p>
    <w:p>
      <w:pPr>
        <w:jc w:val="both"/>
        <w:ind w:firstLine="3"/>
        <w:spacing w:after="0" w:line="245"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filing shall not be deemed an admission that the Reporting Persons are subject to Section 16 of the Securities Exchange Act of 1934, as amended (the "Exchange Act"), or, for purposes of Section 16 of the Exchange Act or otherwise (other than to the extent a Reporting Person directly holds the securities reported herein), and Messrs. Wycoff, Lynch, Lubert and Deutsch each disclaim beneficial ownership of the securities owned by the Funds, except to the extent of their respective pecuniary interest therein.</w:t>
      </w:r>
    </w:p>
    <w:p>
      <w:pPr>
        <w:spacing w:after="0" w:line="24" w:lineRule="exact"/>
        <w:rPr>
          <w:rFonts w:ascii="Times New Roman" w:cs="Times New Roman" w:eastAsia="Times New Roman" w:hAnsi="Times New Roman"/>
          <w:sz w:val="13"/>
          <w:szCs w:val="13"/>
          <w:color w:val="008000"/>
        </w:rPr>
      </w:pPr>
    </w:p>
    <w:p>
      <w:pPr>
        <w:ind w:right="140" w:firstLine="3"/>
        <w:spacing w:after="0" w:line="260"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previously granted to Mr. Wycoff as a director of the Company. Each option to purchase Class A Voting Common Stock remains exercisable until the earlier of (a) ten (10) years after its date of grant or (b) the (3) months after the date Mr. Wycoff ceases to serve as a non-employee of the Issuer.</w:t>
      </w:r>
    </w:p>
    <w:p>
      <w:pPr>
        <w:sectPr>
          <w:pgSz w:w="11900" w:h="16838" w:orient="portrait"/>
          <w:cols w:equalWidth="0" w:num="1">
            <w:col w:w="10860"/>
          </w:cols>
          <w:pgMar w:left="500" w:top="128" w:right="539" w:bottom="1440" w:gutter="0" w:footer="0" w:header="0"/>
        </w:sectPr>
      </w:pPr>
    </w:p>
    <w:p>
      <w:pPr>
        <w:spacing w:after="0" w:line="4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Patriot Financial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wp:posOffset>
            </wp:positionV>
            <wp:extent cx="134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W. Kirk Wycoff,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167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Patriot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09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GP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57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78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991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17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 II, L.P.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09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12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326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99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17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Parallel II, L.P.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00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12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326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GP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90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363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Partners Parallel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2604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670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12217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 II, LLC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1044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Wycoff,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8007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8680" w:space="80"/>
            <w:col w:w="2100"/>
          </w:cols>
          <w:pgMar w:left="500" w:top="128" w:right="539" w:bottom="144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20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W. Kirk Wycoff</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09/17/2025</w:t>
            </w:r>
          </w:p>
        </w:tc>
      </w:tr>
      <w:tr>
        <w:trPr>
          <w:trHeight w:val="20"/>
        </w:trPr>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41"/>
        </w:trPr>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7"/>
              </w:rPr>
              <w:t>/s/ James F. Deutsch</w:t>
            </w:r>
          </w:p>
        </w:tc>
        <w:tc>
          <w:tcPr>
            <w:tcW w:w="66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09/17/2025</w:t>
            </w:r>
          </w:p>
        </w:tc>
      </w:tr>
      <w:tr>
        <w:trPr>
          <w:trHeight w:val="20"/>
        </w:trPr>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41"/>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Ira M. Lubert</w:t>
            </w:r>
          </w:p>
        </w:tc>
        <w:tc>
          <w:tcPr>
            <w:tcW w:w="260" w:type="dxa"/>
            <w:vAlign w:val="bottom"/>
            <w:gridSpan w:val="2"/>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09/17/2025</w:t>
            </w:r>
          </w:p>
        </w:tc>
      </w:tr>
      <w:tr>
        <w:trPr>
          <w:trHeight w:val="20"/>
        </w:trPr>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41"/>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6"/>
              </w:rPr>
              <w:t>/s/ James J. Lynch</w:t>
            </w:r>
          </w:p>
        </w:tc>
        <w:tc>
          <w:tcPr>
            <w:tcW w:w="800" w:type="dxa"/>
            <w:vAlign w:val="bottom"/>
            <w:gridSpan w:val="2"/>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09/17/2025</w:t>
            </w:r>
          </w:p>
        </w:tc>
      </w:tr>
      <w:tr>
        <w:trPr>
          <w:trHeight w:val="20"/>
        </w:trPr>
        <w:tc>
          <w:tcPr>
            <w:tcW w:w="1240" w:type="dxa"/>
            <w:vAlign w:val="bottom"/>
            <w:gridSpan w:val="2"/>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40" w:firstLine="3"/>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8"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13" Type="http://schemas.openxmlformats.org/officeDocument/2006/relationships/hyperlink" Target="http://www.sec.gov/cgi-bin/browse-edgar?action=getcompany&amp;CIK=0000949197" TargetMode="External"/><Relationship Id="rId14" Type="http://schemas.openxmlformats.org/officeDocument/2006/relationships/hyperlink" Target="http://www.sec.gov/cgi-bin/browse-edgar?action=getcompany&amp;CIK=0001901637" TargetMode="External"/><Relationship Id="rId15" Type="http://schemas.openxmlformats.org/officeDocument/2006/relationships/hyperlink" Target="http://www.sec.gov/cgi-bin/browse-edgar?action=getcompany&amp;CIK=0002061817" TargetMode="External"/><Relationship Id="rId17" Type="http://schemas.openxmlformats.org/officeDocument/2006/relationships/hyperlink" Target="http://www.sec.gov/cgi-bin/browse-edgar?action=getcompany&amp;CIK=0001583223" TargetMode="External"/><Relationship Id="rId19" Type="http://schemas.openxmlformats.org/officeDocument/2006/relationships/hyperlink" Target="http://www.sec.gov/cgi-bin/browse-edgar?action=getcompany&amp;CIK=0001586224" TargetMode="External"/><Relationship Id="rId20" Type="http://schemas.openxmlformats.org/officeDocument/2006/relationships/hyperlink" Target="http://www.sec.gov/cgi-bin/browse-edgar?action=getcompany&amp;CIK=0002061814" TargetMode="External"/><Relationship Id="rId21" Type="http://schemas.openxmlformats.org/officeDocument/2006/relationships/hyperlink" Target="http://www.sec.gov/cgi-bin/browse-edgar?action=getcompany&amp;CIK=0001561111" TargetMode="External"/><Relationship Id="rId22" Type="http://schemas.openxmlformats.org/officeDocument/2006/relationships/hyperlink" Target="http://www.sec.gov/cgi-bin/browse-edgar?action=getcompany&amp;CIK=0001203115" TargetMode="External"/><Relationship Id="rId23" Type="http://schemas.openxmlformats.org/officeDocument/2006/relationships/hyperlink" Target="http://www.sec.gov/cgi-bin/browse-edgar?action=getcompany&amp;CIK=00012223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2025-09-17T08:39:20Z</dcterms:created>
  <dcterms:modified xsi:type="dcterms:W3CDTF">2025-09-17T08:39:20Z</dcterms:modified>
</cp:coreProperties>
</file>