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GUERRA-KATTOU MARTHA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20.7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885 shares of restricted stock from a grant of 2,655 shares which commenced vesting at a rate of one-third per year on January 22, 2025, 1,645 shares of restricted stock from a grant of 4,933 shares which commenced vesting at a rate of one-third per year on March 8, 2024, 13,333 shares of restricted stock from a grant of 20,000 shares which commenced vesting at a rate of one-third per year on October 28, 2025 and 3,938 shares of restricted stock from a grant of 5,907 shares which commenced vesting at a rate of one-third per year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January 22,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Martha Guerra-Kattou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108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2026-01-26T13:57:18Z</dcterms:created>
  <dcterms:modified xsi:type="dcterms:W3CDTF">2026-01-26T13:57:18Z</dcterms:modified>
</cp:coreProperties>
</file>