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USCB Financial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2301 NW 87th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Doral, Florida 33172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(305) 715-5200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20, 2025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IA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 xml:space="preserve"> E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DGAR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 xml:space="preserve"> C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u w:val="single" w:color="auto"/>
          <w:color w:val="auto"/>
        </w:rPr>
        <w:t>ORRESPONDENCE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&amp;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Madeleine Joy Mateo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USCB Financial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 (File No. 333-286940)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USCB Financial Holdings, Inc. (the “Company”) hereby requests acceleration of the effectiveness of the above-referenced Registration Statement so that it may become effective by 5:00 p.m. Eastern Time on May 22, 2025,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20"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James J. Barresi of Squire Patton Boggs (US) LLP, counsel to the Company, at (513) 361-1260 or by email at james.barresi@squirepb.com with any questions you may have concerning this request. In addition, please contact Mr. Barresi when this request for acceleration has been granted.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USCB FINANCIAL HOLDINGS,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Robert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17145</wp:posOffset>
            </wp:positionV>
            <wp:extent cx="2562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Anderson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Executive Vice President and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980"/>
      </w:cols>
      <w:pgMar w:left="440" w:top="225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2025-06-23T23:09:16Z</dcterms:created>
  <dcterms:modified xsi:type="dcterms:W3CDTF">2025-06-23T23:09:16Z</dcterms:modified>
</cp:coreProperties>
</file>