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-627380</wp:posOffset>
            </wp:positionV>
            <wp:extent cx="58420" cy="640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3985895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5409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409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GOMEZ OSCAR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VP, Global Banking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03/08/2024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1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03/08/2024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11.15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9,173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-2277110</wp:posOffset>
            </wp:positionV>
            <wp:extent cx="29210" cy="2282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2,872 shares of restricted stock which vest at a rate of one-third per year commencing on the first anniversary of the date of grant, which was 1/22/2024, and 3,626 shares of restricted stock which vest at a rate of one-third per year commencing on the first anniversary of the date of grant, which was 3/8/2023.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 at a rate of one-third per year commencing on the first anniversary of the date of grant, which was 9/27/2021.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03/11/2024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Oscar Gomez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734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19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16971" TargetMode="External"/><Relationship Id="rId13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2024-03-11T12:22:49Z</dcterms:created>
  <dcterms:modified xsi:type="dcterms:W3CDTF">2024-03-11T12:22:49Z</dcterms:modified>
</cp:coreProperties>
</file>