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w:t>
            </w:r>
          </w:p>
        </w:tc>
        <w:tc>
          <w:tcPr>
            <w:tcW w:w="5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eventJune 1, 2026</w:t>
            </w: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reported)</w:t>
            </w:r>
          </w:p>
        </w:tc>
        <w:tc>
          <w:tcPr>
            <w:tcW w:w="460" w:type="dxa"/>
            <w:vAlign w:val="bottom"/>
          </w:tcPr>
          <w:p>
            <w:pPr>
              <w:spacing w:after="0"/>
              <w:rPr>
                <w:sz w:val="19"/>
                <w:szCs w:val="19"/>
                <w:color w:val="auto"/>
              </w:rPr>
            </w:pPr>
          </w:p>
        </w:tc>
        <w:tc>
          <w:tcPr>
            <w:tcW w:w="53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426"/>
        </w:trPr>
        <w:tc>
          <w:tcPr>
            <w:tcW w:w="2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rPr>
              <w:t>USCB Financial Holdings, Inc.</w:t>
            </w:r>
          </w:p>
        </w:tc>
        <w:tc>
          <w:tcPr>
            <w:tcW w:w="2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2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2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Florida</w:t>
            </w:r>
          </w:p>
        </w:tc>
        <w:tc>
          <w:tcPr>
            <w:tcW w:w="578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7"/>
              </w:rPr>
              <w:t>001-41196</w:t>
            </w: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87-4070846</w:t>
            </w:r>
          </w:p>
        </w:tc>
      </w:tr>
      <w:tr>
        <w:trPr>
          <w:trHeight w:val="191"/>
        </w:trPr>
        <w:tc>
          <w:tcPr>
            <w:tcW w:w="2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60" w:type="dxa"/>
            <w:vAlign w:val="bottom"/>
            <w:tcBorders>
              <w:top w:val="single" w:sz="8" w:color="auto"/>
            </w:tcBorders>
          </w:tcPr>
          <w:p>
            <w:pPr>
              <w:spacing w:after="0"/>
              <w:rPr>
                <w:sz w:val="16"/>
                <w:szCs w:val="16"/>
                <w:color w:val="auto"/>
              </w:rPr>
            </w:pPr>
          </w:p>
        </w:tc>
        <w:tc>
          <w:tcPr>
            <w:tcW w:w="5320" w:type="dxa"/>
            <w:vAlign w:val="bottom"/>
            <w:tcBorders>
              <w:top w:val="single" w:sz="8" w:color="auto"/>
            </w:tcBorders>
          </w:tcPr>
          <w:p>
            <w:pPr>
              <w:jc w:val="center"/>
              <w:ind w:right="75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20" w:type="dxa"/>
            <w:vAlign w:val="bottom"/>
          </w:tcPr>
          <w:p>
            <w:pPr>
              <w:spacing w:after="0"/>
              <w:rPr>
                <w:sz w:val="16"/>
                <w:szCs w:val="16"/>
                <w:color w:val="auto"/>
              </w:rPr>
            </w:pP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of incorporation)</w:t>
            </w:r>
          </w:p>
        </w:tc>
        <w:tc>
          <w:tcPr>
            <w:tcW w:w="4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Identification No.)</w:t>
            </w:r>
          </w:p>
        </w:tc>
      </w:tr>
      <w:tr>
        <w:trPr>
          <w:trHeight w:val="432"/>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2301 N.W. 87th Avenue, Doral, Florida</w:t>
            </w:r>
          </w:p>
        </w:tc>
        <w:tc>
          <w:tcPr>
            <w:tcW w:w="4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33172</w:t>
            </w:r>
          </w:p>
        </w:tc>
      </w:tr>
      <w:tr>
        <w:trPr>
          <w:trHeight w:val="228"/>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6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Registrant’s  telephone  number,  including  area(305) 715-5200</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-1905</wp:posOffset>
            </wp:positionV>
            <wp:extent cx="48431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0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233"/>
        </w:trPr>
        <w:tc>
          <w:tcPr>
            <w:tcW w:w="37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p>
        </w:tc>
      </w:tr>
      <w:tr>
        <w:trPr>
          <w:trHeight w:val="174"/>
        </w:trPr>
        <w:tc>
          <w:tcPr>
            <w:tcW w:w="3780" w:type="dxa"/>
            <w:vAlign w:val="bottom"/>
            <w:tcBorders>
              <w:left w:val="single" w:sz="8" w:color="auto"/>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2800" w:type="dxa"/>
            <w:vAlign w:val="bottom"/>
            <w:tcBorders>
              <w:right w:val="single" w:sz="8" w:color="auto"/>
            </w:tcBorders>
          </w:tcPr>
          <w:p>
            <w:pPr>
              <w:jc w:val="center"/>
              <w:ind w:right="870"/>
              <w:spacing w:after="0" w:line="175" w:lineRule="exact"/>
              <w:rPr>
                <w:sz w:val="20"/>
                <w:szCs w:val="20"/>
                <w:color w:val="auto"/>
              </w:rPr>
            </w:pPr>
            <w:r>
              <w:rPr>
                <w:rFonts w:ascii="Times New Roman" w:cs="Times New Roman" w:eastAsia="Times New Roman" w:hAnsi="Times New Roman"/>
                <w:sz w:val="18"/>
                <w:szCs w:val="18"/>
                <w:color w:val="auto"/>
                <w:w w:val="98"/>
              </w:rPr>
              <w:t>Trading</w:t>
            </w:r>
          </w:p>
        </w:tc>
        <w:tc>
          <w:tcPr>
            <w:tcW w:w="37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51"/>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920" w:type="dxa"/>
            <w:vAlign w:val="bottom"/>
            <w:tcBorders>
              <w:bottom w:val="single" w:sz="8" w:color="auto"/>
            </w:tcBorders>
          </w:tcPr>
          <w:p>
            <w:pPr>
              <w:spacing w:after="0"/>
              <w:rPr>
                <w:sz w:val="21"/>
                <w:szCs w:val="21"/>
                <w:color w:val="auto"/>
              </w:rPr>
            </w:pPr>
          </w:p>
        </w:tc>
        <w:tc>
          <w:tcPr>
            <w:tcW w:w="2800" w:type="dxa"/>
            <w:vAlign w:val="bottom"/>
            <w:tcBorders>
              <w:bottom w:val="single" w:sz="8" w:color="auto"/>
              <w:right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color w:val="auto"/>
              </w:rPr>
              <w:t>Symbol(s)</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r>
      <w:tr>
        <w:trPr>
          <w:trHeight w:val="193"/>
        </w:trPr>
        <w:tc>
          <w:tcPr>
            <w:tcW w:w="37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920" w:type="dxa"/>
            <w:vAlign w:val="bottom"/>
            <w:tcBorders>
              <w:bottom w:val="single" w:sz="8" w:color="auto"/>
            </w:tcBorders>
          </w:tcPr>
          <w:p>
            <w:pPr>
              <w:spacing w:after="0"/>
              <w:rPr>
                <w:sz w:val="16"/>
                <w:szCs w:val="16"/>
                <w:color w:val="auto"/>
              </w:rPr>
            </w:pPr>
          </w:p>
        </w:tc>
        <w:tc>
          <w:tcPr>
            <w:tcW w:w="2800" w:type="dxa"/>
            <w:vAlign w:val="bottom"/>
            <w:tcBorders>
              <w:bottom w:val="single" w:sz="8" w:color="auto"/>
              <w:right w:val="single" w:sz="8" w:color="auto"/>
            </w:tcBorders>
          </w:tcPr>
          <w:p>
            <w:pPr>
              <w:jc w:val="center"/>
              <w:ind w:right="870"/>
              <w:spacing w:after="0" w:line="193" w:lineRule="exact"/>
              <w:rPr>
                <w:sz w:val="20"/>
                <w:szCs w:val="20"/>
                <w:color w:val="auto"/>
              </w:rPr>
            </w:pPr>
            <w:r>
              <w:rPr>
                <w:rFonts w:ascii="Times New Roman" w:cs="Times New Roman" w:eastAsia="Times New Roman" w:hAnsi="Times New Roman"/>
                <w:sz w:val="18"/>
                <w:szCs w:val="18"/>
                <w:color w:val="auto"/>
              </w:rPr>
              <w:t>USCB</w:t>
            </w:r>
          </w:p>
        </w:tc>
        <w:tc>
          <w:tcPr>
            <w:tcW w:w="3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8.01</w:t>
            </w:r>
          </w:p>
        </w:tc>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Other Events.</w:t>
            </w:r>
          </w:p>
        </w:tc>
        <w:tc>
          <w:tcPr>
            <w:tcW w:w="8940" w:type="dxa"/>
            <w:vAlign w:val="bottom"/>
            <w:gridSpan w:val="2"/>
          </w:tcPr>
          <w:p>
            <w:pPr>
              <w:spacing w:after="0"/>
              <w:rPr>
                <w:sz w:val="17"/>
                <w:szCs w:val="17"/>
                <w:color w:val="auto"/>
              </w:rPr>
            </w:pPr>
          </w:p>
        </w:tc>
      </w:tr>
      <w:tr>
        <w:trPr>
          <w:trHeight w:val="218"/>
        </w:trPr>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On June 1, 2026, USCB Financial Holdings, Inc. (the “Company”), the parent holding company for U.S. Century Bank (the ”Bank”),</w:t>
            </w:r>
          </w:p>
        </w:tc>
      </w:tr>
      <w:tr>
        <w:trPr>
          <w:trHeight w:val="216"/>
        </w:trPr>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announced that William Turner, Executive Vice President and Chief Credit Officer of the Bank, notified the Company of his decision to</w:t>
            </w:r>
          </w:p>
        </w:tc>
      </w:tr>
      <w:tr>
        <w:trPr>
          <w:trHeight w:val="216"/>
        </w:trPr>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retire, effective July 3, 2026. Mr. Turner will continue to serve as Executive Vice President and Chief Credit Officer until his retirement</w:t>
            </w:r>
          </w:p>
        </w:tc>
      </w:tr>
      <w:tr>
        <w:trPr>
          <w:trHeight w:val="216"/>
        </w:trPr>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In addition, on June 1, 2026, the Company also announced that Sergio Garrido has been appointed as the Senior Vice President and</w:t>
            </w:r>
          </w:p>
        </w:tc>
      </w:tr>
      <w:tr>
        <w:trPr>
          <w:trHeight w:val="216"/>
        </w:trPr>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Credit Officer of the Bank, effective July 6, 2026, succeeding Mr. Turner. Mr. Garrido currently serves as Senior Vice President and</w:t>
            </w:r>
          </w:p>
        </w:tc>
      </w:tr>
      <w:tr>
        <w:trPr>
          <w:trHeight w:val="216"/>
        </w:trPr>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Director of Credit Underwriting. The press release announcing Mr. Turner’s impending retirement and Mr. Garrido’s promotion is attached</w:t>
            </w:r>
          </w:p>
        </w:tc>
      </w:tr>
      <w:tr>
        <w:trPr>
          <w:trHeight w:val="234"/>
        </w:trPr>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hereto as Exhibit 99.1 and is incorporated herein by reference thereto.</w:t>
            </w:r>
          </w:p>
        </w:tc>
      </w:tr>
      <w:tr>
        <w:trPr>
          <w:trHeight w:val="391"/>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9.01</w:t>
            </w:r>
          </w:p>
        </w:tc>
        <w:tc>
          <w:tcPr>
            <w:tcW w:w="2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Financial Statements and Exhibits</w:t>
            </w:r>
          </w:p>
        </w:tc>
        <w:tc>
          <w:tcPr>
            <w:tcW w:w="7380" w:type="dxa"/>
            <w:vAlign w:val="bottom"/>
          </w:tcPr>
          <w:p>
            <w:pPr>
              <w:spacing w:after="0"/>
              <w:rPr>
                <w:sz w:val="24"/>
                <w:szCs w:val="24"/>
                <w:color w:val="auto"/>
              </w:rPr>
            </w:pPr>
          </w:p>
        </w:tc>
      </w:tr>
    </w:tbl>
    <w:p>
      <w:pPr>
        <w:spacing w:after="0" w:line="225" w:lineRule="exact"/>
        <w:rPr>
          <w:sz w:val="20"/>
          <w:szCs w:val="20"/>
          <w:color w:val="auto"/>
        </w:rPr>
      </w:pPr>
    </w:p>
    <w:p>
      <w:pPr>
        <w:ind w:left="1220" w:hanging="305"/>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220" w:hanging="315"/>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220" w:hanging="305"/>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220" w:hanging="315"/>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0"/>
                <w:szCs w:val="20"/>
                <w:color w:val="auto"/>
              </w:rPr>
            </w:pPr>
          </w:p>
        </w:tc>
        <w:tc>
          <w:tcPr>
            <w:tcW w:w="8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740" w:type="dxa"/>
            <w:vAlign w:val="bottom"/>
          </w:tcPr>
          <w:p>
            <w:pPr>
              <w:spacing w:after="0"/>
              <w:rPr>
                <w:sz w:val="14"/>
                <w:szCs w:val="14"/>
                <w:color w:val="auto"/>
              </w:rPr>
            </w:pPr>
          </w:p>
        </w:tc>
        <w:tc>
          <w:tcPr>
            <w:tcW w:w="17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June 1, 2026</w:t>
            </w:r>
            <w:r>
              <w:rPr>
                <w:rFonts w:ascii="Times New Roman" w:cs="Times New Roman" w:eastAsia="Times New Roman" w:hAnsi="Times New Roman"/>
                <w:sz w:val="18"/>
                <w:szCs w:val="18"/>
                <w:color w:val="000000"/>
              </w:rPr>
              <w:t>.</w:t>
            </w:r>
          </w:p>
        </w:tc>
        <w:tc>
          <w:tcPr>
            <w:tcW w:w="4640" w:type="dxa"/>
            <w:vAlign w:val="bottom"/>
          </w:tcPr>
          <w:p>
            <w:pPr>
              <w:spacing w:after="0"/>
              <w:rPr>
                <w:sz w:val="14"/>
                <w:szCs w:val="14"/>
                <w:color w:val="auto"/>
              </w:rPr>
            </w:pPr>
          </w:p>
        </w:tc>
      </w:tr>
      <w:tr>
        <w:trPr>
          <w:trHeight w:val="20"/>
        </w:trPr>
        <w:tc>
          <w:tcPr>
            <w:tcW w:w="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r>
      <w:tr>
        <w:trPr>
          <w:trHeight w:val="237"/>
        </w:trPr>
        <w:tc>
          <w:tcPr>
            <w:tcW w:w="74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8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(embedded within the Inline XBRL document)</w:t>
            </w:r>
          </w:p>
        </w:tc>
      </w:tr>
      <w:tr>
        <w:trPr>
          <w:trHeight w:val="471"/>
        </w:trPr>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120" w:type="dxa"/>
            <w:vAlign w:val="bottom"/>
            <w:gridSpan w:val="4"/>
          </w:tcPr>
          <w:p>
            <w:pPr>
              <w:jc w:val="right"/>
              <w:ind w:right="920"/>
              <w:spacing w:after="0"/>
              <w:rPr>
                <w:sz w:val="20"/>
                <w:szCs w:val="20"/>
                <w:color w:val="auto"/>
              </w:rPr>
            </w:pPr>
            <w:r>
              <w:rPr>
                <w:rFonts w:ascii="Times New Roman" w:cs="Times New Roman" w:eastAsia="Times New Roman" w:hAnsi="Times New Roman"/>
                <w:sz w:val="22"/>
                <w:szCs w:val="22"/>
                <w:color w:val="auto"/>
              </w:rPr>
              <w:t>2</w:t>
            </w:r>
          </w:p>
        </w:tc>
        <w:tc>
          <w:tcPr>
            <w:tcW w:w="4640" w:type="dxa"/>
            <w:vAlign w:val="bottom"/>
          </w:tcPr>
          <w:p>
            <w:pPr>
              <w:spacing w:after="0"/>
              <w:rPr>
                <w:sz w:val="24"/>
                <w:szCs w:val="24"/>
                <w:color w:val="auto"/>
              </w:rPr>
            </w:pPr>
          </w:p>
        </w:tc>
      </w:tr>
      <w:tr>
        <w:trPr>
          <w:trHeight w:val="103"/>
        </w:trPr>
        <w:tc>
          <w:tcPr>
            <w:tcW w:w="74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46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56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00" w:lineRule="exact"/>
        <w:rPr>
          <w:sz w:val="20"/>
          <w:szCs w:val="20"/>
          <w:color w:val="auto"/>
        </w:rPr>
      </w:pPr>
    </w:p>
    <w:p>
      <w:pPr>
        <w:spacing w:after="0" w:line="241" w:lineRule="exact"/>
        <w:rPr>
          <w:sz w:val="20"/>
          <w:szCs w:val="20"/>
          <w:color w:val="auto"/>
        </w:rPr>
      </w:pPr>
    </w:p>
    <w:tbl>
      <w:tblPr>
        <w:tblLayout w:type="fixed"/>
        <w:tblInd w:w="410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Anderson</w:t>
            </w:r>
          </w:p>
        </w:tc>
      </w:tr>
      <w:tr>
        <w:trPr>
          <w:trHeight w:val="191"/>
        </w:trPr>
        <w:tc>
          <w:tcPr>
            <w:tcW w:w="1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6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Anderson</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 2026</w:t>
      </w:r>
    </w:p>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10500"/>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2486025"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86025" cy="308610"/>
                    </a:xfrm>
                    <a:prstGeom prst="rect">
                      <a:avLst/>
                    </a:prstGeom>
                    <a:noFill/>
                  </pic:spPr>
                </pic:pic>
              </a:graphicData>
            </a:graphic>
          </wp:anchor>
        </w:drawing>
      </w:r>
    </w:p>
    <w:p>
      <w:pPr>
        <w:spacing w:after="0" w:line="1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InvestorRelations@uscentury.com</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Martha Guerra-Kattou</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MGuerra@uscentury.com</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USCB Financial Holdings, Inc. Names Sergio Garrido Chief Credit Officer;</w:t>
      </w:r>
    </w:p>
    <w:p>
      <w:pPr>
        <w:spacing w:after="0" w:line="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 xml:space="preserve">Announces Retirement of William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Bill</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Turner</w:t>
      </w:r>
    </w:p>
    <w:p>
      <w:pPr>
        <w:spacing w:after="0" w:line="187"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color w:val="auto"/>
        </w:rPr>
        <w:t xml:space="preserve">MIAMI — June 1, 2026— </w:t>
      </w:r>
      <w:r>
        <w:rPr>
          <w:rFonts w:ascii="Times New Roman" w:cs="Times New Roman" w:eastAsia="Times New Roman" w:hAnsi="Times New Roman"/>
          <w:sz w:val="18"/>
          <w:szCs w:val="18"/>
          <w:b w:val="1"/>
          <w:bCs w:val="1"/>
          <w:color w:val="auto"/>
        </w:rPr>
        <w:t>USCB Financial Holdings, Inc.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(NASDAQ: USCB)</w:t>
      </w:r>
      <w:r>
        <w:rPr>
          <w:rFonts w:ascii="Times New Roman" w:cs="Times New Roman" w:eastAsia="Times New Roman" w:hAnsi="Times New Roman"/>
          <w:sz w:val="18"/>
          <w:szCs w:val="18"/>
          <w:color w:val="auto"/>
        </w:rPr>
        <w:t xml:space="preserve">, the holding company for U.S. Century Bank (the “Bank”), today announced that </w:t>
      </w:r>
      <w:r>
        <w:rPr>
          <w:rFonts w:ascii="Times New Roman" w:cs="Times New Roman" w:eastAsia="Times New Roman" w:hAnsi="Times New Roman"/>
          <w:sz w:val="18"/>
          <w:szCs w:val="18"/>
          <w:b w:val="1"/>
          <w:bCs w:val="1"/>
          <w:color w:val="auto"/>
        </w:rPr>
        <w:t>Sergio E. Garrido</w:t>
      </w:r>
      <w:r>
        <w:rPr>
          <w:rFonts w:ascii="Times New Roman" w:cs="Times New Roman" w:eastAsia="Times New Roman" w:hAnsi="Times New Roman"/>
          <w:sz w:val="18"/>
          <w:szCs w:val="18"/>
          <w:color w:val="auto"/>
        </w:rPr>
        <w:t xml:space="preserve"> has been appointed </w:t>
      </w:r>
      <w:r>
        <w:rPr>
          <w:rFonts w:ascii="Times New Roman" w:cs="Times New Roman" w:eastAsia="Times New Roman" w:hAnsi="Times New Roman"/>
          <w:sz w:val="18"/>
          <w:szCs w:val="18"/>
          <w:b w:val="1"/>
          <w:bCs w:val="1"/>
          <w:color w:val="auto"/>
        </w:rPr>
        <w:t>Senior Vice President and Chief Credit Officer of the Bank</w:t>
      </w:r>
      <w:r>
        <w:rPr>
          <w:rFonts w:ascii="Times New Roman" w:cs="Times New Roman" w:eastAsia="Times New Roman" w:hAnsi="Times New Roman"/>
          <w:sz w:val="18"/>
          <w:szCs w:val="18"/>
          <w:color w:val="auto"/>
        </w:rPr>
        <w:t>, effective July 6, 2026.</w:t>
      </w:r>
    </w:p>
    <w:p>
      <w:pPr>
        <w:spacing w:after="0" w:line="171"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color w:val="auto"/>
        </w:rPr>
        <w:t xml:space="preserve">Garrido succeeds </w:t>
      </w:r>
      <w:r>
        <w:rPr>
          <w:rFonts w:ascii="Times New Roman" w:cs="Times New Roman" w:eastAsia="Times New Roman" w:hAnsi="Times New Roman"/>
          <w:sz w:val="18"/>
          <w:szCs w:val="18"/>
          <w:b w:val="1"/>
          <w:bCs w:val="1"/>
          <w:color w:val="auto"/>
        </w:rPr>
        <w:t>William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Turner</w:t>
      </w:r>
      <w:r>
        <w:rPr>
          <w:rFonts w:ascii="Times New Roman" w:cs="Times New Roman" w:eastAsia="Times New Roman" w:hAnsi="Times New Roman"/>
          <w:sz w:val="18"/>
          <w:szCs w:val="18"/>
          <w:color w:val="auto"/>
        </w:rPr>
        <w:t>, who will retire on July 3, 2026, following a distinguished banking career spanning more than four decades. “We are very grateful to Bill for his leadership and many contributions to U.S. Century Bank, and we wish him the very best in his retirement,” said Luis de la Aguilera, Chairman, President and CEO. “He has been a trusted and valued colleague, and we will miss his partnership.”</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Garrido brings more than 15 years of commercial credit and credit risk management experience, including over 11 years at the Bank. Most recently, he served as Director of Credit Underwriting, where he led the credit underwriting organization, working side by side with the credit team, lenders, regulators, auditors, and executive leadership to help build the strong credit portfolio the Bank is known for today. Garrido also played an integral role in supporting the Bank during its initial public offering in 2021 and continued evolution as a public company.</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“Sergio’s deep institutional knowledge, strong credit judgment, and proven leadership make him well prepared to assume the role of Chief Credit Officer,” said de la Aguilera. “Our board of directors and management team have full confidence in his ability to lead our credit organization.”</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This appointment reflects a carefully planned transition designed to ensure continuity of the Bank’s disciplined credit culture, while underscoring its commitment to developing talent from within the company.</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“Sergio’s involvement over the past 11 years spans virtually every loan decision and strategic credit initiative,” added de la Aguilera. “His appointment demonstrates our commitment to thoughtful and seamless succession planning and to developing our next generation of leaders.”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Garrido holds an MBA from the University of Florida and a bachelor’s degree from Florida International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USCB Financial Holdings,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USCB Financial Holdings, Inc. is the bank holding company for U.S. Century Bank. Established in 2002, U.S. Century Bank is one of the largest community banks headquartered in Miami, and one of the largest community banks in the state of Florida. U.S. Century Bank is rated 5-Stars by BauerFinancial, the nation’s leading independent bank rating firm. U.S. Century Bank offers customers a wide range of financial products and services and supports numerous community organizations, including the Greater Miami Chamber of Commerce, the South Florida Hispanic Chamber of Commerce, and ChamberSouth. For more information or to find a U.S. Century Bank banking center near you, please call (305) 715-5200 or visit www.uscentury.com.</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2026-06-01T17:44:27Z</dcterms:created>
  <dcterms:modified xsi:type="dcterms:W3CDTF">2026-06-01T17:44:27Z</dcterms:modified>
</cp:coreProperties>
</file>