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Feinglass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sz w:val="4"/>
                      <w:szCs w:val="4"/>
                    </w:rPr>
                  </w:pPr>
                  <w:r>
                    <w:rPr>
                      <w:sz w:val="4"/>
                      <w:szCs w:val="4"/>
                    </w:rPr>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USCB FINANCIAL HOLDINGS, INC.</w:t>
              </w:r>
            </w:hyperlink>
            <w:r>
              <w:rPr/>
              <w:t xml:space="preserve"> [ </w:t>
            </w:r>
            <w:r>
              <w:rPr>
                <w:rFonts w:ascii="Times;serif" w:hAnsi="Times;serif"/>
                <w:color w:val="0000FF"/>
                <w:sz w:val="24"/>
                <w:shd w:fill="FFFFFF" w:val="clear"/>
              </w:rPr>
              <w:t>USCB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02/27/2024</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912"/>
        <w:gridCol w:w="435"/>
        <w:gridCol w:w="924"/>
        <w:gridCol w:w="1254"/>
        <w:gridCol w:w="973"/>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02/27/2024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11.0692</w:t>
            </w:r>
            <w:r>
              <w:rPr/>
              <w:t xml:space="preserve"> </w:t>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4,518,309</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Priam Capital Fund II, LP</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Feinglass Howard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Priam Capital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Priam Capital Associates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sz w:val="4"/>
                      <w:szCs w:val="4"/>
                    </w:rPr>
                  </w:pPr>
                  <w:r>
                    <w:rPr>
                      <w:sz w:val="4"/>
                      <w:szCs w:val="4"/>
                    </w:rPr>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745 FIFTH AVENUE, SUITE 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Priam Capital Fund II, L.P. ("Priam Capital II") directly holds the indicated number of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Anderson by P.O.A. for Howard P. Feinglass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Priam Capital Associates II LLC Robert Anderson by P.O.A. for Howard P. Feinglass, the managing member of Priam Capital Associates 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Priam Capital Fund II L.P. Robert Anderson by P.O.A. for Howard P. Feinglass, the managing member of Priam Capital Associates II, LLC, the general partner of Priam Capital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02/28/2024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2866" TargetMode="External"/><Relationship Id="rId4" Type="http://schemas.openxmlformats.org/officeDocument/2006/relationships/hyperlink" Target="http://www.sec.gov/cgi-bin/browse-edgar?action=getcompany&amp;CIK=0001901637" TargetMode="External"/><Relationship Id="rId5" Type="http://schemas.openxmlformats.org/officeDocument/2006/relationships/hyperlink" Target="http://www.sec.gov/cgi-bin/browse-edgar?action=getcompany&amp;CIK=0001732866" TargetMode="External"/><Relationship Id="rId6" Type="http://schemas.openxmlformats.org/officeDocument/2006/relationships/hyperlink" Target="http://www.sec.gov/cgi-bin/browse-edgar?action=getcompany&amp;CIK=0001874961" TargetMode="External"/><Relationship Id="rId7" Type="http://schemas.openxmlformats.org/officeDocument/2006/relationships/hyperlink" Target="http://www.sec.gov/cgi-bin/browse-edgar?action=getcompany&amp;CIK=0001875134"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4537</Characters>
  <CharactersWithSpaces>5281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