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0002061814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USCB FINANCIAL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001-41196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2301 NW 87TH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DORAL</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33172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(305) 715-5200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Patriot Financial Partners GP II, LLC</w:t>
      </w:r>
    </w:p>
    <w:p>
      <w:pPr>
        <w:spacing w:after="0" w:line="44" w:lineRule="exact"/>
        <w:rPr>
          <w:sz w:val="24"/>
          <w:szCs w:val="24"/>
          <w:color w:val="auto"/>
        </w:rPr>
      </w:pPr>
    </w:p>
    <w:p>
      <w:pPr>
        <w:sectPr>
          <w:pgSz w:w="11900" w:h="16838" w:orient="portrait"/>
          <w:cols w:equalWidth="0" w:num="2">
            <w:col w:w="6260" w:space="720"/>
            <w:col w:w="4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6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6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Keefe, Bruyette &amp; Woods,</w:t>
            </w:r>
          </w:p>
        </w:tc>
        <w:tc>
          <w:tcPr>
            <w:tcW w:w="1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Voting Common</w:t>
            </w:r>
          </w:p>
        </w:tc>
        <w:tc>
          <w:tcPr>
            <w:tcW w:w="2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6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787 7th Ave,</w:t>
            </w:r>
          </w:p>
        </w:tc>
        <w:tc>
          <w:tcPr>
            <w:tcW w:w="1220" w:type="dxa"/>
            <w:vAlign w:val="bottom"/>
            <w:vMerge w:val="restart"/>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50000</w:t>
            </w:r>
          </w:p>
        </w:tc>
        <w:tc>
          <w:tcPr>
            <w:tcW w:w="1140" w:type="dxa"/>
            <w:vAlign w:val="bottom"/>
            <w:vMerge w:val="restart"/>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925000.00</w:t>
            </w:r>
          </w:p>
        </w:tc>
        <w:tc>
          <w:tcPr>
            <w:tcW w:w="0" w:type="dxa"/>
            <w:vAlign w:val="bottom"/>
          </w:tcPr>
          <w:p>
            <w:pPr>
              <w:spacing w:after="0"/>
              <w:rPr>
                <w:sz w:val="1"/>
                <w:szCs w:val="1"/>
                <w:color w:val="auto"/>
              </w:rPr>
            </w:pPr>
          </w:p>
        </w:tc>
      </w:tr>
      <w:tr>
        <w:trPr>
          <w:trHeight w:val="122"/>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Stock</w:t>
            </w:r>
          </w:p>
        </w:tc>
        <w:tc>
          <w:tcPr>
            <w:tcW w:w="24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6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6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10019</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18547400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04/30/2026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6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 Voting</w:t>
            </w:r>
          </w:p>
        </w:tc>
        <w:tc>
          <w:tcPr>
            <w:tcW w:w="26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12/30/2021 Reorganization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rPr>
              <w:t>4405909</w:t>
            </w:r>
          </w:p>
        </w:tc>
        <w:tc>
          <w:tcPr>
            <w:tcW w:w="25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12/30/2021 Stock Exchange</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6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This Form is filed by Patriot Financial Partners GP II, L.P., Patriot Financial Partners II, L.P., Patriot Financial</w:t>
      </w:r>
    </w:p>
    <w:p>
      <w:pPr>
        <w:spacing w:after="0" w:line="14" w:lineRule="exact"/>
        <w:rPr>
          <w:sz w:val="20"/>
          <w:szCs w:val="20"/>
          <w:color w:val="auto"/>
        </w:rPr>
      </w:pPr>
    </w:p>
    <w:p>
      <w:pPr>
        <w:ind w:left="940" w:right="140" w:hanging="899"/>
        <w:spacing w:after="0" w:line="181"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Partners Parallel II, L.P., Patriot Financial Partners GP II, LLC, W. Kirk Wycoff, James F. Deutsch, Ira M. Lubert and James J. Lynch, which as a group may be deemed to beneficially own greater than 10% of the outstanding shares of</w:t>
      </w:r>
    </w:p>
    <w:p>
      <w:pPr>
        <w:ind w:left="940"/>
        <w:spacing w:after="0"/>
        <w:rPr>
          <w:sz w:val="20"/>
          <w:szCs w:val="20"/>
          <w:color w:val="auto"/>
        </w:rPr>
      </w:pPr>
      <w:r>
        <w:rPr>
          <w:rFonts w:ascii="Times New Roman" w:cs="Times New Roman" w:eastAsia="Times New Roman" w:hAnsi="Times New Roman"/>
          <w:sz w:val="22"/>
          <w:szCs w:val="22"/>
          <w:color w:val="auto"/>
        </w:rPr>
        <w:t>Class A Voting Common Stock.</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04/30/2026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W. Kirk Wycoff</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2026-04-30T11:40:57Z</dcterms:created>
  <dcterms:modified xsi:type="dcterms:W3CDTF">2026-04-30T11:40:57Z</dcterms:modified>
</cp:coreProperties>
</file>