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 of Report (Date of earliest event reported) April 23,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2192020</wp:posOffset>
            </wp:positionH>
            <wp:positionV relativeFrom="paragraph">
              <wp:posOffset>17145</wp:posOffset>
            </wp:positionV>
            <wp:extent cx="47917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91710" cy="825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USCB Financial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Florida</w:t>
            </w:r>
          </w:p>
        </w:tc>
        <w:tc>
          <w:tcPr>
            <w:tcW w:w="3820" w:type="dxa"/>
            <w:vAlign w:val="bottom"/>
            <w:tcBorders>
              <w:bottom w:val="single" w:sz="8" w:color="auto"/>
            </w:tcBorders>
          </w:tcPr>
          <w:p>
            <w:pPr>
              <w:jc w:val="right"/>
              <w:ind w:right="1530"/>
              <w:spacing w:after="0"/>
              <w:rPr>
                <w:sz w:val="20"/>
                <w:szCs w:val="20"/>
                <w:color w:val="auto"/>
              </w:rPr>
            </w:pPr>
            <w:r>
              <w:rPr>
                <w:rFonts w:ascii="Times New Roman" w:cs="Times New Roman" w:eastAsia="Times New Roman" w:hAnsi="Times New Roman"/>
                <w:sz w:val="18"/>
                <w:szCs w:val="18"/>
                <w:color w:val="auto"/>
              </w:rPr>
              <w:t>001-41196</w:t>
            </w:r>
          </w:p>
        </w:tc>
        <w:tc>
          <w:tcPr>
            <w:tcW w:w="35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87-4070846</w:t>
            </w:r>
          </w:p>
        </w:tc>
      </w:tr>
      <w:tr>
        <w:trPr>
          <w:trHeight w:val="191"/>
        </w:trPr>
        <w:tc>
          <w:tcPr>
            <w:tcW w:w="3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382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350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of incorporation)</w:t>
            </w:r>
          </w:p>
        </w:tc>
        <w:tc>
          <w:tcPr>
            <w:tcW w:w="3820" w:type="dxa"/>
            <w:vAlign w:val="bottom"/>
          </w:tcPr>
          <w:p>
            <w:pPr>
              <w:spacing w:after="0"/>
              <w:rPr>
                <w:sz w:val="20"/>
                <w:szCs w:val="20"/>
                <w:color w:val="auto"/>
              </w:rPr>
            </w:pPr>
          </w:p>
        </w:tc>
        <w:tc>
          <w:tcPr>
            <w:tcW w:w="35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2301 N.W. 87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Avenue, Doral, Florida</w:t>
            </w:r>
          </w:p>
        </w:tc>
        <w:tc>
          <w:tcPr>
            <w:tcW w:w="38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33172</w:t>
            </w:r>
          </w:p>
        </w:tc>
      </w:tr>
      <w:tr>
        <w:trPr>
          <w:trHeight w:val="22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820" w:type="dxa"/>
            <w:vAlign w:val="bottom"/>
          </w:tcPr>
          <w:p>
            <w:pPr>
              <w:spacing w:after="0"/>
              <w:rPr>
                <w:sz w:val="19"/>
                <w:szCs w:val="19"/>
                <w:color w:val="auto"/>
              </w:rPr>
            </w:pPr>
          </w:p>
        </w:tc>
        <w:tc>
          <w:tcPr>
            <w:tcW w:w="3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Registrant’s  telephone  number,  including  area(305) 715-5200</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2286000</wp:posOffset>
            </wp:positionH>
            <wp:positionV relativeFrom="paragraph">
              <wp:posOffset>-1905</wp:posOffset>
            </wp:positionV>
            <wp:extent cx="46977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97730" cy="8255"/>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69862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40"/>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40"/>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40"/>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40"/>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4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233"/>
        </w:trPr>
        <w:tc>
          <w:tcPr>
            <w:tcW w:w="1280" w:type="dxa"/>
            <w:vAlign w:val="bottom"/>
          </w:tcPr>
          <w:p>
            <w:pPr>
              <w:spacing w:after="0"/>
              <w:rPr>
                <w:sz w:val="20"/>
                <w:szCs w:val="20"/>
                <w:color w:val="auto"/>
              </w:rPr>
            </w:pPr>
          </w:p>
        </w:tc>
        <w:tc>
          <w:tcPr>
            <w:tcW w:w="30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spacing w:after="0"/>
              <w:rPr>
                <w:sz w:val="20"/>
                <w:szCs w:val="20"/>
                <w:color w:val="auto"/>
              </w:rPr>
            </w:pPr>
          </w:p>
        </w:tc>
      </w:tr>
      <w:tr>
        <w:trPr>
          <w:trHeight w:val="174"/>
        </w:trPr>
        <w:tc>
          <w:tcPr>
            <w:tcW w:w="1280" w:type="dxa"/>
            <w:vAlign w:val="bottom"/>
            <w:tcBorders>
              <w:right w:val="single" w:sz="8" w:color="auto"/>
            </w:tcBorders>
          </w:tcPr>
          <w:p>
            <w:pPr>
              <w:spacing w:after="0"/>
              <w:rPr>
                <w:sz w:val="15"/>
                <w:szCs w:val="15"/>
                <w:color w:val="auto"/>
              </w:rPr>
            </w:pPr>
          </w:p>
        </w:tc>
        <w:tc>
          <w:tcPr>
            <w:tcW w:w="3060" w:type="dxa"/>
            <w:vAlign w:val="bottom"/>
            <w:tcBorders>
              <w:right w:val="single" w:sz="8" w:color="auto"/>
            </w:tcBorders>
          </w:tcPr>
          <w:p>
            <w:pPr>
              <w:spacing w:after="0"/>
              <w:rPr>
                <w:sz w:val="15"/>
                <w:szCs w:val="15"/>
                <w:color w:val="auto"/>
              </w:rPr>
            </w:pPr>
          </w:p>
        </w:tc>
        <w:tc>
          <w:tcPr>
            <w:tcW w:w="27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Trading</w:t>
            </w:r>
          </w:p>
        </w:tc>
        <w:tc>
          <w:tcPr>
            <w:tcW w:w="26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51"/>
        </w:trPr>
        <w:tc>
          <w:tcPr>
            <w:tcW w:w="1280" w:type="dxa"/>
            <w:vAlign w:val="bottom"/>
            <w:tcBorders>
              <w:right w:val="single" w:sz="8" w:color="auto"/>
            </w:tcBorders>
          </w:tcPr>
          <w:p>
            <w:pPr>
              <w:spacing w:after="0"/>
              <w:rPr>
                <w:sz w:val="21"/>
                <w:szCs w:val="21"/>
                <w:color w:val="auto"/>
              </w:rPr>
            </w:pPr>
          </w:p>
        </w:tc>
        <w:tc>
          <w:tcPr>
            <w:tcW w:w="3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Symbol(s)</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193"/>
        </w:trPr>
        <w:tc>
          <w:tcPr>
            <w:tcW w:w="1280" w:type="dxa"/>
            <w:vAlign w:val="bottom"/>
            <w:tcBorders>
              <w:right w:val="single" w:sz="8" w:color="auto"/>
            </w:tcBorders>
          </w:tcPr>
          <w:p>
            <w:pPr>
              <w:spacing w:after="0"/>
              <w:rPr>
                <w:sz w:val="16"/>
                <w:szCs w:val="16"/>
                <w:color w:val="auto"/>
              </w:rPr>
            </w:pPr>
          </w:p>
        </w:tc>
        <w:tc>
          <w:tcPr>
            <w:tcW w:w="30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w:t>
            </w:r>
          </w:p>
        </w:tc>
        <w:tc>
          <w:tcPr>
            <w:tcW w:w="27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USCB</w:t>
            </w:r>
          </w:p>
        </w:tc>
        <w:tc>
          <w:tcPr>
            <w:tcW w:w="26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7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120"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-70485</wp:posOffset>
            </wp:positionH>
            <wp:positionV relativeFrom="paragraph">
              <wp:posOffset>617220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441" w:right="4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 xml:space="preserve">Item 7.01  </w:t>
      </w:r>
      <w:r>
        <w:rPr>
          <w:rFonts w:ascii="Times New Roman" w:cs="Times New Roman" w:eastAsia="Times New Roman" w:hAnsi="Times New Roman"/>
          <w:sz w:val="18"/>
          <w:szCs w:val="18"/>
          <w:b w:val="1"/>
          <w:bCs w:val="1"/>
          <w:u w:val="single" w:color="auto"/>
          <w:color w:val="auto"/>
        </w:rPr>
        <w:t>Regulation FD Disclosure.</w:t>
      </w:r>
    </w:p>
    <w:p>
      <w:pPr>
        <w:spacing w:after="0" w:line="229" w:lineRule="exact"/>
        <w:rPr>
          <w:sz w:val="20"/>
          <w:szCs w:val="20"/>
          <w:color w:val="auto"/>
        </w:rPr>
      </w:pPr>
    </w:p>
    <w:p>
      <w:pPr>
        <w:jc w:val="both"/>
        <w:ind w:left="900"/>
        <w:spacing w:after="0" w:line="261" w:lineRule="auto"/>
        <w:rPr>
          <w:sz w:val="20"/>
          <w:szCs w:val="20"/>
          <w:color w:val="auto"/>
        </w:rPr>
      </w:pPr>
      <w:r>
        <w:rPr>
          <w:rFonts w:ascii="Times New Roman" w:cs="Times New Roman" w:eastAsia="Times New Roman" w:hAnsi="Times New Roman"/>
          <w:sz w:val="18"/>
          <w:szCs w:val="18"/>
          <w:color w:val="auto"/>
        </w:rPr>
        <w:t>On April 23, 2024, USCB Financial Holdings, Inc. (the "Company") issued a press release announcing the declaration of the Company’s second quarterly cash dividend. The dividend is in the amount of $0.05 per share of Class A common stock and is payable on June 5, 2024 to stockholders of record as of the close of business on May 15, 2024. For additional information, reference is made to the Company's press release, dated April 23, 2024, which is included as Exhibit 99.1 hereto and is incorporated herein by reference thereto.</w:t>
      </w:r>
    </w:p>
    <w:p>
      <w:pPr>
        <w:spacing w:after="0" w:line="180" w:lineRule="exact"/>
        <w:rPr>
          <w:sz w:val="20"/>
          <w:szCs w:val="20"/>
          <w:color w:val="auto"/>
        </w:rPr>
      </w:pPr>
    </w:p>
    <w:p>
      <w:pPr>
        <w:jc w:val="both"/>
        <w:ind w:left="90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including Exhibit 99.1, is being furnished and shall not be deemed “filed” for purposes of Section 18 of the Securities Exchange Act of 1934 (the “Exchange Act”), or otherwise subject to the liability of that section, and shall not be deemed to be incorporated by reference into any filing under the Securities Act of 1933 or the Exchange Act except as expressly set forth by specific reference in such filing to this Form 8-K.</w:t>
      </w:r>
    </w:p>
    <w:p>
      <w:pPr>
        <w:spacing w:after="0" w:line="392" w:lineRule="exact"/>
        <w:rPr>
          <w:sz w:val="20"/>
          <w:szCs w:val="20"/>
          <w:color w:val="auto"/>
        </w:rPr>
      </w:pPr>
    </w:p>
    <w:p>
      <w:pPr>
        <w:ind w:left="2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19685</wp:posOffset>
            </wp:positionV>
            <wp:extent cx="34201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23" w:lineRule="exact"/>
        <w:rPr>
          <w:sz w:val="20"/>
          <w:szCs w:val="20"/>
          <w:color w:val="auto"/>
        </w:rPr>
      </w:pPr>
    </w:p>
    <w:p>
      <w:pPr>
        <w:ind w:left="1320" w:hanging="656"/>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320" w:hanging="656"/>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320" w:hanging="656"/>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320" w:hanging="656"/>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0"/>
                <w:szCs w:val="20"/>
                <w:color w:val="auto"/>
              </w:rPr>
            </w:pPr>
          </w:p>
        </w:tc>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740" w:type="dxa"/>
            <w:vAlign w:val="bottom"/>
          </w:tcPr>
          <w:p>
            <w:pPr>
              <w:spacing w:after="0"/>
              <w:rPr>
                <w:sz w:val="14"/>
                <w:szCs w:val="14"/>
                <w:color w:val="auto"/>
              </w:rPr>
            </w:pPr>
          </w:p>
        </w:tc>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250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9"/>
              </w:rPr>
              <w:t>Press release dated April 23, 2024.</w:t>
            </w:r>
          </w:p>
        </w:tc>
        <w:tc>
          <w:tcPr>
            <w:tcW w:w="2360" w:type="dxa"/>
            <w:vAlign w:val="bottom"/>
            <w:tcBorders>
              <w:top w:val="single" w:sz="8" w:color="auto"/>
            </w:tcBorders>
          </w:tcPr>
          <w:p>
            <w:pPr>
              <w:spacing w:after="0"/>
              <w:rPr>
                <w:sz w:val="14"/>
                <w:szCs w:val="14"/>
                <w:color w:val="auto"/>
              </w:rPr>
            </w:pPr>
          </w:p>
        </w:tc>
        <w:tc>
          <w:tcPr>
            <w:tcW w:w="4540" w:type="dxa"/>
            <w:vAlign w:val="bottom"/>
          </w:tcPr>
          <w:p>
            <w:pPr>
              <w:spacing w:after="0"/>
              <w:rPr>
                <w:sz w:val="14"/>
                <w:szCs w:val="14"/>
                <w:color w:val="auto"/>
              </w:rPr>
            </w:pPr>
          </w:p>
        </w:tc>
      </w:tr>
      <w:tr>
        <w:trPr>
          <w:trHeight w:val="237"/>
        </w:trPr>
        <w:tc>
          <w:tcPr>
            <w:tcW w:w="7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(embedded within the Inline XBRL document)</w:t>
            </w:r>
          </w:p>
        </w:tc>
      </w:tr>
      <w:tr>
        <w:trPr>
          <w:trHeight w:val="687"/>
        </w:trPr>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980" w:type="dxa"/>
            <w:vAlign w:val="bottom"/>
            <w:gridSpan w:val="3"/>
          </w:tcPr>
          <w:p>
            <w:pPr>
              <w:jc w:val="right"/>
              <w:ind w:right="1020"/>
              <w:spacing w:after="0"/>
              <w:rPr>
                <w:sz w:val="20"/>
                <w:szCs w:val="20"/>
                <w:color w:val="auto"/>
              </w:rPr>
            </w:pPr>
            <w:r>
              <w:rPr>
                <w:rFonts w:ascii="Times New Roman" w:cs="Times New Roman" w:eastAsia="Times New Roman" w:hAnsi="Times New Roman"/>
                <w:sz w:val="22"/>
                <w:szCs w:val="22"/>
                <w:color w:val="auto"/>
              </w:rPr>
              <w:t>2</w:t>
            </w:r>
          </w:p>
        </w:tc>
        <w:tc>
          <w:tcPr>
            <w:tcW w:w="4540" w:type="dxa"/>
            <w:vAlign w:val="bottom"/>
          </w:tcPr>
          <w:p>
            <w:pPr>
              <w:spacing w:after="0"/>
              <w:rPr>
                <w:sz w:val="24"/>
                <w:szCs w:val="24"/>
                <w:color w:val="auto"/>
              </w:rPr>
            </w:pPr>
          </w:p>
        </w:tc>
      </w:tr>
      <w:tr>
        <w:trPr>
          <w:trHeight w:val="103"/>
        </w:trPr>
        <w:tc>
          <w:tcPr>
            <w:tcW w:w="7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500" w:type="dxa"/>
            <w:vAlign w:val="bottom"/>
            <w:tcBorders>
              <w:bottom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45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USCB FINANCIAL HOLDINGS, INC.</w:t>
      </w:r>
    </w:p>
    <w:p>
      <w:pPr>
        <w:spacing w:after="0" w:line="200" w:lineRule="exact"/>
        <w:rPr>
          <w:sz w:val="20"/>
          <w:szCs w:val="20"/>
          <w:color w:val="auto"/>
        </w:rPr>
      </w:pPr>
    </w:p>
    <w:p>
      <w:pPr>
        <w:spacing w:after="0" w:line="241" w:lineRule="exact"/>
        <w:rPr>
          <w:sz w:val="20"/>
          <w:szCs w:val="20"/>
          <w:color w:val="auto"/>
        </w:rPr>
      </w:pPr>
    </w:p>
    <w:tbl>
      <w:tblPr>
        <w:tblLayout w:type="fixed"/>
        <w:tblInd w:w="354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Anderson</w:t>
            </w:r>
          </w:p>
        </w:tc>
      </w:tr>
      <w:tr>
        <w:trPr>
          <w:trHeight w:val="191"/>
        </w:trPr>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Anderson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23, 2024</w:t>
      </w:r>
    </w:p>
    <w:p>
      <w:pPr>
        <w:sectPr>
          <w:pgSz w:w="11900" w:h="16838" w:orient="portrait"/>
          <w:cols w:equalWidth="0" w:num="1">
            <w:col w:w="10120"/>
          </w:cols>
          <w:pgMar w:left="880" w:top="576" w:right="8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431165</wp:posOffset>
            </wp:positionV>
            <wp:extent cx="3985895" cy="497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8589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USCB FINANCIAL HOLDINGS, INC. DECLARES</w:t>
      </w:r>
    </w:p>
    <w:p>
      <w:pPr>
        <w:spacing w:after="0" w:line="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QUARTERLY CASH DIVIDEND ON COMMON STOCK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Press Release</w:t>
      </w:r>
    </w:p>
    <w:p>
      <w:pPr>
        <w:spacing w:after="0" w:line="23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MIAMI, FL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April 23, 2024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USCB Financial Holdings, Inc. (the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(NASDAQ: USCB)</w:t>
      </w:r>
      <w:r>
        <w:rPr>
          <w:rFonts w:ascii="Times New Roman" w:cs="Times New Roman" w:eastAsia="Times New Roman" w:hAnsi="Times New Roman"/>
          <w:sz w:val="22"/>
          <w:szCs w:val="22"/>
          <w:color w:val="auto"/>
        </w:rPr>
        <w:t>, the holding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U.S. Century Bank (the “Bank”), announced today that its Board of Directors declared a regular quarterly cash dividend of $0.05 per share of Class A common stock, payable on June 5, 2024, to shareholders of record as of the close of business on May 15, 2024. Future dividend payments are subject to quarterly review and approval by the Board of Directors.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USCB Financial Holdings, Inc.</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USCB Financial Holdings, Inc. is the bank holding company for U.S. Century Bank. Established in 2002, U.S. Century Bank is one of the largest community banks headquartered in Miami, and one of the largest community banks in the state of Florida. U.S. Century Bank is rated 5-Stars by BauerFinancial, the nation’s leading independent bank rating firm. U.S. Century Bank offers customers a wide range of financial products and services and supports numerous community organizations, including the Greater Miami Chamber of Commerce, the South Florida Hispanic Chamber of Commerce, and ChamberSouth. For more information or to find a U.S. Century Bank banking center near you, please call (305) 715-5200 or visit www.uscentury.com.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 Relations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InvestorRelations@uscentury.com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Martha Guerra-Kattou</w:t>
      </w:r>
    </w:p>
    <w:p>
      <w:pPr>
        <w:spacing w:after="0" w:line="14" w:lineRule="exact"/>
        <w:rPr>
          <w:sz w:val="20"/>
          <w:szCs w:val="20"/>
          <w:color w:val="auto"/>
        </w:rPr>
      </w:pPr>
    </w:p>
    <w:p>
      <w:pPr>
        <w:ind w:right="898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715-5141 </w:t>
      </w:r>
      <w:r>
        <w:rPr>
          <w:rFonts w:ascii="Times New Roman" w:cs="Times New Roman" w:eastAsia="Times New Roman" w:hAnsi="Times New Roman"/>
          <w:sz w:val="21"/>
          <w:szCs w:val="21"/>
          <w:u w:val="single" w:color="auto"/>
          <w:color w:val="auto"/>
        </w:rPr>
        <w:t>MGuerra@uscentury.com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30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2024-04-23T15:48:30Z</dcterms:created>
  <dcterms:modified xsi:type="dcterms:W3CDTF">2024-04-23T15:48:30Z</dcterms:modified>
</cp:coreProperties>
</file>