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142875</wp:posOffset>
            </wp:positionV>
            <wp:extent cx="7160895" cy="10461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10461625"/>
                    </a:xfrm>
                    <a:prstGeom prst="rect">
                      <a:avLst/>
                    </a:prstGeom>
                    <a:noFill/>
                  </pic:spPr>
                </pic:pic>
              </a:graphicData>
            </a:graphic>
          </wp:anchor>
        </w:drawing>
        <w:t>UNITED STATES SECURITIES AND EXCHANGE COMMISSION</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94" w:lineRule="exact"/>
        <w:rPr>
          <w:sz w:val="24"/>
          <w:szCs w:val="24"/>
          <w:color w:val="auto"/>
        </w:rPr>
      </w:pPr>
    </w:p>
    <w:p>
      <w:pPr>
        <w:ind w:left="1660" w:hanging="559"/>
        <w:spacing w:after="0"/>
        <w:tabs>
          <w:tab w:leader="none" w:pos="1660"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QUARTERLY REPORT 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quarterly period ended March 31, 2026</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192" w:lineRule="exact"/>
        <w:rPr>
          <w:sz w:val="24"/>
          <w:szCs w:val="24"/>
          <w:color w:val="auto"/>
        </w:rPr>
      </w:pPr>
    </w:p>
    <w:p>
      <w:pPr>
        <w:ind w:left="1600" w:hanging="542"/>
        <w:spacing w:after="0"/>
        <w:tabs>
          <w:tab w:leader="none" w:pos="160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160" w:lineRule="exact"/>
        <w:rPr>
          <w:sz w:val="24"/>
          <w:szCs w:val="24"/>
          <w:color w:val="auto"/>
        </w:rPr>
      </w:pPr>
    </w:p>
    <w:p>
      <w:pPr>
        <w:ind w:left="3180"/>
        <w:spacing w:after="0"/>
        <w:rPr>
          <w:sz w:val="20"/>
          <w:szCs w:val="20"/>
          <w:color w:val="auto"/>
        </w:rPr>
      </w:pPr>
      <w:r>
        <w:rPr>
          <w:rFonts w:ascii="Arial" w:cs="Arial" w:eastAsia="Arial" w:hAnsi="Arial"/>
          <w:sz w:val="13"/>
          <w:szCs w:val="13"/>
          <w:b w:val="1"/>
          <w:bCs w:val="1"/>
          <w:color w:val="auto"/>
        </w:rPr>
        <w:t>For the transition period from _____to_____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Commission File Number: 001-41196</w:t>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USCB Financial Holdings, Inc.</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3"/>
          <w:szCs w:val="13"/>
          <w:i w:val="1"/>
          <w:iCs w:val="1"/>
          <w:color w:val="auto"/>
        </w:rPr>
        <w:t>(Exact name of registrant as specified in its charter)</w:t>
      </w:r>
    </w:p>
    <w:p>
      <w:pPr>
        <w:sectPr>
          <w:pgSz w:w="11900" w:h="16838" w:orient="portrait"/>
          <w:cols w:equalWidth="0" w:num="1">
            <w:col w:w="9019"/>
          </w:cols>
          <w:pgMar w:left="1440" w:top="799" w:right="1440" w:bottom="1440" w:gutter="0" w:footer="0" w:header="0"/>
        </w:sectPr>
      </w:pPr>
    </w:p>
    <w:p>
      <w:pPr>
        <w:spacing w:after="0" w:line="255" w:lineRule="exact"/>
        <w:rPr>
          <w:sz w:val="24"/>
          <w:szCs w:val="24"/>
          <w:color w:val="auto"/>
        </w:rPr>
      </w:pPr>
    </w:p>
    <w:p>
      <w:pPr>
        <w:ind w:left="1720"/>
        <w:spacing w:after="0"/>
        <w:rPr>
          <w:sz w:val="20"/>
          <w:szCs w:val="20"/>
          <w:color w:val="auto"/>
        </w:rPr>
      </w:pPr>
      <w:r>
        <w:rPr>
          <w:rFonts w:ascii="Arial" w:cs="Arial" w:eastAsia="Arial" w:hAnsi="Arial"/>
          <w:sz w:val="12"/>
          <w:szCs w:val="12"/>
          <w:b w:val="1"/>
          <w:bCs w:val="1"/>
          <w:color w:val="auto"/>
        </w:rPr>
        <w:t>Florida</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87-4070846</w:t>
      </w:r>
    </w:p>
    <w:p>
      <w:pPr>
        <w:spacing w:after="0" w:line="45" w:lineRule="exact"/>
        <w:rPr>
          <w:sz w:val="24"/>
          <w:szCs w:val="24"/>
          <w:color w:val="auto"/>
        </w:rPr>
      </w:pPr>
    </w:p>
    <w:p>
      <w:pPr>
        <w:sectPr>
          <w:pgSz w:w="11900" w:h="16838" w:orient="portrait"/>
          <w:cols w:equalWidth="0" w:num="2">
            <w:col w:w="6020" w:space="720"/>
            <w:col w:w="2279"/>
          </w:cols>
          <w:pgMar w:left="1440" w:top="799" w:right="1440" w:bottom="1440" w:gutter="0" w:footer="0" w:header="0"/>
          <w:type w:val="continuous"/>
        </w:sectPr>
      </w:pPr>
    </w:p>
    <w:p>
      <w:pPr>
        <w:ind w:left="1140"/>
        <w:spacing w:after="0"/>
        <w:rPr>
          <w:sz w:val="20"/>
          <w:szCs w:val="20"/>
          <w:color w:val="auto"/>
        </w:rPr>
      </w:pPr>
      <w:r>
        <w:rPr>
          <w:rFonts w:ascii="Arial" w:cs="Arial" w:eastAsia="Arial" w:hAnsi="Arial"/>
          <w:sz w:val="12"/>
          <w:szCs w:val="12"/>
          <w:i w:val="1"/>
          <w:iCs w:val="1"/>
          <w:color w:val="auto"/>
        </w:rPr>
        <w:t>(State or other jurisdiction of</w:t>
      </w:r>
    </w:p>
    <w:p>
      <w:pPr>
        <w:spacing w:after="0" w:line="21" w:lineRule="exact"/>
        <w:rPr>
          <w:sz w:val="24"/>
          <w:szCs w:val="24"/>
          <w:color w:val="auto"/>
        </w:rPr>
      </w:pPr>
    </w:p>
    <w:p>
      <w:pPr>
        <w:ind w:left="1100"/>
        <w:spacing w:after="0"/>
        <w:rPr>
          <w:sz w:val="20"/>
          <w:szCs w:val="20"/>
          <w:color w:val="auto"/>
        </w:rPr>
      </w:pPr>
      <w:r>
        <w:rPr>
          <w:rFonts w:ascii="Arial" w:cs="Arial" w:eastAsia="Arial" w:hAnsi="Arial"/>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3"/>
          <w:szCs w:val="13"/>
          <w:i w:val="1"/>
          <w:iCs w:val="1"/>
          <w:color w:val="auto"/>
        </w:rPr>
        <w:t>(I.R.S. Employer</w:t>
      </w:r>
    </w:p>
    <w:p>
      <w:pPr>
        <w:spacing w:after="0" w:line="10" w:lineRule="exact"/>
        <w:rPr>
          <w:sz w:val="24"/>
          <w:szCs w:val="24"/>
          <w:color w:val="auto"/>
        </w:rPr>
      </w:pPr>
    </w:p>
    <w:p>
      <w:pPr>
        <w:spacing w:after="0"/>
        <w:rPr>
          <w:sz w:val="20"/>
          <w:szCs w:val="20"/>
          <w:color w:val="auto"/>
        </w:rPr>
      </w:pPr>
      <w:r>
        <w:rPr>
          <w:rFonts w:ascii="Arial" w:cs="Arial" w:eastAsia="Arial" w:hAnsi="Arial"/>
          <w:sz w:val="12"/>
          <w:szCs w:val="12"/>
          <w:i w:val="1"/>
          <w:iCs w:val="1"/>
          <w:color w:val="auto"/>
        </w:rPr>
        <w:t>Identification No.)</w:t>
      </w:r>
    </w:p>
    <w:p>
      <w:pPr>
        <w:spacing w:after="0" w:line="106" w:lineRule="exact"/>
        <w:rPr>
          <w:sz w:val="24"/>
          <w:szCs w:val="24"/>
          <w:color w:val="auto"/>
        </w:rPr>
      </w:pPr>
    </w:p>
    <w:p>
      <w:pPr>
        <w:sectPr>
          <w:pgSz w:w="11900" w:h="16838" w:orient="portrait"/>
          <w:cols w:equalWidth="0" w:num="2">
            <w:col w:w="5860" w:space="720"/>
            <w:col w:w="2439"/>
          </w:cols>
          <w:pgMar w:left="1440" w:top="799" w:right="1440" w:bottom="1440" w:gutter="0" w:footer="0" w:header="0"/>
          <w:type w:val="continuous"/>
        </w:sectPr>
      </w:pPr>
    </w:p>
    <w:p>
      <w:pPr>
        <w:jc w:val="center"/>
        <w:ind w:right="19"/>
        <w:spacing w:after="0"/>
        <w:rPr>
          <w:sz w:val="20"/>
          <w:szCs w:val="20"/>
          <w:color w:val="auto"/>
        </w:rPr>
      </w:pPr>
      <w:r>
        <w:rPr>
          <w:rFonts w:ascii="Arial" w:cs="Arial" w:eastAsia="Arial" w:hAnsi="Arial"/>
          <w:sz w:val="13"/>
          <w:szCs w:val="13"/>
          <w:b w:val="1"/>
          <w:bCs w:val="1"/>
          <w:color w:val="auto"/>
        </w:rPr>
        <w:t>2301 N.W. 87th Avenue, Doral, FL 33172</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3"/>
          <w:szCs w:val="13"/>
          <w:i w:val="1"/>
          <w:iCs w:val="1"/>
          <w:color w:val="auto"/>
        </w:rPr>
        <w:t>(Address of principal executive offices) (zip code)</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 xml:space="preserve">Registrant’s telephone number, including area code: </w:t>
      </w:r>
      <w:r>
        <w:rPr>
          <w:rFonts w:ascii="Arial" w:cs="Arial" w:eastAsia="Arial" w:hAnsi="Arial"/>
          <w:sz w:val="13"/>
          <w:szCs w:val="13"/>
          <w:b w:val="1"/>
          <w:bCs w:val="1"/>
          <w:color w:val="auto"/>
        </w:rPr>
        <w:t>(305) 715-5200</w:t>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160" w:lineRule="exact"/>
        <w:rPr>
          <w:sz w:val="24"/>
          <w:szCs w:val="24"/>
          <w:color w:val="auto"/>
        </w:rPr>
      </w:pPr>
    </w:p>
    <w:tbl>
      <w:tblPr>
        <w:tblLayout w:type="fixed"/>
        <w:tblInd w:w="680" w:type="dxa"/>
        <w:tblCellMar>
          <w:top w:w="0" w:type="dxa"/>
          <w:left w:w="0" w:type="dxa"/>
          <w:bottom w:w="0" w:type="dxa"/>
          <w:right w:w="0" w:type="dxa"/>
        </w:tblCellMar>
      </w:tblPr>
      <w:tr>
        <w:trPr>
          <w:trHeight w:val="149"/>
        </w:trPr>
        <w:tc>
          <w:tcPr>
            <w:tcW w:w="86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8"/>
              </w:rPr>
              <w:t>Title of each class</w:t>
            </w:r>
          </w:p>
        </w:tc>
        <w:tc>
          <w:tcPr>
            <w:tcW w:w="1080" w:type="dxa"/>
            <w:vAlign w:val="bottom"/>
          </w:tcPr>
          <w:p>
            <w:pPr>
              <w:spacing w:after="0"/>
              <w:rPr>
                <w:sz w:val="12"/>
                <w:szCs w:val="12"/>
                <w:color w:val="auto"/>
              </w:rPr>
            </w:pPr>
          </w:p>
        </w:tc>
        <w:tc>
          <w:tcPr>
            <w:tcW w:w="1360" w:type="dxa"/>
            <w:vAlign w:val="bottom"/>
            <w:gridSpan w:val="2"/>
          </w:tcPr>
          <w:p>
            <w:pPr>
              <w:jc w:val="center"/>
              <w:ind w:left="156"/>
              <w:spacing w:after="0"/>
              <w:rPr>
                <w:sz w:val="20"/>
                <w:szCs w:val="20"/>
                <w:color w:val="auto"/>
              </w:rPr>
            </w:pPr>
            <w:r>
              <w:rPr>
                <w:rFonts w:ascii="Arial" w:cs="Arial" w:eastAsia="Arial" w:hAnsi="Arial"/>
                <w:sz w:val="13"/>
                <w:szCs w:val="13"/>
                <w:b w:val="1"/>
                <w:bCs w:val="1"/>
                <w:color w:val="auto"/>
                <w:w w:val="96"/>
              </w:rPr>
              <w:t>Trading Symbol(s)</w:t>
            </w:r>
          </w:p>
        </w:tc>
        <w:tc>
          <w:tcPr>
            <w:tcW w:w="3180" w:type="dxa"/>
            <w:vAlign w:val="bottom"/>
            <w:gridSpan w:val="2"/>
          </w:tcPr>
          <w:p>
            <w:pPr>
              <w:jc w:val="center"/>
              <w:ind w:left="416"/>
              <w:spacing w:after="0"/>
              <w:rPr>
                <w:sz w:val="20"/>
                <w:szCs w:val="20"/>
                <w:color w:val="auto"/>
              </w:rPr>
            </w:pPr>
            <w:r>
              <w:rPr>
                <w:rFonts w:ascii="Arial" w:cs="Arial" w:eastAsia="Arial" w:hAnsi="Arial"/>
                <w:sz w:val="13"/>
                <w:szCs w:val="13"/>
                <w:b w:val="1"/>
                <w:bCs w:val="1"/>
                <w:color w:val="auto"/>
                <w:w w:val="98"/>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r>
      <w:tr>
        <w:trPr>
          <w:trHeight w:val="191"/>
        </w:trPr>
        <w:tc>
          <w:tcPr>
            <w:tcW w:w="3060" w:type="dxa"/>
            <w:vAlign w:val="bottom"/>
            <w:gridSpan w:val="3"/>
          </w:tcPr>
          <w:p>
            <w:pPr>
              <w:jc w:val="center"/>
              <w:ind w:right="220"/>
              <w:spacing w:after="0"/>
              <w:rPr>
                <w:sz w:val="20"/>
                <w:szCs w:val="20"/>
                <w:color w:val="auto"/>
              </w:rPr>
            </w:pPr>
            <w:r>
              <w:rPr>
                <w:rFonts w:ascii="Arial" w:cs="Arial" w:eastAsia="Arial" w:hAnsi="Arial"/>
                <w:sz w:val="13"/>
                <w:szCs w:val="13"/>
                <w:color w:val="auto"/>
                <w:w w:val="98"/>
              </w:rPr>
              <w:t>Class A common stock, $1.00 par value per share</w:t>
            </w:r>
          </w:p>
        </w:tc>
        <w:tc>
          <w:tcPr>
            <w:tcW w:w="2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9"/>
              </w:rPr>
              <w:t>USCB</w:t>
            </w:r>
          </w:p>
        </w:tc>
        <w:tc>
          <w:tcPr>
            <w:tcW w:w="48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Arial" w:cs="Arial" w:eastAsia="Arial" w:hAnsi="Arial"/>
                <w:sz w:val="13"/>
                <w:szCs w:val="13"/>
                <w:color w:val="auto"/>
                <w:w w:val="98"/>
              </w:rPr>
              <w:t>The Nasdaq Stock Market LLC</w:t>
            </w:r>
          </w:p>
        </w:tc>
      </w:tr>
    </w:tbl>
    <w:p>
      <w:pPr>
        <w:spacing w:after="0" w:line="259" w:lineRule="exact"/>
        <w:rPr>
          <w:sz w:val="24"/>
          <w:szCs w:val="24"/>
          <w:color w:val="auto"/>
        </w:rPr>
      </w:pPr>
    </w:p>
    <w:p>
      <w:pPr>
        <w:jc w:val="both"/>
        <w:ind w:left="660" w:right="659"/>
        <w:spacing w:after="0" w:line="15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42" w:lineRule="exact"/>
        <w:rPr>
          <w:sz w:val="24"/>
          <w:szCs w:val="24"/>
          <w:color w:val="auto"/>
        </w:rPr>
      </w:pPr>
    </w:p>
    <w:p>
      <w:pPr>
        <w:jc w:val="both"/>
        <w:ind w:left="660" w:right="679"/>
        <w:spacing w:after="0" w:line="267"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w:t>
      </w:r>
    </w:p>
    <w:p>
      <w:pPr>
        <w:spacing w:after="0" w:line="1" w:lineRule="exact"/>
        <w:rPr>
          <w:sz w:val="24"/>
          <w:szCs w:val="24"/>
          <w:color w:val="auto"/>
        </w:rPr>
      </w:pPr>
    </w:p>
    <w:p>
      <w:pPr>
        <w:ind w:left="660"/>
        <w:spacing w:after="0" w:line="150" w:lineRule="exact"/>
        <w:rPr>
          <w:sz w:val="20"/>
          <w:szCs w:val="20"/>
          <w:color w:val="auto"/>
        </w:rPr>
      </w:pPr>
      <w:r>
        <w:rPr>
          <w:rFonts w:ascii="Arial" w:cs="Arial" w:eastAsia="Arial" w:hAnsi="Arial"/>
          <w:sz w:val="13"/>
          <w:szCs w:val="13"/>
          <w:color w:val="auto"/>
        </w:rPr>
        <w:t xml:space="preserve">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72" w:lineRule="exact"/>
        <w:rPr>
          <w:sz w:val="24"/>
          <w:szCs w:val="24"/>
          <w:color w:val="auto"/>
        </w:rPr>
      </w:pPr>
    </w:p>
    <w:p>
      <w:pPr>
        <w:jc w:val="both"/>
        <w:ind w:left="660" w:right="659"/>
        <w:spacing w:after="0" w:line="24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pacing w:after="0" w:line="111" w:lineRule="exact"/>
        <w:rPr>
          <w:sz w:val="24"/>
          <w:szCs w:val="24"/>
          <w:color w:val="auto"/>
        </w:rPr>
      </w:pPr>
    </w:p>
    <w:p>
      <w:pPr>
        <w:ind w:left="660"/>
        <w:spacing w:after="0" w:line="150" w:lineRule="exact"/>
        <w:tabs>
          <w:tab w:leader="none" w:pos="220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r>
        <w:rPr>
          <w:rFonts w:ascii="Arial" w:cs="Arial" w:eastAsia="Arial" w:hAnsi="Arial"/>
          <w:sz w:val="12"/>
          <w:szCs w:val="12"/>
          <w:color w:val="auto"/>
        </w:rPr>
        <w:t xml:space="preserve"> Non-accelerated filer </w:t>
      </w:r>
      <w:r>
        <w:rPr>
          <w:rFonts w:ascii="MS PGothic" w:cs="MS PGothic" w:eastAsia="MS PGothic" w:hAnsi="MS PGothic"/>
          <w:sz w:val="12"/>
          <w:szCs w:val="12"/>
          <w:color w:val="auto"/>
        </w:rPr>
        <w:t>☐</w:t>
      </w:r>
      <w:r>
        <w:rPr>
          <w:rFonts w:ascii="Arial" w:cs="Arial" w:eastAsia="Arial" w:hAnsi="Arial"/>
          <w:sz w:val="12"/>
          <w:szCs w:val="12"/>
          <w:color w:val="auto"/>
        </w:rPr>
        <w:t xml:space="preserve"> Smaller reporting company </w:t>
      </w:r>
      <w:r>
        <w:rPr>
          <w:rFonts w:ascii="MS PGothic" w:cs="MS PGothic" w:eastAsia="MS PGothic" w:hAnsi="MS PGothic"/>
          <w:sz w:val="12"/>
          <w:szCs w:val="12"/>
          <w:color w:val="auto"/>
        </w:rPr>
        <w:t>☒</w:t>
      </w:r>
      <w:r>
        <w:rPr>
          <w:rFonts w:ascii="Arial" w:cs="Arial" w:eastAsia="Arial" w:hAnsi="Arial"/>
          <w:sz w:val="12"/>
          <w:szCs w:val="12"/>
          <w:color w:val="auto"/>
        </w:rPr>
        <w:t xml:space="preserve"> Emerging growth company </w:t>
      </w:r>
      <w:r>
        <w:rPr>
          <w:rFonts w:ascii="MS PGothic" w:cs="MS PGothic" w:eastAsia="MS PGothic" w:hAnsi="MS PGothic"/>
          <w:sz w:val="12"/>
          <w:szCs w:val="12"/>
          <w:color w:val="auto"/>
        </w:rPr>
        <w:t>☒</w:t>
      </w:r>
    </w:p>
    <w:p>
      <w:pPr>
        <w:spacing w:after="0" w:line="232" w:lineRule="exact"/>
        <w:rPr>
          <w:sz w:val="24"/>
          <w:szCs w:val="24"/>
          <w:color w:val="auto"/>
        </w:rPr>
      </w:pPr>
    </w:p>
    <w:p>
      <w:pPr>
        <w:jc w:val="both"/>
        <w:ind w:left="660" w:right="659"/>
        <w:spacing w:after="0" w:line="169"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14" w:lineRule="exact"/>
        <w:rPr>
          <w:sz w:val="24"/>
          <w:szCs w:val="24"/>
          <w:color w:val="auto"/>
        </w:rPr>
      </w:pPr>
    </w:p>
    <w:p>
      <w:pPr>
        <w:ind w:left="66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10" w:lineRule="exact"/>
        <w:rPr>
          <w:sz w:val="24"/>
          <w:szCs w:val="24"/>
          <w:color w:val="auto"/>
        </w:rPr>
      </w:pPr>
    </w:p>
    <w:p>
      <w:pPr>
        <w:ind w:left="660"/>
        <w:spacing w:after="0"/>
        <w:rPr>
          <w:sz w:val="20"/>
          <w:szCs w:val="20"/>
          <w:color w:val="auto"/>
        </w:rPr>
      </w:pPr>
      <w:r>
        <w:rPr>
          <w:rFonts w:ascii="Arial" w:cs="Arial" w:eastAsia="Arial" w:hAnsi="Arial"/>
          <w:sz w:val="13"/>
          <w:szCs w:val="13"/>
          <w:color w:val="auto"/>
        </w:rPr>
        <w:t>Indicate the number of shares outstanding of each of the issuer’s classes of common stock, as of the latest practicable date.</w:t>
      </w:r>
    </w:p>
    <w:p>
      <w:pPr>
        <w:spacing w:after="0" w:line="12" w:lineRule="exact"/>
        <w:rPr>
          <w:sz w:val="24"/>
          <w:szCs w:val="24"/>
          <w:color w:val="auto"/>
        </w:rPr>
      </w:pPr>
    </w:p>
    <w:p>
      <w:pPr>
        <w:ind w:left="660"/>
        <w:spacing w:after="0"/>
        <w:rPr>
          <w:sz w:val="20"/>
          <w:szCs w:val="20"/>
          <w:color w:val="auto"/>
        </w:rPr>
      </w:pPr>
      <w:r>
        <w:rPr>
          <w:rFonts w:ascii="Arial" w:cs="Arial" w:eastAsia="Arial" w:hAnsi="Arial"/>
          <w:sz w:val="13"/>
          <w:szCs w:val="13"/>
          <w:color w:val="auto"/>
        </w:rPr>
        <w:t>As of April 30, 2026, the registrant had 18,263,900 shares of Class A common stock outstanding.</w:t>
      </w:r>
    </w:p>
    <w:p>
      <w:pPr>
        <w:sectPr>
          <w:pgSz w:w="11900" w:h="16838" w:orient="portrait"/>
          <w:cols w:equalWidth="0" w:num="1">
            <w:col w:w="9019"/>
          </w:cols>
          <w:pgMar w:left="1440" w:top="799" w:right="1440" w:bottom="1440" w:gutter="0" w:footer="0" w:header="0"/>
          <w:type w:val="continuous"/>
        </w:sectPr>
      </w:pPr>
    </w:p>
    <w:bookmarkStart w:id="1" w:name="page2"/>
    <w:bookmarkEnd w:id="1"/>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jc w:val="center"/>
        <w:ind w:right="-240"/>
        <w:spacing w:after="0"/>
        <w:rPr>
          <w:sz w:val="20"/>
          <w:szCs w:val="20"/>
          <w:color w:val="auto"/>
        </w:rPr>
      </w:pPr>
      <w:r>
        <w:rPr>
          <w:rFonts w:ascii="Arial" w:cs="Arial" w:eastAsia="Arial" w:hAnsi="Arial"/>
          <w:sz w:val="14"/>
          <w:szCs w:val="14"/>
          <w:b w:val="1"/>
          <w:bCs w:val="1"/>
          <w:color w:val="auto"/>
        </w:rPr>
        <w:t>FORM 10-Q</w:t>
      </w:r>
    </w:p>
    <w:p>
      <w:pPr>
        <w:spacing w:after="0" w:line="24"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March 31, 2026</w:t>
      </w:r>
    </w:p>
    <w:p>
      <w:pPr>
        <w:spacing w:after="0" w:line="145"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400" w:type="dxa"/>
            <w:vAlign w:val="bottom"/>
          </w:tcPr>
          <w:p>
            <w:pPr>
              <w:spacing w:after="0"/>
              <w:rPr>
                <w:sz w:val="20"/>
                <w:szCs w:val="20"/>
                <w:color w:val="auto"/>
              </w:rPr>
            </w:pPr>
            <w:r>
              <w:rPr>
                <w:rFonts w:ascii="Arial" w:cs="Arial" w:eastAsia="Arial" w:hAnsi="Arial"/>
                <w:sz w:val="13"/>
                <w:szCs w:val="13"/>
                <w:color w:val="0000FF"/>
                <w:w w:val="85"/>
              </w:rPr>
              <w:t>PART I</w:t>
            </w:r>
          </w:p>
        </w:tc>
        <w:tc>
          <w:tcPr>
            <w:tcW w:w="16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0000FF"/>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00" w:type="dxa"/>
            <w:vAlign w:val="bottom"/>
          </w:tcPr>
          <w:p>
            <w:pPr>
              <w:spacing w:after="0"/>
              <w:rPr>
                <w:sz w:val="20"/>
                <w:szCs w:val="20"/>
                <w:color w:val="auto"/>
              </w:rPr>
            </w:pPr>
            <w:r>
              <w:rPr>
                <w:rFonts w:ascii="Arial" w:cs="Arial" w:eastAsia="Arial" w:hAnsi="Arial"/>
                <w:sz w:val="13"/>
                <w:szCs w:val="13"/>
                <w:color w:val="0000FF"/>
                <w:w w:val="90"/>
              </w:rPr>
              <w:t>Item 1.</w:t>
            </w:r>
          </w:p>
        </w:tc>
        <w:tc>
          <w:tcPr>
            <w:tcW w:w="160" w:type="dxa"/>
            <w:vAlign w:val="bottom"/>
            <w:gridSpan w:val="3"/>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gridSpan w:val="6"/>
          </w:tcPr>
          <w:p>
            <w:pPr>
              <w:spacing w:after="0"/>
              <w:rPr>
                <w:sz w:val="20"/>
                <w:szCs w:val="20"/>
                <w:color w:val="auto"/>
              </w:rPr>
            </w:pPr>
            <w:r>
              <w:rPr>
                <w:rFonts w:ascii="Arial" w:cs="Arial" w:eastAsia="Arial" w:hAnsi="Arial"/>
                <w:sz w:val="13"/>
                <w:szCs w:val="13"/>
                <w:color w:val="0000FF"/>
                <w:w w:val="97"/>
              </w:rPr>
              <w:t>Financial Statements</w:t>
            </w:r>
          </w:p>
        </w:tc>
        <w:tc>
          <w:tcPr>
            <w:tcW w:w="5320" w:type="dxa"/>
            <w:vAlign w:val="bottom"/>
            <w:gridSpan w:val="13"/>
          </w:tcPr>
          <w:p>
            <w:pPr>
              <w:spacing w:after="0"/>
              <w:rPr>
                <w:sz w:val="23"/>
                <w:szCs w:val="2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0000FF"/>
              </w:rPr>
              <w:t>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0" w:type="dxa"/>
            <w:vAlign w:val="bottom"/>
            <w:gridSpan w:val="18"/>
          </w:tcPr>
          <w:p>
            <w:pPr>
              <w:spacing w:after="0" w:line="129" w:lineRule="exact"/>
              <w:rPr>
                <w:sz w:val="20"/>
                <w:szCs w:val="20"/>
                <w:color w:val="auto"/>
              </w:rPr>
            </w:pPr>
            <w:r>
              <w:rPr>
                <w:rFonts w:ascii="Arial" w:cs="Arial" w:eastAsia="Arial" w:hAnsi="Arial"/>
                <w:sz w:val="13"/>
                <w:szCs w:val="13"/>
                <w:color w:val="0000FF"/>
              </w:rPr>
              <w:t>Consolidated Balance Sheets as of March 31, 2026 (Unaudited) and December 31, 2025</w:t>
            </w:r>
          </w:p>
        </w:tc>
        <w:tc>
          <w:tcPr>
            <w:tcW w:w="52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0" w:type="dxa"/>
            <w:vAlign w:val="bottom"/>
            <w:gridSpan w:val="15"/>
          </w:tcPr>
          <w:p>
            <w:pPr>
              <w:spacing w:after="0" w:line="129" w:lineRule="exact"/>
              <w:rPr>
                <w:sz w:val="20"/>
                <w:szCs w:val="20"/>
                <w:color w:val="auto"/>
              </w:rPr>
            </w:pPr>
            <w:r>
              <w:rPr>
                <w:rFonts w:ascii="Arial" w:cs="Arial" w:eastAsia="Arial" w:hAnsi="Arial"/>
                <w:sz w:val="13"/>
                <w:szCs w:val="13"/>
                <w:color w:val="0000FF"/>
                <w:w w:val="98"/>
              </w:rPr>
              <w:t>Consolidated Statements of Operations for the three months ended March 31, 2026 and 2025 (Unaudited)</w:t>
            </w:r>
          </w:p>
        </w:tc>
        <w:tc>
          <w:tcPr>
            <w:tcW w:w="200" w:type="dxa"/>
            <w:vAlign w:val="bottom"/>
            <w:gridSpan w:val="3"/>
          </w:tcPr>
          <w:p>
            <w:pPr>
              <w:spacing w:after="0"/>
              <w:rPr>
                <w:sz w:val="11"/>
                <w:szCs w:val="11"/>
                <w:color w:val="auto"/>
              </w:rPr>
            </w:pPr>
          </w:p>
        </w:tc>
        <w:tc>
          <w:tcPr>
            <w:tcW w:w="52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0" w:type="dxa"/>
            <w:vAlign w:val="bottom"/>
            <w:gridSpan w:val="18"/>
          </w:tcPr>
          <w:p>
            <w:pPr>
              <w:spacing w:after="0" w:line="129" w:lineRule="exact"/>
              <w:rPr>
                <w:sz w:val="20"/>
                <w:szCs w:val="20"/>
                <w:color w:val="auto"/>
              </w:rPr>
            </w:pPr>
            <w:r>
              <w:rPr>
                <w:rFonts w:ascii="Arial" w:cs="Arial" w:eastAsia="Arial" w:hAnsi="Arial"/>
                <w:sz w:val="13"/>
                <w:szCs w:val="13"/>
                <w:color w:val="0000FF"/>
              </w:rPr>
              <w:t>Consolidated Statements of Comprehensive Income for the three months ended March 31, 2026 and 2025</w:t>
            </w:r>
          </w:p>
        </w:tc>
        <w:tc>
          <w:tcPr>
            <w:tcW w:w="520" w:type="dxa"/>
            <w:vAlign w:val="bottom"/>
            <w:gridSpan w:val="2"/>
            <w:vMerge w:val="restart"/>
          </w:tcPr>
          <w:p>
            <w:pPr>
              <w:jc w:val="right"/>
              <w:spacing w:after="0"/>
              <w:rPr>
                <w:sz w:val="20"/>
                <w:szCs w:val="20"/>
                <w:color w:val="auto"/>
              </w:rPr>
            </w:pPr>
            <w:r>
              <w:rPr>
                <w:rFonts w:ascii="Arial" w:cs="Arial" w:eastAsia="Arial" w:hAnsi="Arial"/>
                <w:sz w:val="13"/>
                <w:szCs w:val="13"/>
                <w:color w:val="0000FF"/>
              </w:rPr>
              <w:t>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20" w:type="dxa"/>
            <w:vAlign w:val="bottom"/>
            <w:tcBorders>
              <w:top w:val="single" w:sz="8" w:color="0000FF"/>
            </w:tcBorders>
            <w:gridSpan w:val="16"/>
          </w:tcPr>
          <w:p>
            <w:pPr>
              <w:spacing w:after="0" w:line="129" w:lineRule="exact"/>
              <w:rPr>
                <w:sz w:val="20"/>
                <w:szCs w:val="20"/>
                <w:color w:val="auto"/>
              </w:rPr>
            </w:pPr>
            <w:r>
              <w:rPr>
                <w:rFonts w:ascii="Arial" w:cs="Arial" w:eastAsia="Arial" w:hAnsi="Arial"/>
                <w:sz w:val="13"/>
                <w:szCs w:val="13"/>
                <w:color w:val="0000FF"/>
              </w:rPr>
              <w:t>(Unaudited)</w:t>
            </w:r>
          </w:p>
        </w:tc>
        <w:tc>
          <w:tcPr>
            <w:tcW w:w="180" w:type="dxa"/>
            <w:vAlign w:val="bottom"/>
            <w:gridSpan w:val="2"/>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460" w:type="dxa"/>
            <w:vAlign w:val="bottom"/>
            <w:gridSpan w:val="14"/>
            <w:vMerge w:val="restart"/>
          </w:tcPr>
          <w:p>
            <w:pPr>
              <w:ind w:left="40"/>
              <w:spacing w:after="0" w:line="139" w:lineRule="exact"/>
              <w:rPr>
                <w:sz w:val="20"/>
                <w:szCs w:val="20"/>
                <w:color w:val="auto"/>
              </w:rPr>
            </w:pPr>
            <w:r>
              <w:rPr>
                <w:rFonts w:ascii="Arial" w:cs="Arial" w:eastAsia="Arial" w:hAnsi="Arial"/>
                <w:sz w:val="13"/>
                <w:szCs w:val="13"/>
                <w:color w:val="0000FF"/>
                <w:w w:val="98"/>
              </w:rPr>
              <w:t>Statements of Changes in Stockholders’ Equity for the three months ended March 31, 2026 and</w:t>
            </w:r>
          </w:p>
        </w:tc>
        <w:tc>
          <w:tcPr>
            <w:tcW w:w="3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Borders>
              <w:bottom w:val="single" w:sz="8" w:color="0000FF"/>
            </w:tcBorders>
            <w:gridSpan w:val="3"/>
          </w:tcPr>
          <w:p>
            <w:pPr>
              <w:spacing w:after="0" w:line="119" w:lineRule="exact"/>
              <w:rPr>
                <w:sz w:val="20"/>
                <w:szCs w:val="20"/>
                <w:color w:val="auto"/>
              </w:rPr>
            </w:pPr>
            <w:r>
              <w:rPr>
                <w:rFonts w:ascii="Arial" w:cs="Arial" w:eastAsia="Arial" w:hAnsi="Arial"/>
                <w:sz w:val="13"/>
                <w:szCs w:val="13"/>
                <w:color w:val="0000FF"/>
                <w:w w:val="84"/>
              </w:rPr>
              <w:t>Consolidated</w:t>
            </w:r>
          </w:p>
        </w:tc>
        <w:tc>
          <w:tcPr>
            <w:tcW w:w="80" w:type="dxa"/>
            <w:vAlign w:val="bottom"/>
            <w:tcBorders>
              <w:bottom w:val="single" w:sz="8" w:color="0000FF"/>
            </w:tcBorders>
            <w:vMerge w:val="continue"/>
          </w:tcPr>
          <w:p>
            <w:pPr>
              <w:spacing w:after="0"/>
              <w:rPr>
                <w:sz w:val="10"/>
                <w:szCs w:val="10"/>
                <w:color w:val="auto"/>
              </w:rPr>
            </w:pPr>
          </w:p>
        </w:tc>
        <w:tc>
          <w:tcPr>
            <w:tcW w:w="5460" w:type="dxa"/>
            <w:vAlign w:val="bottom"/>
            <w:tcBorders>
              <w:bottom w:val="single" w:sz="8" w:color="0000FF"/>
            </w:tcBorders>
            <w:gridSpan w:val="14"/>
            <w:vMerge w:val="continue"/>
          </w:tcPr>
          <w:p>
            <w:pPr>
              <w:spacing w:after="0"/>
              <w:rPr>
                <w:sz w:val="10"/>
                <w:szCs w:val="10"/>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3"/>
                <w:szCs w:val="13"/>
                <w:color w:val="0000FF"/>
              </w:rPr>
              <w:t>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0" w:type="dxa"/>
            <w:vAlign w:val="bottom"/>
            <w:gridSpan w:val="18"/>
          </w:tcPr>
          <w:p>
            <w:pPr>
              <w:spacing w:after="0" w:line="129" w:lineRule="exact"/>
              <w:rPr>
                <w:sz w:val="20"/>
                <w:szCs w:val="20"/>
                <w:color w:val="auto"/>
              </w:rPr>
            </w:pPr>
            <w:r>
              <w:rPr>
                <w:rFonts w:ascii="Arial" w:cs="Arial" w:eastAsia="Arial" w:hAnsi="Arial"/>
                <w:sz w:val="13"/>
                <w:szCs w:val="13"/>
                <w:color w:val="0000FF"/>
              </w:rPr>
              <w:t>2025 (Unaudited)</w:t>
            </w:r>
          </w:p>
        </w:tc>
        <w:tc>
          <w:tcPr>
            <w:tcW w:w="5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0" w:type="dxa"/>
            <w:vAlign w:val="bottom"/>
            <w:gridSpan w:val="18"/>
          </w:tcPr>
          <w:p>
            <w:pPr>
              <w:spacing w:after="0" w:line="129" w:lineRule="exact"/>
              <w:rPr>
                <w:sz w:val="20"/>
                <w:szCs w:val="20"/>
                <w:color w:val="auto"/>
              </w:rPr>
            </w:pPr>
            <w:r>
              <w:rPr>
                <w:rFonts w:ascii="Arial" w:cs="Arial" w:eastAsia="Arial" w:hAnsi="Arial"/>
                <w:sz w:val="13"/>
                <w:szCs w:val="13"/>
                <w:color w:val="0000FF"/>
              </w:rPr>
              <w:t>Consolidated Statements of Cash Flows for the three months ended March 31, 2026 and 2025 (Unaudited)</w:t>
            </w:r>
          </w:p>
        </w:tc>
        <w:tc>
          <w:tcPr>
            <w:tcW w:w="52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60" w:type="dxa"/>
            <w:vAlign w:val="bottom"/>
            <w:gridSpan w:val="4"/>
            <w:vMerge w:val="restart"/>
          </w:tcPr>
          <w:p>
            <w:pPr>
              <w:spacing w:after="0"/>
              <w:rPr>
                <w:sz w:val="20"/>
                <w:szCs w:val="20"/>
                <w:color w:val="auto"/>
              </w:rPr>
            </w:pPr>
            <w:r>
              <w:rPr>
                <w:rFonts w:ascii="Arial" w:cs="Arial" w:eastAsia="Arial" w:hAnsi="Arial"/>
                <w:sz w:val="13"/>
                <w:szCs w:val="13"/>
                <w:color w:val="0000FF"/>
              </w:rPr>
              <w:t>Item 2.</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40" w:type="dxa"/>
            <w:vAlign w:val="bottom"/>
            <w:gridSpan w:val="17"/>
          </w:tcPr>
          <w:p>
            <w:pPr>
              <w:spacing w:after="0" w:line="129" w:lineRule="exact"/>
              <w:rPr>
                <w:sz w:val="20"/>
                <w:szCs w:val="20"/>
                <w:color w:val="auto"/>
              </w:rPr>
            </w:pPr>
            <w:r>
              <w:rPr>
                <w:rFonts w:ascii="Arial" w:cs="Arial" w:eastAsia="Arial" w:hAnsi="Arial"/>
                <w:sz w:val="13"/>
                <w:szCs w:val="13"/>
                <w:color w:val="0000FF"/>
              </w:rPr>
              <w:t>Notes to the Consolidated Financial Statements (Unaudited)</w:t>
            </w:r>
          </w:p>
        </w:tc>
        <w:tc>
          <w:tcPr>
            <w:tcW w:w="160" w:type="dxa"/>
            <w:vAlign w:val="bottom"/>
          </w:tcPr>
          <w:p>
            <w:pPr>
              <w:spacing w:after="0"/>
              <w:rPr>
                <w:sz w:val="11"/>
                <w:szCs w:val="11"/>
                <w:color w:val="auto"/>
              </w:rPr>
            </w:pPr>
          </w:p>
        </w:tc>
        <w:tc>
          <w:tcPr>
            <w:tcW w:w="52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60" w:type="dxa"/>
            <w:vAlign w:val="bottom"/>
            <w:gridSpan w:val="4"/>
            <w:vMerge w:val="continu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60" w:type="dxa"/>
            <w:vAlign w:val="bottom"/>
            <w:gridSpan w:val="4"/>
            <w:vMerge w:val="continue"/>
          </w:tcPr>
          <w:p>
            <w:pPr>
              <w:spacing w:after="0"/>
              <w:rPr>
                <w:sz w:val="11"/>
                <w:szCs w:val="11"/>
                <w:color w:val="auto"/>
              </w:rPr>
            </w:pPr>
          </w:p>
        </w:tc>
        <w:tc>
          <w:tcPr>
            <w:tcW w:w="6600" w:type="dxa"/>
            <w:vAlign w:val="bottom"/>
            <w:gridSpan w:val="20"/>
          </w:tcPr>
          <w:p>
            <w:pPr>
              <w:ind w:left="80"/>
              <w:spacing w:after="0" w:line="129" w:lineRule="exact"/>
              <w:rPr>
                <w:sz w:val="20"/>
                <w:szCs w:val="20"/>
                <w:color w:val="auto"/>
              </w:rPr>
            </w:pPr>
            <w:r>
              <w:rPr>
                <w:rFonts w:ascii="Arial" w:cs="Arial" w:eastAsia="Arial" w:hAnsi="Arial"/>
                <w:sz w:val="13"/>
                <w:szCs w:val="13"/>
                <w:color w:val="0000FF"/>
              </w:rPr>
              <w:t>Management's Discussion and Analysis of Financial Condition and Results of Operations</w:t>
            </w:r>
          </w:p>
        </w:tc>
        <w:tc>
          <w:tcPr>
            <w:tcW w:w="540" w:type="dxa"/>
            <w:vAlign w:val="bottom"/>
            <w:gridSpan w:val="3"/>
          </w:tcPr>
          <w:p>
            <w:pPr>
              <w:jc w:val="right"/>
              <w:ind w:right="20"/>
              <w:spacing w:after="0" w:line="129" w:lineRule="exact"/>
              <w:rPr>
                <w:sz w:val="20"/>
                <w:szCs w:val="20"/>
                <w:color w:val="auto"/>
              </w:rPr>
            </w:pPr>
            <w:r>
              <w:rPr>
                <w:rFonts w:ascii="Arial" w:cs="Arial" w:eastAsia="Arial" w:hAnsi="Arial"/>
                <w:sz w:val="13"/>
                <w:szCs w:val="13"/>
                <w:color w:val="0000FF"/>
              </w:rPr>
              <w:t>30</w:t>
            </w:r>
          </w:p>
        </w:tc>
        <w:tc>
          <w:tcPr>
            <w:tcW w:w="0" w:type="dxa"/>
            <w:vAlign w:val="bottom"/>
          </w:tcPr>
          <w:p>
            <w:pPr>
              <w:spacing w:after="0"/>
              <w:rPr>
                <w:sz w:val="1"/>
                <w:szCs w:val="1"/>
                <w:color w:val="auto"/>
              </w:rPr>
            </w:pPr>
          </w:p>
        </w:tc>
      </w:tr>
      <w:tr>
        <w:trPr>
          <w:trHeight w:val="119"/>
        </w:trPr>
        <w:tc>
          <w:tcPr>
            <w:tcW w:w="400" w:type="dxa"/>
            <w:vAlign w:val="bottom"/>
            <w:tcBorders>
              <w:top w:val="single" w:sz="8" w:color="0000FF"/>
              <w:bottom w:val="single" w:sz="8" w:color="0000FF"/>
            </w:tcBorders>
          </w:tcPr>
          <w:p>
            <w:pPr>
              <w:spacing w:after="0" w:line="119" w:lineRule="exact"/>
              <w:rPr>
                <w:sz w:val="20"/>
                <w:szCs w:val="20"/>
                <w:color w:val="auto"/>
              </w:rPr>
            </w:pPr>
            <w:r>
              <w:rPr>
                <w:rFonts w:ascii="Arial" w:cs="Arial" w:eastAsia="Arial" w:hAnsi="Arial"/>
                <w:sz w:val="13"/>
                <w:szCs w:val="13"/>
                <w:color w:val="0000FF"/>
                <w:w w:val="90"/>
              </w:rPr>
              <w:t>Item 3.</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60" w:type="dxa"/>
            <w:vAlign w:val="bottom"/>
            <w:tcBorders>
              <w:top w:val="single" w:sz="8" w:color="0000FF"/>
              <w:bottom w:val="single" w:sz="8" w:color="0000FF"/>
            </w:tcBorders>
            <w:gridSpan w:val="11"/>
          </w:tcPr>
          <w:p>
            <w:pPr>
              <w:spacing w:after="0" w:line="119" w:lineRule="exact"/>
              <w:rPr>
                <w:sz w:val="20"/>
                <w:szCs w:val="20"/>
                <w:color w:val="auto"/>
              </w:rPr>
            </w:pPr>
            <w:r>
              <w:rPr>
                <w:rFonts w:ascii="Arial" w:cs="Arial" w:eastAsia="Arial" w:hAnsi="Arial"/>
                <w:sz w:val="13"/>
                <w:szCs w:val="13"/>
                <w:color w:val="0000FF"/>
                <w:w w:val="98"/>
              </w:rPr>
              <w:t>Quantitative and Qualitative Disclosures About Market Risk</w:t>
            </w:r>
          </w:p>
        </w:tc>
        <w:tc>
          <w:tcPr>
            <w:tcW w:w="1680" w:type="dxa"/>
            <w:vAlign w:val="bottom"/>
            <w:tcBorders>
              <w:top w:val="single" w:sz="8" w:color="0000FF"/>
            </w:tcBorders>
            <w:gridSpan w:val="3"/>
          </w:tcPr>
          <w:p>
            <w:pPr>
              <w:spacing w:after="0"/>
              <w:rPr>
                <w:sz w:val="10"/>
                <w:szCs w:val="10"/>
                <w:color w:val="auto"/>
              </w:rPr>
            </w:pPr>
          </w:p>
        </w:tc>
        <w:tc>
          <w:tcPr>
            <w:tcW w:w="1480" w:type="dxa"/>
            <w:vAlign w:val="bottom"/>
            <w:gridSpan w:val="5"/>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top w:val="single" w:sz="8" w:color="0000FF"/>
              <w:bottom w:val="single" w:sz="8" w:color="0000FF"/>
            </w:tcBorders>
          </w:tcPr>
          <w:p>
            <w:pPr>
              <w:jc w:val="right"/>
              <w:spacing w:after="0" w:line="119" w:lineRule="exact"/>
              <w:rPr>
                <w:sz w:val="20"/>
                <w:szCs w:val="20"/>
                <w:color w:val="auto"/>
              </w:rPr>
            </w:pPr>
            <w:r>
              <w:rPr>
                <w:rFonts w:ascii="Arial" w:cs="Arial" w:eastAsia="Arial" w:hAnsi="Arial"/>
                <w:sz w:val="13"/>
                <w:szCs w:val="13"/>
                <w:color w:val="0000FF"/>
                <w:w w:val="82"/>
              </w:rPr>
              <w:t>50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4.</w:t>
            </w:r>
          </w:p>
        </w:tc>
        <w:tc>
          <w:tcPr>
            <w:tcW w:w="1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Borders>
              <w:bottom w:val="single" w:sz="8" w:color="0000FF"/>
            </w:tcBorders>
            <w:gridSpan w:val="9"/>
          </w:tcPr>
          <w:p>
            <w:pPr>
              <w:spacing w:after="0" w:line="129" w:lineRule="exact"/>
              <w:rPr>
                <w:sz w:val="20"/>
                <w:szCs w:val="20"/>
                <w:color w:val="auto"/>
              </w:rPr>
            </w:pPr>
            <w:r>
              <w:rPr>
                <w:rFonts w:ascii="Arial" w:cs="Arial" w:eastAsia="Arial" w:hAnsi="Arial"/>
                <w:sz w:val="13"/>
                <w:szCs w:val="13"/>
                <w:color w:val="0000FF"/>
                <w:w w:val="97"/>
              </w:rPr>
              <w:t>Controls and Procedures</w:t>
            </w:r>
          </w:p>
        </w:tc>
        <w:tc>
          <w:tcPr>
            <w:tcW w:w="5100" w:type="dxa"/>
            <w:vAlign w:val="bottom"/>
            <w:gridSpan w:val="10"/>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9"/>
        </w:trPr>
        <w:tc>
          <w:tcPr>
            <w:tcW w:w="44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color w:val="0000FF"/>
                <w:w w:val="92"/>
              </w:rPr>
              <w:t>PART II</w:t>
            </w:r>
          </w:p>
        </w:tc>
        <w:tc>
          <w:tcPr>
            <w:tcW w:w="1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82"/>
              </w:rPr>
              <w:t>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00" w:type="dxa"/>
            <w:vAlign w:val="bottom"/>
          </w:tcPr>
          <w:p>
            <w:pPr>
              <w:spacing w:after="0"/>
              <w:rPr>
                <w:sz w:val="20"/>
                <w:szCs w:val="20"/>
                <w:color w:val="auto"/>
              </w:rPr>
            </w:pPr>
            <w:r>
              <w:rPr>
                <w:rFonts w:ascii="Arial" w:cs="Arial" w:eastAsia="Arial" w:hAnsi="Arial"/>
                <w:sz w:val="13"/>
                <w:szCs w:val="13"/>
                <w:color w:val="0000FF"/>
                <w:w w:val="90"/>
              </w:rPr>
              <w:t>Item 1.</w:t>
            </w:r>
          </w:p>
        </w:tc>
        <w:tc>
          <w:tcPr>
            <w:tcW w:w="16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6520" w:type="dxa"/>
            <w:vAlign w:val="bottom"/>
            <w:gridSpan w:val="19"/>
          </w:tcPr>
          <w:p>
            <w:pPr>
              <w:spacing w:after="0"/>
              <w:rPr>
                <w:sz w:val="20"/>
                <w:szCs w:val="20"/>
                <w:color w:val="auto"/>
              </w:rPr>
            </w:pPr>
            <w:r>
              <w:rPr>
                <w:rFonts w:ascii="Arial" w:cs="Arial" w:eastAsia="Arial" w:hAnsi="Arial"/>
                <w:sz w:val="13"/>
                <w:szCs w:val="13"/>
                <w:color w:val="0000FF"/>
              </w:rPr>
              <w:t>Legal Proceedings</w:t>
            </w:r>
          </w:p>
        </w:tc>
        <w:tc>
          <w:tcPr>
            <w:tcW w:w="540" w:type="dxa"/>
            <w:vAlign w:val="bottom"/>
            <w:gridSpan w:val="3"/>
          </w:tcPr>
          <w:p>
            <w:pPr>
              <w:jc w:val="right"/>
              <w:ind w:right="20"/>
              <w:spacing w:after="0"/>
              <w:rPr>
                <w:sz w:val="20"/>
                <w:szCs w:val="20"/>
                <w:color w:val="auto"/>
              </w:rPr>
            </w:pPr>
            <w:r>
              <w:rPr>
                <w:rFonts w:ascii="Arial" w:cs="Arial" w:eastAsia="Arial" w:hAnsi="Arial"/>
                <w:sz w:val="13"/>
                <w:szCs w:val="13"/>
                <w:color w:val="0000FF"/>
              </w:rPr>
              <w:t>51</w:t>
            </w: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3"/>
            <w:vMerge w:val="restart"/>
          </w:tcPr>
          <w:p>
            <w:pPr>
              <w:spacing w:after="0" w:line="20" w:lineRule="exact"/>
              <w:rPr>
                <w:sz w:val="1"/>
                <w:szCs w:val="1"/>
                <w:color w:val="auto"/>
              </w:rPr>
            </w:pPr>
          </w:p>
        </w:tc>
        <w:tc>
          <w:tcPr>
            <w:tcW w:w="440" w:type="dxa"/>
            <w:vAlign w:val="bottom"/>
            <w:gridSpan w:val="2"/>
            <w:vMerge w:val="restart"/>
          </w:tcPr>
          <w:p>
            <w:pPr>
              <w:spacing w:after="0" w:line="20" w:lineRule="exact"/>
              <w:rPr>
                <w:sz w:val="1"/>
                <w:szCs w:val="1"/>
                <w:color w:val="auto"/>
              </w:rPr>
            </w:pPr>
          </w:p>
        </w:tc>
        <w:tc>
          <w:tcPr>
            <w:tcW w:w="1640" w:type="dxa"/>
            <w:vAlign w:val="bottom"/>
            <w:gridSpan w:val="2"/>
            <w:vMerge w:val="restart"/>
          </w:tcPr>
          <w:p>
            <w:pPr>
              <w:spacing w:after="0" w:line="20" w:lineRule="exact"/>
              <w:rPr>
                <w:sz w:val="1"/>
                <w:szCs w:val="1"/>
                <w:color w:val="auto"/>
              </w:rPr>
            </w:pPr>
          </w:p>
        </w:tc>
        <w:tc>
          <w:tcPr>
            <w:tcW w:w="3060" w:type="dxa"/>
            <w:vAlign w:val="bottom"/>
            <w:gridSpan w:val="7"/>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80" w:type="dxa"/>
            <w:vAlign w:val="bottom"/>
            <w:tcBorders>
              <w:bottom w:val="single" w:sz="8" w:color="0000FF"/>
            </w:tcBorders>
            <w:gridSpan w:val="3"/>
          </w:tcPr>
          <w:p>
            <w:pPr>
              <w:spacing w:after="0" w:line="119" w:lineRule="exact"/>
              <w:rPr>
                <w:sz w:val="20"/>
                <w:szCs w:val="20"/>
                <w:color w:val="auto"/>
              </w:rPr>
            </w:pPr>
            <w:r>
              <w:rPr>
                <w:rFonts w:ascii="Arial" w:cs="Arial" w:eastAsia="Arial" w:hAnsi="Arial"/>
                <w:sz w:val="13"/>
                <w:szCs w:val="13"/>
                <w:color w:val="0000FF"/>
                <w:w w:val="94"/>
              </w:rPr>
              <w:t>Item 1A.</w:t>
            </w:r>
          </w:p>
        </w:tc>
        <w:tc>
          <w:tcPr>
            <w:tcW w:w="8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720" w:type="dxa"/>
            <w:vAlign w:val="bottom"/>
            <w:tcBorders>
              <w:bottom w:val="single" w:sz="8" w:color="0000FF"/>
            </w:tcBorders>
            <w:gridSpan w:val="2"/>
          </w:tcPr>
          <w:p>
            <w:pPr>
              <w:spacing w:after="0" w:line="119" w:lineRule="exact"/>
              <w:rPr>
                <w:sz w:val="20"/>
                <w:szCs w:val="20"/>
                <w:color w:val="auto"/>
              </w:rPr>
            </w:pPr>
            <w:r>
              <w:rPr>
                <w:rFonts w:ascii="Arial" w:cs="Arial" w:eastAsia="Arial" w:hAnsi="Arial"/>
                <w:sz w:val="13"/>
                <w:szCs w:val="13"/>
                <w:color w:val="0000FF"/>
                <w:w w:val="96"/>
              </w:rPr>
              <w:t>Risk Factors</w:t>
            </w:r>
          </w:p>
        </w:tc>
        <w:tc>
          <w:tcPr>
            <w:tcW w:w="340" w:type="dxa"/>
            <w:vAlign w:val="bottom"/>
            <w:gridSpan w:val="3"/>
          </w:tcPr>
          <w:p>
            <w:pPr>
              <w:spacing w:after="0"/>
              <w:rPr>
                <w:sz w:val="10"/>
                <w:szCs w:val="10"/>
                <w:color w:val="auto"/>
              </w:rPr>
            </w:pPr>
          </w:p>
        </w:tc>
        <w:tc>
          <w:tcPr>
            <w:tcW w:w="320" w:type="dxa"/>
            <w:vAlign w:val="bottom"/>
            <w:gridSpan w:val="3"/>
            <w:vMerge w:val="continue"/>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3060" w:type="dxa"/>
            <w:vAlign w:val="bottom"/>
            <w:gridSpan w:val="7"/>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40" w:type="dxa"/>
            <w:vAlign w:val="bottom"/>
            <w:tcBorders>
              <w:bottom w:val="single" w:sz="8" w:color="0000FF"/>
            </w:tcBorders>
          </w:tcPr>
          <w:p>
            <w:pPr>
              <w:jc w:val="right"/>
              <w:spacing w:after="0" w:line="119" w:lineRule="exact"/>
              <w:rPr>
                <w:sz w:val="20"/>
                <w:szCs w:val="20"/>
                <w:color w:val="auto"/>
              </w:rPr>
            </w:pPr>
            <w:r>
              <w:rPr>
                <w:rFonts w:ascii="Arial" w:cs="Arial" w:eastAsia="Arial" w:hAnsi="Arial"/>
                <w:sz w:val="13"/>
                <w:szCs w:val="13"/>
                <w:color w:val="0000FF"/>
                <w:w w:val="82"/>
              </w:rPr>
              <w:t>51</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00" w:type="dxa"/>
            <w:vAlign w:val="bottom"/>
            <w:tcBorders>
              <w:bottom w:val="single" w:sz="8" w:color="0000FF"/>
            </w:tcBorders>
          </w:tcPr>
          <w:p>
            <w:pPr>
              <w:spacing w:after="0" w:line="140" w:lineRule="exact"/>
              <w:rPr>
                <w:sz w:val="20"/>
                <w:szCs w:val="20"/>
                <w:color w:val="auto"/>
              </w:rPr>
            </w:pPr>
            <w:r>
              <w:rPr>
                <w:rFonts w:ascii="Arial" w:cs="Arial" w:eastAsia="Arial" w:hAnsi="Arial"/>
                <w:sz w:val="13"/>
                <w:szCs w:val="13"/>
                <w:color w:val="0000FF"/>
                <w:w w:val="90"/>
              </w:rPr>
              <w:t>Item 2.</w:t>
            </w:r>
          </w:p>
        </w:tc>
        <w:tc>
          <w:tcPr>
            <w:tcW w:w="16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3460" w:type="dxa"/>
            <w:vAlign w:val="bottom"/>
            <w:tcBorders>
              <w:bottom w:val="single" w:sz="8" w:color="0000FF"/>
            </w:tcBorders>
            <w:gridSpan w:val="12"/>
          </w:tcPr>
          <w:p>
            <w:pPr>
              <w:spacing w:after="0" w:line="140" w:lineRule="exact"/>
              <w:rPr>
                <w:sz w:val="20"/>
                <w:szCs w:val="20"/>
                <w:color w:val="auto"/>
              </w:rPr>
            </w:pPr>
            <w:r>
              <w:rPr>
                <w:rFonts w:ascii="Arial" w:cs="Arial" w:eastAsia="Arial" w:hAnsi="Arial"/>
                <w:sz w:val="13"/>
                <w:szCs w:val="13"/>
                <w:color w:val="0000FF"/>
                <w:w w:val="98"/>
              </w:rPr>
              <w:t>Unregistered Sales of Equity Securities and Use of Proceeds</w:t>
            </w:r>
          </w:p>
        </w:tc>
        <w:tc>
          <w:tcPr>
            <w:tcW w:w="3060" w:type="dxa"/>
            <w:vAlign w:val="bottom"/>
            <w:gridSpan w:val="7"/>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bottom w:val="single" w:sz="8" w:color="0000FF"/>
            </w:tcBorders>
          </w:tcPr>
          <w:p>
            <w:pPr>
              <w:jc w:val="right"/>
              <w:spacing w:after="0" w:line="140" w:lineRule="exact"/>
              <w:rPr>
                <w:sz w:val="20"/>
                <w:szCs w:val="20"/>
                <w:color w:val="auto"/>
              </w:rPr>
            </w:pPr>
            <w:r>
              <w:rPr>
                <w:rFonts w:ascii="Arial" w:cs="Arial" w:eastAsia="Arial" w:hAnsi="Arial"/>
                <w:sz w:val="13"/>
                <w:szCs w:val="13"/>
                <w:color w:val="0000FF"/>
                <w:w w:val="82"/>
              </w:rPr>
              <w:t>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3.</w:t>
            </w:r>
          </w:p>
        </w:tc>
        <w:tc>
          <w:tcPr>
            <w:tcW w:w="1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tcBorders>
              <w:bottom w:val="single" w:sz="8" w:color="0000FF"/>
            </w:tcBorders>
            <w:gridSpan w:val="10"/>
          </w:tcPr>
          <w:p>
            <w:pPr>
              <w:spacing w:after="0" w:line="129" w:lineRule="exact"/>
              <w:rPr>
                <w:sz w:val="20"/>
                <w:szCs w:val="20"/>
                <w:color w:val="auto"/>
              </w:rPr>
            </w:pPr>
            <w:r>
              <w:rPr>
                <w:rFonts w:ascii="Arial" w:cs="Arial" w:eastAsia="Arial" w:hAnsi="Arial"/>
                <w:sz w:val="13"/>
                <w:szCs w:val="13"/>
                <w:color w:val="0000FF"/>
                <w:w w:val="97"/>
              </w:rPr>
              <w:t>Defaults Upon Senior Securities</w:t>
            </w:r>
          </w:p>
        </w:tc>
        <w:tc>
          <w:tcPr>
            <w:tcW w:w="4700" w:type="dxa"/>
            <w:vAlign w:val="bottom"/>
            <w:gridSpan w:val="9"/>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51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4.</w:t>
            </w:r>
          </w:p>
        </w:tc>
        <w:tc>
          <w:tcPr>
            <w:tcW w:w="1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Borders>
              <w:bottom w:val="single" w:sz="8" w:color="0000FF"/>
            </w:tcBorders>
            <w:gridSpan w:val="8"/>
          </w:tcPr>
          <w:p>
            <w:pPr>
              <w:spacing w:after="0" w:line="129" w:lineRule="exact"/>
              <w:rPr>
                <w:sz w:val="20"/>
                <w:szCs w:val="20"/>
                <w:color w:val="auto"/>
              </w:rPr>
            </w:pPr>
            <w:r>
              <w:rPr>
                <w:rFonts w:ascii="Arial" w:cs="Arial" w:eastAsia="Arial" w:hAnsi="Arial"/>
                <w:sz w:val="13"/>
                <w:szCs w:val="13"/>
                <w:color w:val="0000FF"/>
                <w:w w:val="97"/>
              </w:rPr>
              <w:t>Mine Safety Disclosures</w:t>
            </w:r>
          </w:p>
        </w:tc>
        <w:tc>
          <w:tcPr>
            <w:tcW w:w="5140" w:type="dxa"/>
            <w:vAlign w:val="bottom"/>
            <w:gridSpan w:val="11"/>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51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5.</w:t>
            </w:r>
          </w:p>
        </w:tc>
        <w:tc>
          <w:tcPr>
            <w:tcW w:w="1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Borders>
              <w:bottom w:val="single" w:sz="8" w:color="0000FF"/>
            </w:tcBorders>
            <w:gridSpan w:val="5"/>
          </w:tcPr>
          <w:p>
            <w:pPr>
              <w:spacing w:after="0" w:line="129" w:lineRule="exact"/>
              <w:rPr>
                <w:sz w:val="20"/>
                <w:szCs w:val="20"/>
                <w:color w:val="auto"/>
              </w:rPr>
            </w:pPr>
            <w:r>
              <w:rPr>
                <w:rFonts w:ascii="Arial" w:cs="Arial" w:eastAsia="Arial" w:hAnsi="Arial"/>
                <w:sz w:val="13"/>
                <w:szCs w:val="13"/>
                <w:color w:val="0000FF"/>
              </w:rPr>
              <w:t>Other Information</w:t>
            </w:r>
          </w:p>
        </w:tc>
        <w:tc>
          <w:tcPr>
            <w:tcW w:w="5460" w:type="dxa"/>
            <w:vAlign w:val="bottom"/>
            <w:gridSpan w:val="14"/>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51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6.</w:t>
            </w:r>
          </w:p>
        </w:tc>
        <w:tc>
          <w:tcPr>
            <w:tcW w:w="1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bottom w:val="single" w:sz="8" w:color="0000FF"/>
            </w:tcBorders>
            <w:gridSpan w:val="3"/>
          </w:tcPr>
          <w:p>
            <w:pPr>
              <w:spacing w:after="0" w:line="129" w:lineRule="exact"/>
              <w:rPr>
                <w:sz w:val="20"/>
                <w:szCs w:val="20"/>
                <w:color w:val="auto"/>
              </w:rPr>
            </w:pPr>
            <w:r>
              <w:rPr>
                <w:rFonts w:ascii="Arial" w:cs="Arial" w:eastAsia="Arial" w:hAnsi="Arial"/>
                <w:sz w:val="13"/>
                <w:szCs w:val="13"/>
                <w:color w:val="0000FF"/>
                <w:w w:val="96"/>
              </w:rPr>
              <w:t>Exhibit Index</w:t>
            </w:r>
          </w:p>
        </w:tc>
        <w:tc>
          <w:tcPr>
            <w:tcW w:w="5780" w:type="dxa"/>
            <w:vAlign w:val="bottom"/>
            <w:gridSpan w:val="16"/>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300"/>
        <w:spacing w:after="0"/>
        <w:rPr>
          <w:sz w:val="20"/>
          <w:szCs w:val="20"/>
          <w:color w:val="auto"/>
        </w:rPr>
      </w:pPr>
      <w:r>
        <w:rPr>
          <w:rFonts w:ascii="Arial" w:cs="Arial" w:eastAsia="Arial" w:hAnsi="Arial"/>
          <w:sz w:val="13"/>
          <w:szCs w:val="13"/>
          <w:u w:val="single" w:color="auto"/>
          <w:color w:val="0000FF"/>
        </w:rPr>
        <w:t>Signatures</w:t>
      </w:r>
    </w:p>
    <w:p>
      <w:pPr>
        <w:sectPr>
          <w:pgSz w:w="11900" w:h="16838" w:orient="portrait"/>
          <w:cols w:equalWidth="0" w:num="1">
            <w:col w:w="9019"/>
          </w:cols>
          <w:pgMar w:left="1440" w:top="1440" w:right="1440" w:bottom="1440" w:gutter="0" w:footer="0" w:header="0"/>
        </w:sectPr>
      </w:pPr>
    </w:p>
    <w:bookmarkStart w:id="2" w:name="page3"/>
    <w:bookmarkEnd w:id="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PART I</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USCB FINANCIAL HOLDINGS, INC</w:t>
      </w:r>
    </w:p>
    <w:p>
      <w:pPr>
        <w:ind w:left="3180"/>
        <w:spacing w:after="0"/>
        <w:rPr>
          <w:sz w:val="20"/>
          <w:szCs w:val="20"/>
          <w:color w:val="auto"/>
        </w:rPr>
      </w:pPr>
      <w:r>
        <w:rPr>
          <w:rFonts w:ascii="Arial" w:cs="Arial" w:eastAsia="Arial" w:hAnsi="Arial"/>
          <w:sz w:val="14"/>
          <w:szCs w:val="14"/>
          <w:color w:val="auto"/>
        </w:rPr>
        <w:t>Consolidated Balance Sheets – Unaudited</w:t>
      </w:r>
    </w:p>
    <w:p>
      <w:pPr>
        <w:ind w:left="3200"/>
        <w:spacing w:after="0"/>
        <w:rPr>
          <w:sz w:val="20"/>
          <w:szCs w:val="20"/>
          <w:color w:val="auto"/>
        </w:rPr>
      </w:pPr>
      <w:r>
        <w:rPr>
          <w:rFonts w:ascii="Arial" w:cs="Arial" w:eastAsia="Arial" w:hAnsi="Arial"/>
          <w:sz w:val="14"/>
          <w:szCs w:val="14"/>
          <w:color w:val="auto"/>
        </w:rPr>
        <w:t>(Dollars in thousands, except share data)</w:t>
      </w:r>
    </w:p>
    <w:p>
      <w:pPr>
        <w:spacing w:after="0" w:line="11" w:lineRule="exact"/>
        <w:rPr>
          <w:sz w:val="20"/>
          <w:szCs w:val="20"/>
          <w:color w:val="auto"/>
        </w:rPr>
      </w:pPr>
    </w:p>
    <w:tbl>
      <w:tblPr>
        <w:tblLayout w:type="fixed"/>
        <w:tblInd w:w="660" w:type="dxa"/>
        <w:tblCellMar>
          <w:top w:w="0" w:type="dxa"/>
          <w:left w:w="0" w:type="dxa"/>
          <w:bottom w:w="0" w:type="dxa"/>
          <w:right w:w="0" w:type="dxa"/>
        </w:tblCellMar>
      </w:tblPr>
      <w:tr>
        <w:trPr>
          <w:trHeight w:val="127"/>
        </w:trPr>
        <w:tc>
          <w:tcPr>
            <w:tcW w:w="5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3"/>
          </w:tcPr>
          <w:p>
            <w:pPr>
              <w:ind w:left="100"/>
              <w:spacing w:after="0"/>
              <w:rPr>
                <w:sz w:val="20"/>
                <w:szCs w:val="20"/>
                <w:color w:val="auto"/>
              </w:rPr>
            </w:pPr>
            <w:r>
              <w:rPr>
                <w:rFonts w:ascii="Arial" w:cs="Arial" w:eastAsia="Arial" w:hAnsi="Arial"/>
                <w:sz w:val="11"/>
                <w:szCs w:val="11"/>
                <w:b w:val="1"/>
                <w:bCs w:val="1"/>
                <w:color w:val="auto"/>
              </w:rPr>
              <w:t>March 31, 2026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right"/>
              <w:ind w:right="63"/>
              <w:spacing w:after="0"/>
              <w:rPr>
                <w:sz w:val="20"/>
                <w:szCs w:val="20"/>
                <w:color w:val="auto"/>
              </w:rPr>
            </w:pPr>
            <w:r>
              <w:rPr>
                <w:rFonts w:ascii="Arial" w:cs="Arial" w:eastAsia="Arial" w:hAnsi="Arial"/>
                <w:sz w:val="11"/>
                <w:szCs w:val="11"/>
                <w:b w:val="1"/>
                <w:bCs w:val="1"/>
                <w:color w:val="auto"/>
              </w:rPr>
              <w:t>December 31, 2025</w:t>
            </w:r>
          </w:p>
        </w:tc>
      </w:tr>
      <w:tr>
        <w:trPr>
          <w:trHeight w:val="151"/>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Cash and due from banks</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6,598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jc w:val="right"/>
              <w:ind w:right="17"/>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6,027</w:t>
            </w: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Interest-bearing deposits in banks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72,365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32,450</w:t>
            </w:r>
          </w:p>
        </w:tc>
      </w:tr>
      <w:tr>
        <w:trPr>
          <w:trHeight w:val="151"/>
        </w:trPr>
        <w:tc>
          <w:tcPr>
            <w:tcW w:w="5240" w:type="dxa"/>
            <w:vAlign w:val="bottom"/>
          </w:tcPr>
          <w:p>
            <w:pPr>
              <w:ind w:left="100"/>
              <w:spacing w:after="0"/>
              <w:rPr>
                <w:sz w:val="20"/>
                <w:szCs w:val="20"/>
                <w:color w:val="auto"/>
              </w:rPr>
            </w:pPr>
            <w:r>
              <w:rPr>
                <w:rFonts w:ascii="Arial" w:cs="Arial" w:eastAsia="Arial" w:hAnsi="Arial"/>
                <w:sz w:val="11"/>
                <w:szCs w:val="11"/>
                <w:color w:val="auto"/>
              </w:rPr>
              <w:t>Total cash and cash equivalents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78,963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38,477</w:t>
            </w: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Investment securities held to maturity, net of allowance of $0 and $2, respectively (fair value of</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39"/>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$137,714 and $142,508, respectively)</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149,931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153,941</w:t>
            </w: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Investment securities available for sale, at fair value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277,160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307,490</w:t>
            </w: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Federal Home Loan Bank stock, at cost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4,470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9,323</w:t>
            </w: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Loans held for investment, net of allowance of $26,102 and $25,500, respectively</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2,214,949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2,163,757</w:t>
            </w: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Accrued interest receivable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11,773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11,661</w:t>
            </w: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Premises and equipment, net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4,401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4,247</w:t>
            </w: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Bank owned life insurance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59,920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59,424</w:t>
            </w: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Deferred tax assets, net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19,649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18,046</w:t>
            </w: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Lease right-of-use asset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4,756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5,519</w:t>
            </w:r>
          </w:p>
        </w:tc>
      </w:tr>
      <w:tr>
        <w:trPr>
          <w:trHeight w:val="169"/>
        </w:trPr>
        <w:tc>
          <w:tcPr>
            <w:tcW w:w="5240" w:type="dxa"/>
            <w:vAlign w:val="bottom"/>
          </w:tcPr>
          <w:p>
            <w:pPr>
              <w:spacing w:after="0"/>
              <w:rPr>
                <w:sz w:val="20"/>
                <w:szCs w:val="20"/>
                <w:color w:val="auto"/>
              </w:rPr>
            </w:pPr>
            <w:r>
              <w:rPr>
                <w:rFonts w:ascii="Arial" w:cs="Arial" w:eastAsia="Arial" w:hAnsi="Arial"/>
                <w:sz w:val="11"/>
                <w:szCs w:val="11"/>
                <w:color w:val="auto"/>
              </w:rPr>
              <w:t>Other assets</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19,763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19,655</w:t>
            </w:r>
          </w:p>
        </w:tc>
      </w:tr>
      <w:tr>
        <w:trPr>
          <w:trHeight w:val="141"/>
        </w:trPr>
        <w:tc>
          <w:tcPr>
            <w:tcW w:w="52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Total assets</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2,845,735</w:t>
            </w: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2,791,540</w:t>
            </w:r>
          </w:p>
        </w:tc>
      </w:tr>
      <w:tr>
        <w:trPr>
          <w:trHeight w:val="20"/>
        </w:trPr>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11"/>
        </w:trPr>
        <w:tc>
          <w:tcPr>
            <w:tcW w:w="5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LIABILITIES: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Deposits: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Non-interest bearing demand deposits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620,714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583,860</w:t>
            </w: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Savings and money market deposits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1,263,248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1,186,422</w:t>
            </w: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Interest-bearing demand deposits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57,444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46,989</w:t>
            </w:r>
          </w:p>
        </w:tc>
      </w:tr>
      <w:tr>
        <w:trPr>
          <w:trHeight w:val="169"/>
        </w:trPr>
        <w:tc>
          <w:tcPr>
            <w:tcW w:w="5240" w:type="dxa"/>
            <w:vAlign w:val="bottom"/>
          </w:tcPr>
          <w:p>
            <w:pPr>
              <w:ind w:left="100"/>
              <w:spacing w:after="0"/>
              <w:rPr>
                <w:sz w:val="20"/>
                <w:szCs w:val="20"/>
                <w:color w:val="auto"/>
              </w:rPr>
            </w:pPr>
            <w:r>
              <w:rPr>
                <w:rFonts w:ascii="Arial" w:cs="Arial" w:eastAsia="Arial" w:hAnsi="Arial"/>
                <w:sz w:val="11"/>
                <w:szCs w:val="11"/>
                <w:color w:val="auto"/>
              </w:rPr>
              <w:t>Time deposits</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552,174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527,809</w:t>
            </w:r>
          </w:p>
        </w:tc>
      </w:tr>
      <w:tr>
        <w:trPr>
          <w:trHeight w:val="131"/>
        </w:trPr>
        <w:tc>
          <w:tcPr>
            <w:tcW w:w="52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deposits</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2,493,580</w:t>
            </w:r>
          </w:p>
        </w:tc>
        <w:tc>
          <w:tcPr>
            <w:tcW w:w="20" w:type="dxa"/>
            <w:vAlign w:val="bottom"/>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2,345,080</w:t>
            </w: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Federal Home Loan Bank advances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53,000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158,250</w:t>
            </w: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Subordinated notes, net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39,338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39,300</w:t>
            </w: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Lease liability</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4,756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5,519</w:t>
            </w: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Accrued interest and other liabilities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31,815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26,208</w:t>
            </w:r>
          </w:p>
        </w:tc>
      </w:tr>
      <w:tr>
        <w:trPr>
          <w:trHeight w:val="151"/>
        </w:trPr>
        <w:tc>
          <w:tcPr>
            <w:tcW w:w="5240" w:type="dxa"/>
            <w:vAlign w:val="bottom"/>
          </w:tcPr>
          <w:p>
            <w:pPr>
              <w:ind w:left="100"/>
              <w:spacing w:after="0"/>
              <w:rPr>
                <w:sz w:val="20"/>
                <w:szCs w:val="20"/>
                <w:color w:val="auto"/>
              </w:rPr>
            </w:pPr>
            <w:r>
              <w:rPr>
                <w:rFonts w:ascii="Arial" w:cs="Arial" w:eastAsia="Arial" w:hAnsi="Arial"/>
                <w:sz w:val="11"/>
                <w:szCs w:val="11"/>
                <w:color w:val="auto"/>
              </w:rPr>
              <w:t>Total liabilities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2,622,489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2,574,357</w:t>
            </w:r>
          </w:p>
        </w:tc>
      </w:tr>
      <w:tr>
        <w:trPr>
          <w:trHeight w:val="128"/>
        </w:trPr>
        <w:tc>
          <w:tcPr>
            <w:tcW w:w="5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b w:val="1"/>
                <w:bCs w:val="1"/>
                <w:color w:val="auto"/>
              </w:rPr>
              <w:t>Commitments and contingencies (See Notes 5 and 10)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28"/>
        </w:trPr>
        <w:tc>
          <w:tcPr>
            <w:tcW w:w="5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171"/>
        </w:trPr>
        <w:tc>
          <w:tcPr>
            <w:tcW w:w="5240" w:type="dxa"/>
            <w:vAlign w:val="bottom"/>
          </w:tcPr>
          <w:p>
            <w:pPr>
              <w:spacing w:after="0"/>
              <w:rPr>
                <w:sz w:val="20"/>
                <w:szCs w:val="20"/>
                <w:color w:val="auto"/>
              </w:rPr>
            </w:pPr>
            <w:r>
              <w:rPr>
                <w:rFonts w:ascii="Arial" w:cs="Arial" w:eastAsia="Arial" w:hAnsi="Arial"/>
                <w:sz w:val="11"/>
                <w:szCs w:val="11"/>
                <w:b w:val="1"/>
                <w:bCs w:val="1"/>
                <w:color w:val="auto"/>
              </w:rPr>
              <w:t>STOCKHOLDERS' EQUITY: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1"/>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Preferred stock - Class C; $1.00 par value; $1,000 per share liquidation preference; 52,748 shares</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28"/>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authorized; 0 and 0 issued and outstanding as of March 31, 2026 and December 31, 2025</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85"/>
        </w:trPr>
        <w:tc>
          <w:tcPr>
            <w:tcW w:w="5240" w:type="dxa"/>
            <w:vAlign w:val="bottom"/>
          </w:tcPr>
          <w:p>
            <w:pPr>
              <w:spacing w:after="0"/>
              <w:rPr>
                <w:sz w:val="20"/>
                <w:szCs w:val="20"/>
                <w:color w:val="auto"/>
              </w:rPr>
            </w:pPr>
            <w:r>
              <w:rPr>
                <w:rFonts w:ascii="Arial" w:cs="Arial" w:eastAsia="Arial" w:hAnsi="Arial"/>
                <w:sz w:val="11"/>
                <w:szCs w:val="11"/>
                <w:color w:val="auto"/>
              </w:rPr>
              <w:t>Preferred stock - Class D; $1.00 par value; $5.00 per share liquidation preference; 12,309,480 shares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46"/>
        </w:trPr>
        <w:tc>
          <w:tcPr>
            <w:tcW w:w="5240" w:type="dxa"/>
            <w:vAlign w:val="bottom"/>
          </w:tcPr>
          <w:p>
            <w:pPr>
              <w:spacing w:after="0"/>
              <w:rPr>
                <w:sz w:val="20"/>
                <w:szCs w:val="20"/>
                <w:color w:val="auto"/>
              </w:rPr>
            </w:pPr>
            <w:r>
              <w:rPr>
                <w:rFonts w:ascii="Arial" w:cs="Arial" w:eastAsia="Arial" w:hAnsi="Arial"/>
                <w:sz w:val="11"/>
                <w:szCs w:val="11"/>
                <w:color w:val="auto"/>
              </w:rPr>
              <w:t>authorized; 0 and 0 issued and outstanding as of March 31, 2026 and December 31, 2025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81"/>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Preferred stock - Class E; $1.00 par value; $1,000 per share liquidation preference; 3,185,024 shares</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39"/>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authorized; 0 and 0 issued and outstanding as of March 31, 2026 and December 31, 2025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85"/>
        </w:trPr>
        <w:tc>
          <w:tcPr>
            <w:tcW w:w="5400" w:type="dxa"/>
            <w:vAlign w:val="bottom"/>
            <w:gridSpan w:val="3"/>
          </w:tcPr>
          <w:p>
            <w:pPr>
              <w:spacing w:after="0"/>
              <w:rPr>
                <w:sz w:val="20"/>
                <w:szCs w:val="20"/>
                <w:color w:val="auto"/>
              </w:rPr>
            </w:pPr>
            <w:r>
              <w:rPr>
                <w:rFonts w:ascii="Arial" w:cs="Arial" w:eastAsia="Arial" w:hAnsi="Arial"/>
                <w:sz w:val="11"/>
                <w:szCs w:val="11"/>
                <w:color w:val="auto"/>
              </w:rPr>
              <w:t>Common stock - Class A Voting; $1.00 par value; 45,000,000 shares authorized; 18,257,400 issued and</w:t>
            </w: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35"/>
        </w:trPr>
        <w:tc>
          <w:tcPr>
            <w:tcW w:w="5240" w:type="dxa"/>
            <w:vAlign w:val="bottom"/>
          </w:tcPr>
          <w:p>
            <w:pPr>
              <w:spacing w:after="0"/>
              <w:rPr>
                <w:sz w:val="20"/>
                <w:szCs w:val="20"/>
                <w:color w:val="auto"/>
              </w:rPr>
            </w:pPr>
            <w:r>
              <w:rPr>
                <w:rFonts w:ascii="Arial" w:cs="Arial" w:eastAsia="Arial" w:hAnsi="Arial"/>
                <w:sz w:val="11"/>
                <w:szCs w:val="11"/>
                <w:color w:val="auto"/>
              </w:rPr>
              <w:t>outstanding as of March 31, 2026, 18,137,885 issued and outstanding as of December 31, 2025</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18,257</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18,138</w:t>
            </w:r>
          </w:p>
        </w:tc>
      </w:tr>
      <w:tr>
        <w:trPr>
          <w:trHeight w:val="181"/>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Common stock - Class B Non-voting; $1.00 par value; 8,000,000 shares authorized; 0 and 0 issued and</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28"/>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outstanding as of March 31, 2026 and December 31, 2025</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71"/>
        </w:trPr>
        <w:tc>
          <w:tcPr>
            <w:tcW w:w="5240" w:type="dxa"/>
            <w:vAlign w:val="bottom"/>
          </w:tcPr>
          <w:p>
            <w:pPr>
              <w:spacing w:after="0"/>
              <w:rPr>
                <w:sz w:val="20"/>
                <w:szCs w:val="20"/>
                <w:color w:val="auto"/>
              </w:rPr>
            </w:pPr>
            <w:r>
              <w:rPr>
                <w:rFonts w:ascii="Arial" w:cs="Arial" w:eastAsia="Arial" w:hAnsi="Arial"/>
                <w:sz w:val="11"/>
                <w:szCs w:val="11"/>
                <w:color w:val="auto"/>
              </w:rPr>
              <w:t>Additional paid-in capital on common stock</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278,812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278,852</w:t>
            </w: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Accumulated deficit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(42,473)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(49,542)</w:t>
            </w:r>
          </w:p>
        </w:tc>
      </w:tr>
      <w:tr>
        <w:trPr>
          <w:trHeight w:val="149"/>
        </w:trPr>
        <w:tc>
          <w:tcPr>
            <w:tcW w:w="5240" w:type="dxa"/>
            <w:vAlign w:val="bottom"/>
          </w:tcPr>
          <w:p>
            <w:pPr>
              <w:spacing w:after="0"/>
              <w:rPr>
                <w:sz w:val="20"/>
                <w:szCs w:val="20"/>
                <w:color w:val="auto"/>
              </w:rPr>
            </w:pPr>
            <w:r>
              <w:rPr>
                <w:rFonts w:ascii="Arial" w:cs="Arial" w:eastAsia="Arial" w:hAnsi="Arial"/>
                <w:sz w:val="11"/>
                <w:szCs w:val="11"/>
                <w:color w:val="auto"/>
              </w:rPr>
              <w:t>Accumulated other comprehensive loss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1"/>
                <w:szCs w:val="11"/>
                <w:color w:val="auto"/>
              </w:rPr>
              <w:t>(31,350)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(30,265)</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r>
      <w:tr>
        <w:trPr>
          <w:trHeight w:val="13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stockholders' equity</w:t>
            </w:r>
          </w:p>
        </w:tc>
        <w:tc>
          <w:tcPr>
            <w:tcW w:w="2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223,246</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217,183</w:t>
            </w:r>
          </w:p>
        </w:tc>
      </w:tr>
      <w:tr>
        <w:trPr>
          <w:trHeight w:val="161"/>
        </w:trPr>
        <w:tc>
          <w:tcPr>
            <w:tcW w:w="5240" w:type="dxa"/>
            <w:vAlign w:val="bottom"/>
          </w:tcPr>
          <w:p>
            <w:pPr>
              <w:ind w:left="200"/>
              <w:spacing w:after="0"/>
              <w:rPr>
                <w:sz w:val="20"/>
                <w:szCs w:val="20"/>
                <w:color w:val="auto"/>
              </w:rPr>
            </w:pPr>
            <w:r>
              <w:rPr>
                <w:rFonts w:ascii="Arial" w:cs="Arial" w:eastAsia="Arial" w:hAnsi="Arial"/>
                <w:sz w:val="11"/>
                <w:szCs w:val="11"/>
                <w:color w:val="auto"/>
              </w:rPr>
              <w:t>Total liabilities and stockholders' equity</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2,845,735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2"/>
          </w:tcPr>
          <w:p>
            <w:pPr>
              <w:jc w:val="right"/>
              <w:ind w:right="17"/>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2,791,540</w:t>
            </w:r>
          </w:p>
        </w:tc>
      </w:tr>
      <w:tr>
        <w:trPr>
          <w:trHeight w:val="20"/>
        </w:trPr>
        <w:tc>
          <w:tcPr>
            <w:tcW w:w="5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32"/>
        </w:trPr>
        <w:tc>
          <w:tcPr>
            <w:tcW w:w="52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r>
    </w:tbl>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3</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3" w:name="page4"/>
    <w:bookmarkEnd w:id="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Consolidated Statements of Operations - Unaudited</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(Dollars in thousands, except per share data)</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20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6"/>
          </w:tcPr>
          <w:p>
            <w:pPr>
              <w:jc w:val="right"/>
              <w:ind w:right="63"/>
              <w:spacing w:after="0"/>
              <w:rPr>
                <w:sz w:val="20"/>
                <w:szCs w:val="20"/>
                <w:color w:val="auto"/>
              </w:rPr>
            </w:pPr>
            <w:r>
              <w:rPr>
                <w:rFonts w:ascii="Arial" w:cs="Arial" w:eastAsia="Arial" w:hAnsi="Arial"/>
                <w:sz w:val="11"/>
                <w:szCs w:val="11"/>
                <w:b w:val="1"/>
                <w:bCs w:val="1"/>
                <w:color w:val="auto"/>
              </w:rPr>
              <w:t>Three Months Ended March 31,</w:t>
            </w:r>
          </w:p>
        </w:tc>
      </w:tr>
      <w:tr>
        <w:trPr>
          <w:trHeight w:val="151"/>
        </w:trPr>
        <w:tc>
          <w:tcPr>
            <w:tcW w:w="200" w:type="dxa"/>
            <w:vAlign w:val="bottom"/>
            <w:tcBorders>
              <w:bottom w:val="single" w:sz="8" w:color="CCEEFF"/>
            </w:tcBorders>
          </w:tcPr>
          <w:p>
            <w:pPr>
              <w:spacing w:after="0"/>
              <w:rPr>
                <w:sz w:val="13"/>
                <w:szCs w:val="13"/>
                <w:color w:val="auto"/>
              </w:rPr>
            </w:pPr>
          </w:p>
        </w:tc>
        <w:tc>
          <w:tcPr>
            <w:tcW w:w="51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2026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2025</w:t>
            </w:r>
          </w:p>
        </w:tc>
      </w:tr>
      <w:tr>
        <w:trPr>
          <w:trHeight w:val="20"/>
        </w:trPr>
        <w:tc>
          <w:tcPr>
            <w:tcW w:w="2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2"/>
        </w:trPr>
        <w:tc>
          <w:tcPr>
            <w:tcW w:w="534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Interest income:</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1"/>
        </w:trPr>
        <w:tc>
          <w:tcPr>
            <w:tcW w:w="5340" w:type="dxa"/>
            <w:vAlign w:val="bottom"/>
            <w:gridSpan w:val="2"/>
          </w:tcPr>
          <w:p>
            <w:pPr>
              <w:ind w:left="100"/>
              <w:spacing w:after="0"/>
              <w:rPr>
                <w:sz w:val="20"/>
                <w:szCs w:val="20"/>
                <w:color w:val="auto"/>
              </w:rPr>
            </w:pPr>
            <w:r>
              <w:rPr>
                <w:rFonts w:ascii="Arial" w:cs="Arial" w:eastAsia="Arial" w:hAnsi="Arial"/>
                <w:sz w:val="11"/>
                <w:szCs w:val="11"/>
                <w:color w:val="auto"/>
              </w:rPr>
              <w:t>Loans, including fees</w:t>
            </w:r>
          </w:p>
        </w:tc>
        <w:tc>
          <w:tcPr>
            <w:tcW w:w="10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32,789</w:t>
            </w:r>
          </w:p>
        </w:tc>
        <w:tc>
          <w:tcPr>
            <w:tcW w:w="180" w:type="dxa"/>
            <w:vAlign w:val="bottom"/>
            <w:gridSpan w:val="4"/>
          </w:tcPr>
          <w:p>
            <w:pPr>
              <w:jc w:val="right"/>
              <w:ind w:right="9"/>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30,245</w:t>
            </w:r>
          </w:p>
        </w:tc>
      </w:tr>
      <w:tr>
        <w:trPr>
          <w:trHeight w:val="171"/>
        </w:trPr>
        <w:tc>
          <w:tcPr>
            <w:tcW w:w="53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Investment securities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3,411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3,024</w:t>
            </w:r>
          </w:p>
        </w:tc>
      </w:tr>
      <w:tr>
        <w:trPr>
          <w:trHeight w:val="161"/>
        </w:trPr>
        <w:tc>
          <w:tcPr>
            <w:tcW w:w="5340" w:type="dxa"/>
            <w:vAlign w:val="bottom"/>
            <w:tcBorders>
              <w:bottom w:val="single" w:sz="8" w:color="CCEEFF"/>
            </w:tcBorders>
            <w:gridSpan w:val="2"/>
          </w:tcPr>
          <w:p>
            <w:pPr>
              <w:ind w:left="100"/>
              <w:spacing w:after="0"/>
              <w:rPr>
                <w:sz w:val="20"/>
                <w:szCs w:val="20"/>
                <w:color w:val="auto"/>
              </w:rPr>
            </w:pPr>
            <w:r>
              <w:rPr>
                <w:rFonts w:ascii="Arial" w:cs="Arial" w:eastAsia="Arial" w:hAnsi="Arial"/>
                <w:sz w:val="11"/>
                <w:szCs w:val="11"/>
                <w:color w:val="auto"/>
              </w:rPr>
              <w:t>Interest-bearing deposits in financial institutions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832</w:t>
            </w: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709</w:t>
            </w:r>
          </w:p>
        </w:tc>
      </w:tr>
      <w:tr>
        <w:trPr>
          <w:trHeight w:val="160"/>
        </w:trPr>
        <w:tc>
          <w:tcPr>
            <w:tcW w:w="200" w:type="dxa"/>
            <w:vAlign w:val="bottom"/>
            <w:shd w:val="clear" w:color="auto" w:fill="CCEEFF"/>
          </w:tcPr>
          <w:p>
            <w:pPr>
              <w:spacing w:after="0"/>
              <w:rPr>
                <w:sz w:val="13"/>
                <w:szCs w:val="13"/>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interest income</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37,032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33,978</w:t>
            </w:r>
          </w:p>
        </w:tc>
      </w:tr>
      <w:tr>
        <w:trPr>
          <w:trHeight w:val="171"/>
        </w:trPr>
        <w:tc>
          <w:tcPr>
            <w:tcW w:w="5340" w:type="dxa"/>
            <w:vAlign w:val="bottom"/>
            <w:gridSpan w:val="2"/>
          </w:tcPr>
          <w:p>
            <w:pPr>
              <w:spacing w:after="0"/>
              <w:rPr>
                <w:sz w:val="20"/>
                <w:szCs w:val="20"/>
                <w:color w:val="auto"/>
              </w:rPr>
            </w:pPr>
            <w:r>
              <w:rPr>
                <w:rFonts w:ascii="Arial" w:cs="Arial" w:eastAsia="Arial" w:hAnsi="Arial"/>
                <w:sz w:val="11"/>
                <w:szCs w:val="11"/>
                <w:b w:val="1"/>
                <w:bCs w:val="1"/>
                <w:color w:val="auto"/>
              </w:rPr>
              <w:t>Interest expense: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3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Interest-bearing demand deposits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338</w:t>
            </w:r>
          </w:p>
        </w:tc>
      </w:tr>
      <w:tr>
        <w:trPr>
          <w:trHeight w:val="171"/>
        </w:trPr>
        <w:tc>
          <w:tcPr>
            <w:tcW w:w="5340" w:type="dxa"/>
            <w:vAlign w:val="bottom"/>
            <w:gridSpan w:val="2"/>
          </w:tcPr>
          <w:p>
            <w:pPr>
              <w:ind w:left="100"/>
              <w:spacing w:after="0"/>
              <w:rPr>
                <w:sz w:val="20"/>
                <w:szCs w:val="20"/>
                <w:color w:val="auto"/>
              </w:rPr>
            </w:pPr>
            <w:r>
              <w:rPr>
                <w:rFonts w:ascii="Arial" w:cs="Arial" w:eastAsia="Arial" w:hAnsi="Arial"/>
                <w:sz w:val="11"/>
                <w:szCs w:val="11"/>
                <w:color w:val="auto"/>
              </w:rPr>
              <w:t>Savings and money market deposits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8,133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9,335</w:t>
            </w:r>
          </w:p>
        </w:tc>
      </w:tr>
      <w:tr>
        <w:trPr>
          <w:trHeight w:val="171"/>
        </w:trPr>
        <w:tc>
          <w:tcPr>
            <w:tcW w:w="53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Time deposits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4,700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3,918</w:t>
            </w:r>
          </w:p>
        </w:tc>
      </w:tr>
      <w:tr>
        <w:trPr>
          <w:trHeight w:val="171"/>
        </w:trPr>
        <w:tc>
          <w:tcPr>
            <w:tcW w:w="5340" w:type="dxa"/>
            <w:vAlign w:val="bottom"/>
            <w:gridSpan w:val="2"/>
          </w:tcPr>
          <w:p>
            <w:pPr>
              <w:ind w:left="100"/>
              <w:spacing w:after="0"/>
              <w:rPr>
                <w:sz w:val="20"/>
                <w:szCs w:val="20"/>
                <w:color w:val="auto"/>
              </w:rPr>
            </w:pPr>
            <w:r>
              <w:rPr>
                <w:rFonts w:ascii="Arial" w:cs="Arial" w:eastAsia="Arial" w:hAnsi="Arial"/>
                <w:sz w:val="11"/>
                <w:szCs w:val="11"/>
                <w:color w:val="auto"/>
              </w:rPr>
              <w:t>Federal Home Loan Bank advances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1,040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1,272</w:t>
            </w:r>
          </w:p>
        </w:tc>
      </w:tr>
      <w:tr>
        <w:trPr>
          <w:trHeight w:val="171"/>
        </w:trPr>
        <w:tc>
          <w:tcPr>
            <w:tcW w:w="53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Subordinated notes</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801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61"/>
        </w:trPr>
        <w:tc>
          <w:tcPr>
            <w:tcW w:w="200" w:type="dxa"/>
            <w:vAlign w:val="bottom"/>
            <w:tcBorders>
              <w:bottom w:val="single" w:sz="8" w:color="CCEEFF"/>
            </w:tcBorders>
          </w:tcPr>
          <w:p>
            <w:pPr>
              <w:spacing w:after="0"/>
              <w:rPr>
                <w:sz w:val="14"/>
                <w:szCs w:val="14"/>
                <w:color w:val="auto"/>
              </w:rPr>
            </w:pPr>
          </w:p>
        </w:tc>
        <w:tc>
          <w:tcPr>
            <w:tcW w:w="51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Total interest expense</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14,984</w:t>
            </w: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14,863</w:t>
            </w:r>
          </w:p>
        </w:tc>
      </w:tr>
      <w:tr>
        <w:trPr>
          <w:trHeight w:val="161"/>
        </w:trPr>
        <w:tc>
          <w:tcPr>
            <w:tcW w:w="200" w:type="dxa"/>
            <w:vAlign w:val="bottom"/>
            <w:shd w:val="clear" w:color="auto" w:fill="CCEEFF"/>
          </w:tcPr>
          <w:p>
            <w:pPr>
              <w:spacing w:after="0"/>
              <w:rPr>
                <w:sz w:val="14"/>
                <w:szCs w:val="14"/>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interest income before provision for credit losses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22,048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19,115</w:t>
            </w:r>
          </w:p>
        </w:tc>
      </w:tr>
      <w:tr>
        <w:trPr>
          <w:trHeight w:val="161"/>
        </w:trPr>
        <w:tc>
          <w:tcPr>
            <w:tcW w:w="5340" w:type="dxa"/>
            <w:vAlign w:val="bottom"/>
            <w:tcBorders>
              <w:bottom w:val="single" w:sz="8" w:color="CCEEFF"/>
            </w:tcBorders>
            <w:gridSpan w:val="2"/>
          </w:tcPr>
          <w:p>
            <w:pPr>
              <w:ind w:left="100"/>
              <w:spacing w:after="0"/>
              <w:rPr>
                <w:sz w:val="20"/>
                <w:szCs w:val="20"/>
                <w:color w:val="auto"/>
              </w:rPr>
            </w:pPr>
            <w:r>
              <w:rPr>
                <w:rFonts w:ascii="Arial" w:cs="Arial" w:eastAsia="Arial" w:hAnsi="Arial"/>
                <w:sz w:val="11"/>
                <w:szCs w:val="11"/>
                <w:color w:val="auto"/>
              </w:rPr>
              <w:t>Provision for credit losses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801</w:t>
            </w: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681</w:t>
            </w:r>
          </w:p>
        </w:tc>
      </w:tr>
      <w:tr>
        <w:trPr>
          <w:trHeight w:val="160"/>
        </w:trPr>
        <w:tc>
          <w:tcPr>
            <w:tcW w:w="200" w:type="dxa"/>
            <w:vAlign w:val="bottom"/>
            <w:shd w:val="clear" w:color="auto" w:fill="CCEEFF"/>
          </w:tcPr>
          <w:p>
            <w:pPr>
              <w:spacing w:after="0"/>
              <w:rPr>
                <w:sz w:val="13"/>
                <w:szCs w:val="13"/>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interest income after provision for credit losses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21,247</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18,434</w:t>
            </w:r>
          </w:p>
        </w:tc>
      </w:tr>
      <w:tr>
        <w:trPr>
          <w:trHeight w:val="171"/>
        </w:trPr>
        <w:tc>
          <w:tcPr>
            <w:tcW w:w="5340" w:type="dxa"/>
            <w:vAlign w:val="bottom"/>
            <w:gridSpan w:val="2"/>
          </w:tcPr>
          <w:p>
            <w:pPr>
              <w:spacing w:after="0"/>
              <w:rPr>
                <w:sz w:val="20"/>
                <w:szCs w:val="20"/>
                <w:color w:val="auto"/>
              </w:rPr>
            </w:pPr>
            <w:r>
              <w:rPr>
                <w:rFonts w:ascii="Arial" w:cs="Arial" w:eastAsia="Arial" w:hAnsi="Arial"/>
                <w:sz w:val="11"/>
                <w:szCs w:val="11"/>
                <w:b w:val="1"/>
                <w:bCs w:val="1"/>
                <w:color w:val="auto"/>
              </w:rPr>
              <w:t>Non-interest income: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3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Service fees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3,100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2,331</w:t>
            </w:r>
          </w:p>
        </w:tc>
      </w:tr>
      <w:tr>
        <w:trPr>
          <w:trHeight w:val="171"/>
        </w:trPr>
        <w:tc>
          <w:tcPr>
            <w:tcW w:w="5340" w:type="dxa"/>
            <w:vAlign w:val="bottom"/>
            <w:gridSpan w:val="2"/>
          </w:tcPr>
          <w:p>
            <w:pPr>
              <w:ind w:left="100"/>
              <w:spacing w:after="0"/>
              <w:rPr>
                <w:sz w:val="20"/>
                <w:szCs w:val="20"/>
                <w:color w:val="auto"/>
              </w:rPr>
            </w:pPr>
            <w:r>
              <w:rPr>
                <w:rFonts w:ascii="Arial" w:cs="Arial" w:eastAsia="Arial" w:hAnsi="Arial"/>
                <w:sz w:val="11"/>
                <w:szCs w:val="11"/>
                <w:color w:val="auto"/>
              </w:rPr>
              <w:t>Gain on sale of securities available for sale, net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1"/>
        </w:trPr>
        <w:tc>
          <w:tcPr>
            <w:tcW w:w="53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Gain on sale of loans held for sale, net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525</w:t>
            </w:r>
          </w:p>
        </w:tc>
      </w:tr>
      <w:tr>
        <w:trPr>
          <w:trHeight w:val="171"/>
        </w:trPr>
        <w:tc>
          <w:tcPr>
            <w:tcW w:w="5340" w:type="dxa"/>
            <w:vAlign w:val="bottom"/>
            <w:tcBorders>
              <w:bottom w:val="single" w:sz="8" w:color="CCEEFF"/>
            </w:tcBorders>
            <w:gridSpan w:val="2"/>
          </w:tcPr>
          <w:p>
            <w:pPr>
              <w:ind w:left="100"/>
              <w:spacing w:after="0"/>
              <w:rPr>
                <w:sz w:val="20"/>
                <w:szCs w:val="20"/>
                <w:color w:val="auto"/>
              </w:rPr>
            </w:pPr>
            <w:r>
              <w:rPr>
                <w:rFonts w:ascii="Arial" w:cs="Arial" w:eastAsia="Arial" w:hAnsi="Arial"/>
                <w:sz w:val="11"/>
                <w:szCs w:val="11"/>
                <w:color w:val="auto"/>
              </w:rPr>
              <w:t>Other non-interest income</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930</w:t>
            </w: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860</w:t>
            </w:r>
          </w:p>
        </w:tc>
      </w:tr>
      <w:tr>
        <w:trPr>
          <w:trHeight w:val="161"/>
        </w:trPr>
        <w:tc>
          <w:tcPr>
            <w:tcW w:w="200" w:type="dxa"/>
            <w:vAlign w:val="bottom"/>
            <w:shd w:val="clear" w:color="auto" w:fill="CCEEFF"/>
          </w:tcPr>
          <w:p>
            <w:pPr>
              <w:spacing w:after="0"/>
              <w:rPr>
                <w:sz w:val="14"/>
                <w:szCs w:val="14"/>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non-interest income</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4,150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3,716</w:t>
            </w:r>
          </w:p>
        </w:tc>
      </w:tr>
      <w:tr>
        <w:trPr>
          <w:trHeight w:val="171"/>
        </w:trPr>
        <w:tc>
          <w:tcPr>
            <w:tcW w:w="5340" w:type="dxa"/>
            <w:vAlign w:val="bottom"/>
            <w:gridSpan w:val="2"/>
          </w:tcPr>
          <w:p>
            <w:pPr>
              <w:spacing w:after="0"/>
              <w:rPr>
                <w:sz w:val="20"/>
                <w:szCs w:val="20"/>
                <w:color w:val="auto"/>
              </w:rPr>
            </w:pPr>
            <w:r>
              <w:rPr>
                <w:rFonts w:ascii="Arial" w:cs="Arial" w:eastAsia="Arial" w:hAnsi="Arial"/>
                <w:sz w:val="11"/>
                <w:szCs w:val="11"/>
                <w:b w:val="1"/>
                <w:bCs w:val="1"/>
                <w:color w:val="auto"/>
              </w:rPr>
              <w:t>Non-interest expense: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3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Salaries and employee benefits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8,570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7,636</w:t>
            </w:r>
          </w:p>
        </w:tc>
      </w:tr>
      <w:tr>
        <w:trPr>
          <w:trHeight w:val="171"/>
        </w:trPr>
        <w:tc>
          <w:tcPr>
            <w:tcW w:w="5340" w:type="dxa"/>
            <w:vAlign w:val="bottom"/>
            <w:gridSpan w:val="2"/>
          </w:tcPr>
          <w:p>
            <w:pPr>
              <w:ind w:left="100"/>
              <w:spacing w:after="0"/>
              <w:rPr>
                <w:sz w:val="20"/>
                <w:szCs w:val="20"/>
                <w:color w:val="auto"/>
              </w:rPr>
            </w:pPr>
            <w:r>
              <w:rPr>
                <w:rFonts w:ascii="Arial" w:cs="Arial" w:eastAsia="Arial" w:hAnsi="Arial"/>
                <w:sz w:val="11"/>
                <w:szCs w:val="11"/>
                <w:color w:val="auto"/>
              </w:rPr>
              <w:t>Occupancy</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1,316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1,284</w:t>
            </w:r>
          </w:p>
        </w:tc>
      </w:tr>
      <w:tr>
        <w:trPr>
          <w:trHeight w:val="171"/>
        </w:trPr>
        <w:tc>
          <w:tcPr>
            <w:tcW w:w="53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Regulatory assessments and fees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421</w:t>
            </w:r>
          </w:p>
        </w:tc>
      </w:tr>
      <w:tr>
        <w:trPr>
          <w:trHeight w:val="171"/>
        </w:trPr>
        <w:tc>
          <w:tcPr>
            <w:tcW w:w="5340" w:type="dxa"/>
            <w:vAlign w:val="bottom"/>
            <w:gridSpan w:val="2"/>
          </w:tcPr>
          <w:p>
            <w:pPr>
              <w:ind w:left="100"/>
              <w:spacing w:after="0"/>
              <w:rPr>
                <w:sz w:val="20"/>
                <w:szCs w:val="20"/>
                <w:color w:val="auto"/>
              </w:rPr>
            </w:pPr>
            <w:r>
              <w:rPr>
                <w:rFonts w:ascii="Arial" w:cs="Arial" w:eastAsia="Arial" w:hAnsi="Arial"/>
                <w:sz w:val="11"/>
                <w:szCs w:val="11"/>
                <w:color w:val="auto"/>
              </w:rPr>
              <w:t>Consulting and legal fees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561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193</w:t>
            </w:r>
          </w:p>
        </w:tc>
      </w:tr>
      <w:tr>
        <w:trPr>
          <w:trHeight w:val="171"/>
        </w:trPr>
        <w:tc>
          <w:tcPr>
            <w:tcW w:w="53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Network and information technology services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505</w:t>
            </w:r>
          </w:p>
        </w:tc>
      </w:tr>
      <w:tr>
        <w:trPr>
          <w:trHeight w:val="171"/>
        </w:trPr>
        <w:tc>
          <w:tcPr>
            <w:tcW w:w="5340" w:type="dxa"/>
            <w:vAlign w:val="bottom"/>
            <w:tcBorders>
              <w:bottom w:val="single" w:sz="8" w:color="CCEEFF"/>
            </w:tcBorders>
            <w:gridSpan w:val="2"/>
          </w:tcPr>
          <w:p>
            <w:pPr>
              <w:ind w:left="100"/>
              <w:spacing w:after="0"/>
              <w:rPr>
                <w:sz w:val="20"/>
                <w:szCs w:val="20"/>
                <w:color w:val="auto"/>
              </w:rPr>
            </w:pPr>
            <w:r>
              <w:rPr>
                <w:rFonts w:ascii="Arial" w:cs="Arial" w:eastAsia="Arial" w:hAnsi="Arial"/>
                <w:sz w:val="11"/>
                <w:szCs w:val="11"/>
                <w:color w:val="auto"/>
              </w:rPr>
              <w:t>Other operating expense</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2,220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2,013</w:t>
            </w:r>
          </w:p>
        </w:tc>
      </w:tr>
      <w:tr>
        <w:trPr>
          <w:trHeight w:val="151"/>
        </w:trPr>
        <w:tc>
          <w:tcPr>
            <w:tcW w:w="200" w:type="dxa"/>
            <w:vAlign w:val="bottom"/>
            <w:tcBorders>
              <w:bottom w:val="single" w:sz="8" w:color="CCEEFF"/>
            </w:tcBorders>
            <w:shd w:val="clear" w:color="auto" w:fill="CCEEFF"/>
          </w:tcPr>
          <w:p>
            <w:pPr>
              <w:spacing w:after="0"/>
              <w:rPr>
                <w:sz w:val="13"/>
                <w:szCs w:val="13"/>
                <w:color w:val="auto"/>
              </w:rPr>
            </w:pPr>
          </w:p>
        </w:tc>
        <w:tc>
          <w:tcPr>
            <w:tcW w:w="5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Total non-interest expense</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13,711</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12,052</w:t>
            </w:r>
          </w:p>
        </w:tc>
      </w:tr>
      <w:tr>
        <w:trPr>
          <w:trHeight w:val="161"/>
        </w:trPr>
        <w:tc>
          <w:tcPr>
            <w:tcW w:w="200" w:type="dxa"/>
            <w:vAlign w:val="bottom"/>
          </w:tcPr>
          <w:p>
            <w:pPr>
              <w:spacing w:after="0"/>
              <w:rPr>
                <w:sz w:val="14"/>
                <w:szCs w:val="14"/>
                <w:color w:val="auto"/>
              </w:rPr>
            </w:pPr>
          </w:p>
        </w:tc>
        <w:tc>
          <w:tcPr>
            <w:tcW w:w="5140" w:type="dxa"/>
            <w:vAlign w:val="bottom"/>
          </w:tcPr>
          <w:p>
            <w:pPr>
              <w:ind w:left="100"/>
              <w:spacing w:after="0"/>
              <w:rPr>
                <w:sz w:val="20"/>
                <w:szCs w:val="20"/>
                <w:color w:val="auto"/>
              </w:rPr>
            </w:pPr>
            <w:r>
              <w:rPr>
                <w:rFonts w:ascii="Arial" w:cs="Arial" w:eastAsia="Arial" w:hAnsi="Arial"/>
                <w:sz w:val="11"/>
                <w:szCs w:val="11"/>
                <w:color w:val="auto"/>
              </w:rPr>
              <w:t>Income before income tax expense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3"/>
              <w:spacing w:after="0"/>
              <w:rPr>
                <w:sz w:val="20"/>
                <w:szCs w:val="20"/>
                <w:color w:val="auto"/>
              </w:rPr>
            </w:pPr>
            <w:r>
              <w:rPr>
                <w:rFonts w:ascii="Arial" w:cs="Arial" w:eastAsia="Arial" w:hAnsi="Arial"/>
                <w:sz w:val="11"/>
                <w:szCs w:val="11"/>
                <w:color w:val="auto"/>
              </w:rPr>
              <w:t>11,686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10,098</w:t>
            </w:r>
          </w:p>
        </w:tc>
      </w:tr>
      <w:tr>
        <w:trPr>
          <w:trHeight w:val="171"/>
        </w:trPr>
        <w:tc>
          <w:tcPr>
            <w:tcW w:w="53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Income tax expense</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2,335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2,440</w:t>
            </w:r>
          </w:p>
        </w:tc>
      </w:tr>
      <w:tr>
        <w:trPr>
          <w:trHeight w:val="212"/>
        </w:trPr>
        <w:tc>
          <w:tcPr>
            <w:tcW w:w="200" w:type="dxa"/>
            <w:vAlign w:val="bottom"/>
          </w:tcPr>
          <w:p>
            <w:pPr>
              <w:spacing w:after="0"/>
              <w:rPr>
                <w:sz w:val="18"/>
                <w:szCs w:val="18"/>
                <w:color w:val="auto"/>
              </w:rPr>
            </w:pPr>
          </w:p>
        </w:tc>
        <w:tc>
          <w:tcPr>
            <w:tcW w:w="5140" w:type="dxa"/>
            <w:vAlign w:val="bottom"/>
          </w:tcPr>
          <w:p>
            <w:pPr>
              <w:ind w:left="100"/>
              <w:spacing w:after="0"/>
              <w:rPr>
                <w:sz w:val="20"/>
                <w:szCs w:val="20"/>
                <w:color w:val="auto"/>
              </w:rPr>
            </w:pPr>
            <w:r>
              <w:rPr>
                <w:rFonts w:ascii="Arial" w:cs="Arial" w:eastAsia="Arial" w:hAnsi="Arial"/>
                <w:sz w:val="11"/>
                <w:szCs w:val="11"/>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9,351</w:t>
            </w:r>
          </w:p>
        </w:tc>
        <w:tc>
          <w:tcPr>
            <w:tcW w:w="180" w:type="dxa"/>
            <w:vAlign w:val="bottom"/>
            <w:gridSpan w:val="4"/>
          </w:tcPr>
          <w:p>
            <w:pPr>
              <w:jc w:val="right"/>
              <w:ind w:right="9"/>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7,658</w:t>
            </w:r>
          </w:p>
        </w:tc>
      </w:tr>
      <w:tr>
        <w:trPr>
          <w:trHeight w:val="143"/>
        </w:trPr>
        <w:tc>
          <w:tcPr>
            <w:tcW w:w="5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Per share information:</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r>
      <w:tr>
        <w:trPr>
          <w:trHeight w:val="171"/>
        </w:trPr>
        <w:tc>
          <w:tcPr>
            <w:tcW w:w="5340" w:type="dxa"/>
            <w:vAlign w:val="bottom"/>
            <w:gridSpan w:val="2"/>
          </w:tcPr>
          <w:p>
            <w:pPr>
              <w:ind w:left="200"/>
              <w:spacing w:after="0"/>
              <w:rPr>
                <w:sz w:val="20"/>
                <w:szCs w:val="20"/>
                <w:color w:val="auto"/>
              </w:rPr>
            </w:pPr>
            <w:r>
              <w:rPr>
                <w:rFonts w:ascii="Arial" w:cs="Arial" w:eastAsia="Arial" w:hAnsi="Arial"/>
                <w:sz w:val="11"/>
                <w:szCs w:val="11"/>
                <w:color w:val="auto"/>
              </w:rPr>
              <w:t>Earnings per share, basic</w:t>
            </w:r>
          </w:p>
        </w:tc>
        <w:tc>
          <w:tcPr>
            <w:tcW w:w="10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0.51</w:t>
            </w:r>
          </w:p>
        </w:tc>
        <w:tc>
          <w:tcPr>
            <w:tcW w:w="180" w:type="dxa"/>
            <w:vAlign w:val="bottom"/>
            <w:gridSpan w:val="4"/>
          </w:tcPr>
          <w:p>
            <w:pPr>
              <w:jc w:val="right"/>
              <w:ind w:right="9"/>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0.38</w:t>
            </w:r>
          </w:p>
        </w:tc>
      </w:tr>
      <w:tr>
        <w:trPr>
          <w:trHeight w:val="171"/>
        </w:trPr>
        <w:tc>
          <w:tcPr>
            <w:tcW w:w="200" w:type="dxa"/>
            <w:vAlign w:val="bottom"/>
            <w:shd w:val="clear" w:color="auto" w:fill="CCEEFF"/>
          </w:tcPr>
          <w:p>
            <w:pPr>
              <w:spacing w:after="0"/>
              <w:rPr>
                <w:sz w:val="14"/>
                <w:szCs w:val="14"/>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1"/>
                <w:szCs w:val="11"/>
                <w:color w:val="auto"/>
              </w:rPr>
              <w:t>Earnings per share, diluted</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0.51</w:t>
            </w:r>
          </w:p>
        </w:tc>
        <w:tc>
          <w:tcPr>
            <w:tcW w:w="2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0.38</w:t>
            </w:r>
          </w:p>
        </w:tc>
      </w:tr>
      <w:tr>
        <w:trPr>
          <w:trHeight w:val="185"/>
        </w:trPr>
        <w:tc>
          <w:tcPr>
            <w:tcW w:w="5340" w:type="dxa"/>
            <w:vAlign w:val="bottom"/>
            <w:gridSpan w:val="2"/>
          </w:tcPr>
          <w:p>
            <w:pPr>
              <w:ind w:left="200"/>
              <w:spacing w:after="0"/>
              <w:rPr>
                <w:sz w:val="20"/>
                <w:szCs w:val="20"/>
                <w:color w:val="auto"/>
              </w:rPr>
            </w:pPr>
            <w:r>
              <w:rPr>
                <w:rFonts w:ascii="Arial" w:cs="Arial" w:eastAsia="Arial" w:hAnsi="Arial"/>
                <w:sz w:val="11"/>
                <w:szCs w:val="11"/>
                <w:color w:val="auto"/>
              </w:rPr>
              <w:t>Cash dividends declared</w:t>
            </w:r>
          </w:p>
        </w:tc>
        <w:tc>
          <w:tcPr>
            <w:tcW w:w="10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0.125</w:t>
            </w:r>
          </w:p>
        </w:tc>
        <w:tc>
          <w:tcPr>
            <w:tcW w:w="180" w:type="dxa"/>
            <w:vAlign w:val="bottom"/>
            <w:gridSpan w:val="4"/>
          </w:tcPr>
          <w:p>
            <w:pPr>
              <w:jc w:val="right"/>
              <w:ind w:right="9"/>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0.10</w:t>
            </w:r>
          </w:p>
        </w:tc>
      </w:tr>
      <w:tr>
        <w:trPr>
          <w:trHeight w:val="156"/>
        </w:trPr>
        <w:tc>
          <w:tcPr>
            <w:tcW w:w="200" w:type="dxa"/>
            <w:vAlign w:val="bottom"/>
            <w:tcBorders>
              <w:bottom w:val="single" w:sz="8" w:color="auto"/>
            </w:tcBorders>
          </w:tcPr>
          <w:p>
            <w:pPr>
              <w:spacing w:after="0"/>
              <w:rPr>
                <w:sz w:val="13"/>
                <w:szCs w:val="13"/>
                <w:color w:val="auto"/>
              </w:rPr>
            </w:pPr>
          </w:p>
        </w:tc>
        <w:tc>
          <w:tcPr>
            <w:tcW w:w="51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r>
    </w:tbl>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4</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4" w:name="page5"/>
    <w:bookmarkEnd w:id="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Consolidated Statements of Comprehensive Income - Unaudited</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(Dollars in thousands)</w:t>
      </w:r>
    </w:p>
    <w:p>
      <w:pPr>
        <w:spacing w:after="0" w:line="236" w:lineRule="exact"/>
        <w:rPr>
          <w:sz w:val="20"/>
          <w:szCs w:val="20"/>
          <w:color w:val="auto"/>
        </w:rPr>
      </w:pPr>
    </w:p>
    <w:p>
      <w:pPr>
        <w:jc w:val="center"/>
        <w:ind w:left="5660"/>
        <w:spacing w:after="0"/>
        <w:rPr>
          <w:sz w:val="20"/>
          <w:szCs w:val="20"/>
          <w:color w:val="auto"/>
        </w:rPr>
      </w:pPr>
      <w:r>
        <w:rPr>
          <w:rFonts w:ascii="Arial" w:cs="Arial" w:eastAsia="Arial" w:hAnsi="Arial"/>
          <w:sz w:val="11"/>
          <w:szCs w:val="11"/>
          <w:b w:val="1"/>
          <w:bCs w:val="1"/>
          <w:color w:val="auto"/>
        </w:rPr>
        <w:t>Three Months Ended</w:t>
      </w:r>
    </w:p>
    <w:p>
      <w:pPr>
        <w:spacing w:after="0" w:line="14" w:lineRule="exact"/>
        <w:rPr>
          <w:sz w:val="20"/>
          <w:szCs w:val="20"/>
          <w:color w:val="auto"/>
        </w:rPr>
      </w:pPr>
    </w:p>
    <w:p>
      <w:pPr>
        <w:jc w:val="center"/>
        <w:ind w:left="5660"/>
        <w:spacing w:after="0"/>
        <w:rPr>
          <w:sz w:val="20"/>
          <w:szCs w:val="20"/>
          <w:color w:val="auto"/>
        </w:rPr>
      </w:pPr>
      <w:r>
        <w:rPr>
          <w:rFonts w:ascii="Arial" w:cs="Arial" w:eastAsia="Arial" w:hAnsi="Arial"/>
          <w:sz w:val="11"/>
          <w:szCs w:val="11"/>
          <w:b w:val="1"/>
          <w:bCs w:val="1"/>
          <w:color w:val="auto"/>
        </w:rPr>
        <w:t>March 31,</w:t>
      </w:r>
    </w:p>
    <w:p>
      <w:pPr>
        <w:spacing w:after="0" w:line="22" w:lineRule="exact"/>
        <w:rPr>
          <w:sz w:val="20"/>
          <w:szCs w:val="20"/>
          <w:color w:val="auto"/>
        </w:rPr>
      </w:pPr>
    </w:p>
    <w:tbl>
      <w:tblPr>
        <w:tblLayout w:type="fixed"/>
        <w:tblInd w:w="660" w:type="dxa"/>
        <w:tblCellMar>
          <w:top w:w="0" w:type="dxa"/>
          <w:left w:w="0" w:type="dxa"/>
          <w:bottom w:w="0" w:type="dxa"/>
          <w:right w:w="0" w:type="dxa"/>
        </w:tblCellMar>
      </w:tblPr>
      <w:tr>
        <w:trPr>
          <w:trHeight w:val="138"/>
        </w:trPr>
        <w:tc>
          <w:tcPr>
            <w:tcW w:w="56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2026</w:t>
            </w:r>
          </w:p>
        </w:tc>
        <w:tc>
          <w:tcPr>
            <w:tcW w:w="3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2025</w:t>
            </w:r>
          </w:p>
        </w:tc>
        <w:tc>
          <w:tcPr>
            <w:tcW w:w="20" w:type="dxa"/>
            <w:vAlign w:val="bottom"/>
          </w:tcPr>
          <w:p>
            <w:pPr>
              <w:spacing w:after="0"/>
              <w:rPr>
                <w:sz w:val="12"/>
                <w:szCs w:val="12"/>
                <w:color w:val="auto"/>
              </w:rPr>
            </w:pPr>
          </w:p>
        </w:tc>
      </w:tr>
      <w:tr>
        <w:trPr>
          <w:trHeight w:val="149"/>
        </w:trPr>
        <w:tc>
          <w:tcPr>
            <w:tcW w:w="5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1"/>
                <w:szCs w:val="11"/>
                <w:color w:val="auto"/>
              </w:rPr>
              <w:t>Net income</w:t>
            </w:r>
          </w:p>
        </w:tc>
        <w:tc>
          <w:tcPr>
            <w:tcW w:w="600" w:type="dxa"/>
            <w:vAlign w:val="bottom"/>
            <w:shd w:val="clear" w:color="auto" w:fill="CCEEFF"/>
          </w:tcPr>
          <w:p>
            <w:pPr>
              <w:jc w:val="right"/>
              <w:ind w:right="487"/>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9,351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7,658</w:t>
            </w:r>
          </w:p>
        </w:tc>
        <w:tc>
          <w:tcPr>
            <w:tcW w:w="20" w:type="dxa"/>
            <w:vAlign w:val="bottom"/>
            <w:shd w:val="clear" w:color="auto" w:fill="CCEEFF"/>
          </w:tcPr>
          <w:p>
            <w:pPr>
              <w:spacing w:after="0"/>
              <w:rPr>
                <w:sz w:val="12"/>
                <w:szCs w:val="12"/>
                <w:color w:val="auto"/>
              </w:rPr>
            </w:pPr>
          </w:p>
        </w:tc>
      </w:tr>
      <w:tr>
        <w:trPr>
          <w:trHeight w:val="160"/>
        </w:trPr>
        <w:tc>
          <w:tcPr>
            <w:tcW w:w="5680" w:type="dxa"/>
            <w:vAlign w:val="bottom"/>
          </w:tcPr>
          <w:p>
            <w:pPr>
              <w:spacing w:after="0"/>
              <w:rPr>
                <w:sz w:val="20"/>
                <w:szCs w:val="20"/>
                <w:color w:val="auto"/>
              </w:rPr>
            </w:pPr>
            <w:r>
              <w:rPr>
                <w:rFonts w:ascii="Arial" w:cs="Arial" w:eastAsia="Arial" w:hAnsi="Arial"/>
                <w:sz w:val="11"/>
                <w:szCs w:val="11"/>
                <w:color w:val="auto"/>
              </w:rPr>
              <w:t>Other comprehensive (loss) income:</w:t>
            </w: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68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Unrealized (loss) gain on investment securities</w:t>
            </w:r>
          </w:p>
        </w:tc>
        <w:tc>
          <w:tcPr>
            <w:tcW w:w="6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7"/>
              </w:rPr>
              <w:t>(2,207)</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4,673</w:t>
            </w:r>
          </w:p>
        </w:tc>
        <w:tc>
          <w:tcPr>
            <w:tcW w:w="20" w:type="dxa"/>
            <w:vAlign w:val="bottom"/>
            <w:shd w:val="clear" w:color="auto" w:fill="CCEEFF"/>
          </w:tcPr>
          <w:p>
            <w:pPr>
              <w:spacing w:after="0"/>
              <w:rPr>
                <w:sz w:val="13"/>
                <w:szCs w:val="13"/>
                <w:color w:val="auto"/>
              </w:rPr>
            </w:pPr>
          </w:p>
        </w:tc>
      </w:tr>
      <w:tr>
        <w:trPr>
          <w:trHeight w:val="185"/>
        </w:trPr>
        <w:tc>
          <w:tcPr>
            <w:tcW w:w="5680" w:type="dxa"/>
            <w:vAlign w:val="bottom"/>
          </w:tcPr>
          <w:p>
            <w:pPr>
              <w:ind w:left="100"/>
              <w:spacing w:after="0"/>
              <w:rPr>
                <w:sz w:val="20"/>
                <w:szCs w:val="20"/>
                <w:color w:val="auto"/>
              </w:rPr>
            </w:pPr>
            <w:r>
              <w:rPr>
                <w:rFonts w:ascii="Arial" w:cs="Arial" w:eastAsia="Arial" w:hAnsi="Arial"/>
                <w:sz w:val="11"/>
                <w:szCs w:val="11"/>
                <w:color w:val="auto"/>
              </w:rPr>
              <w:t>Reclassification adjustment for amortization of net unrealized losses on securities transferred from available-</w:t>
            </w: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35"/>
        </w:trPr>
        <w:tc>
          <w:tcPr>
            <w:tcW w:w="5680" w:type="dxa"/>
            <w:vAlign w:val="bottom"/>
          </w:tcPr>
          <w:p>
            <w:pPr>
              <w:ind w:left="100"/>
              <w:spacing w:after="0"/>
              <w:rPr>
                <w:sz w:val="20"/>
                <w:szCs w:val="20"/>
                <w:color w:val="auto"/>
              </w:rPr>
            </w:pPr>
            <w:r>
              <w:rPr>
                <w:rFonts w:ascii="Arial" w:cs="Arial" w:eastAsia="Arial" w:hAnsi="Arial"/>
                <w:sz w:val="11"/>
                <w:szCs w:val="11"/>
                <w:color w:val="auto"/>
              </w:rPr>
              <w:t>for-sale to held-to-maturity</w:t>
            </w:r>
          </w:p>
        </w:tc>
        <w:tc>
          <w:tcPr>
            <w:tcW w:w="6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68</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67</w:t>
            </w:r>
          </w:p>
        </w:tc>
        <w:tc>
          <w:tcPr>
            <w:tcW w:w="20" w:type="dxa"/>
            <w:vAlign w:val="bottom"/>
          </w:tcPr>
          <w:p>
            <w:pPr>
              <w:spacing w:after="0"/>
              <w:rPr>
                <w:sz w:val="11"/>
                <w:szCs w:val="11"/>
                <w:color w:val="auto"/>
              </w:rPr>
            </w:pPr>
          </w:p>
        </w:tc>
      </w:tr>
      <w:tr>
        <w:trPr>
          <w:trHeight w:val="160"/>
        </w:trPr>
        <w:tc>
          <w:tcPr>
            <w:tcW w:w="568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Reclassification adjustment for realized gains included in net income</w:t>
            </w:r>
          </w:p>
        </w:tc>
        <w:tc>
          <w:tcPr>
            <w:tcW w:w="6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r>
      <w:tr>
        <w:trPr>
          <w:trHeight w:val="160"/>
        </w:trPr>
        <w:tc>
          <w:tcPr>
            <w:tcW w:w="5680" w:type="dxa"/>
            <w:vAlign w:val="bottom"/>
          </w:tcPr>
          <w:p>
            <w:pPr>
              <w:ind w:left="100"/>
              <w:spacing w:after="0"/>
              <w:rPr>
                <w:sz w:val="20"/>
                <w:szCs w:val="20"/>
                <w:color w:val="auto"/>
              </w:rPr>
            </w:pPr>
            <w:r>
              <w:rPr>
                <w:rFonts w:ascii="Arial" w:cs="Arial" w:eastAsia="Arial" w:hAnsi="Arial"/>
                <w:sz w:val="11"/>
                <w:szCs w:val="11"/>
                <w:color w:val="auto"/>
              </w:rPr>
              <w:t>Unrealized gain (loss) on cash flow hedge</w:t>
            </w:r>
          </w:p>
        </w:tc>
        <w:tc>
          <w:tcPr>
            <w:tcW w:w="6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97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(158)</w:t>
            </w:r>
          </w:p>
        </w:tc>
      </w:tr>
      <w:tr>
        <w:trPr>
          <w:trHeight w:val="160"/>
        </w:trPr>
        <w:tc>
          <w:tcPr>
            <w:tcW w:w="568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Tax effect</w:t>
            </w:r>
          </w:p>
        </w:tc>
        <w:tc>
          <w:tcPr>
            <w:tcW w:w="60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(1,161)</w:t>
            </w:r>
          </w:p>
        </w:tc>
      </w:tr>
      <w:tr>
        <w:trPr>
          <w:trHeight w:val="20"/>
        </w:trPr>
        <w:tc>
          <w:tcPr>
            <w:tcW w:w="568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0"/>
        </w:trPr>
        <w:tc>
          <w:tcPr>
            <w:tcW w:w="5680" w:type="dxa"/>
            <w:vAlign w:val="bottom"/>
          </w:tcPr>
          <w:p>
            <w:pPr>
              <w:spacing w:after="0"/>
              <w:rPr>
                <w:sz w:val="20"/>
                <w:szCs w:val="20"/>
                <w:color w:val="auto"/>
              </w:rPr>
            </w:pPr>
            <w:r>
              <w:rPr>
                <w:rFonts w:ascii="Arial" w:cs="Arial" w:eastAsia="Arial" w:hAnsi="Arial"/>
                <w:sz w:val="11"/>
                <w:szCs w:val="11"/>
                <w:color w:val="auto"/>
              </w:rPr>
              <w:t>Total other comprehensive (loss) income, net of tax</w:t>
            </w:r>
          </w:p>
        </w:tc>
        <w:tc>
          <w:tcPr>
            <w:tcW w:w="600" w:type="dxa"/>
            <w:vAlign w:val="bottom"/>
          </w:tcPr>
          <w:p>
            <w:pPr>
              <w:spacing w:after="0"/>
              <w:rPr>
                <w:sz w:val="12"/>
                <w:szCs w:val="1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1"/>
                <w:szCs w:val="11"/>
                <w:color w:val="auto"/>
                <w:w w:val="97"/>
              </w:rPr>
              <w:t>(1,085)</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3,421</w:t>
            </w:r>
          </w:p>
        </w:tc>
        <w:tc>
          <w:tcPr>
            <w:tcW w:w="20" w:type="dxa"/>
            <w:vAlign w:val="bottom"/>
          </w:tcPr>
          <w:p>
            <w:pPr>
              <w:spacing w:after="0"/>
              <w:rPr>
                <w:sz w:val="12"/>
                <w:szCs w:val="12"/>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5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1"/>
                <w:szCs w:val="11"/>
                <w:color w:val="auto"/>
              </w:rPr>
              <w:t>Total comprehensive income</w:t>
            </w:r>
          </w:p>
        </w:tc>
        <w:tc>
          <w:tcPr>
            <w:tcW w:w="600" w:type="dxa"/>
            <w:vAlign w:val="bottom"/>
            <w:tcBorders>
              <w:bottom w:val="single" w:sz="8" w:color="auto"/>
            </w:tcBorders>
            <w:shd w:val="clear" w:color="auto" w:fill="CCEEFF"/>
          </w:tcPr>
          <w:p>
            <w:pPr>
              <w:jc w:val="right"/>
              <w:ind w:right="487"/>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8,266</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11,079</w:t>
            </w:r>
          </w:p>
        </w:tc>
        <w:tc>
          <w:tcPr>
            <w:tcW w:w="20" w:type="dxa"/>
            <w:vAlign w:val="bottom"/>
            <w:tcBorders>
              <w:bottom w:val="single" w:sz="8" w:color="auto"/>
            </w:tcBorders>
            <w:shd w:val="clear" w:color="auto" w:fill="CCEEFF"/>
          </w:tcPr>
          <w:p>
            <w:pPr>
              <w:spacing w:after="0"/>
              <w:rPr>
                <w:sz w:val="13"/>
                <w:szCs w:val="13"/>
                <w:color w:val="auto"/>
              </w:rPr>
            </w:pPr>
          </w:p>
        </w:tc>
      </w:tr>
      <w:tr>
        <w:trPr>
          <w:trHeight w:val="20"/>
        </w:trPr>
        <w:tc>
          <w:tcPr>
            <w:tcW w:w="5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5</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t>Table of Contents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Consolidated Statements of Changes in Stockholders’ Equity - Unaudited</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(Dollars in thousands, except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860" w:type="dxa"/>
            <w:vAlign w:val="bottom"/>
          </w:tcPr>
          <w:p>
            <w:pPr>
              <w:spacing w:after="0"/>
              <w:rPr>
                <w:sz w:val="11"/>
                <w:szCs w:val="11"/>
                <w:color w:val="auto"/>
              </w:rPr>
            </w:pPr>
          </w:p>
        </w:tc>
        <w:tc>
          <w:tcPr>
            <w:tcW w:w="200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96"/>
              </w:rPr>
              <w:t>Common Stock</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6"/>
              </w:rPr>
              <w:t>Additional Paid-in</w:t>
            </w:r>
          </w:p>
        </w:tc>
        <w:tc>
          <w:tcPr>
            <w:tcW w:w="120" w:type="dxa"/>
            <w:vAlign w:val="bottom"/>
          </w:tcPr>
          <w:p>
            <w:pPr>
              <w:spacing w:after="0"/>
              <w:rPr>
                <w:sz w:val="13"/>
                <w:szCs w:val="13"/>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1"/>
                <w:szCs w:val="11"/>
                <w:b w:val="1"/>
                <w:bCs w:val="1"/>
                <w:color w:val="auto"/>
              </w:rPr>
              <w:t>Accumulated</w:t>
            </w:r>
          </w:p>
        </w:tc>
        <w:tc>
          <w:tcPr>
            <w:tcW w:w="110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96"/>
              </w:rPr>
              <w:t>Accumulated Other</w:t>
            </w:r>
          </w:p>
        </w:tc>
        <w:tc>
          <w:tcPr>
            <w:tcW w:w="120" w:type="dxa"/>
            <w:vAlign w:val="bottom"/>
          </w:tcPr>
          <w:p>
            <w:pPr>
              <w:spacing w:after="0"/>
              <w:rPr>
                <w:sz w:val="13"/>
                <w:szCs w:val="13"/>
                <w:color w:val="auto"/>
              </w:rPr>
            </w:pPr>
          </w:p>
        </w:tc>
        <w:tc>
          <w:tcPr>
            <w:tcW w:w="920" w:type="dxa"/>
            <w:vAlign w:val="bottom"/>
          </w:tcPr>
          <w:p>
            <w:pPr>
              <w:jc w:val="center"/>
              <w:ind w:right="6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8"/>
        </w:trPr>
        <w:tc>
          <w:tcPr>
            <w:tcW w:w="3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3"/>
          </w:tcPr>
          <w:p>
            <w:pPr>
              <w:spacing w:after="0"/>
              <w:rPr>
                <w:sz w:val="20"/>
                <w:szCs w:val="20"/>
                <w:color w:val="auto"/>
              </w:rPr>
            </w:pPr>
            <w:r>
              <w:rPr>
                <w:rFonts w:ascii="Arial" w:cs="Arial" w:eastAsia="Arial" w:hAnsi="Arial"/>
                <w:sz w:val="11"/>
                <w:szCs w:val="11"/>
                <w:b w:val="1"/>
                <w:bCs w:val="1"/>
                <w:color w:val="auto"/>
              </w:rPr>
              <w:t>Capital on Common</w:t>
            </w: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9"/>
              </w:rPr>
              <w:t>Comprehensive</w:t>
            </w:r>
          </w:p>
        </w:tc>
        <w:tc>
          <w:tcPr>
            <w:tcW w:w="120" w:type="dxa"/>
            <w:vAlign w:val="bottom"/>
          </w:tcPr>
          <w:p>
            <w:pPr>
              <w:spacing w:after="0"/>
              <w:rPr>
                <w:sz w:val="11"/>
                <w:szCs w:val="11"/>
                <w:color w:val="auto"/>
              </w:rPr>
            </w:pPr>
          </w:p>
        </w:tc>
        <w:tc>
          <w:tcPr>
            <w:tcW w:w="920" w:type="dxa"/>
            <w:vAlign w:val="bottom"/>
          </w:tcPr>
          <w:p>
            <w:pPr>
              <w:jc w:val="center"/>
              <w:ind w:right="66"/>
              <w:spacing w:after="0"/>
              <w:rPr>
                <w:sz w:val="20"/>
                <w:szCs w:val="20"/>
                <w:color w:val="auto"/>
              </w:rPr>
            </w:pPr>
            <w:r>
              <w:rPr>
                <w:rFonts w:ascii="Arial" w:cs="Arial" w:eastAsia="Arial" w:hAnsi="Arial"/>
                <w:sz w:val="11"/>
                <w:szCs w:val="11"/>
                <w:b w:val="1"/>
                <w:bCs w:val="1"/>
                <w:color w:val="auto"/>
                <w:w w:val="99"/>
              </w:rPr>
              <w:t>Stockholders'</w:t>
            </w:r>
          </w:p>
        </w:tc>
        <w:tc>
          <w:tcPr>
            <w:tcW w:w="0" w:type="dxa"/>
            <w:vAlign w:val="bottom"/>
          </w:tcPr>
          <w:p>
            <w:pPr>
              <w:spacing w:after="0"/>
              <w:rPr>
                <w:sz w:val="1"/>
                <w:szCs w:val="1"/>
                <w:color w:val="auto"/>
              </w:rPr>
            </w:pPr>
          </w:p>
        </w:tc>
      </w:tr>
      <w:tr>
        <w:trPr>
          <w:trHeight w:val="129"/>
        </w:trPr>
        <w:tc>
          <w:tcPr>
            <w:tcW w:w="3860" w:type="dxa"/>
            <w:vAlign w:val="bottom"/>
          </w:tcPr>
          <w:p>
            <w:pPr>
              <w:spacing w:after="0"/>
              <w:rPr>
                <w:sz w:val="11"/>
                <w:szCs w:val="11"/>
                <w:color w:val="auto"/>
              </w:rPr>
            </w:pPr>
          </w:p>
        </w:tc>
        <w:tc>
          <w:tcPr>
            <w:tcW w:w="960" w:type="dxa"/>
            <w:vAlign w:val="bottom"/>
            <w:gridSpan w:val="2"/>
          </w:tcPr>
          <w:p>
            <w:pPr>
              <w:ind w:left="28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11"/>
                <w:szCs w:val="11"/>
                <w:color w:val="auto"/>
              </w:rPr>
            </w:pPr>
          </w:p>
        </w:tc>
        <w:tc>
          <w:tcPr>
            <w:tcW w:w="860" w:type="dxa"/>
            <w:vAlign w:val="bottom"/>
          </w:tcPr>
          <w:p>
            <w:pPr>
              <w:jc w:val="right"/>
              <w:ind w:right="226"/>
              <w:spacing w:after="0"/>
              <w:rPr>
                <w:sz w:val="20"/>
                <w:szCs w:val="20"/>
                <w:color w:val="auto"/>
              </w:rPr>
            </w:pPr>
            <w:r>
              <w:rPr>
                <w:rFonts w:ascii="Arial" w:cs="Arial" w:eastAsia="Arial" w:hAnsi="Arial"/>
                <w:sz w:val="11"/>
                <w:szCs w:val="11"/>
                <w:b w:val="1"/>
                <w:bCs w:val="1"/>
                <w:color w:val="auto"/>
              </w:rPr>
              <w:t>Par Value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Stock</w:t>
            </w:r>
          </w:p>
        </w:tc>
        <w:tc>
          <w:tcPr>
            <w:tcW w:w="120" w:type="dxa"/>
            <w:vAlign w:val="bottom"/>
          </w:tcPr>
          <w:p>
            <w:pPr>
              <w:spacing w:after="0"/>
              <w:rPr>
                <w:sz w:val="11"/>
                <w:szCs w:val="11"/>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Deficit</w:t>
            </w:r>
          </w:p>
        </w:tc>
        <w:tc>
          <w:tcPr>
            <w:tcW w:w="100" w:type="dxa"/>
            <w:vAlign w:val="bottom"/>
          </w:tcPr>
          <w:p>
            <w:pPr>
              <w:spacing w:after="0"/>
              <w:rPr>
                <w:sz w:val="11"/>
                <w:szCs w:val="11"/>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Loss</w:t>
            </w:r>
          </w:p>
        </w:tc>
        <w:tc>
          <w:tcPr>
            <w:tcW w:w="120" w:type="dxa"/>
            <w:vAlign w:val="bottom"/>
          </w:tcPr>
          <w:p>
            <w:pPr>
              <w:spacing w:after="0"/>
              <w:rPr>
                <w:sz w:val="11"/>
                <w:szCs w:val="11"/>
                <w:color w:val="auto"/>
              </w:rPr>
            </w:pPr>
          </w:p>
        </w:tc>
        <w:tc>
          <w:tcPr>
            <w:tcW w:w="920" w:type="dxa"/>
            <w:vAlign w:val="bottom"/>
          </w:tcPr>
          <w:p>
            <w:pPr>
              <w:jc w:val="center"/>
              <w:ind w:right="8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29"/>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Balance at December 31, 2025</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18,137,885</w:t>
            </w:r>
          </w:p>
        </w:tc>
        <w:tc>
          <w:tcPr>
            <w:tcW w:w="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center"/>
              <w:ind w:right="66"/>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18,138</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278,852</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(49,542)</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(30,265)</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217,183</w:t>
            </w:r>
          </w:p>
        </w:tc>
        <w:tc>
          <w:tcPr>
            <w:tcW w:w="0" w:type="dxa"/>
            <w:vAlign w:val="bottom"/>
          </w:tcPr>
          <w:p>
            <w:pPr>
              <w:spacing w:after="0"/>
              <w:rPr>
                <w:sz w:val="1"/>
                <w:szCs w:val="1"/>
                <w:color w:val="auto"/>
              </w:rPr>
            </w:pPr>
          </w:p>
        </w:tc>
      </w:tr>
      <w:tr>
        <w:trPr>
          <w:trHeight w:val="139"/>
        </w:trPr>
        <w:tc>
          <w:tcPr>
            <w:tcW w:w="3860" w:type="dxa"/>
            <w:vAlign w:val="bottom"/>
          </w:tcPr>
          <w:p>
            <w:pPr>
              <w:ind w:left="100"/>
              <w:spacing w:after="0"/>
              <w:rPr>
                <w:sz w:val="20"/>
                <w:szCs w:val="20"/>
                <w:color w:val="auto"/>
              </w:rPr>
            </w:pPr>
            <w:r>
              <w:rPr>
                <w:rFonts w:ascii="Arial" w:cs="Arial" w:eastAsia="Arial" w:hAnsi="Arial"/>
                <w:sz w:val="11"/>
                <w:szCs w:val="11"/>
                <w:color w:val="auto"/>
              </w:rPr>
              <w:t>Net income</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9,351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9,351</w:t>
            </w:r>
          </w:p>
        </w:tc>
        <w:tc>
          <w:tcPr>
            <w:tcW w:w="0" w:type="dxa"/>
            <w:vAlign w:val="bottom"/>
          </w:tcPr>
          <w:p>
            <w:pPr>
              <w:spacing w:after="0"/>
              <w:rPr>
                <w:sz w:val="1"/>
                <w:szCs w:val="1"/>
                <w:color w:val="auto"/>
              </w:rPr>
            </w:pPr>
          </w:p>
        </w:tc>
      </w:tr>
      <w:tr>
        <w:trPr>
          <w:trHeight w:val="139"/>
        </w:trPr>
        <w:tc>
          <w:tcPr>
            <w:tcW w:w="38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comprehensive loss</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(1,085)</w:t>
            </w:r>
          </w:p>
        </w:tc>
        <w:tc>
          <w:tcPr>
            <w:tcW w:w="0" w:type="dxa"/>
            <w:vAlign w:val="bottom"/>
          </w:tcPr>
          <w:p>
            <w:pPr>
              <w:spacing w:after="0"/>
              <w:rPr>
                <w:sz w:val="1"/>
                <w:szCs w:val="1"/>
                <w:color w:val="auto"/>
              </w:rPr>
            </w:pPr>
          </w:p>
        </w:tc>
      </w:tr>
      <w:tr>
        <w:trPr>
          <w:trHeight w:val="139"/>
        </w:trPr>
        <w:tc>
          <w:tcPr>
            <w:tcW w:w="3860" w:type="dxa"/>
            <w:vAlign w:val="bottom"/>
          </w:tcPr>
          <w:p>
            <w:pPr>
              <w:ind w:left="100"/>
              <w:spacing w:after="0"/>
              <w:rPr>
                <w:sz w:val="20"/>
                <w:szCs w:val="20"/>
                <w:color w:val="auto"/>
              </w:rPr>
            </w:pPr>
            <w:r>
              <w:rPr>
                <w:rFonts w:ascii="Arial" w:cs="Arial" w:eastAsia="Arial" w:hAnsi="Arial"/>
                <w:sz w:val="11"/>
                <w:szCs w:val="11"/>
                <w:color w:val="auto"/>
              </w:rPr>
              <w:t>Repurchase of Class A common stock</w:t>
            </w:r>
          </w:p>
        </w:tc>
        <w:tc>
          <w:tcPr>
            <w:tcW w:w="960" w:type="dxa"/>
            <w:vAlign w:val="bottom"/>
            <w:gridSpan w:val="2"/>
          </w:tcPr>
          <w:p>
            <w:pPr>
              <w:jc w:val="right"/>
              <w:ind w:right="40"/>
              <w:spacing w:after="0"/>
              <w:rPr>
                <w:sz w:val="20"/>
                <w:szCs w:val="20"/>
                <w:color w:val="auto"/>
              </w:rPr>
            </w:pPr>
            <w:r>
              <w:rPr>
                <w:rFonts w:ascii="Arial" w:cs="Arial" w:eastAsia="Arial" w:hAnsi="Arial"/>
                <w:sz w:val="11"/>
                <w:szCs w:val="11"/>
                <w:color w:val="auto"/>
              </w:rPr>
              <w:t>(53,475)</w:t>
            </w:r>
          </w:p>
        </w:tc>
        <w:tc>
          <w:tcPr>
            <w:tcW w:w="1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1"/>
                <w:szCs w:val="11"/>
                <w:color w:val="auto"/>
              </w:rPr>
              <w:t>(948)</w:t>
            </w: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(1,001)</w:t>
            </w:r>
          </w:p>
        </w:tc>
        <w:tc>
          <w:tcPr>
            <w:tcW w:w="0" w:type="dxa"/>
            <w:vAlign w:val="bottom"/>
          </w:tcPr>
          <w:p>
            <w:pPr>
              <w:spacing w:after="0"/>
              <w:rPr>
                <w:sz w:val="1"/>
                <w:szCs w:val="1"/>
                <w:color w:val="auto"/>
              </w:rPr>
            </w:pPr>
          </w:p>
        </w:tc>
      </w:tr>
      <w:tr>
        <w:trPr>
          <w:trHeight w:val="139"/>
        </w:trPr>
        <w:tc>
          <w:tcPr>
            <w:tcW w:w="38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Restricted stock issued</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147,490</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(147)</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3860" w:type="dxa"/>
            <w:vAlign w:val="bottom"/>
          </w:tcPr>
          <w:p>
            <w:pPr>
              <w:ind w:left="100"/>
              <w:spacing w:after="0"/>
              <w:rPr>
                <w:sz w:val="20"/>
                <w:szCs w:val="20"/>
                <w:color w:val="auto"/>
              </w:rPr>
            </w:pPr>
            <w:r>
              <w:rPr>
                <w:rFonts w:ascii="Arial" w:cs="Arial" w:eastAsia="Arial" w:hAnsi="Arial"/>
                <w:sz w:val="11"/>
                <w:szCs w:val="11"/>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1"/>
                <w:szCs w:val="11"/>
                <w:color w:val="auto"/>
              </w:rPr>
              <w:t>25,500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166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191</w:t>
            </w:r>
          </w:p>
        </w:tc>
        <w:tc>
          <w:tcPr>
            <w:tcW w:w="0" w:type="dxa"/>
            <w:vAlign w:val="bottom"/>
          </w:tcPr>
          <w:p>
            <w:pPr>
              <w:spacing w:after="0"/>
              <w:rPr>
                <w:sz w:val="1"/>
                <w:szCs w:val="1"/>
                <w:color w:val="auto"/>
              </w:rPr>
            </w:pPr>
          </w:p>
        </w:tc>
      </w:tr>
      <w:tr>
        <w:trPr>
          <w:trHeight w:val="139"/>
        </w:trPr>
        <w:tc>
          <w:tcPr>
            <w:tcW w:w="38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Dividend payment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(2,282)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(2,282)</w:t>
            </w:r>
          </w:p>
        </w:tc>
        <w:tc>
          <w:tcPr>
            <w:tcW w:w="0" w:type="dxa"/>
            <w:vAlign w:val="bottom"/>
          </w:tcPr>
          <w:p>
            <w:pPr>
              <w:spacing w:after="0"/>
              <w:rPr>
                <w:sz w:val="1"/>
                <w:szCs w:val="1"/>
                <w:color w:val="auto"/>
              </w:rPr>
            </w:pPr>
          </w:p>
        </w:tc>
      </w:tr>
      <w:tr>
        <w:trPr>
          <w:trHeight w:val="129"/>
        </w:trPr>
        <w:tc>
          <w:tcPr>
            <w:tcW w:w="386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Stock-based compensation</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889</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889</w:t>
            </w:r>
          </w:p>
        </w:tc>
        <w:tc>
          <w:tcPr>
            <w:tcW w:w="0" w:type="dxa"/>
            <w:vAlign w:val="bottom"/>
          </w:tcPr>
          <w:p>
            <w:pPr>
              <w:spacing w:after="0"/>
              <w:rPr>
                <w:sz w:val="1"/>
                <w:szCs w:val="1"/>
                <w:color w:val="auto"/>
              </w:rPr>
            </w:pPr>
          </w:p>
        </w:tc>
      </w:tr>
      <w:tr>
        <w:trPr>
          <w:trHeight w:val="159"/>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Balance at March 31, 2026</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18,257,400</w:t>
            </w:r>
          </w:p>
        </w:tc>
        <w:tc>
          <w:tcPr>
            <w:tcW w:w="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center"/>
              <w:ind w:right="66"/>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18,257</w:t>
            </w: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278,812</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(42,473)</w:t>
            </w:r>
          </w:p>
        </w:tc>
        <w:tc>
          <w:tcPr>
            <w:tcW w:w="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(31,350)</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223,246</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386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gridSpan w:val="2"/>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3860" w:type="dxa"/>
            <w:vAlign w:val="bottom"/>
            <w:shd w:val="clear" w:color="auto" w:fill="CCEEFF"/>
          </w:tcPr>
          <w:p>
            <w:pPr>
              <w:spacing w:after="0"/>
              <w:rPr>
                <w:sz w:val="20"/>
                <w:szCs w:val="20"/>
                <w:color w:val="auto"/>
              </w:rPr>
            </w:pPr>
            <w:r>
              <w:rPr>
                <w:rFonts w:ascii="Arial" w:cs="Arial" w:eastAsia="Arial" w:hAnsi="Arial"/>
                <w:sz w:val="11"/>
                <w:szCs w:val="11"/>
                <w:color w:val="auto"/>
              </w:rPr>
              <w:t>Balance at December 31, 2024</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19,924,632</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center"/>
              <w:ind w:right="66"/>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19,925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307,810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(67,813)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(44,534)</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215,388</w:t>
            </w:r>
          </w:p>
        </w:tc>
        <w:tc>
          <w:tcPr>
            <w:tcW w:w="0" w:type="dxa"/>
            <w:vAlign w:val="bottom"/>
          </w:tcPr>
          <w:p>
            <w:pPr>
              <w:spacing w:after="0"/>
              <w:rPr>
                <w:sz w:val="1"/>
                <w:szCs w:val="1"/>
                <w:color w:val="auto"/>
              </w:rPr>
            </w:pPr>
          </w:p>
        </w:tc>
      </w:tr>
      <w:tr>
        <w:trPr>
          <w:trHeight w:val="139"/>
        </w:trPr>
        <w:tc>
          <w:tcPr>
            <w:tcW w:w="3860" w:type="dxa"/>
            <w:vAlign w:val="bottom"/>
          </w:tcPr>
          <w:p>
            <w:pPr>
              <w:ind w:left="100"/>
              <w:spacing w:after="0"/>
              <w:rPr>
                <w:sz w:val="20"/>
                <w:szCs w:val="20"/>
                <w:color w:val="auto"/>
              </w:rPr>
            </w:pPr>
            <w:r>
              <w:rPr>
                <w:rFonts w:ascii="Arial" w:cs="Arial" w:eastAsia="Arial" w:hAnsi="Arial"/>
                <w:sz w:val="11"/>
                <w:szCs w:val="11"/>
                <w:color w:val="auto"/>
              </w:rPr>
              <w:t>Net income</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7,658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7,658</w:t>
            </w:r>
          </w:p>
        </w:tc>
        <w:tc>
          <w:tcPr>
            <w:tcW w:w="0" w:type="dxa"/>
            <w:vAlign w:val="bottom"/>
          </w:tcPr>
          <w:p>
            <w:pPr>
              <w:spacing w:after="0"/>
              <w:rPr>
                <w:sz w:val="1"/>
                <w:szCs w:val="1"/>
                <w:color w:val="auto"/>
              </w:rPr>
            </w:pPr>
          </w:p>
        </w:tc>
      </w:tr>
      <w:tr>
        <w:trPr>
          <w:trHeight w:val="139"/>
        </w:trPr>
        <w:tc>
          <w:tcPr>
            <w:tcW w:w="38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comprehensive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3,421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3,421</w:t>
            </w:r>
          </w:p>
        </w:tc>
        <w:tc>
          <w:tcPr>
            <w:tcW w:w="0" w:type="dxa"/>
            <w:vAlign w:val="bottom"/>
          </w:tcPr>
          <w:p>
            <w:pPr>
              <w:spacing w:after="0"/>
              <w:rPr>
                <w:sz w:val="1"/>
                <w:szCs w:val="1"/>
                <w:color w:val="auto"/>
              </w:rPr>
            </w:pPr>
          </w:p>
        </w:tc>
      </w:tr>
      <w:tr>
        <w:trPr>
          <w:trHeight w:val="139"/>
        </w:trPr>
        <w:tc>
          <w:tcPr>
            <w:tcW w:w="3860" w:type="dxa"/>
            <w:vAlign w:val="bottom"/>
          </w:tcPr>
          <w:p>
            <w:pPr>
              <w:ind w:left="100"/>
              <w:spacing w:after="0"/>
              <w:rPr>
                <w:sz w:val="20"/>
                <w:szCs w:val="20"/>
                <w:color w:val="auto"/>
              </w:rPr>
            </w:pPr>
            <w:r>
              <w:rPr>
                <w:rFonts w:ascii="Arial" w:cs="Arial" w:eastAsia="Arial" w:hAnsi="Arial"/>
                <w:sz w:val="11"/>
                <w:szCs w:val="11"/>
                <w:color w:val="auto"/>
              </w:rPr>
              <w:t>Repurchase of Class A common stock</w:t>
            </w:r>
          </w:p>
        </w:tc>
        <w:tc>
          <w:tcPr>
            <w:tcW w:w="920" w:type="dxa"/>
            <w:vAlign w:val="bottom"/>
          </w:tcPr>
          <w:p>
            <w:pPr>
              <w:jc w:val="right"/>
              <w:spacing w:after="0"/>
              <w:rPr>
                <w:sz w:val="20"/>
                <w:szCs w:val="20"/>
                <w:color w:val="auto"/>
              </w:rPr>
            </w:pPr>
            <w:r>
              <w:rPr>
                <w:rFonts w:ascii="Arial" w:cs="Arial" w:eastAsia="Arial" w:hAnsi="Arial"/>
                <w:sz w:val="11"/>
                <w:szCs w:val="11"/>
                <w:color w:val="auto"/>
              </w:rPr>
              <w:t>(9,671)</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1"/>
                <w:szCs w:val="11"/>
                <w:color w:val="auto"/>
              </w:rPr>
              <w:t>(164)</w:t>
            </w: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(174)</w:t>
            </w:r>
          </w:p>
        </w:tc>
        <w:tc>
          <w:tcPr>
            <w:tcW w:w="0" w:type="dxa"/>
            <w:vAlign w:val="bottom"/>
          </w:tcPr>
          <w:p>
            <w:pPr>
              <w:spacing w:after="0"/>
              <w:rPr>
                <w:sz w:val="1"/>
                <w:szCs w:val="1"/>
                <w:color w:val="auto"/>
              </w:rPr>
            </w:pPr>
          </w:p>
        </w:tc>
      </w:tr>
      <w:tr>
        <w:trPr>
          <w:trHeight w:val="139"/>
        </w:trPr>
        <w:tc>
          <w:tcPr>
            <w:tcW w:w="38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Restricted stock issued</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124,424</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(124)</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3860" w:type="dxa"/>
            <w:vAlign w:val="bottom"/>
          </w:tcPr>
          <w:p>
            <w:pPr>
              <w:ind w:left="100"/>
              <w:spacing w:after="0"/>
              <w:rPr>
                <w:sz w:val="20"/>
                <w:szCs w:val="20"/>
                <w:color w:val="auto"/>
              </w:rPr>
            </w:pPr>
            <w:r>
              <w:rPr>
                <w:rFonts w:ascii="Arial" w:cs="Arial" w:eastAsia="Arial" w:hAnsi="Arial"/>
                <w:sz w:val="11"/>
                <w:szCs w:val="11"/>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1"/>
                <w:szCs w:val="11"/>
                <w:color w:val="auto"/>
              </w:rPr>
              <w:t>9,000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83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92</w:t>
            </w:r>
          </w:p>
        </w:tc>
        <w:tc>
          <w:tcPr>
            <w:tcW w:w="0" w:type="dxa"/>
            <w:vAlign w:val="bottom"/>
          </w:tcPr>
          <w:p>
            <w:pPr>
              <w:spacing w:after="0"/>
              <w:rPr>
                <w:sz w:val="1"/>
                <w:szCs w:val="1"/>
                <w:color w:val="auto"/>
              </w:rPr>
            </w:pPr>
          </w:p>
        </w:tc>
      </w:tr>
      <w:tr>
        <w:trPr>
          <w:trHeight w:val="139"/>
        </w:trPr>
        <w:tc>
          <w:tcPr>
            <w:tcW w:w="38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Dividend payment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(2,005)</w:t>
            </w:r>
          </w:p>
        </w:tc>
        <w:tc>
          <w:tcPr>
            <w:tcW w:w="0" w:type="dxa"/>
            <w:vAlign w:val="bottom"/>
          </w:tcPr>
          <w:p>
            <w:pPr>
              <w:spacing w:after="0"/>
              <w:rPr>
                <w:sz w:val="1"/>
                <w:szCs w:val="1"/>
                <w:color w:val="auto"/>
              </w:rPr>
            </w:pPr>
          </w:p>
        </w:tc>
      </w:tr>
      <w:tr>
        <w:trPr>
          <w:trHeight w:val="139"/>
        </w:trPr>
        <w:tc>
          <w:tcPr>
            <w:tcW w:w="386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Stock-based compensation</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708</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708</w:t>
            </w:r>
          </w:p>
        </w:tc>
        <w:tc>
          <w:tcPr>
            <w:tcW w:w="0" w:type="dxa"/>
            <w:vAlign w:val="bottom"/>
          </w:tcPr>
          <w:p>
            <w:pPr>
              <w:spacing w:after="0"/>
              <w:rPr>
                <w:sz w:val="1"/>
                <w:szCs w:val="1"/>
                <w:color w:val="auto"/>
              </w:rPr>
            </w:pPr>
          </w:p>
        </w:tc>
      </w:tr>
      <w:tr>
        <w:trPr>
          <w:trHeight w:val="140"/>
        </w:trPr>
        <w:tc>
          <w:tcPr>
            <w:tcW w:w="3860" w:type="dxa"/>
            <w:vAlign w:val="bottom"/>
            <w:shd w:val="clear" w:color="auto" w:fill="CCEEFF"/>
          </w:tcPr>
          <w:p>
            <w:pPr>
              <w:spacing w:after="0"/>
              <w:rPr>
                <w:sz w:val="20"/>
                <w:szCs w:val="20"/>
                <w:color w:val="auto"/>
              </w:rPr>
            </w:pPr>
            <w:r>
              <w:rPr>
                <w:rFonts w:ascii="Arial" w:cs="Arial" w:eastAsia="Arial" w:hAnsi="Arial"/>
                <w:sz w:val="11"/>
                <w:szCs w:val="11"/>
                <w:color w:val="auto"/>
              </w:rPr>
              <w:t>Balance at March 31, 2025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20,048,385</w:t>
            </w:r>
          </w:p>
        </w:tc>
        <w:tc>
          <w:tcPr>
            <w:tcW w:w="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center"/>
              <w:ind w:right="66"/>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20,048</w:t>
            </w:r>
          </w:p>
        </w:tc>
        <w:tc>
          <w:tcPr>
            <w:tcW w:w="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308,313</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(62,160)</w:t>
            </w: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(41,113)</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225,088</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860" w:type="dxa"/>
            <w:vAlign w:val="bottom"/>
            <w:tcBorders>
              <w:bottom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1"/>
          <w:szCs w:val="1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tabs>
          <w:tab w:leader="none" w:pos="260" w:val="left"/>
          <w:tab w:leader="none" w:pos="100" w:val="left"/>
        </w:tabs>
        <w:rPr>
          <w:sz w:val="20"/>
          <w:szCs w:val="20"/>
          <w:color w:val="auto"/>
        </w:rPr>
      </w:pPr>
      <w:r>
        <w:rPr>
          <w:rFonts w:ascii="Arial" w:cs="Arial" w:eastAsia="Arial" w:hAnsi="Arial"/>
          <w:sz w:val="14"/>
          <w:szCs w:val="14"/>
          <w:color w:val="auto"/>
        </w:rPr>
        <w:t>6</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10200"/>
          </w:cols>
          <w:pgMar w:left="900" w:top="477" w:right="799" w:bottom="1440" w:gutter="0" w:footer="0" w:header="0"/>
        </w:sectPr>
      </w:pPr>
    </w:p>
    <w:bookmarkStart w:id="6" w:name="page7"/>
    <w:bookmarkEnd w:id="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Consolidated Statements of Cash Flows - Unaudited</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(Dollars in thousands)</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5"/>
          </w:tcPr>
          <w:p>
            <w:pPr>
              <w:jc w:val="right"/>
              <w:spacing w:after="0"/>
              <w:rPr>
                <w:sz w:val="20"/>
                <w:szCs w:val="20"/>
                <w:color w:val="auto"/>
              </w:rPr>
            </w:pPr>
            <w:r>
              <w:rPr>
                <w:rFonts w:ascii="Arial" w:cs="Arial" w:eastAsia="Arial" w:hAnsi="Arial"/>
                <w:sz w:val="11"/>
                <w:szCs w:val="11"/>
                <w:b w:val="1"/>
                <w:bCs w:val="1"/>
                <w:color w:val="auto"/>
              </w:rPr>
              <w:t>Three Months Ended March 31,</w:t>
            </w:r>
          </w:p>
        </w:tc>
        <w:tc>
          <w:tcPr>
            <w:tcW w:w="4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04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2026</w:t>
            </w:r>
          </w:p>
        </w:tc>
        <w:tc>
          <w:tcPr>
            <w:tcW w:w="48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1"/>
                <w:szCs w:val="11"/>
                <w:b w:val="1"/>
                <w:bCs w:val="1"/>
                <w:color w:val="auto"/>
              </w:rPr>
              <w:t>2025</w:t>
            </w:r>
          </w:p>
        </w:tc>
        <w:tc>
          <w:tcPr>
            <w:tcW w:w="4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20" w:type="dxa"/>
            <w:vAlign w:val="bottom"/>
            <w:gridSpan w:val="3"/>
            <w:shd w:val="clear" w:color="auto" w:fill="CCEEFF"/>
          </w:tcPr>
          <w:p>
            <w:pPr>
              <w:spacing w:after="0" w:line="119" w:lineRule="exact"/>
              <w:rPr>
                <w:sz w:val="20"/>
                <w:szCs w:val="20"/>
                <w:color w:val="auto"/>
              </w:rPr>
            </w:pPr>
            <w:r>
              <w:rPr>
                <w:rFonts w:ascii="Arial" w:cs="Arial" w:eastAsia="Arial" w:hAnsi="Arial"/>
                <w:sz w:val="11"/>
                <w:szCs w:val="11"/>
                <w:b w:val="1"/>
                <w:bCs w:val="1"/>
                <w:color w:val="auto"/>
              </w:rPr>
              <w:t>Cash flows from operating activities:</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3"/>
          </w:tcPr>
          <w:p>
            <w:pPr>
              <w:ind w:left="80"/>
              <w:spacing w:after="0"/>
              <w:rPr>
                <w:sz w:val="20"/>
                <w:szCs w:val="20"/>
                <w:color w:val="auto"/>
              </w:rPr>
            </w:pPr>
            <w:r>
              <w:rPr>
                <w:rFonts w:ascii="Arial" w:cs="Arial" w:eastAsia="Arial" w:hAnsi="Arial"/>
                <w:sz w:val="11"/>
                <w:szCs w:val="11"/>
                <w:color w:val="auto"/>
              </w:rPr>
              <w:t>Net income</w:t>
            </w:r>
          </w:p>
        </w:tc>
        <w:tc>
          <w:tcPr>
            <w:tcW w:w="140" w:type="dxa"/>
            <w:vAlign w:val="bottom"/>
            <w:gridSpan w:val="2"/>
          </w:tcPr>
          <w:p>
            <w:pPr>
              <w:jc w:val="right"/>
              <w:ind w:right="53"/>
              <w:spacing w:after="0"/>
              <w:rPr>
                <w:sz w:val="20"/>
                <w:szCs w:val="20"/>
                <w:color w:val="auto"/>
              </w:rPr>
            </w:pPr>
            <w:r>
              <w:rPr>
                <w:rFonts w:ascii="Arial" w:cs="Arial" w:eastAsia="Arial" w:hAnsi="Arial"/>
                <w:sz w:val="10"/>
                <w:szCs w:val="10"/>
                <w:color w:val="auto"/>
                <w:w w:val="71"/>
              </w:rPr>
              <w:t>$</w:t>
            </w:r>
          </w:p>
        </w:tc>
        <w:tc>
          <w:tcPr>
            <w:tcW w:w="5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9,351</w:t>
            </w:r>
          </w:p>
        </w:tc>
        <w:tc>
          <w:tcPr>
            <w:tcW w:w="40" w:type="dxa"/>
            <w:vAlign w:val="bottom"/>
          </w:tcPr>
          <w:p>
            <w:pPr>
              <w:spacing w:after="0"/>
              <w:rPr>
                <w:sz w:val="12"/>
                <w:szCs w:val="12"/>
                <w:color w:val="auto"/>
              </w:rPr>
            </w:pPr>
          </w:p>
        </w:tc>
        <w:tc>
          <w:tcPr>
            <w:tcW w:w="780" w:type="dxa"/>
            <w:vAlign w:val="bottom"/>
            <w:gridSpan w:val="2"/>
          </w:tcPr>
          <w:p>
            <w:pPr>
              <w:jc w:val="right"/>
              <w:ind w:right="693"/>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7,658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140" w:type="dxa"/>
            <w:vAlign w:val="bottom"/>
            <w:gridSpan w:val="2"/>
          </w:tcPr>
          <w:p>
            <w:pPr>
              <w:ind w:left="100"/>
              <w:spacing w:after="0"/>
              <w:rPr>
                <w:sz w:val="20"/>
                <w:szCs w:val="20"/>
                <w:color w:val="auto"/>
              </w:rPr>
            </w:pPr>
            <w:r>
              <w:rPr>
                <w:rFonts w:ascii="Arial" w:cs="Arial" w:eastAsia="Arial" w:hAnsi="Arial"/>
                <w:sz w:val="11"/>
                <w:szCs w:val="11"/>
                <w:color w:val="auto"/>
              </w:rPr>
              <w:t>Provision for credit losses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801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681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Depreciation and amortization</w:t>
            </w: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w:t>
            </w:r>
          </w:p>
        </w:tc>
        <w:tc>
          <w:tcPr>
            <w:tcW w:w="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40" w:type="dxa"/>
            <w:vAlign w:val="bottom"/>
          </w:tcPr>
          <w:p>
            <w:pPr>
              <w:spacing w:after="0" w:line="119" w:lineRule="exact"/>
              <w:rPr>
                <w:sz w:val="20"/>
                <w:szCs w:val="20"/>
                <w:color w:val="auto"/>
              </w:rPr>
            </w:pPr>
            <w:r>
              <w:rPr>
                <w:rFonts w:ascii="Arial" w:cs="Arial" w:eastAsia="Arial" w:hAnsi="Arial"/>
                <w:sz w:val="11"/>
                <w:szCs w:val="11"/>
                <w:color w:val="auto"/>
              </w:rPr>
              <w:t>Accretion of premiums on securities, net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jc w:val="right"/>
              <w:spacing w:after="0" w:line="119" w:lineRule="exact"/>
              <w:rPr>
                <w:sz w:val="20"/>
                <w:szCs w:val="20"/>
                <w:color w:val="auto"/>
              </w:rPr>
            </w:pPr>
            <w:r>
              <w:rPr>
                <w:rFonts w:ascii="Arial" w:cs="Arial" w:eastAsia="Arial" w:hAnsi="Arial"/>
                <w:sz w:val="11"/>
                <w:szCs w:val="11"/>
                <w:color w:val="auto"/>
              </w:rPr>
              <w:t>(374)</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(212)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Amortization of deferred loan fees, net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269</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140" w:type="dxa"/>
            <w:vAlign w:val="bottom"/>
            <w:gridSpan w:val="2"/>
          </w:tcPr>
          <w:p>
            <w:pPr>
              <w:ind w:left="100"/>
              <w:spacing w:after="0"/>
              <w:rPr>
                <w:sz w:val="20"/>
                <w:szCs w:val="20"/>
                <w:color w:val="auto"/>
              </w:rPr>
            </w:pPr>
            <w:r>
              <w:rPr>
                <w:rFonts w:ascii="Arial" w:cs="Arial" w:eastAsia="Arial" w:hAnsi="Arial"/>
                <w:sz w:val="11"/>
                <w:szCs w:val="11"/>
                <w:color w:val="auto"/>
              </w:rPr>
              <w:t>Stock-based compensation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889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708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Gain on sale of available for sale securities, net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140" w:type="dxa"/>
            <w:vAlign w:val="bottom"/>
            <w:gridSpan w:val="2"/>
          </w:tcPr>
          <w:p>
            <w:pPr>
              <w:ind w:left="100"/>
              <w:spacing w:after="0"/>
              <w:rPr>
                <w:sz w:val="20"/>
                <w:szCs w:val="20"/>
                <w:color w:val="auto"/>
              </w:rPr>
            </w:pPr>
            <w:r>
              <w:rPr>
                <w:rFonts w:ascii="Arial" w:cs="Arial" w:eastAsia="Arial" w:hAnsi="Arial"/>
                <w:sz w:val="11"/>
                <w:szCs w:val="11"/>
                <w:color w:val="auto"/>
              </w:rPr>
              <w:t>Gain on sale of loans held for sale, net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(106)</w:t>
            </w: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(525)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Proceeds from the sale of loans held for sale</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1,329</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7,719</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140" w:type="dxa"/>
            <w:vAlign w:val="bottom"/>
            <w:gridSpan w:val="2"/>
          </w:tcPr>
          <w:p>
            <w:pPr>
              <w:ind w:left="100"/>
              <w:spacing w:after="0"/>
              <w:rPr>
                <w:sz w:val="20"/>
                <w:szCs w:val="20"/>
                <w:color w:val="auto"/>
              </w:rPr>
            </w:pPr>
            <w:r>
              <w:rPr>
                <w:rFonts w:ascii="Arial" w:cs="Arial" w:eastAsia="Arial" w:hAnsi="Arial"/>
                <w:sz w:val="11"/>
                <w:szCs w:val="11"/>
                <w:color w:val="auto"/>
              </w:rPr>
              <w:t>Origination of loans held for sale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(1,223)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1"/>
                <w:szCs w:val="11"/>
                <w:color w:val="auto"/>
              </w:rPr>
              <w:t>(7,194)</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Increase in cash surrender value of bank owned life insurance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(496)</w:t>
            </w: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(471)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140" w:type="dxa"/>
            <w:vAlign w:val="bottom"/>
            <w:gridSpan w:val="2"/>
          </w:tcPr>
          <w:p>
            <w:pPr>
              <w:ind w:left="100"/>
              <w:spacing w:after="0"/>
              <w:rPr>
                <w:sz w:val="20"/>
                <w:szCs w:val="20"/>
                <w:color w:val="auto"/>
              </w:rPr>
            </w:pPr>
            <w:r>
              <w:rPr>
                <w:rFonts w:ascii="Arial" w:cs="Arial" w:eastAsia="Arial" w:hAnsi="Arial"/>
                <w:sz w:val="11"/>
                <w:szCs w:val="11"/>
                <w:color w:val="auto"/>
              </w:rPr>
              <w:t>Amortization of subordinated debt issuance costs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38</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Deferred income tax expense (benefit)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(581)</w:t>
            </w: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2,440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220" w:type="dxa"/>
            <w:vAlign w:val="bottom"/>
            <w:gridSpan w:val="3"/>
          </w:tcPr>
          <w:p>
            <w:pPr>
              <w:ind w:left="80"/>
              <w:spacing w:after="0"/>
              <w:rPr>
                <w:sz w:val="20"/>
                <w:szCs w:val="20"/>
                <w:color w:val="auto"/>
              </w:rPr>
            </w:pPr>
            <w:r>
              <w:rPr>
                <w:rFonts w:ascii="Arial" w:cs="Arial" w:eastAsia="Arial" w:hAnsi="Arial"/>
                <w:sz w:val="11"/>
                <w:szCs w:val="11"/>
                <w:color w:val="auto"/>
              </w:rPr>
              <w:t>Net change in operating assets and liabilities: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Accrued interest receivable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(79)</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140" w:type="dxa"/>
            <w:vAlign w:val="bottom"/>
            <w:gridSpan w:val="2"/>
          </w:tcPr>
          <w:p>
            <w:pPr>
              <w:ind w:left="100"/>
              <w:spacing w:after="0"/>
              <w:rPr>
                <w:sz w:val="20"/>
                <w:szCs w:val="20"/>
                <w:color w:val="auto"/>
              </w:rPr>
            </w:pPr>
            <w:r>
              <w:rPr>
                <w:rFonts w:ascii="Arial" w:cs="Arial" w:eastAsia="Arial" w:hAnsi="Arial"/>
                <w:sz w:val="11"/>
                <w:szCs w:val="11"/>
                <w:color w:val="auto"/>
              </w:rPr>
              <w:t>Other assets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(62)</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1"/>
                <w:szCs w:val="11"/>
                <w:color w:val="auto"/>
              </w:rPr>
              <w:t>(3,005)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Accrued interest and other liabilities</w:t>
            </w:r>
          </w:p>
        </w:tc>
        <w:tc>
          <w:tcPr>
            <w:tcW w:w="2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5,401</w:t>
            </w:r>
          </w:p>
        </w:tc>
        <w:tc>
          <w:tcPr>
            <w:tcW w:w="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6,634</w:t>
            </w:r>
          </w:p>
        </w:tc>
        <w:tc>
          <w:tcPr>
            <w:tcW w:w="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40" w:type="dxa"/>
            <w:vAlign w:val="bottom"/>
          </w:tcPr>
          <w:p>
            <w:pPr>
              <w:ind w:left="180"/>
              <w:spacing w:after="0"/>
              <w:rPr>
                <w:sz w:val="20"/>
                <w:szCs w:val="20"/>
                <w:color w:val="auto"/>
              </w:rPr>
            </w:pPr>
            <w:r>
              <w:rPr>
                <w:rFonts w:ascii="Arial" w:cs="Arial" w:eastAsia="Arial" w:hAnsi="Arial"/>
                <w:sz w:val="11"/>
                <w:szCs w:val="11"/>
                <w:color w:val="auto"/>
              </w:rPr>
              <w:t>Net cash provided by operating activities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15,276</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14,628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vMerge w:val="continue"/>
          </w:tcPr>
          <w:p>
            <w:pPr>
              <w:spacing w:after="0"/>
              <w:rPr>
                <w:sz w:val="12"/>
                <w:szCs w:val="12"/>
                <w:color w:val="auto"/>
              </w:rPr>
            </w:pPr>
          </w:p>
        </w:tc>
        <w:tc>
          <w:tcPr>
            <w:tcW w:w="5220" w:type="dxa"/>
            <w:vAlign w:val="bottom"/>
            <w:gridSpan w:val="3"/>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Proceeds from maturities and pay-downs of investment securities held to maturity</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4,063</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2,955</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220" w:type="dxa"/>
            <w:vAlign w:val="bottom"/>
            <w:gridSpan w:val="3"/>
          </w:tcPr>
          <w:p>
            <w:pPr>
              <w:ind w:left="80"/>
              <w:spacing w:after="0"/>
              <w:rPr>
                <w:sz w:val="20"/>
                <w:szCs w:val="20"/>
                <w:color w:val="auto"/>
              </w:rPr>
            </w:pPr>
            <w:r>
              <w:rPr>
                <w:rFonts w:ascii="Arial" w:cs="Arial" w:eastAsia="Arial" w:hAnsi="Arial"/>
                <w:sz w:val="11"/>
                <w:szCs w:val="11"/>
                <w:color w:val="auto"/>
              </w:rPr>
              <w:t>Purchase of investment securities available for sale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(13,631)</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(14,123)</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Proceeds from maturities and pay-downs of investment securities available for sale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4,964</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4,106</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3"/>
          </w:tcPr>
          <w:p>
            <w:pPr>
              <w:ind w:left="80"/>
              <w:spacing w:after="0"/>
              <w:rPr>
                <w:sz w:val="20"/>
                <w:szCs w:val="20"/>
                <w:color w:val="auto"/>
              </w:rPr>
            </w:pPr>
            <w:r>
              <w:rPr>
                <w:rFonts w:ascii="Arial" w:cs="Arial" w:eastAsia="Arial" w:hAnsi="Arial"/>
                <w:sz w:val="11"/>
                <w:szCs w:val="11"/>
                <w:color w:val="auto"/>
              </w:rPr>
              <w:t>Proceeds from sales of investment securities available for sale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37,181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increase in loans held for investment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(7,968)</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(43,503)</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3"/>
          </w:tcPr>
          <w:p>
            <w:pPr>
              <w:ind w:left="80"/>
              <w:spacing w:after="0"/>
              <w:rPr>
                <w:sz w:val="20"/>
                <w:szCs w:val="20"/>
                <w:color w:val="auto"/>
              </w:rPr>
            </w:pPr>
            <w:r>
              <w:rPr>
                <w:rFonts w:ascii="Arial" w:cs="Arial" w:eastAsia="Arial" w:hAnsi="Arial"/>
                <w:sz w:val="11"/>
                <w:szCs w:val="11"/>
                <w:color w:val="auto"/>
              </w:rPr>
              <w:t>Purchase of loans held for investment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(44,090)</w:t>
            </w: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(19,989)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Additions to premises and equipment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(320)</w:t>
            </w: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3"/>
          </w:tcPr>
          <w:p>
            <w:pPr>
              <w:ind w:left="80"/>
              <w:spacing w:after="0"/>
              <w:rPr>
                <w:sz w:val="20"/>
                <w:szCs w:val="20"/>
                <w:color w:val="auto"/>
              </w:rPr>
            </w:pPr>
            <w:r>
              <w:rPr>
                <w:rFonts w:ascii="Arial" w:cs="Arial" w:eastAsia="Arial" w:hAnsi="Arial"/>
                <w:sz w:val="11"/>
                <w:szCs w:val="11"/>
                <w:color w:val="auto"/>
              </w:rPr>
              <w:t>Purchase of bank owned life insurance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1"/>
                <w:szCs w:val="11"/>
                <w:color w:val="auto"/>
              </w:rPr>
              <w:t>(4,000)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Proceeds from the redemption of Federal Home Loan Bank stock</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6,994</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2,612</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220" w:type="dxa"/>
            <w:vAlign w:val="bottom"/>
            <w:gridSpan w:val="3"/>
          </w:tcPr>
          <w:p>
            <w:pPr>
              <w:ind w:left="80"/>
              <w:spacing w:after="0"/>
              <w:rPr>
                <w:sz w:val="20"/>
                <w:szCs w:val="20"/>
                <w:color w:val="auto"/>
              </w:rPr>
            </w:pPr>
            <w:r>
              <w:rPr>
                <w:rFonts w:ascii="Arial" w:cs="Arial" w:eastAsia="Arial" w:hAnsi="Arial"/>
                <w:sz w:val="11"/>
                <w:szCs w:val="11"/>
                <w:color w:val="auto"/>
              </w:rPr>
              <w:t>Purchase of Federal Home Loan Bank stock</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(2,141)</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(169)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40" w:type="dxa"/>
            <w:vAlign w:val="bottom"/>
            <w:shd w:val="clear" w:color="auto" w:fill="CCEEFF"/>
          </w:tcPr>
          <w:p>
            <w:pPr>
              <w:ind w:left="100"/>
              <w:spacing w:after="0" w:line="110" w:lineRule="exact"/>
              <w:rPr>
                <w:sz w:val="20"/>
                <w:szCs w:val="20"/>
                <w:color w:val="auto"/>
              </w:rPr>
            </w:pPr>
            <w:r>
              <w:rPr>
                <w:rFonts w:ascii="Arial" w:cs="Arial" w:eastAsia="Arial" w:hAnsi="Arial"/>
                <w:sz w:val="11"/>
                <w:szCs w:val="11"/>
                <w:color w:val="auto"/>
              </w:rPr>
              <w:t>Net cash used in investment activities</w:t>
            </w: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40"/>
              <w:spacing w:after="0" w:line="110" w:lineRule="exact"/>
              <w:rPr>
                <w:sz w:val="20"/>
                <w:szCs w:val="20"/>
                <w:color w:val="auto"/>
              </w:rPr>
            </w:pPr>
            <w:r>
              <w:rPr>
                <w:rFonts w:ascii="Arial" w:cs="Arial" w:eastAsia="Arial" w:hAnsi="Arial"/>
                <w:sz w:val="11"/>
                <w:szCs w:val="11"/>
                <w:color w:val="auto"/>
              </w:rPr>
              <w:t>(14,948)</w:t>
            </w:r>
          </w:p>
        </w:tc>
        <w:tc>
          <w:tcPr>
            <w:tcW w:w="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spacing w:after="0" w:line="110" w:lineRule="exact"/>
              <w:rPr>
                <w:sz w:val="20"/>
                <w:szCs w:val="20"/>
                <w:color w:val="auto"/>
              </w:rPr>
            </w:pPr>
            <w:r>
              <w:rPr>
                <w:rFonts w:ascii="Arial" w:cs="Arial" w:eastAsia="Arial" w:hAnsi="Arial"/>
                <w:sz w:val="11"/>
                <w:szCs w:val="11"/>
                <w:color w:val="auto"/>
              </w:rPr>
              <w:t>(72,157)</w:t>
            </w:r>
          </w:p>
        </w:tc>
        <w:tc>
          <w:tcPr>
            <w:tcW w:w="0" w:type="dxa"/>
            <w:vAlign w:val="bottom"/>
          </w:tcPr>
          <w:p>
            <w:pPr>
              <w:spacing w:after="0"/>
              <w:rPr>
                <w:sz w:val="1"/>
                <w:szCs w:val="1"/>
                <w:color w:val="auto"/>
              </w:rPr>
            </w:pPr>
          </w:p>
        </w:tc>
      </w:tr>
      <w:tr>
        <w:trPr>
          <w:trHeight w:val="139"/>
        </w:trPr>
        <w:tc>
          <w:tcPr>
            <w:tcW w:w="524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3"/>
          </w:tcPr>
          <w:p>
            <w:pPr>
              <w:ind w:left="80"/>
              <w:spacing w:after="0"/>
              <w:rPr>
                <w:sz w:val="20"/>
                <w:szCs w:val="20"/>
                <w:color w:val="auto"/>
              </w:rPr>
            </w:pPr>
            <w:r>
              <w:rPr>
                <w:rFonts w:ascii="Arial" w:cs="Arial" w:eastAsia="Arial" w:hAnsi="Arial"/>
                <w:sz w:val="11"/>
                <w:szCs w:val="11"/>
                <w:color w:val="auto"/>
              </w:rPr>
              <w:t>Proceeds from issuance of Class A common stock, net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191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Cash dividends paid</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(2,282)</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(2,005)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220" w:type="dxa"/>
            <w:vAlign w:val="bottom"/>
            <w:gridSpan w:val="3"/>
          </w:tcPr>
          <w:p>
            <w:pPr>
              <w:ind w:left="80"/>
              <w:spacing w:after="0"/>
              <w:rPr>
                <w:sz w:val="20"/>
                <w:szCs w:val="20"/>
                <w:color w:val="auto"/>
              </w:rPr>
            </w:pPr>
            <w:r>
              <w:rPr>
                <w:rFonts w:ascii="Arial" w:cs="Arial" w:eastAsia="Arial" w:hAnsi="Arial"/>
                <w:sz w:val="11"/>
                <w:szCs w:val="11"/>
                <w:color w:val="auto"/>
              </w:rPr>
              <w:t>Repurchase of Class A common stock</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(1,001)</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(174)</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increase in deposits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148,500</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5"/>
              </w:rPr>
              <w:t>135,565</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3"/>
          </w:tcPr>
          <w:p>
            <w:pPr>
              <w:ind w:left="80"/>
              <w:spacing w:after="0"/>
              <w:rPr>
                <w:sz w:val="20"/>
                <w:szCs w:val="20"/>
                <w:color w:val="auto"/>
              </w:rPr>
            </w:pPr>
            <w:r>
              <w:rPr>
                <w:rFonts w:ascii="Arial" w:cs="Arial" w:eastAsia="Arial" w:hAnsi="Arial"/>
                <w:sz w:val="11"/>
                <w:szCs w:val="11"/>
                <w:color w:val="auto"/>
              </w:rPr>
              <w:t>Proceeds from FHLB advances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42,000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Repayments on Federal Home Loan Bank advances</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(147,250)</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(55,000)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5040" w:type="dxa"/>
            <w:vAlign w:val="bottom"/>
            <w:tcBorders>
              <w:top w:val="single" w:sz="8" w:color="CCEEFF"/>
            </w:tcBorders>
          </w:tcPr>
          <w:p>
            <w:pPr>
              <w:ind w:left="100"/>
              <w:spacing w:after="0"/>
              <w:rPr>
                <w:sz w:val="20"/>
                <w:szCs w:val="20"/>
                <w:color w:val="auto"/>
              </w:rPr>
            </w:pPr>
            <w:r>
              <w:rPr>
                <w:rFonts w:ascii="Arial" w:cs="Arial" w:eastAsia="Arial" w:hAnsi="Arial"/>
                <w:sz w:val="11"/>
                <w:szCs w:val="11"/>
                <w:color w:val="auto"/>
              </w:rPr>
              <w:t>Net cash provided by financing activities</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40,158</w:t>
            </w: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78,478</w:t>
            </w:r>
          </w:p>
        </w:tc>
        <w:tc>
          <w:tcPr>
            <w:tcW w:w="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vMerge w:val="continue"/>
          </w:tcPr>
          <w:p>
            <w:pPr>
              <w:spacing w:after="0"/>
              <w:rPr>
                <w:sz w:val="12"/>
                <w:szCs w:val="12"/>
                <w:color w:val="auto"/>
              </w:rPr>
            </w:pPr>
          </w:p>
        </w:tc>
        <w:tc>
          <w:tcPr>
            <w:tcW w:w="5220" w:type="dxa"/>
            <w:vAlign w:val="bottom"/>
            <w:gridSpan w:val="3"/>
          </w:tcPr>
          <w:p>
            <w:pPr>
              <w:spacing w:after="0"/>
              <w:rPr>
                <w:sz w:val="20"/>
                <w:szCs w:val="20"/>
                <w:color w:val="auto"/>
              </w:rPr>
            </w:pPr>
            <w:r>
              <w:rPr>
                <w:rFonts w:ascii="Arial" w:cs="Arial" w:eastAsia="Arial" w:hAnsi="Arial"/>
                <w:sz w:val="11"/>
                <w:szCs w:val="11"/>
                <w:color w:val="auto"/>
              </w:rPr>
              <w:t>Net increase in cash and cash equivalents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40,486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20,949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Cash and cash equivalents at beginning of period</w:t>
            </w:r>
          </w:p>
        </w:tc>
        <w:tc>
          <w:tcPr>
            <w:tcW w:w="2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38,477</w:t>
            </w:r>
          </w:p>
        </w:tc>
        <w:tc>
          <w:tcPr>
            <w:tcW w:w="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77,035</w:t>
            </w:r>
          </w:p>
        </w:tc>
        <w:tc>
          <w:tcPr>
            <w:tcW w:w="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240" w:type="dxa"/>
            <w:vAlign w:val="bottom"/>
            <w:gridSpan w:val="4"/>
          </w:tcPr>
          <w:p>
            <w:pPr>
              <w:spacing w:after="0"/>
              <w:rPr>
                <w:sz w:val="20"/>
                <w:szCs w:val="20"/>
                <w:color w:val="auto"/>
              </w:rPr>
            </w:pPr>
            <w:r>
              <w:rPr>
                <w:rFonts w:ascii="Arial" w:cs="Arial" w:eastAsia="Arial" w:hAnsi="Arial"/>
                <w:sz w:val="11"/>
                <w:szCs w:val="11"/>
                <w:color w:val="auto"/>
              </w:rPr>
              <w:t>Cash and cash equivalents at end of period</w:t>
            </w:r>
          </w:p>
        </w:tc>
        <w:tc>
          <w:tcPr>
            <w:tcW w:w="140" w:type="dxa"/>
            <w:vAlign w:val="bottom"/>
            <w:gridSpan w:val="2"/>
          </w:tcPr>
          <w:p>
            <w:pPr>
              <w:jc w:val="right"/>
              <w:ind w:right="53"/>
              <w:spacing w:after="0"/>
              <w:rPr>
                <w:sz w:val="20"/>
                <w:szCs w:val="20"/>
                <w:color w:val="auto"/>
              </w:rPr>
            </w:pPr>
            <w:r>
              <w:rPr>
                <w:rFonts w:ascii="Arial" w:cs="Arial" w:eastAsia="Arial" w:hAnsi="Arial"/>
                <w:sz w:val="10"/>
                <w:szCs w:val="10"/>
                <w:color w:val="auto"/>
                <w:w w:val="71"/>
              </w:rPr>
              <w:t>$</w:t>
            </w:r>
          </w:p>
        </w:tc>
        <w:tc>
          <w:tcPr>
            <w:tcW w:w="5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78,963</w:t>
            </w:r>
          </w:p>
        </w:tc>
        <w:tc>
          <w:tcPr>
            <w:tcW w:w="40" w:type="dxa"/>
            <w:vAlign w:val="bottom"/>
          </w:tcPr>
          <w:p>
            <w:pPr>
              <w:spacing w:after="0"/>
              <w:rPr>
                <w:sz w:val="14"/>
                <w:szCs w:val="14"/>
                <w:color w:val="auto"/>
              </w:rPr>
            </w:pPr>
          </w:p>
        </w:tc>
        <w:tc>
          <w:tcPr>
            <w:tcW w:w="780" w:type="dxa"/>
            <w:vAlign w:val="bottom"/>
            <w:gridSpan w:val="2"/>
          </w:tcPr>
          <w:p>
            <w:pPr>
              <w:jc w:val="right"/>
              <w:ind w:right="693"/>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97,984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5220" w:type="dxa"/>
            <w:vAlign w:val="bottom"/>
            <w:tcBorders>
              <w:top w:val="single" w:sz="8" w:color="CCEEFF"/>
            </w:tcBorders>
            <w:gridSpan w:val="3"/>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vMerge w:val="continue"/>
          </w:tcPr>
          <w:p>
            <w:pPr>
              <w:spacing w:after="0"/>
              <w:rPr>
                <w:sz w:val="12"/>
                <w:szCs w:val="12"/>
                <w:color w:val="auto"/>
              </w:rPr>
            </w:pPr>
          </w:p>
        </w:tc>
        <w:tc>
          <w:tcPr>
            <w:tcW w:w="5220" w:type="dxa"/>
            <w:vAlign w:val="bottom"/>
            <w:gridSpan w:val="3"/>
          </w:tcPr>
          <w:p>
            <w:pPr>
              <w:spacing w:after="0"/>
              <w:rPr>
                <w:sz w:val="20"/>
                <w:szCs w:val="20"/>
                <w:color w:val="auto"/>
              </w:rPr>
            </w:pPr>
            <w:r>
              <w:rPr>
                <w:rFonts w:ascii="Arial" w:cs="Arial" w:eastAsia="Arial" w:hAnsi="Arial"/>
                <w:sz w:val="11"/>
                <w:szCs w:val="11"/>
                <w:b w:val="1"/>
                <w:bCs w:val="1"/>
                <w:color w:val="auto"/>
              </w:rPr>
              <w:t>Supplemental disclosure of cash flow information: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Interest paid</w:t>
            </w: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5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14,673</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5"/>
                <w:szCs w:val="5"/>
                <w:color w:val="auto"/>
                <w:w w:val="70"/>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14,454</w:t>
            </w:r>
          </w:p>
        </w:tc>
        <w:tc>
          <w:tcPr>
            <w:tcW w:w="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7</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7" w:name="page8"/>
    <w:bookmarkEnd w:id="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ind w:left="2800"/>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highlight w:val="white"/>
        </w:rPr>
        <w:t xml:space="preserve">1. </w:t>
      </w:r>
      <w:r>
        <w:rPr>
          <w:rFonts w:ascii="Arial" w:cs="Arial" w:eastAsia="Arial" w:hAnsi="Arial"/>
          <w:sz w:val="14"/>
          <w:szCs w:val="14"/>
          <w:b w:val="1"/>
          <w:bCs w:val="1"/>
          <w:color w:val="auto"/>
        </w:rPr>
        <w:t>SUMMARY OF SIGNIFICANT ACCOUNTING POLICIES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Overview</w:t>
      </w:r>
    </w:p>
    <w:p>
      <w:pPr>
        <w:spacing w:after="0" w:line="17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USCB Financial Holdings, Inc., a Florida corporation incorporated in 2021, is a bank holding company with one direct wholly owned subsidiary, U.S. Century Bank (the “Bank”), together referred to as “the Company”. The Bank, established in 2002, is a Florida state-chartered, non-member financial institution providing financial services through its banking centers located in South Florida.</w:t>
      </w:r>
    </w:p>
    <w:p>
      <w:pPr>
        <w:spacing w:after="0" w:line="124"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Bank owns a subsidiary, Florida Peninsula Title LLC, that offers our clients title insurance policies for real estate transactions closed at the Bank. Licensed in the State of Florida and approved by the Department of Insurance Regulation, Florida Peninsula Title LLC began operations in 2021.</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Basis of Presentation</w:t>
      </w:r>
    </w:p>
    <w:p>
      <w:pPr>
        <w:spacing w:after="0" w:line="170"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The accompanying unaudited consolidated financial statements have been prepared in accordance with instructions to Form 10-Q and do not include all the information and footnotes required by U.S. generally accepted accounting principles (“U.S. GAAP”) for complete financial statements. All adjustments consisting of normally recurring accruals that, in the opinion of management, are necessary for a fair presentation of the financial position and results of operations for the periods presented have been included. These unaudited consolidated financial statements should be read in conjunction with the Company’s audited consolidated financial statements and related notes appearing in the Company’s Annual Report on Form 10-K for the year ended December 31, 2025.</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Principles of Consolidation</w:t>
      </w:r>
    </w:p>
    <w:p>
      <w:pPr>
        <w:spacing w:after="0" w:line="170"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The Company consolidates entities in which it has a controlling financial interest. Intercompany transactions and balances are eliminated in consolidation.</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Use of Estimates</w:t>
      </w:r>
    </w:p>
    <w:p>
      <w:pPr>
        <w:spacing w:after="0" w:line="170"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To prepare consolidated financial statements in conformity with U.S. GAAP, management makes estimates and assumptions based on available information. These estimates and assumptions affect the amounts reported in the consolidated financial statements. The most significant estimate impacting the Company’s consolidated financial statements is the allowance for credit losses (“ACL”).</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Reclassifications</w:t>
      </w:r>
    </w:p>
    <w:p>
      <w:pPr>
        <w:spacing w:after="0" w:line="170" w:lineRule="exact"/>
        <w:rPr>
          <w:sz w:val="20"/>
          <w:szCs w:val="20"/>
          <w:color w:val="auto"/>
        </w:rPr>
      </w:pPr>
    </w:p>
    <w:p>
      <w:pPr>
        <w:jc w:val="both"/>
        <w:ind w:left="660" w:right="659" w:firstLine="256"/>
        <w:spacing w:after="0" w:line="276" w:lineRule="auto"/>
        <w:rPr>
          <w:sz w:val="20"/>
          <w:szCs w:val="20"/>
          <w:color w:val="auto"/>
        </w:rPr>
      </w:pPr>
      <w:r>
        <w:rPr>
          <w:rFonts w:ascii="Arial" w:cs="Arial" w:eastAsia="Arial" w:hAnsi="Arial"/>
          <w:sz w:val="14"/>
          <w:szCs w:val="14"/>
          <w:color w:val="auto"/>
        </w:rPr>
        <w:t>Certain amounts in prior period consolidated financial statements have been reclassified to conform to the current presentation. Reclassifications had no impact on prior period net income or stockholders’ equity.</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Recently Issued Accounting Standards</w:t>
      </w:r>
    </w:p>
    <w:p>
      <w:pPr>
        <w:spacing w:after="0" w:line="170" w:lineRule="exact"/>
        <w:rPr>
          <w:sz w:val="20"/>
          <w:szCs w:val="20"/>
          <w:color w:val="auto"/>
        </w:rPr>
      </w:pPr>
    </w:p>
    <w:p>
      <w:pPr>
        <w:ind w:left="660" w:right="699" w:firstLine="277"/>
        <w:spacing w:after="0" w:line="276" w:lineRule="auto"/>
        <w:rPr>
          <w:sz w:val="20"/>
          <w:szCs w:val="20"/>
          <w:color w:val="auto"/>
        </w:rPr>
      </w:pPr>
      <w:r>
        <w:rPr>
          <w:rFonts w:ascii="Arial" w:cs="Arial" w:eastAsia="Arial" w:hAnsi="Arial"/>
          <w:sz w:val="14"/>
          <w:szCs w:val="14"/>
          <w:color w:val="auto"/>
        </w:rPr>
        <w:t>There were no recently issued accounting standards adopted or issued during the period that are expected to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8</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8" w:name="page9"/>
    <w:bookmarkEnd w:id="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1040" w:hanging="377"/>
        <w:spacing w:after="0"/>
        <w:tabs>
          <w:tab w:leader="none" w:pos="1040"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INVESTMENT SECURITIES</w:t>
      </w:r>
    </w:p>
    <w:p>
      <w:pPr>
        <w:spacing w:after="0" w:line="202"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The following tables present a summary of the amortized cost, unrealized or unrecognized gains and losses, and fair value of investment securities at the dates indicated (in thousands):</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Borders>
              <w:bottom w:val="single" w:sz="8" w:color="auto"/>
            </w:tcBorders>
          </w:tcPr>
          <w:p>
            <w:pPr>
              <w:spacing w:after="0"/>
              <w:rPr>
                <w:sz w:val="13"/>
                <w:szCs w:val="13"/>
                <w:color w:val="auto"/>
              </w:rPr>
            </w:pPr>
          </w:p>
        </w:tc>
        <w:tc>
          <w:tcPr>
            <w:tcW w:w="1870" w:type="dxa"/>
            <w:vAlign w:val="bottom"/>
            <w:tcBorders>
              <w:bottom w:val="single" w:sz="8" w:color="auto"/>
            </w:tcBorders>
            <w:gridSpan w:val="9"/>
          </w:tcPr>
          <w:p>
            <w:pPr>
              <w:ind w:left="450"/>
              <w:spacing w:after="0"/>
              <w:rPr>
                <w:sz w:val="20"/>
                <w:szCs w:val="20"/>
                <w:color w:val="auto"/>
              </w:rPr>
            </w:pPr>
            <w:r>
              <w:rPr>
                <w:rFonts w:ascii="Arial" w:cs="Arial" w:eastAsia="Arial" w:hAnsi="Arial"/>
                <w:sz w:val="13"/>
                <w:szCs w:val="13"/>
                <w:b w:val="1"/>
                <w:bCs w:val="1"/>
                <w:color w:val="auto"/>
              </w:rPr>
              <w:t>March 31, 2026</w:t>
            </w: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r>
      <w:tr>
        <w:trPr>
          <w:trHeight w:val="194"/>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Amortized</w:t>
            </w:r>
          </w:p>
        </w:tc>
        <w:tc>
          <w:tcPr>
            <w:tcW w:w="2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890" w:type="dxa"/>
            <w:vAlign w:val="bottom"/>
            <w:gridSpan w:val="3"/>
          </w:tcPr>
          <w:p>
            <w:pPr>
              <w:jc w:val="center"/>
              <w:ind w:right="170"/>
              <w:spacing w:after="0"/>
              <w:rPr>
                <w:sz w:val="20"/>
                <w:szCs w:val="20"/>
                <w:color w:val="auto"/>
              </w:rPr>
            </w:pPr>
            <w:r>
              <w:rPr>
                <w:rFonts w:ascii="Arial" w:cs="Arial" w:eastAsia="Arial" w:hAnsi="Arial"/>
                <w:sz w:val="13"/>
                <w:szCs w:val="13"/>
                <w:b w:val="1"/>
                <w:bCs w:val="1"/>
                <w:color w:val="auto"/>
              </w:rPr>
              <w:t>Unrealized</w:t>
            </w:r>
          </w:p>
        </w:tc>
        <w:tc>
          <w:tcPr>
            <w:tcW w:w="90" w:type="dxa"/>
            <w:vAlign w:val="bottom"/>
          </w:tcPr>
          <w:p>
            <w:pPr>
              <w:spacing w:after="0"/>
              <w:rPr>
                <w:sz w:val="16"/>
                <w:szCs w:val="16"/>
                <w:color w:val="auto"/>
              </w:rPr>
            </w:pPr>
          </w:p>
        </w:tc>
        <w:tc>
          <w:tcPr>
            <w:tcW w:w="890" w:type="dxa"/>
            <w:vAlign w:val="bottom"/>
            <w:gridSpan w:val="5"/>
          </w:tcPr>
          <w:p>
            <w:pPr>
              <w:jc w:val="center"/>
              <w:ind w:right="170"/>
              <w:spacing w:after="0"/>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49"/>
        </w:trPr>
        <w:tc>
          <w:tcPr>
            <w:tcW w:w="3820" w:type="dxa"/>
            <w:vAlign w:val="bottom"/>
          </w:tcPr>
          <w:p>
            <w:pPr>
              <w:ind w:left="40"/>
              <w:spacing w:after="0"/>
              <w:rPr>
                <w:sz w:val="20"/>
                <w:szCs w:val="20"/>
                <w:color w:val="auto"/>
              </w:rPr>
            </w:pPr>
            <w:r>
              <w:rPr>
                <w:rFonts w:ascii="Arial" w:cs="Arial" w:eastAsia="Arial" w:hAnsi="Arial"/>
                <w:sz w:val="13"/>
                <w:szCs w:val="13"/>
                <w:b w:val="1"/>
                <w:bCs w:val="1"/>
                <w:color w:val="auto"/>
              </w:rPr>
              <w:t>Available-for-sale:</w:t>
            </w:r>
          </w:p>
        </w:tc>
        <w:tc>
          <w:tcPr>
            <w:tcW w:w="120" w:type="dxa"/>
            <w:vAlign w:val="bottom"/>
          </w:tcPr>
          <w:p>
            <w:pPr>
              <w:spacing w:after="0"/>
              <w:rPr>
                <w:sz w:val="12"/>
                <w:szCs w:val="12"/>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Cost</w:t>
            </w: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890" w:type="dxa"/>
            <w:vAlign w:val="bottom"/>
            <w:gridSpan w:val="3"/>
          </w:tcPr>
          <w:p>
            <w:pPr>
              <w:jc w:val="center"/>
              <w:ind w:right="190"/>
              <w:spacing w:after="0"/>
              <w:rPr>
                <w:sz w:val="20"/>
                <w:szCs w:val="20"/>
                <w:color w:val="auto"/>
              </w:rPr>
            </w:pPr>
            <w:r>
              <w:rPr>
                <w:rFonts w:ascii="Arial" w:cs="Arial" w:eastAsia="Arial" w:hAnsi="Arial"/>
                <w:sz w:val="13"/>
                <w:szCs w:val="13"/>
                <w:b w:val="1"/>
                <w:bCs w:val="1"/>
                <w:color w:val="auto"/>
                <w:w w:val="99"/>
              </w:rPr>
              <w:t>Gains</w:t>
            </w:r>
          </w:p>
        </w:tc>
        <w:tc>
          <w:tcPr>
            <w:tcW w:w="90" w:type="dxa"/>
            <w:vAlign w:val="bottom"/>
          </w:tcPr>
          <w:p>
            <w:pPr>
              <w:spacing w:after="0"/>
              <w:rPr>
                <w:sz w:val="12"/>
                <w:szCs w:val="12"/>
                <w:color w:val="auto"/>
              </w:rPr>
            </w:pPr>
          </w:p>
        </w:tc>
        <w:tc>
          <w:tcPr>
            <w:tcW w:w="3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8"/>
              </w:rPr>
              <w:t>Losses</w:t>
            </w:r>
          </w:p>
        </w:tc>
        <w:tc>
          <w:tcPr>
            <w:tcW w:w="140" w:type="dxa"/>
            <w:vAlign w:val="bottom"/>
          </w:tcPr>
          <w:p>
            <w:pPr>
              <w:spacing w:after="0"/>
              <w:rPr>
                <w:sz w:val="12"/>
                <w:szCs w:val="12"/>
                <w:color w:val="auto"/>
              </w:rPr>
            </w:pPr>
          </w:p>
        </w:tc>
        <w:tc>
          <w:tcPr>
            <w:tcW w:w="780" w:type="dxa"/>
            <w:vAlign w:val="bottom"/>
          </w:tcPr>
          <w:p>
            <w:pPr>
              <w:jc w:val="right"/>
              <w:ind w:right="116"/>
              <w:spacing w:after="0"/>
              <w:rPr>
                <w:sz w:val="20"/>
                <w:szCs w:val="20"/>
                <w:color w:val="auto"/>
              </w:rPr>
            </w:pPr>
            <w:r>
              <w:rPr>
                <w:rFonts w:ascii="Arial" w:cs="Arial" w:eastAsia="Arial" w:hAnsi="Arial"/>
                <w:sz w:val="13"/>
                <w:szCs w:val="13"/>
                <w:b w:val="1"/>
                <w:bCs w:val="1"/>
                <w:color w:val="auto"/>
                <w:w w:val="93"/>
              </w:rPr>
              <w:t>Fair Value</w:t>
            </w:r>
          </w:p>
        </w:tc>
      </w:tr>
      <w:tr>
        <w:trPr>
          <w:trHeight w:val="141"/>
        </w:trPr>
        <w:tc>
          <w:tcPr>
            <w:tcW w:w="3820" w:type="dxa"/>
            <w:vAlign w:val="bottom"/>
            <w:tcBorders>
              <w:top w:val="single" w:sz="8" w:color="CCEEFF"/>
              <w:bottom w:val="single" w:sz="8" w:color="CCEEFF"/>
            </w:tcBorders>
            <w:shd w:val="clear" w:color="auto" w:fill="CCEEFF"/>
          </w:tcPr>
          <w:p>
            <w:pPr>
              <w:ind w:left="40"/>
              <w:spacing w:after="0" w:line="140" w:lineRule="exact"/>
              <w:rPr>
                <w:sz w:val="20"/>
                <w:szCs w:val="20"/>
                <w:color w:val="auto"/>
              </w:rPr>
            </w:pPr>
            <w:r>
              <w:rPr>
                <w:rFonts w:ascii="Arial" w:cs="Arial" w:eastAsia="Arial" w:hAnsi="Arial"/>
                <w:sz w:val="13"/>
                <w:szCs w:val="13"/>
                <w:color w:val="auto"/>
              </w:rPr>
              <w:t>U.S. Government Agency</w:t>
            </w:r>
          </w:p>
        </w:tc>
        <w:tc>
          <w:tcPr>
            <w:tcW w:w="12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shd w:val="clear" w:color="auto" w:fill="CCEEFF"/>
              </w:rPr>
              <w:t>$</w:t>
            </w:r>
          </w:p>
        </w:tc>
        <w:tc>
          <w:tcPr>
            <w:tcW w:w="80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12,568</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1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shd w:val="clear" w:color="auto" w:fill="CCEEFF"/>
              </w:rPr>
              <w:t>$</w:t>
            </w:r>
          </w:p>
        </w:tc>
        <w:tc>
          <w:tcPr>
            <w:tcW w:w="81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CCEEFF"/>
            </w:tcBorders>
            <w:shd w:val="clear" w:color="auto" w:fill="CCEEFF"/>
          </w:tcPr>
          <w:p>
            <w:pPr>
              <w:spacing w:after="0"/>
              <w:rPr>
                <w:sz w:val="12"/>
                <w:szCs w:val="12"/>
                <w:color w:val="auto"/>
              </w:rPr>
            </w:pPr>
          </w:p>
        </w:tc>
        <w:tc>
          <w:tcPr>
            <w:tcW w:w="9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shd w:val="clear" w:color="auto" w:fill="CCEEFF"/>
              </w:rPr>
              <w:t>$</w:t>
            </w:r>
          </w:p>
        </w:tc>
        <w:tc>
          <w:tcPr>
            <w:tcW w:w="30" w:type="dxa"/>
            <w:vAlign w:val="bottom"/>
            <w:tcBorders>
              <w:top w:val="single" w:sz="8" w:color="auto"/>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CCEEFF"/>
            </w:tcBorders>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(970)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shd w:val="clear" w:color="auto" w:fill="CCEEFF"/>
              </w:rPr>
              <w:t>$</w:t>
            </w:r>
          </w:p>
        </w:tc>
        <w:tc>
          <w:tcPr>
            <w:tcW w:w="780" w:type="dxa"/>
            <w:vAlign w:val="bottom"/>
            <w:tcBorders>
              <w:top w:val="single" w:sz="8" w:color="auto"/>
              <w:bottom w:val="single" w:sz="8" w:color="CCEEFF"/>
            </w:tcBorders>
            <w:shd w:val="clear" w:color="auto" w:fill="CCEEFF"/>
          </w:tcPr>
          <w:p>
            <w:pPr>
              <w:jc w:val="right"/>
              <w:ind w:right="36"/>
              <w:spacing w:after="0" w:line="140" w:lineRule="exact"/>
              <w:rPr>
                <w:sz w:val="20"/>
                <w:szCs w:val="20"/>
                <w:color w:val="auto"/>
              </w:rPr>
            </w:pPr>
            <w:r>
              <w:rPr>
                <w:rFonts w:ascii="Arial" w:cs="Arial" w:eastAsia="Arial" w:hAnsi="Arial"/>
                <w:sz w:val="13"/>
                <w:szCs w:val="13"/>
                <w:color w:val="auto"/>
              </w:rPr>
              <w:t>11,598</w:t>
            </w:r>
          </w:p>
        </w:tc>
      </w:tr>
      <w:tr>
        <w:trPr>
          <w:trHeight w:val="171"/>
        </w:trPr>
        <w:tc>
          <w:tcPr>
            <w:tcW w:w="3820" w:type="dxa"/>
            <w:vAlign w:val="bottom"/>
          </w:tcPr>
          <w:p>
            <w:pPr>
              <w:ind w:left="40"/>
              <w:spacing w:after="0"/>
              <w:rPr>
                <w:sz w:val="20"/>
                <w:szCs w:val="20"/>
                <w:color w:val="auto"/>
              </w:rPr>
            </w:pPr>
            <w:r>
              <w:rPr>
                <w:rFonts w:ascii="Arial" w:cs="Arial" w:eastAsia="Arial" w:hAnsi="Arial"/>
                <w:sz w:val="13"/>
                <w:szCs w:val="13"/>
                <w:color w:val="auto"/>
              </w:rPr>
              <w:t>Collateralized mortgage obligations</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86,307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81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810" w:type="dxa"/>
            <w:vAlign w:val="bottom"/>
            <w:gridSpan w:val="3"/>
          </w:tcPr>
          <w:p>
            <w:pPr>
              <w:jc w:val="right"/>
              <w:spacing w:after="0"/>
              <w:rPr>
                <w:sz w:val="20"/>
                <w:szCs w:val="20"/>
                <w:color w:val="auto"/>
              </w:rPr>
            </w:pPr>
            <w:r>
              <w:rPr>
                <w:rFonts w:ascii="Arial" w:cs="Arial" w:eastAsia="Arial" w:hAnsi="Arial"/>
                <w:sz w:val="13"/>
                <w:szCs w:val="13"/>
                <w:color w:val="auto"/>
              </w:rPr>
              <w:t>(17,727)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68,580</w:t>
            </w:r>
          </w:p>
        </w:tc>
      </w:tr>
      <w:tr>
        <w:trPr>
          <w:trHeight w:val="151"/>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Mortgage-backed securities - residential</w:t>
            </w: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35,364</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10" w:type="dxa"/>
            <w:vAlign w:val="bottom"/>
            <w:tcBorders>
              <w:bottom w:val="single" w:sz="8" w:color="CCEEFF"/>
            </w:tcBorders>
            <w:shd w:val="clear" w:color="auto" w:fill="CCEEFF"/>
          </w:tcPr>
          <w:p>
            <w:pPr>
              <w:spacing w:after="0"/>
              <w:rPr>
                <w:sz w:val="13"/>
                <w:szCs w:val="13"/>
                <w:color w:val="auto"/>
              </w:rPr>
            </w:pPr>
          </w:p>
        </w:tc>
        <w:tc>
          <w:tcPr>
            <w:tcW w:w="81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90" w:type="dxa"/>
            <w:vAlign w:val="bottom"/>
            <w:tcBorders>
              <w:bottom w:val="single" w:sz="8" w:color="CCEEFF"/>
            </w:tcBorders>
            <w:shd w:val="clear" w:color="auto" w:fill="CCEEFF"/>
          </w:tcPr>
          <w:p>
            <w:pPr>
              <w:spacing w:after="0"/>
              <w:rPr>
                <w:sz w:val="13"/>
                <w:szCs w:val="13"/>
                <w:color w:val="auto"/>
              </w:rPr>
            </w:pPr>
          </w:p>
        </w:tc>
        <w:tc>
          <w:tcPr>
            <w:tcW w:w="3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(6,190)</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29,272</w:t>
            </w:r>
          </w:p>
        </w:tc>
      </w:tr>
      <w:tr>
        <w:trPr>
          <w:trHeight w:val="171"/>
        </w:trPr>
        <w:tc>
          <w:tcPr>
            <w:tcW w:w="3820" w:type="dxa"/>
            <w:vAlign w:val="bottom"/>
          </w:tcPr>
          <w:p>
            <w:pPr>
              <w:ind w:left="40"/>
              <w:spacing w:after="0"/>
              <w:rPr>
                <w:sz w:val="20"/>
                <w:szCs w:val="20"/>
                <w:color w:val="auto"/>
              </w:rPr>
            </w:pPr>
            <w:r>
              <w:rPr>
                <w:rFonts w:ascii="Arial" w:cs="Arial" w:eastAsia="Arial" w:hAnsi="Arial"/>
                <w:sz w:val="13"/>
                <w:szCs w:val="13"/>
                <w:color w:val="auto"/>
              </w:rPr>
              <w:t>Mortgage-backed securities - commercial</w:t>
            </w:r>
          </w:p>
        </w:tc>
        <w:tc>
          <w:tcPr>
            <w:tcW w:w="120" w:type="dxa"/>
            <w:vAlign w:val="bottom"/>
          </w:tcPr>
          <w:p>
            <w:pPr>
              <w:spacing w:after="0"/>
              <w:rPr>
                <w:sz w:val="14"/>
                <w:szCs w:val="14"/>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156,895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810" w:type="dxa"/>
            <w:vAlign w:val="bottom"/>
          </w:tcPr>
          <w:p>
            <w:pPr>
              <w:jc w:val="right"/>
              <w:spacing w:after="0"/>
              <w:rPr>
                <w:sz w:val="20"/>
                <w:szCs w:val="20"/>
                <w:color w:val="auto"/>
              </w:rPr>
            </w:pPr>
            <w:r>
              <w:rPr>
                <w:rFonts w:ascii="Arial" w:cs="Arial" w:eastAsia="Arial" w:hAnsi="Arial"/>
                <w:sz w:val="13"/>
                <w:szCs w:val="13"/>
                <w:color w:val="auto"/>
              </w:rPr>
              <w:t>145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810" w:type="dxa"/>
            <w:vAlign w:val="bottom"/>
            <w:gridSpan w:val="3"/>
          </w:tcPr>
          <w:p>
            <w:pPr>
              <w:jc w:val="right"/>
              <w:spacing w:after="0"/>
              <w:rPr>
                <w:sz w:val="20"/>
                <w:szCs w:val="20"/>
                <w:color w:val="auto"/>
              </w:rPr>
            </w:pPr>
            <w:r>
              <w:rPr>
                <w:rFonts w:ascii="Arial" w:cs="Arial" w:eastAsia="Arial" w:hAnsi="Arial"/>
                <w:sz w:val="13"/>
                <w:szCs w:val="13"/>
                <w:color w:val="auto"/>
              </w:rPr>
              <w:t>(8,005)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149,035</w:t>
            </w:r>
          </w:p>
        </w:tc>
      </w:tr>
      <w:tr>
        <w:trPr>
          <w:trHeight w:val="151"/>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Municipal securities</w:t>
            </w: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5,194</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10" w:type="dxa"/>
            <w:vAlign w:val="bottom"/>
            <w:tcBorders>
              <w:bottom w:val="single" w:sz="8" w:color="CCEEFF"/>
            </w:tcBorders>
            <w:shd w:val="clear" w:color="auto" w:fill="CCEEFF"/>
          </w:tcPr>
          <w:p>
            <w:pPr>
              <w:spacing w:after="0"/>
              <w:rPr>
                <w:sz w:val="13"/>
                <w:szCs w:val="13"/>
                <w:color w:val="auto"/>
              </w:rPr>
            </w:pPr>
          </w:p>
        </w:tc>
        <w:tc>
          <w:tcPr>
            <w:tcW w:w="81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90" w:type="dxa"/>
            <w:vAlign w:val="bottom"/>
            <w:tcBorders>
              <w:bottom w:val="single" w:sz="8" w:color="CCEEFF"/>
            </w:tcBorders>
            <w:shd w:val="clear" w:color="auto" w:fill="CCEEFF"/>
          </w:tcPr>
          <w:p>
            <w:pPr>
              <w:spacing w:after="0"/>
              <w:rPr>
                <w:sz w:val="13"/>
                <w:szCs w:val="13"/>
                <w:color w:val="auto"/>
              </w:rPr>
            </w:pPr>
          </w:p>
        </w:tc>
        <w:tc>
          <w:tcPr>
            <w:tcW w:w="3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(995)</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4,199</w:t>
            </w:r>
          </w:p>
        </w:tc>
      </w:tr>
      <w:tr>
        <w:trPr>
          <w:trHeight w:val="171"/>
        </w:trPr>
        <w:tc>
          <w:tcPr>
            <w:tcW w:w="38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Bank subordinated debt securities</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14,570</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81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0" w:type="dxa"/>
            <w:vAlign w:val="bottom"/>
            <w:tcBorders>
              <w:bottom w:val="single" w:sz="8" w:color="auto"/>
            </w:tcBorders>
          </w:tcPr>
          <w:p>
            <w:pPr>
              <w:spacing w:after="0"/>
              <w:rPr>
                <w:sz w:val="14"/>
                <w:szCs w:val="14"/>
                <w:color w:val="auto"/>
              </w:rPr>
            </w:pPr>
          </w:p>
        </w:tc>
        <w:tc>
          <w:tcPr>
            <w:tcW w:w="81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(257)</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14,476</w:t>
            </w:r>
          </w:p>
        </w:tc>
      </w:tr>
      <w:tr>
        <w:trPr>
          <w:trHeight w:val="161"/>
        </w:trPr>
        <w:tc>
          <w:tcPr>
            <w:tcW w:w="38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310,898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1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3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(34,144)</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277,160</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81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 w:type="dxa"/>
            <w:vAlign w:val="bottom"/>
            <w:tcBorders>
              <w:top w:val="single" w:sz="8" w:color="auto"/>
              <w:bottom w:val="single" w:sz="8" w:color="auto"/>
            </w:tcBorders>
          </w:tcPr>
          <w:p>
            <w:pPr>
              <w:spacing w:after="0" w:line="20" w:lineRule="exact"/>
              <w:rPr>
                <w:sz w:val="1"/>
                <w:szCs w:val="1"/>
                <w:color w:val="auto"/>
              </w:rPr>
            </w:pPr>
          </w:p>
        </w:tc>
        <w:tc>
          <w:tcPr>
            <w:tcW w:w="3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30" w:type="dxa"/>
            <w:vAlign w:val="bottom"/>
            <w:tcBorders>
              <w:bottom w:val="single" w:sz="8" w:color="auto"/>
            </w:tcBorders>
          </w:tcPr>
          <w:p>
            <w:pPr>
              <w:spacing w:after="0"/>
              <w:rPr>
                <w:sz w:val="13"/>
                <w:szCs w:val="13"/>
                <w:color w:val="auto"/>
              </w:rPr>
            </w:pPr>
          </w:p>
        </w:tc>
        <w:tc>
          <w:tcPr>
            <w:tcW w:w="1850" w:type="dxa"/>
            <w:vAlign w:val="bottom"/>
            <w:tcBorders>
              <w:bottom w:val="single" w:sz="8" w:color="auto"/>
            </w:tcBorders>
            <w:gridSpan w:val="9"/>
          </w:tcPr>
          <w:p>
            <w:pPr>
              <w:ind w:left="430"/>
              <w:spacing w:after="0"/>
              <w:rPr>
                <w:sz w:val="20"/>
                <w:szCs w:val="20"/>
                <w:color w:val="auto"/>
              </w:rPr>
            </w:pPr>
            <w:r>
              <w:rPr>
                <w:rFonts w:ascii="Arial" w:cs="Arial" w:eastAsia="Arial" w:hAnsi="Arial"/>
                <w:sz w:val="13"/>
                <w:szCs w:val="13"/>
                <w:b w:val="1"/>
                <w:bCs w:val="1"/>
                <w:color w:val="auto"/>
              </w:rPr>
              <w:t>March 31, 2026</w:t>
            </w: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r>
      <w:tr>
        <w:trPr>
          <w:trHeight w:val="215"/>
        </w:trPr>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76"/>
              <w:spacing w:after="0"/>
              <w:rPr>
                <w:sz w:val="20"/>
                <w:szCs w:val="20"/>
                <w:color w:val="auto"/>
              </w:rPr>
            </w:pPr>
            <w:r>
              <w:rPr>
                <w:rFonts w:ascii="Arial" w:cs="Arial" w:eastAsia="Arial" w:hAnsi="Arial"/>
                <w:sz w:val="13"/>
                <w:szCs w:val="13"/>
                <w:b w:val="1"/>
                <w:bCs w:val="1"/>
                <w:color w:val="auto"/>
                <w:w w:val="97"/>
              </w:rPr>
              <w:t>Amortized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4"/>
          </w:tcPr>
          <w:p>
            <w:pPr>
              <w:ind w:left="40"/>
              <w:spacing w:after="0"/>
              <w:rPr>
                <w:sz w:val="20"/>
                <w:szCs w:val="20"/>
                <w:color w:val="auto"/>
              </w:rPr>
            </w:pPr>
            <w:r>
              <w:rPr>
                <w:rFonts w:ascii="Arial" w:cs="Arial" w:eastAsia="Arial" w:hAnsi="Arial"/>
                <w:sz w:val="13"/>
                <w:szCs w:val="13"/>
                <w:b w:val="1"/>
                <w:bCs w:val="1"/>
                <w:color w:val="auto"/>
              </w:rPr>
              <w:t>Unrecognized</w:t>
            </w:r>
          </w:p>
        </w:tc>
        <w:tc>
          <w:tcPr>
            <w:tcW w:w="980" w:type="dxa"/>
            <w:vAlign w:val="bottom"/>
            <w:gridSpan w:val="6"/>
          </w:tcPr>
          <w:p>
            <w:pPr>
              <w:ind w:left="20"/>
              <w:spacing w:after="0"/>
              <w:rPr>
                <w:sz w:val="20"/>
                <w:szCs w:val="20"/>
                <w:color w:val="auto"/>
              </w:rPr>
            </w:pPr>
            <w:r>
              <w:rPr>
                <w:rFonts w:ascii="Arial" w:cs="Arial" w:eastAsia="Arial" w:hAnsi="Arial"/>
                <w:sz w:val="13"/>
                <w:szCs w:val="13"/>
                <w:b w:val="1"/>
                <w:bCs w:val="1"/>
                <w:color w:val="auto"/>
              </w:rPr>
              <w:t>Unrecognized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49"/>
        </w:trPr>
        <w:tc>
          <w:tcPr>
            <w:tcW w:w="3800" w:type="dxa"/>
            <w:vAlign w:val="bottom"/>
          </w:tcPr>
          <w:p>
            <w:pPr>
              <w:ind w:left="40"/>
              <w:spacing w:after="0"/>
              <w:rPr>
                <w:sz w:val="20"/>
                <w:szCs w:val="20"/>
                <w:color w:val="auto"/>
              </w:rPr>
            </w:pPr>
            <w:r>
              <w:rPr>
                <w:rFonts w:ascii="Arial" w:cs="Arial" w:eastAsia="Arial" w:hAnsi="Arial"/>
                <w:sz w:val="13"/>
                <w:szCs w:val="13"/>
                <w:b w:val="1"/>
                <w:bCs w:val="1"/>
                <w:color w:val="auto"/>
              </w:rPr>
              <w:t>Held-to-maturity:</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256"/>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870" w:type="dxa"/>
            <w:vAlign w:val="bottom"/>
            <w:gridSpan w:val="3"/>
          </w:tcPr>
          <w:p>
            <w:pPr>
              <w:ind w:left="150"/>
              <w:spacing w:after="0"/>
              <w:rPr>
                <w:sz w:val="20"/>
                <w:szCs w:val="20"/>
                <w:color w:val="auto"/>
              </w:rPr>
            </w:pPr>
            <w:r>
              <w:rPr>
                <w:rFonts w:ascii="Arial" w:cs="Arial" w:eastAsia="Arial" w:hAnsi="Arial"/>
                <w:sz w:val="13"/>
                <w:szCs w:val="13"/>
                <w:b w:val="1"/>
                <w:bCs w:val="1"/>
                <w:color w:val="auto"/>
              </w:rPr>
              <w:t>Gains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tcPr>
          <w:p>
            <w:pPr>
              <w:ind w:left="80"/>
              <w:spacing w:after="0"/>
              <w:rPr>
                <w:sz w:val="20"/>
                <w:szCs w:val="20"/>
                <w:color w:val="auto"/>
              </w:rPr>
            </w:pPr>
            <w:r>
              <w:rPr>
                <w:rFonts w:ascii="Arial" w:cs="Arial" w:eastAsia="Arial" w:hAnsi="Arial"/>
                <w:sz w:val="13"/>
                <w:szCs w:val="13"/>
                <w:b w:val="1"/>
                <w:bCs w:val="1"/>
                <w:color w:val="auto"/>
              </w:rPr>
              <w:t>Losses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jc w:val="right"/>
              <w:ind w:right="116"/>
              <w:spacing w:after="0"/>
              <w:rPr>
                <w:sz w:val="20"/>
                <w:szCs w:val="20"/>
                <w:color w:val="auto"/>
              </w:rPr>
            </w:pPr>
            <w:r>
              <w:rPr>
                <w:rFonts w:ascii="Arial" w:cs="Arial" w:eastAsia="Arial" w:hAnsi="Arial"/>
                <w:sz w:val="13"/>
                <w:szCs w:val="13"/>
                <w:b w:val="1"/>
                <w:bCs w:val="1"/>
                <w:color w:val="auto"/>
                <w:w w:val="93"/>
              </w:rPr>
              <w:t>Fair Value</w:t>
            </w:r>
          </w:p>
        </w:tc>
      </w:tr>
      <w:tr>
        <w:trPr>
          <w:trHeight w:val="141"/>
        </w:trPr>
        <w:tc>
          <w:tcPr>
            <w:tcW w:w="3800" w:type="dxa"/>
            <w:vAlign w:val="bottom"/>
            <w:tcBorders>
              <w:top w:val="single" w:sz="8" w:color="CCEEFF"/>
              <w:bottom w:val="single" w:sz="8" w:color="CCEEFF"/>
            </w:tcBorders>
            <w:shd w:val="clear" w:color="auto" w:fill="CCEEFF"/>
          </w:tcPr>
          <w:p>
            <w:pPr>
              <w:ind w:left="40"/>
              <w:spacing w:after="0" w:line="140" w:lineRule="exact"/>
              <w:rPr>
                <w:sz w:val="20"/>
                <w:szCs w:val="20"/>
                <w:color w:val="auto"/>
              </w:rPr>
            </w:pPr>
            <w:r>
              <w:rPr>
                <w:rFonts w:ascii="Arial" w:cs="Arial" w:eastAsia="Arial" w:hAnsi="Arial"/>
                <w:sz w:val="13"/>
                <w:szCs w:val="13"/>
                <w:color w:val="auto"/>
              </w:rPr>
              <w:t>U.S. Government Agency</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shd w:val="clear" w:color="auto" w:fill="CCEEFF"/>
              </w:rPr>
              <w:t>$</w:t>
            </w:r>
          </w:p>
        </w:tc>
        <w:tc>
          <w:tcPr>
            <w:tcW w:w="78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40,748</w:t>
            </w:r>
          </w:p>
        </w:tc>
        <w:tc>
          <w:tcPr>
            <w:tcW w:w="6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30" w:type="dxa"/>
            <w:vAlign w:val="bottom"/>
            <w:tcBorders>
              <w:top w:val="single" w:sz="8" w:color="auto"/>
              <w:bottom w:val="single" w:sz="8" w:color="CCEEFF"/>
            </w:tcBorders>
            <w:shd w:val="clear" w:color="auto" w:fill="CCEEFF"/>
          </w:tcPr>
          <w:p>
            <w:pPr>
              <w:ind w:left="20"/>
              <w:spacing w:after="0" w:line="140" w:lineRule="exact"/>
              <w:rPr>
                <w:sz w:val="20"/>
                <w:szCs w:val="20"/>
                <w:color w:val="auto"/>
              </w:rPr>
            </w:pPr>
            <w:r>
              <w:rPr>
                <w:rFonts w:ascii="Arial" w:cs="Arial" w:eastAsia="Arial" w:hAnsi="Arial"/>
                <w:sz w:val="13"/>
                <w:szCs w:val="13"/>
                <w:color w:val="auto"/>
                <w:shd w:val="clear" w:color="auto" w:fill="CCEEFF"/>
              </w:rPr>
              <w:t>$</w:t>
            </w:r>
          </w:p>
        </w:tc>
        <w:tc>
          <w:tcPr>
            <w:tcW w:w="79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78</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shd w:val="clear" w:color="auto" w:fill="CCEEFF"/>
              </w:rPr>
              <w:t>$</w:t>
            </w:r>
          </w:p>
        </w:tc>
        <w:tc>
          <w:tcPr>
            <w:tcW w:w="20" w:type="dxa"/>
            <w:vAlign w:val="bottom"/>
            <w:tcBorders>
              <w:top w:val="single" w:sz="8" w:color="auto"/>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CCEEFF"/>
            </w:tcBorders>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(3,319)</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shd w:val="clear" w:color="auto" w:fill="CCEEFF"/>
              </w:rPr>
              <w:t>$</w:t>
            </w:r>
          </w:p>
        </w:tc>
        <w:tc>
          <w:tcPr>
            <w:tcW w:w="20" w:type="dxa"/>
            <w:vAlign w:val="bottom"/>
            <w:tcBorders>
              <w:top w:val="single" w:sz="8" w:color="auto"/>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CCEEFF"/>
            </w:tcBorders>
            <w:shd w:val="clear" w:color="auto" w:fill="CCEEFF"/>
          </w:tcPr>
          <w:p>
            <w:pPr>
              <w:jc w:val="right"/>
              <w:ind w:right="16"/>
              <w:spacing w:after="0" w:line="140" w:lineRule="exact"/>
              <w:rPr>
                <w:sz w:val="20"/>
                <w:szCs w:val="20"/>
                <w:color w:val="auto"/>
              </w:rPr>
            </w:pPr>
            <w:r>
              <w:rPr>
                <w:rFonts w:ascii="Arial" w:cs="Arial" w:eastAsia="Arial" w:hAnsi="Arial"/>
                <w:sz w:val="13"/>
                <w:szCs w:val="13"/>
                <w:color w:val="auto"/>
              </w:rPr>
              <w:t>37,507</w:t>
            </w:r>
          </w:p>
        </w:tc>
      </w:tr>
      <w:tr>
        <w:trPr>
          <w:trHeight w:val="169"/>
        </w:trPr>
        <w:tc>
          <w:tcPr>
            <w:tcW w:w="3800" w:type="dxa"/>
            <w:vAlign w:val="bottom"/>
          </w:tcPr>
          <w:p>
            <w:pPr>
              <w:ind w:left="40"/>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50,175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90" w:type="dxa"/>
            <w:vAlign w:val="bottom"/>
          </w:tcPr>
          <w:p>
            <w:pPr>
              <w:jc w:val="right"/>
              <w:spacing w:after="0"/>
              <w:rPr>
                <w:sz w:val="20"/>
                <w:szCs w:val="20"/>
                <w:color w:val="auto"/>
              </w:rPr>
            </w:pPr>
            <w:r>
              <w:rPr>
                <w:rFonts w:ascii="Arial" w:cs="Arial" w:eastAsia="Arial" w:hAnsi="Arial"/>
                <w:sz w:val="13"/>
                <w:szCs w:val="13"/>
                <w:color w:val="auto"/>
              </w:rPr>
              <w:t>664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(5,768)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45,071</w:t>
            </w:r>
          </w:p>
        </w:tc>
      </w:tr>
      <w:tr>
        <w:trPr>
          <w:trHeight w:val="152"/>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35,963</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30" w:type="dxa"/>
            <w:vAlign w:val="bottom"/>
            <w:tcBorders>
              <w:bottom w:val="single" w:sz="8" w:color="CCEEFF"/>
            </w:tcBorders>
            <w:shd w:val="clear" w:color="auto" w:fill="CCEEFF"/>
          </w:tcPr>
          <w:p>
            <w:pPr>
              <w:spacing w:after="0"/>
              <w:rPr>
                <w:sz w:val="13"/>
                <w:szCs w:val="13"/>
                <w:color w:val="auto"/>
              </w:rPr>
            </w:pPr>
          </w:p>
        </w:tc>
        <w:tc>
          <w:tcPr>
            <w:tcW w:w="79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659</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(3,359)</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33,263</w:t>
            </w:r>
          </w:p>
        </w:tc>
      </w:tr>
      <w:tr>
        <w:trPr>
          <w:trHeight w:val="169"/>
        </w:trPr>
        <w:tc>
          <w:tcPr>
            <w:tcW w:w="3800" w:type="dxa"/>
            <w:vAlign w:val="bottom"/>
          </w:tcPr>
          <w:p>
            <w:pPr>
              <w:ind w:left="40"/>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15,041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9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(1,163)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13,878</w:t>
            </w:r>
          </w:p>
        </w:tc>
      </w:tr>
      <w:tr>
        <w:trPr>
          <w:trHeight w:val="172"/>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Corporate bonds</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8,004</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30" w:type="dxa"/>
            <w:vAlign w:val="bottom"/>
            <w:tcBorders>
              <w:bottom w:val="single" w:sz="8" w:color="CCEEFF"/>
            </w:tcBorders>
            <w:shd w:val="clear" w:color="auto" w:fill="CCEEFF"/>
          </w:tcPr>
          <w:p>
            <w:pPr>
              <w:spacing w:after="0"/>
              <w:rPr>
                <w:sz w:val="14"/>
                <w:szCs w:val="14"/>
                <w:color w:val="auto"/>
              </w:rPr>
            </w:pPr>
          </w:p>
        </w:tc>
        <w:tc>
          <w:tcPr>
            <w:tcW w:w="79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7,995</w:t>
            </w:r>
          </w:p>
        </w:tc>
      </w:tr>
      <w:tr>
        <w:trPr>
          <w:trHeight w:val="193"/>
        </w:trPr>
        <w:tc>
          <w:tcPr>
            <w:tcW w:w="3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149,931</w:t>
            </w:r>
          </w:p>
        </w:tc>
        <w:tc>
          <w:tcPr>
            <w:tcW w:w="60" w:type="dxa"/>
            <w:vAlign w:val="bottom"/>
            <w:gridSpan w:val="2"/>
          </w:tcPr>
          <w:p>
            <w:pPr>
              <w:spacing w:after="0"/>
              <w:rPr>
                <w:sz w:val="16"/>
                <w:szCs w:val="16"/>
                <w:color w:val="auto"/>
              </w:rPr>
            </w:pPr>
          </w:p>
        </w:tc>
        <w:tc>
          <w:tcPr>
            <w:tcW w:w="13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9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1,401</w:t>
            </w:r>
          </w:p>
        </w:tc>
        <w:tc>
          <w:tcPr>
            <w:tcW w:w="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(13,618)</w:t>
            </w:r>
          </w:p>
        </w:tc>
        <w:tc>
          <w:tcPr>
            <w:tcW w:w="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137,714</w:t>
            </w:r>
          </w:p>
        </w:tc>
      </w:tr>
      <w:tr>
        <w:trPr>
          <w:trHeight w:val="184"/>
        </w:trPr>
        <w:tc>
          <w:tcPr>
            <w:tcW w:w="38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Allowance for credit losses - securities held-to-maturity</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30" w:type="dxa"/>
            <w:vAlign w:val="bottom"/>
            <w:tcBorders>
              <w:top w:val="single" w:sz="8" w:color="auto"/>
            </w:tcBorders>
            <w:shd w:val="clear" w:color="auto" w:fill="CCEEFF"/>
          </w:tcPr>
          <w:p>
            <w:pPr>
              <w:spacing w:after="0"/>
              <w:rPr>
                <w:sz w:val="16"/>
                <w:szCs w:val="16"/>
                <w:color w:val="auto"/>
              </w:rPr>
            </w:pPr>
          </w:p>
        </w:tc>
        <w:tc>
          <w:tcPr>
            <w:tcW w:w="79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r>
      <w:tr>
        <w:trPr>
          <w:trHeight w:val="203"/>
        </w:trPr>
        <w:tc>
          <w:tcPr>
            <w:tcW w:w="3800" w:type="dxa"/>
            <w:vAlign w:val="bottom"/>
          </w:tcPr>
          <w:p>
            <w:pPr>
              <w:ind w:left="40"/>
              <w:spacing w:after="0"/>
              <w:rPr>
                <w:sz w:val="20"/>
                <w:szCs w:val="20"/>
                <w:color w:val="auto"/>
              </w:rPr>
            </w:pPr>
            <w:r>
              <w:rPr>
                <w:rFonts w:ascii="Arial" w:cs="Arial" w:eastAsia="Arial" w:hAnsi="Arial"/>
                <w:sz w:val="13"/>
                <w:szCs w:val="13"/>
                <w:color w:val="auto"/>
              </w:rPr>
              <w:t>Securities held-to maturity, net of allowance for credit losses</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149,931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79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3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79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3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3"/>
                <w:szCs w:val="13"/>
                <w:b w:val="1"/>
                <w:bCs w:val="1"/>
                <w:color w:val="auto"/>
                <w:w w:val="99"/>
              </w:rPr>
              <w:t>December 31, 2025</w:t>
            </w: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r>
      <w:tr>
        <w:trPr>
          <w:trHeight w:val="183"/>
        </w:trPr>
        <w:tc>
          <w:tcPr>
            <w:tcW w:w="3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136"/>
              <w:spacing w:after="0"/>
              <w:rPr>
                <w:sz w:val="20"/>
                <w:szCs w:val="20"/>
                <w:color w:val="auto"/>
              </w:rPr>
            </w:pPr>
            <w:r>
              <w:rPr>
                <w:rFonts w:ascii="Arial" w:cs="Arial" w:eastAsia="Arial" w:hAnsi="Arial"/>
                <w:sz w:val="13"/>
                <w:szCs w:val="13"/>
                <w:b w:val="1"/>
                <w:bCs w:val="1"/>
                <w:color w:val="auto"/>
              </w:rPr>
              <w:t>Amortized</w:t>
            </w:r>
          </w:p>
        </w:tc>
        <w:tc>
          <w:tcPr>
            <w:tcW w:w="100" w:type="dxa"/>
            <w:vAlign w:val="bottom"/>
          </w:tcPr>
          <w:p>
            <w:pPr>
              <w:spacing w:after="0"/>
              <w:rPr>
                <w:sz w:val="15"/>
                <w:szCs w:val="15"/>
                <w:color w:val="auto"/>
              </w:rPr>
            </w:pPr>
          </w:p>
        </w:tc>
        <w:tc>
          <w:tcPr>
            <w:tcW w:w="880" w:type="dxa"/>
            <w:vAlign w:val="bottom"/>
          </w:tcPr>
          <w:p>
            <w:pPr>
              <w:jc w:val="right"/>
              <w:ind w:right="116"/>
              <w:spacing w:after="0"/>
              <w:rPr>
                <w:sz w:val="20"/>
                <w:szCs w:val="20"/>
                <w:color w:val="auto"/>
              </w:rPr>
            </w:pPr>
            <w:r>
              <w:rPr>
                <w:rFonts w:ascii="Arial" w:cs="Arial" w:eastAsia="Arial" w:hAnsi="Arial"/>
                <w:sz w:val="13"/>
                <w:szCs w:val="13"/>
                <w:b w:val="1"/>
                <w:bCs w:val="1"/>
                <w:color w:val="auto"/>
              </w:rPr>
              <w:t>Unrealized</w:t>
            </w:r>
          </w:p>
        </w:tc>
        <w:tc>
          <w:tcPr>
            <w:tcW w:w="120" w:type="dxa"/>
            <w:vAlign w:val="bottom"/>
          </w:tcPr>
          <w:p>
            <w:pPr>
              <w:spacing w:after="0"/>
              <w:rPr>
                <w:sz w:val="15"/>
                <w:szCs w:val="15"/>
                <w:color w:val="auto"/>
              </w:rPr>
            </w:pPr>
          </w:p>
        </w:tc>
        <w:tc>
          <w:tcPr>
            <w:tcW w:w="86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rPr>
              <w:t>Unrealized</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60"/>
        </w:trPr>
        <w:tc>
          <w:tcPr>
            <w:tcW w:w="3080" w:type="dxa"/>
            <w:vAlign w:val="bottom"/>
          </w:tcPr>
          <w:p>
            <w:pPr>
              <w:spacing w:after="0"/>
              <w:rPr>
                <w:sz w:val="20"/>
                <w:szCs w:val="20"/>
                <w:color w:val="auto"/>
              </w:rPr>
            </w:pPr>
            <w:r>
              <w:rPr>
                <w:rFonts w:ascii="Arial" w:cs="Arial" w:eastAsia="Arial" w:hAnsi="Arial"/>
                <w:sz w:val="13"/>
                <w:szCs w:val="13"/>
                <w:b w:val="1"/>
                <w:bCs w:val="1"/>
                <w:color w:val="auto"/>
              </w:rPr>
              <w:t>Available-for-sale:</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316"/>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3"/>
                <w:szCs w:val="13"/>
                <w:color w:val="auto"/>
              </w:rPr>
            </w:pPr>
          </w:p>
        </w:tc>
        <w:tc>
          <w:tcPr>
            <w:tcW w:w="880" w:type="dxa"/>
            <w:vAlign w:val="bottom"/>
          </w:tcPr>
          <w:p>
            <w:pPr>
              <w:jc w:val="right"/>
              <w:ind w:right="276"/>
              <w:spacing w:after="0"/>
              <w:rPr>
                <w:sz w:val="20"/>
                <w:szCs w:val="20"/>
                <w:color w:val="auto"/>
              </w:rPr>
            </w:pPr>
            <w:r>
              <w:rPr>
                <w:rFonts w:ascii="Arial" w:cs="Arial" w:eastAsia="Arial" w:hAnsi="Arial"/>
                <w:sz w:val="13"/>
                <w:szCs w:val="13"/>
                <w:b w:val="1"/>
                <w:bCs w:val="1"/>
                <w:color w:val="auto"/>
              </w:rPr>
              <w:t>Gains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Losses</w:t>
            </w:r>
          </w:p>
        </w:tc>
        <w:tc>
          <w:tcPr>
            <w:tcW w:w="160" w:type="dxa"/>
            <w:vAlign w:val="bottom"/>
          </w:tcPr>
          <w:p>
            <w:pPr>
              <w:spacing w:after="0"/>
              <w:rPr>
                <w:sz w:val="13"/>
                <w:szCs w:val="13"/>
                <w:color w:val="auto"/>
              </w:rPr>
            </w:pPr>
          </w:p>
        </w:tc>
        <w:tc>
          <w:tcPr>
            <w:tcW w:w="780" w:type="dxa"/>
            <w:vAlign w:val="bottom"/>
          </w:tcPr>
          <w:p>
            <w:pPr>
              <w:jc w:val="right"/>
              <w:ind w:right="116"/>
              <w:spacing w:after="0"/>
              <w:rPr>
                <w:sz w:val="20"/>
                <w:szCs w:val="20"/>
                <w:color w:val="auto"/>
              </w:rPr>
            </w:pPr>
            <w:r>
              <w:rPr>
                <w:rFonts w:ascii="Arial" w:cs="Arial" w:eastAsia="Arial" w:hAnsi="Arial"/>
                <w:sz w:val="13"/>
                <w:szCs w:val="13"/>
                <w:b w:val="1"/>
                <w:bCs w:val="1"/>
                <w:color w:val="auto"/>
                <w:w w:val="93"/>
              </w:rPr>
              <w:t>Fair Value</w:t>
            </w:r>
          </w:p>
        </w:tc>
      </w:tr>
      <w:tr>
        <w:trPr>
          <w:trHeight w:val="151"/>
        </w:trPr>
        <w:tc>
          <w:tcPr>
            <w:tcW w:w="3080" w:type="dxa"/>
            <w:vAlign w:val="bottom"/>
            <w:tcBorders>
              <w:top w:val="single" w:sz="8" w:color="CCEEFF"/>
            </w:tcBorders>
            <w:shd w:val="clear" w:color="auto" w:fill="CCEEFF"/>
          </w:tcPr>
          <w:p>
            <w:pPr>
              <w:spacing w:after="0" w:line="148" w:lineRule="exact"/>
              <w:rPr>
                <w:sz w:val="20"/>
                <w:szCs w:val="20"/>
                <w:color w:val="auto"/>
              </w:rPr>
            </w:pPr>
            <w:r>
              <w:rPr>
                <w:rFonts w:ascii="Arial" w:cs="Arial" w:eastAsia="Arial" w:hAnsi="Arial"/>
                <w:sz w:val="13"/>
                <w:szCs w:val="13"/>
                <w:color w:val="auto"/>
              </w:rPr>
              <w:t>U.S. Government Agency</w:t>
            </w:r>
          </w:p>
        </w:tc>
        <w:tc>
          <w:tcPr>
            <w:tcW w:w="7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15,169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18</w:t>
            </w: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(1,043)</w:t>
            </w: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14,144</w:t>
            </w:r>
          </w:p>
        </w:tc>
      </w:tr>
      <w:tr>
        <w:trPr>
          <w:trHeight w:val="171"/>
        </w:trPr>
        <w:tc>
          <w:tcPr>
            <w:tcW w:w="3080" w:type="dxa"/>
            <w:vAlign w:val="bottom"/>
          </w:tcPr>
          <w:p>
            <w:pPr>
              <w:spacing w:after="0"/>
              <w:rPr>
                <w:sz w:val="20"/>
                <w:szCs w:val="20"/>
                <w:color w:val="auto"/>
              </w:rPr>
            </w:pPr>
            <w:r>
              <w:rPr>
                <w:rFonts w:ascii="Arial" w:cs="Arial" w:eastAsia="Arial" w:hAnsi="Arial"/>
                <w:sz w:val="13"/>
                <w:szCs w:val="13"/>
                <w:color w:val="auto"/>
              </w:rPr>
              <w:t>Collateralized mortgage obligations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92,871</w:t>
            </w:r>
          </w:p>
        </w:tc>
        <w:tc>
          <w:tcPr>
            <w:tcW w:w="100" w:type="dxa"/>
            <w:vAlign w:val="bottom"/>
          </w:tcPr>
          <w:p>
            <w:pPr>
              <w:spacing w:after="0"/>
              <w:rPr>
                <w:sz w:val="14"/>
                <w:szCs w:val="14"/>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3"/>
                <w:szCs w:val="13"/>
                <w:color w:val="auto"/>
              </w:rPr>
              <w:t>(17,043)</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75,828</w:t>
            </w:r>
          </w:p>
        </w:tc>
      </w:tr>
      <w:tr>
        <w:trPr>
          <w:trHeight w:val="171"/>
        </w:trPr>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35,865</w:t>
            </w:r>
          </w:p>
        </w:tc>
        <w:tc>
          <w:tcPr>
            <w:tcW w:w="10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135</w:t>
            </w:r>
          </w:p>
        </w:tc>
        <w:tc>
          <w:tcPr>
            <w:tcW w:w="12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(6,083)</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29,917</w:t>
            </w:r>
          </w:p>
        </w:tc>
      </w:tr>
      <w:tr>
        <w:trPr>
          <w:trHeight w:val="171"/>
        </w:trPr>
        <w:tc>
          <w:tcPr>
            <w:tcW w:w="3080" w:type="dxa"/>
            <w:vAlign w:val="bottom"/>
          </w:tcPr>
          <w:p>
            <w:pPr>
              <w:spacing w:after="0"/>
              <w:rPr>
                <w:sz w:val="20"/>
                <w:szCs w:val="20"/>
                <w:color w:val="auto"/>
              </w:rPr>
            </w:pPr>
            <w:r>
              <w:rPr>
                <w:rFonts w:ascii="Arial" w:cs="Arial" w:eastAsia="Arial" w:hAnsi="Arial"/>
                <w:sz w:val="13"/>
                <w:szCs w:val="13"/>
                <w:color w:val="auto"/>
              </w:rPr>
              <w:t>Mortgage-backed securities - commercial</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174,622</w:t>
            </w:r>
          </w:p>
        </w:tc>
        <w:tc>
          <w:tcPr>
            <w:tcW w:w="10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347</w:t>
            </w:r>
          </w:p>
        </w:tc>
        <w:tc>
          <w:tcPr>
            <w:tcW w:w="12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(6,861)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168,108</w:t>
            </w:r>
          </w:p>
        </w:tc>
      </w:tr>
      <w:tr>
        <w:trPr>
          <w:trHeight w:val="171"/>
        </w:trPr>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Municipal securities</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5,196</w:t>
            </w:r>
          </w:p>
        </w:tc>
        <w:tc>
          <w:tcPr>
            <w:tcW w:w="10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(933)</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4,263</w:t>
            </w:r>
          </w:p>
        </w:tc>
      </w:tr>
      <w:tr>
        <w:trPr>
          <w:trHeight w:val="171"/>
        </w:trPr>
        <w:tc>
          <w:tcPr>
            <w:tcW w:w="3080" w:type="dxa"/>
            <w:vAlign w:val="bottom"/>
          </w:tcPr>
          <w:p>
            <w:pPr>
              <w:spacing w:after="0"/>
              <w:rPr>
                <w:sz w:val="20"/>
                <w:szCs w:val="20"/>
                <w:color w:val="auto"/>
              </w:rPr>
            </w:pPr>
            <w:r>
              <w:rPr>
                <w:rFonts w:ascii="Arial" w:cs="Arial" w:eastAsia="Arial" w:hAnsi="Arial"/>
                <w:sz w:val="13"/>
                <w:szCs w:val="13"/>
                <w:color w:val="auto"/>
              </w:rPr>
              <w:t>Bank subordinated debt securities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15,284</w:t>
            </w:r>
          </w:p>
        </w:tc>
        <w:tc>
          <w:tcPr>
            <w:tcW w:w="10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189</w:t>
            </w:r>
          </w:p>
        </w:tc>
        <w:tc>
          <w:tcPr>
            <w:tcW w:w="120" w:type="dxa"/>
            <w:vAlign w:val="bottom"/>
          </w:tcPr>
          <w:p>
            <w:pPr>
              <w:spacing w:after="0"/>
              <w:rPr>
                <w:sz w:val="14"/>
                <w:szCs w:val="14"/>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3"/>
                <w:szCs w:val="13"/>
                <w:color w:val="auto"/>
              </w:rPr>
              <w:t>(243)</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15,230</w:t>
            </w:r>
          </w:p>
        </w:tc>
      </w:tr>
      <w:tr>
        <w:trPr>
          <w:trHeight w:val="20"/>
        </w:trPr>
        <w:tc>
          <w:tcPr>
            <w:tcW w:w="30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172"/>
        </w:trPr>
        <w:tc>
          <w:tcPr>
            <w:tcW w:w="30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339,007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689</w:t>
            </w:r>
          </w:p>
        </w:tc>
        <w:tc>
          <w:tcPr>
            <w:tcW w:w="1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(32,206)</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307,490</w:t>
            </w:r>
          </w:p>
        </w:tc>
      </w:tr>
      <w:tr>
        <w:trPr>
          <w:trHeight w:val="20"/>
        </w:trPr>
        <w:tc>
          <w:tcPr>
            <w:tcW w:w="3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92"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3"/>
                <w:szCs w:val="13"/>
                <w:b w:val="1"/>
                <w:bCs w:val="1"/>
                <w:color w:val="auto"/>
                <w:w w:val="99"/>
              </w:rPr>
              <w:t>December 31, 2025</w:t>
            </w: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7"/>
              </w:rPr>
              <w:t>Amortized</w:t>
            </w:r>
          </w:p>
        </w:tc>
        <w:tc>
          <w:tcPr>
            <w:tcW w:w="20" w:type="dxa"/>
            <w:vAlign w:val="bottom"/>
          </w:tcPr>
          <w:p>
            <w:pPr>
              <w:spacing w:after="0"/>
              <w:rPr>
                <w:sz w:val="19"/>
                <w:szCs w:val="19"/>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7"/>
              </w:rPr>
              <w:t>Unrecognized</w:t>
            </w:r>
          </w:p>
        </w:tc>
        <w:tc>
          <w:tcPr>
            <w:tcW w:w="98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w w:val="99"/>
              </w:rPr>
              <w:t>Unrecognized</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3820" w:type="dxa"/>
            <w:vAlign w:val="bottom"/>
            <w:gridSpan w:val="2"/>
          </w:tcPr>
          <w:p>
            <w:pPr>
              <w:spacing w:after="0"/>
              <w:rPr>
                <w:sz w:val="20"/>
                <w:szCs w:val="20"/>
                <w:color w:val="auto"/>
              </w:rPr>
            </w:pPr>
            <w:r>
              <w:rPr>
                <w:rFonts w:ascii="Arial" w:cs="Arial" w:eastAsia="Arial" w:hAnsi="Arial"/>
                <w:sz w:val="13"/>
                <w:szCs w:val="13"/>
                <w:b w:val="1"/>
                <w:bCs w:val="1"/>
                <w:color w:val="auto"/>
              </w:rPr>
              <w:t>Held-to-maturity:</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Cost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Gains</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Losses</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jc w:val="right"/>
              <w:ind w:right="116"/>
              <w:spacing w:after="0"/>
              <w:rPr>
                <w:sz w:val="20"/>
                <w:szCs w:val="20"/>
                <w:color w:val="auto"/>
              </w:rPr>
            </w:pPr>
            <w:r>
              <w:rPr>
                <w:rFonts w:ascii="Arial" w:cs="Arial" w:eastAsia="Arial" w:hAnsi="Arial"/>
                <w:sz w:val="13"/>
                <w:szCs w:val="13"/>
                <w:b w:val="1"/>
                <w:bCs w:val="1"/>
                <w:color w:val="auto"/>
                <w:w w:val="93"/>
              </w:rPr>
              <w:t>Fair Value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800" w:type="dxa"/>
            <w:vAlign w:val="bottom"/>
            <w:tcBorders>
              <w:top w:val="single" w:sz="8" w:color="CCEEFF"/>
              <w:bottom w:val="single" w:sz="8" w:color="CCEEFF"/>
              <w:right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U.S. Government Agency</w:t>
            </w:r>
          </w:p>
        </w:tc>
        <w:tc>
          <w:tcPr>
            <w:tcW w:w="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CCEEFF"/>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41,158</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91</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right w:val="single" w:sz="8" w:color="CCEEFF"/>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CCEEFF"/>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(3,279)</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CCEEFF"/>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37,970</w:t>
            </w:r>
          </w:p>
        </w:tc>
        <w:tc>
          <w:tcPr>
            <w:tcW w:w="0" w:type="dxa"/>
            <w:vAlign w:val="bottom"/>
          </w:tcPr>
          <w:p>
            <w:pPr>
              <w:spacing w:after="0"/>
              <w:rPr>
                <w:sz w:val="1"/>
                <w:szCs w:val="1"/>
                <w:color w:val="auto"/>
              </w:rPr>
            </w:pPr>
          </w:p>
        </w:tc>
      </w:tr>
      <w:tr>
        <w:trPr>
          <w:trHeight w:val="169"/>
        </w:trPr>
        <w:tc>
          <w:tcPr>
            <w:tcW w:w="3820" w:type="dxa"/>
            <w:vAlign w:val="bottom"/>
            <w:gridSpan w:val="2"/>
          </w:tcPr>
          <w:p>
            <w:pPr>
              <w:spacing w:after="0"/>
              <w:rPr>
                <w:sz w:val="20"/>
                <w:szCs w:val="20"/>
                <w:color w:val="auto"/>
              </w:rPr>
            </w:pPr>
            <w:r>
              <w:rPr>
                <w:rFonts w:ascii="Arial" w:cs="Arial" w:eastAsia="Arial" w:hAnsi="Arial"/>
                <w:sz w:val="13"/>
                <w:szCs w:val="13"/>
                <w:color w:val="auto"/>
              </w:rPr>
              <w:t>Collateralized mortgage obligations</w:t>
            </w:r>
          </w:p>
        </w:tc>
        <w:tc>
          <w:tcPr>
            <w:tcW w:w="1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51,431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854</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(5,499)</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46,786</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37,221</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760</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(3,263)</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34,718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Arial" w:cs="Arial" w:eastAsia="Arial" w:hAnsi="Arial"/>
                <w:sz w:val="13"/>
                <w:szCs w:val="13"/>
                <w:color w:val="auto"/>
              </w:rPr>
              <w:t>Mortgage-backed securities - commercial</w:t>
            </w:r>
          </w:p>
        </w:tc>
        <w:tc>
          <w:tcPr>
            <w:tcW w:w="1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15,088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(1,037)</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14,051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9,045</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8,983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153,943</w:t>
            </w:r>
          </w:p>
        </w:tc>
        <w:tc>
          <w:tcPr>
            <w:tcW w:w="40" w:type="dxa"/>
            <w:vAlign w:val="bottom"/>
          </w:tcPr>
          <w:p>
            <w:pPr>
              <w:spacing w:after="0"/>
              <w:rPr>
                <w:sz w:val="16"/>
                <w:szCs w:val="16"/>
                <w:color w:val="auto"/>
              </w:rPr>
            </w:pPr>
          </w:p>
        </w:tc>
        <w:tc>
          <w:tcPr>
            <w:tcW w:w="140" w:type="dxa"/>
            <w:vAlign w:val="bottom"/>
            <w:gridSpan w:val="2"/>
          </w:tcPr>
          <w:p>
            <w:pPr>
              <w:jc w:val="right"/>
              <w:ind w:right="4"/>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1,705</w:t>
            </w:r>
          </w:p>
        </w:tc>
        <w:tc>
          <w:tcPr>
            <w:tcW w:w="60" w:type="dxa"/>
            <w:vAlign w:val="bottom"/>
          </w:tcPr>
          <w:p>
            <w:pPr>
              <w:spacing w:after="0"/>
              <w:rPr>
                <w:sz w:val="16"/>
                <w:szCs w:val="16"/>
                <w:color w:val="auto"/>
              </w:rPr>
            </w:pPr>
          </w:p>
        </w:tc>
        <w:tc>
          <w:tcPr>
            <w:tcW w:w="14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3"/>
                <w:szCs w:val="13"/>
                <w:color w:val="auto"/>
              </w:rPr>
              <w:t>(13,140)</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142,508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CCEEFF"/>
              <w:right w:val="single" w:sz="8" w:color="CCEEFF"/>
            </w:tcBorders>
            <w:vMerge w:val="restart"/>
            <w:shd w:val="clear" w:color="auto" w:fill="CCEEFF"/>
          </w:tcPr>
          <w:p>
            <w:pPr>
              <w:spacing w:after="0"/>
              <w:rPr>
                <w:sz w:val="20"/>
                <w:szCs w:val="20"/>
                <w:color w:val="auto"/>
              </w:rPr>
            </w:pPr>
            <w:r>
              <w:rPr>
                <w:rFonts w:ascii="Arial" w:cs="Arial" w:eastAsia="Arial" w:hAnsi="Arial"/>
                <w:sz w:val="13"/>
                <w:szCs w:val="13"/>
                <w:color w:val="auto"/>
              </w:rPr>
              <w:t>Allowance for credit losses - securities held-to-maturity</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800" w:type="dxa"/>
            <w:vAlign w:val="bottom"/>
            <w:tcBorders>
              <w:right w:val="single" w:sz="8" w:color="CCEEFF"/>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820" w:type="dxa"/>
            <w:vAlign w:val="bottom"/>
            <w:gridSpan w:val="2"/>
          </w:tcPr>
          <w:p>
            <w:pPr>
              <w:spacing w:after="0"/>
              <w:rPr>
                <w:sz w:val="20"/>
                <w:szCs w:val="20"/>
                <w:color w:val="auto"/>
              </w:rPr>
            </w:pPr>
            <w:r>
              <w:rPr>
                <w:rFonts w:ascii="Arial" w:cs="Arial" w:eastAsia="Arial" w:hAnsi="Arial"/>
                <w:sz w:val="13"/>
                <w:szCs w:val="13"/>
                <w:color w:val="auto"/>
              </w:rPr>
              <w:t>Securities held-to maturity, net of allowance for credit losses</w:t>
            </w: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153,941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Transfers of debt securities into the held -to-maturity (“HTM”) category from the available for sale (“AFS”) category are made at fair value as of the date of transfer. The unrealized gain or loss at the date of transfer is retained in accumulated</w:t>
      </w:r>
    </w:p>
    <w:p>
      <w:pPr>
        <w:spacing w:after="0" w:line="227"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9</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9" w:name="page10"/>
    <w:bookmarkEnd w:id="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jc w:val="both"/>
        <w:ind w:left="660" w:right="679"/>
        <w:spacing w:after="0" w:line="265" w:lineRule="auto"/>
        <w:rPr>
          <w:sz w:val="20"/>
          <w:szCs w:val="20"/>
          <w:color w:val="auto"/>
        </w:rPr>
      </w:pPr>
      <w:r>
        <w:rPr>
          <w:rFonts w:ascii="Arial" w:cs="Arial" w:eastAsia="Arial" w:hAnsi="Arial"/>
          <w:sz w:val="14"/>
          <w:szCs w:val="14"/>
          <w:color w:val="auto"/>
        </w:rPr>
        <w:t>other comprehensive loss (“AOCL”) and in the carrying value of the HTM securities and there is no impact to net income. Such amounts are amortized over the remaining life of the security. The Company made two transfers from AFS to HTM portfolios in 2022.</w:t>
      </w:r>
    </w:p>
    <w:p>
      <w:pPr>
        <w:spacing w:after="0" w:line="118" w:lineRule="exact"/>
        <w:rPr>
          <w:sz w:val="20"/>
          <w:szCs w:val="20"/>
          <w:color w:val="auto"/>
        </w:rPr>
      </w:pPr>
    </w:p>
    <w:p>
      <w:pPr>
        <w:jc w:val="both"/>
        <w:ind w:left="660" w:right="659" w:firstLine="256"/>
        <w:spacing w:after="0" w:line="255" w:lineRule="auto"/>
        <w:rPr>
          <w:sz w:val="20"/>
          <w:szCs w:val="20"/>
          <w:color w:val="auto"/>
        </w:rPr>
      </w:pPr>
      <w:r>
        <w:rPr>
          <w:rFonts w:ascii="Arial" w:cs="Arial" w:eastAsia="Arial" w:hAnsi="Arial"/>
          <w:sz w:val="14"/>
          <w:szCs w:val="14"/>
          <w:color w:val="auto"/>
        </w:rPr>
        <w:t>During the quarter ended March 31, 2026, there were no investment securities that were transferred from AFS to HTM. For three months ended March 31, 2026, total amortization out of AOCL for net unrealized losses on securities transferred in 2022 from AFS to HTM was $68 thousand and $67 thousand for the three months ended March 31, 2025. At March 31, 2026, the fair value of the transferred securities was $96.1 million and the balance of the remaining unamortized loss was $8.9 million.</w:t>
      </w:r>
    </w:p>
    <w:p>
      <w:pPr>
        <w:spacing w:after="0" w:line="126" w:lineRule="exact"/>
        <w:rPr>
          <w:sz w:val="20"/>
          <w:szCs w:val="20"/>
          <w:color w:val="auto"/>
        </w:rPr>
      </w:pPr>
    </w:p>
    <w:p>
      <w:pPr>
        <w:jc w:val="both"/>
        <w:ind w:left="660" w:right="679" w:firstLine="256"/>
        <w:spacing w:after="0" w:line="292" w:lineRule="auto"/>
        <w:rPr>
          <w:sz w:val="20"/>
          <w:szCs w:val="20"/>
          <w:color w:val="auto"/>
        </w:rPr>
      </w:pPr>
      <w:r>
        <w:rPr>
          <w:rFonts w:ascii="Arial" w:cs="Arial" w:eastAsia="Arial" w:hAnsi="Arial"/>
          <w:sz w:val="14"/>
          <w:szCs w:val="14"/>
          <w:color w:val="auto"/>
        </w:rPr>
        <w:t>The measurement of expected credit losses under the current expected credit loss (“CECL”) methodology is applicable to financial assets measured at amortized cost, including loan receivables and HTM debt securities.</w:t>
      </w:r>
    </w:p>
    <w:p>
      <w:pPr>
        <w:spacing w:after="0" w:line="99"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CECL requires a loss reserve for securities classified as HTM. The reserve should reflect historical credit performance as well as the impact of projected economic forecasts. For U.S. Government bonds and U.S. Agency issued bonds classified as HTM, the explicit guarantee of the U.S. Government is sufficient to conclude that an allowance for credit loss reserve is not required. The reserve requirement is for three primary assets groups: municipal bonds, corporate bonds, and non-agency securitizations. The Company calculates quarterly the loss reserve utilizing Moody’s ImpairmentStudio. The CECL measurement for investment securities incorporates historical data, containing defaults and recoveries information, and Moody’s baseline economic forecast. The solution uses the probability of default/loss given default (“PD/LGD”) approach. PD represents the likelihood a borrower will default. Within the Moody’s model, this is determined using historical default data, adjusted for the current economic environment. LGD projects the expected loss if a borrower were to default.</w:t>
      </w:r>
    </w:p>
    <w:p>
      <w:pPr>
        <w:spacing w:after="0" w:line="140" w:lineRule="exact"/>
        <w:rPr>
          <w:sz w:val="20"/>
          <w:szCs w:val="20"/>
          <w:color w:val="auto"/>
        </w:rPr>
      </w:pPr>
    </w:p>
    <w:p>
      <w:pPr>
        <w:jc w:val="both"/>
        <w:ind w:left="660" w:right="659" w:firstLine="256"/>
        <w:spacing w:after="0" w:line="257" w:lineRule="auto"/>
        <w:rPr>
          <w:sz w:val="20"/>
          <w:szCs w:val="20"/>
          <w:color w:val="auto"/>
        </w:rPr>
      </w:pPr>
      <w:r>
        <w:rPr>
          <w:rFonts w:ascii="Arial" w:cs="Arial" w:eastAsia="Arial" w:hAnsi="Arial"/>
          <w:sz w:val="14"/>
          <w:szCs w:val="14"/>
          <w:color w:val="auto"/>
        </w:rPr>
        <w:t>The Company monitors the credit quality of HTM securities through the use of credit ratings. Credit ratings are monitored by the Company on at least a quarterly basis. As of March 31, 2026 and December 31, 2025, all HTM securities held by the Company were rated investment grade.</w:t>
      </w:r>
    </w:p>
    <w:p>
      <w:pPr>
        <w:spacing w:after="0" w:line="134"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At March 31, 2026, HTM securities included $ 141.9 million of U.S. Government and U.S. Agency issued bonds and mortgage-backed securities. Because of the explicit and/or implicit guarantee on these bonds, the Company holds no reserves on these holdings. The remaining portion of the HTM portfolio is made up of $ 8.0 million in investment grade corporate bonds that mature in May of 2026. The required reserve for these holdings is determined each quarter using the model described above. For the portion of the HTM exposed to non-government credit risk, the Company utilized the PD/LGD methodology to estimate a $0 ACL as of March 31, 2026. The book value for debt securities classified as HTM represents amortized cost less the ACL related to these securities.</w:t>
      </w:r>
    </w:p>
    <w:p>
      <w:pPr>
        <w:spacing w:after="0" w:line="138"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The Company’s investment portfolio includes AFS debt securities, which are carried at fair value with unrealized gains and losses recognized in AOCL, net of applicable taxes. The Company evaluates whether the declines in fair value are attributable to credit losses or other factors like interest rate risk, using both quantitative and qualitative analyses, including company performance analysis, review of credit ratings, bond vintage, remaining payment terms, prepayment speeds and analysis of macro-economic conditions. When the fair value of an AFS security is less than its amortized cost and the decline is attributable to credit-related factors, an ACL is recorded. As a result of this evaluation, the Company concluded that no allowance was required on AFS securities as of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10</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10" w:name="page11"/>
    <w:bookmarkEnd w:id="1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Information pertaining to investment securities with gross unrealized losses, aggregated by investment category and length of time that those individual securities have been in a continuous loss position, are presented as of the following dates (in thousands):</w:t>
      </w:r>
    </w:p>
    <w:p>
      <w:pPr>
        <w:spacing w:after="0" w:line="143"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2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3"/>
                <w:szCs w:val="13"/>
                <w:b w:val="1"/>
                <w:bCs w:val="1"/>
                <w:color w:val="auto"/>
              </w:rPr>
              <w:t>March 31, 2026</w:t>
            </w: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3"/>
                <w:szCs w:val="13"/>
                <w:b w:val="1"/>
                <w:bCs w:val="1"/>
                <w:color w:val="auto"/>
                <w:w w:val="98"/>
              </w:rPr>
              <w:t>Less than 12 months</w:t>
            </w:r>
          </w:p>
        </w:tc>
        <w:tc>
          <w:tcPr>
            <w:tcW w:w="2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3"/>
                <w:szCs w:val="13"/>
                <w:b w:val="1"/>
                <w:bCs w:val="1"/>
                <w:color w:val="auto"/>
              </w:rPr>
              <w:t>12 months or more</w:t>
            </w:r>
          </w:p>
        </w:tc>
        <w:tc>
          <w:tcPr>
            <w:tcW w:w="2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Total</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4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Available-for-Sale:</w:t>
            </w: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Fair Value</w:t>
            </w:r>
          </w:p>
        </w:tc>
        <w:tc>
          <w:tcPr>
            <w:tcW w:w="2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9"/>
              </w:rPr>
              <w:t>Fair Value</w:t>
            </w:r>
          </w:p>
        </w:tc>
        <w:tc>
          <w:tcPr>
            <w:tcW w:w="2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6"/>
              </w:rPr>
              <w:t>Fair Value</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60"/>
        </w:trPr>
        <w:tc>
          <w:tcPr>
            <w:tcW w:w="2460" w:type="dxa"/>
            <w:vAlign w:val="bottom"/>
            <w:tcBorders>
              <w:bottom w:val="single" w:sz="8" w:color="CCEEFF"/>
            </w:tcBorders>
            <w:gridSpan w:val="2"/>
            <w:vMerge w:val="continue"/>
          </w:tcPr>
          <w:p>
            <w:pPr>
              <w:spacing w:after="0"/>
              <w:rPr>
                <w:sz w:val="13"/>
                <w:szCs w:val="13"/>
                <w:color w:val="auto"/>
              </w:rPr>
            </w:pPr>
          </w:p>
        </w:tc>
        <w:tc>
          <w:tcPr>
            <w:tcW w:w="680" w:type="dxa"/>
            <w:vAlign w:val="bottom"/>
            <w:tcBorders>
              <w:bottom w:val="single" w:sz="8" w:color="auto"/>
            </w:tcBorders>
            <w:gridSpan w:val="2"/>
            <w:vMerge w:val="continue"/>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8"/>
              </w:rPr>
              <w:t>Losses</w:t>
            </w:r>
          </w:p>
        </w:tc>
        <w:tc>
          <w:tcPr>
            <w:tcW w:w="20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vMerge w:val="continue"/>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3"/>
              </w:rPr>
              <w:t>Losses</w:t>
            </w:r>
          </w:p>
        </w:tc>
        <w:tc>
          <w:tcPr>
            <w:tcW w:w="20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3"/>
              </w:rPr>
              <w:t>Losses</w:t>
            </w:r>
          </w:p>
        </w:tc>
        <w:tc>
          <w:tcPr>
            <w:tcW w:w="0" w:type="dxa"/>
            <w:vAlign w:val="bottom"/>
          </w:tcPr>
          <w:p>
            <w:pPr>
              <w:spacing w:after="0"/>
              <w:rPr>
                <w:sz w:val="1"/>
                <w:szCs w:val="1"/>
                <w:color w:val="auto"/>
              </w:rPr>
            </w:pPr>
          </w:p>
        </w:tc>
      </w:tr>
      <w:tr>
        <w:trPr>
          <w:trHeight w:val="161"/>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U.S. Government Agency</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5,909</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shd w:val="clear" w:color="auto" w:fill="CCEEFF"/>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w:t>
            </w: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5,689</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(882)</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11,598</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(970)</w:t>
            </w:r>
          </w:p>
        </w:tc>
        <w:tc>
          <w:tcPr>
            <w:tcW w:w="0" w:type="dxa"/>
            <w:vAlign w:val="bottom"/>
          </w:tcPr>
          <w:p>
            <w:pPr>
              <w:spacing w:after="0"/>
              <w:rPr>
                <w:sz w:val="1"/>
                <w:szCs w:val="1"/>
                <w:color w:val="auto"/>
              </w:rPr>
            </w:pPr>
          </w:p>
        </w:tc>
      </w:tr>
      <w:tr>
        <w:trPr>
          <w:trHeight w:val="171"/>
        </w:trPr>
        <w:tc>
          <w:tcPr>
            <w:tcW w:w="2460" w:type="dxa"/>
            <w:vAlign w:val="bottom"/>
            <w:gridSpan w:val="2"/>
          </w:tcPr>
          <w:p>
            <w:pPr>
              <w:ind w:left="40"/>
              <w:spacing w:after="0"/>
              <w:rPr>
                <w:sz w:val="20"/>
                <w:szCs w:val="20"/>
                <w:color w:val="auto"/>
              </w:rPr>
            </w:pPr>
            <w:r>
              <w:rPr>
                <w:rFonts w:ascii="Arial" w:cs="Arial" w:eastAsia="Arial" w:hAnsi="Arial"/>
                <w:sz w:val="13"/>
                <w:szCs w:val="13"/>
                <w:color w:val="auto"/>
              </w:rPr>
              <w:t>Collateralized mortgage obligations</w:t>
            </w:r>
          </w:p>
        </w:tc>
        <w:tc>
          <w:tcPr>
            <w:tcW w:w="140" w:type="dxa"/>
            <w:vAlign w:val="bottom"/>
          </w:tcPr>
          <w:p>
            <w:pPr>
              <w:spacing w:after="0"/>
              <w:rPr>
                <w:sz w:val="14"/>
                <w:szCs w:val="14"/>
                <w:color w:val="auto"/>
              </w:rPr>
            </w:pPr>
          </w:p>
        </w:tc>
        <w:tc>
          <w:tcPr>
            <w:tcW w:w="540" w:type="dxa"/>
            <w:vAlign w:val="bottom"/>
          </w:tcPr>
          <w:p>
            <w:pPr>
              <w:jc w:val="right"/>
              <w:ind w:right="16"/>
              <w:spacing w:after="0"/>
              <w:rPr>
                <w:sz w:val="20"/>
                <w:szCs w:val="20"/>
                <w:color w:val="auto"/>
              </w:rPr>
            </w:pPr>
            <w:r>
              <w:rPr>
                <w:rFonts w:ascii="Arial" w:cs="Arial" w:eastAsia="Arial" w:hAnsi="Arial"/>
                <w:sz w:val="13"/>
                <w:szCs w:val="13"/>
                <w:color w:val="auto"/>
              </w:rPr>
              <w:t>3,898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(116)</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color w:val="auto"/>
              </w:rPr>
              <w:t>64,682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(17,611)</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68,580</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(17,727)</w:t>
            </w: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Mortgage-backed securities - residential</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22,164</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(6,190)</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22,164</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(6,190)</w:t>
            </w:r>
          </w:p>
        </w:tc>
        <w:tc>
          <w:tcPr>
            <w:tcW w:w="0" w:type="dxa"/>
            <w:vAlign w:val="bottom"/>
          </w:tcPr>
          <w:p>
            <w:pPr>
              <w:spacing w:after="0"/>
              <w:rPr>
                <w:sz w:val="1"/>
                <w:szCs w:val="1"/>
                <w:color w:val="auto"/>
              </w:rPr>
            </w:pPr>
          </w:p>
        </w:tc>
      </w:tr>
      <w:tr>
        <w:trPr>
          <w:trHeight w:val="171"/>
        </w:trPr>
        <w:tc>
          <w:tcPr>
            <w:tcW w:w="2460" w:type="dxa"/>
            <w:vAlign w:val="bottom"/>
            <w:gridSpan w:val="2"/>
          </w:tcPr>
          <w:p>
            <w:pPr>
              <w:ind w:left="40"/>
              <w:spacing w:after="0"/>
              <w:rPr>
                <w:sz w:val="20"/>
                <w:szCs w:val="20"/>
                <w:color w:val="auto"/>
              </w:rPr>
            </w:pPr>
            <w:r>
              <w:rPr>
                <w:rFonts w:ascii="Arial" w:cs="Arial" w:eastAsia="Arial" w:hAnsi="Arial"/>
                <w:sz w:val="13"/>
                <w:szCs w:val="13"/>
                <w:color w:val="auto"/>
              </w:rPr>
              <w:t>Mortgage-backed securities - commercial</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73,867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(977)</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color w:val="auto"/>
              </w:rPr>
              <w:t>55,483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(7,028)</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7"/>
              </w:rPr>
              <w:t>129,350</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(8,005)</w:t>
            </w: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Municipal securities</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4,199</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4,199</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w:t>
            </w:r>
          </w:p>
        </w:tc>
        <w:tc>
          <w:tcPr>
            <w:tcW w:w="0" w:type="dxa"/>
            <w:vAlign w:val="bottom"/>
          </w:tcPr>
          <w:p>
            <w:pPr>
              <w:spacing w:after="0"/>
              <w:rPr>
                <w:sz w:val="1"/>
                <w:szCs w:val="1"/>
                <w:color w:val="auto"/>
              </w:rPr>
            </w:pPr>
          </w:p>
        </w:tc>
      </w:tr>
      <w:tr>
        <w:trPr>
          <w:trHeight w:val="171"/>
        </w:trPr>
        <w:tc>
          <w:tcPr>
            <w:tcW w:w="246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Bank subordinated debt securities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2,722</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6,245</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(246)</w:t>
            </w: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8,967</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(257)</w:t>
            </w:r>
          </w:p>
        </w:tc>
        <w:tc>
          <w:tcPr>
            <w:tcW w:w="0" w:type="dxa"/>
            <w:vAlign w:val="bottom"/>
          </w:tcPr>
          <w:p>
            <w:pPr>
              <w:spacing w:after="0"/>
              <w:rPr>
                <w:sz w:val="1"/>
                <w:szCs w:val="1"/>
                <w:color w:val="auto"/>
              </w:rPr>
            </w:pPr>
          </w:p>
        </w:tc>
      </w:tr>
      <w:tr>
        <w:trPr>
          <w:trHeight w:val="161"/>
        </w:trPr>
        <w:tc>
          <w:tcPr>
            <w:tcW w:w="24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86,396</w:t>
            </w: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w w:val="82"/>
                <w:shd w:val="clear" w:color="auto" w:fill="CCEEFF"/>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(1,193)</w:t>
            </w:r>
          </w:p>
        </w:tc>
        <w:tc>
          <w:tcPr>
            <w:tcW w:w="2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shd w:val="clear" w:color="auto" w:fill="CCEEFF"/>
              </w:rPr>
              <w:t>$</w:t>
            </w:r>
          </w:p>
        </w:tc>
        <w:tc>
          <w:tcPr>
            <w:tcW w:w="5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97"/>
                <w:shd w:val="clear" w:color="auto" w:fill="CCEEFF"/>
              </w:rPr>
              <w:t>158,462</w:t>
            </w:r>
          </w:p>
        </w:tc>
        <w:tc>
          <w:tcPr>
            <w:tcW w:w="2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(32,952)</w:t>
            </w:r>
          </w:p>
        </w:tc>
        <w:tc>
          <w:tcPr>
            <w:tcW w:w="2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shd w:val="clear" w:color="auto" w:fill="CCEEFF"/>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shd w:val="clear" w:color="auto" w:fill="CCEEFF"/>
              </w:rPr>
              <w:t>244,858</w:t>
            </w:r>
          </w:p>
        </w:tc>
        <w:tc>
          <w:tcPr>
            <w:tcW w:w="4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(34,144)</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3"/>
                <w:szCs w:val="13"/>
                <w:b w:val="1"/>
                <w:bCs w:val="1"/>
                <w:color w:val="auto"/>
              </w:rPr>
              <w:t>December 31, 2025</w:t>
            </w: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3"/>
                <w:szCs w:val="13"/>
                <w:b w:val="1"/>
                <w:bCs w:val="1"/>
                <w:color w:val="auto"/>
                <w:w w:val="98"/>
              </w:rPr>
              <w:t>Less than 12 months</w:t>
            </w:r>
          </w:p>
        </w:tc>
        <w:tc>
          <w:tcPr>
            <w:tcW w:w="2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3"/>
                <w:szCs w:val="13"/>
                <w:b w:val="1"/>
                <w:bCs w:val="1"/>
                <w:color w:val="auto"/>
              </w:rPr>
              <w:t>12 months or more</w:t>
            </w:r>
          </w:p>
        </w:tc>
        <w:tc>
          <w:tcPr>
            <w:tcW w:w="2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Total</w:t>
            </w: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Available-for-sale:</w:t>
            </w: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Fair Value</w:t>
            </w:r>
          </w:p>
        </w:tc>
        <w:tc>
          <w:tcPr>
            <w:tcW w:w="2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9"/>
              </w:rPr>
              <w:t>Fair Value</w:t>
            </w:r>
          </w:p>
        </w:tc>
        <w:tc>
          <w:tcPr>
            <w:tcW w:w="2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6"/>
              </w:rPr>
              <w:t>Fair Value</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60"/>
        </w:trPr>
        <w:tc>
          <w:tcPr>
            <w:tcW w:w="246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76"/>
              <w:spacing w:after="0"/>
              <w:rPr>
                <w:sz w:val="20"/>
                <w:szCs w:val="20"/>
                <w:color w:val="auto"/>
              </w:rPr>
            </w:pPr>
            <w:r>
              <w:rPr>
                <w:rFonts w:ascii="Arial" w:cs="Arial" w:eastAsia="Arial" w:hAnsi="Arial"/>
                <w:sz w:val="13"/>
                <w:szCs w:val="13"/>
                <w:b w:val="1"/>
                <w:bCs w:val="1"/>
                <w:color w:val="auto"/>
                <w:w w:val="98"/>
              </w:rPr>
              <w:t>Losses</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76"/>
              <w:spacing w:after="0"/>
              <w:rPr>
                <w:sz w:val="20"/>
                <w:szCs w:val="20"/>
                <w:color w:val="auto"/>
              </w:rPr>
            </w:pPr>
            <w:r>
              <w:rPr>
                <w:rFonts w:ascii="Arial" w:cs="Arial" w:eastAsia="Arial" w:hAnsi="Arial"/>
                <w:sz w:val="13"/>
                <w:szCs w:val="13"/>
                <w:b w:val="1"/>
                <w:bCs w:val="1"/>
                <w:color w:val="auto"/>
                <w:w w:val="93"/>
              </w:rPr>
              <w:t>Losses</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76"/>
              <w:spacing w:after="0"/>
              <w:rPr>
                <w:sz w:val="20"/>
                <w:szCs w:val="20"/>
                <w:color w:val="auto"/>
              </w:rPr>
            </w:pPr>
            <w:r>
              <w:rPr>
                <w:rFonts w:ascii="Arial" w:cs="Arial" w:eastAsia="Arial" w:hAnsi="Arial"/>
                <w:sz w:val="13"/>
                <w:szCs w:val="13"/>
                <w:b w:val="1"/>
                <w:bCs w:val="1"/>
                <w:color w:val="auto"/>
                <w:w w:val="93"/>
              </w:rPr>
              <w:t>Losses</w:t>
            </w:r>
          </w:p>
        </w:tc>
        <w:tc>
          <w:tcPr>
            <w:tcW w:w="0" w:type="dxa"/>
            <w:vAlign w:val="bottom"/>
          </w:tcPr>
          <w:p>
            <w:pPr>
              <w:spacing w:after="0"/>
              <w:rPr>
                <w:sz w:val="1"/>
                <w:szCs w:val="1"/>
                <w:color w:val="auto"/>
              </w:rPr>
            </w:pPr>
          </w:p>
        </w:tc>
      </w:tr>
      <w:tr>
        <w:trPr>
          <w:trHeight w:val="161"/>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U.S. Government Agency</w:t>
            </w: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5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5,937</w:t>
            </w: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w w:val="82"/>
                <w:shd w:val="clear" w:color="auto" w:fill="CCEEFF"/>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shd w:val="clear" w:color="auto" w:fill="CCEEFF"/>
              </w:rPr>
              <w:t>$</w:t>
            </w:r>
          </w:p>
        </w:tc>
        <w:tc>
          <w:tcPr>
            <w:tcW w:w="5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5,649</w:t>
            </w: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(984)</w:t>
            </w: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shd w:val="clear" w:color="auto" w:fill="CCEEFF"/>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11,586</w:t>
            </w:r>
          </w:p>
        </w:tc>
        <w:tc>
          <w:tcPr>
            <w:tcW w:w="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(1,043)</w:t>
            </w:r>
          </w:p>
        </w:tc>
        <w:tc>
          <w:tcPr>
            <w:tcW w:w="0" w:type="dxa"/>
            <w:vAlign w:val="bottom"/>
          </w:tcPr>
          <w:p>
            <w:pPr>
              <w:spacing w:after="0"/>
              <w:rPr>
                <w:sz w:val="1"/>
                <w:szCs w:val="1"/>
                <w:color w:val="auto"/>
              </w:rPr>
            </w:pPr>
          </w:p>
        </w:tc>
      </w:tr>
      <w:tr>
        <w:trPr>
          <w:trHeight w:val="171"/>
        </w:trPr>
        <w:tc>
          <w:tcPr>
            <w:tcW w:w="2460" w:type="dxa"/>
            <w:vAlign w:val="bottom"/>
            <w:gridSpan w:val="2"/>
          </w:tcPr>
          <w:p>
            <w:pPr>
              <w:ind w:left="40"/>
              <w:spacing w:after="0"/>
              <w:rPr>
                <w:sz w:val="20"/>
                <w:szCs w:val="20"/>
                <w:color w:val="auto"/>
              </w:rPr>
            </w:pPr>
            <w:r>
              <w:rPr>
                <w:rFonts w:ascii="Arial" w:cs="Arial" w:eastAsia="Arial" w:hAnsi="Arial"/>
                <w:sz w:val="13"/>
                <w:szCs w:val="13"/>
                <w:color w:val="auto"/>
              </w:rPr>
              <w:t>Collateralized mortgage obligations</w:t>
            </w:r>
          </w:p>
        </w:tc>
        <w:tc>
          <w:tcPr>
            <w:tcW w:w="140" w:type="dxa"/>
            <w:vAlign w:val="bottom"/>
          </w:tcPr>
          <w:p>
            <w:pPr>
              <w:spacing w:after="0"/>
              <w:rPr>
                <w:sz w:val="14"/>
                <w:szCs w:val="14"/>
                <w:color w:val="auto"/>
              </w:rPr>
            </w:pPr>
          </w:p>
        </w:tc>
        <w:tc>
          <w:tcPr>
            <w:tcW w:w="540" w:type="dxa"/>
            <w:vAlign w:val="bottom"/>
          </w:tcPr>
          <w:p>
            <w:pPr>
              <w:jc w:val="right"/>
              <w:ind w:right="16"/>
              <w:spacing w:after="0"/>
              <w:rPr>
                <w:sz w:val="20"/>
                <w:szCs w:val="20"/>
                <w:color w:val="auto"/>
              </w:rPr>
            </w:pPr>
            <w:r>
              <w:rPr>
                <w:rFonts w:ascii="Arial" w:cs="Arial" w:eastAsia="Arial" w:hAnsi="Arial"/>
                <w:sz w:val="13"/>
                <w:szCs w:val="13"/>
                <w:color w:val="auto"/>
              </w:rPr>
              <w:t>8,929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(93)</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color w:val="auto"/>
              </w:rPr>
              <w:t>66,899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(16,950)</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75,828</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(17,043)</w:t>
            </w: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Mortgage-backed securities - residential</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22,695</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(6,083)</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22,695</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(6,083)</w:t>
            </w:r>
          </w:p>
        </w:tc>
        <w:tc>
          <w:tcPr>
            <w:tcW w:w="0" w:type="dxa"/>
            <w:vAlign w:val="bottom"/>
          </w:tcPr>
          <w:p>
            <w:pPr>
              <w:spacing w:after="0"/>
              <w:rPr>
                <w:sz w:val="1"/>
                <w:szCs w:val="1"/>
                <w:color w:val="auto"/>
              </w:rPr>
            </w:pPr>
          </w:p>
        </w:tc>
      </w:tr>
      <w:tr>
        <w:trPr>
          <w:trHeight w:val="171"/>
        </w:trPr>
        <w:tc>
          <w:tcPr>
            <w:tcW w:w="2460" w:type="dxa"/>
            <w:vAlign w:val="bottom"/>
            <w:gridSpan w:val="2"/>
          </w:tcPr>
          <w:p>
            <w:pPr>
              <w:ind w:left="40"/>
              <w:spacing w:after="0"/>
              <w:rPr>
                <w:sz w:val="20"/>
                <w:szCs w:val="20"/>
                <w:color w:val="auto"/>
              </w:rPr>
            </w:pPr>
            <w:r>
              <w:rPr>
                <w:rFonts w:ascii="Arial" w:cs="Arial" w:eastAsia="Arial" w:hAnsi="Arial"/>
                <w:sz w:val="13"/>
                <w:szCs w:val="13"/>
                <w:color w:val="auto"/>
              </w:rPr>
              <w:t>Mortgage-backed securities - commercial</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59,655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(477)</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color w:val="auto"/>
              </w:rPr>
              <w:t>56,852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(6,384)</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7"/>
              </w:rPr>
              <w:t>116,507</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(6,861)</w:t>
            </w: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Municipal securities</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4,263</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(933)</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4,263</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(933)</w:t>
            </w:r>
          </w:p>
        </w:tc>
        <w:tc>
          <w:tcPr>
            <w:tcW w:w="0" w:type="dxa"/>
            <w:vAlign w:val="bottom"/>
          </w:tcPr>
          <w:p>
            <w:pPr>
              <w:spacing w:after="0"/>
              <w:rPr>
                <w:sz w:val="1"/>
                <w:szCs w:val="1"/>
                <w:color w:val="auto"/>
              </w:rPr>
            </w:pPr>
          </w:p>
        </w:tc>
      </w:tr>
      <w:tr>
        <w:trPr>
          <w:trHeight w:val="171"/>
        </w:trPr>
        <w:tc>
          <w:tcPr>
            <w:tcW w:w="246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Bank subordinated debt securities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2,020</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7,234</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w:t>
            </w: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9,254</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(243)</w:t>
            </w:r>
          </w:p>
        </w:tc>
        <w:tc>
          <w:tcPr>
            <w:tcW w:w="0" w:type="dxa"/>
            <w:vAlign w:val="bottom"/>
          </w:tcPr>
          <w:p>
            <w:pPr>
              <w:spacing w:after="0"/>
              <w:rPr>
                <w:sz w:val="1"/>
                <w:szCs w:val="1"/>
                <w:color w:val="auto"/>
              </w:rPr>
            </w:pPr>
          </w:p>
        </w:tc>
      </w:tr>
      <w:tr>
        <w:trPr>
          <w:trHeight w:val="172"/>
        </w:trPr>
        <w:tc>
          <w:tcPr>
            <w:tcW w:w="2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76,541</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w w:val="82"/>
                <w:shd w:val="clear" w:color="auto" w:fill="CCEEFF"/>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(633)</w:t>
            </w:r>
          </w:p>
        </w:tc>
        <w:tc>
          <w:tcPr>
            <w:tcW w:w="20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shd w:val="clear" w:color="auto" w:fill="CCEEFF"/>
              </w:rPr>
              <w:t>$</w:t>
            </w:r>
          </w:p>
        </w:tc>
        <w:tc>
          <w:tcPr>
            <w:tcW w:w="5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97"/>
                <w:shd w:val="clear" w:color="auto" w:fill="CCEEFF"/>
              </w:rPr>
              <w:t>163,592</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(31,573)</w:t>
            </w:r>
          </w:p>
        </w:tc>
        <w:tc>
          <w:tcPr>
            <w:tcW w:w="20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shd w:val="clear" w:color="auto" w:fill="CCEEFF"/>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shd w:val="clear" w:color="auto" w:fill="CCEEFF"/>
              </w:rPr>
              <w:t>240,133</w:t>
            </w:r>
          </w:p>
        </w:tc>
        <w:tc>
          <w:tcPr>
            <w:tcW w:w="4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(32,206)</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7" w:lineRule="exact"/>
        <w:rPr>
          <w:sz w:val="20"/>
          <w:szCs w:val="20"/>
          <w:color w:val="auto"/>
        </w:rPr>
      </w:pPr>
    </w:p>
    <w:p>
      <w:pPr>
        <w:ind w:left="660" w:right="659" w:firstLine="256"/>
        <w:spacing w:after="0" w:line="248" w:lineRule="auto"/>
        <w:rPr>
          <w:sz w:val="20"/>
          <w:szCs w:val="20"/>
          <w:color w:val="auto"/>
        </w:rPr>
      </w:pPr>
      <w:r>
        <w:rPr>
          <w:rFonts w:ascii="Arial" w:cs="Arial" w:eastAsia="Arial" w:hAnsi="Arial"/>
          <w:sz w:val="14"/>
          <w:szCs w:val="14"/>
          <w:color w:val="auto"/>
        </w:rPr>
        <w:t>The contractual cash flows associated with U.S. Government Agency securities, collateralized mortgage obligations, and residential and commercial mortgage-backed securities are guaranteed by U.S. government-sponsored enterprises, thereby minimizing credit risk. Municipal bonds are of high credit quality, and the observed declines in fair value are not attributable to a deterioration in the creditworthiness. Similarly, the decrease in fair value of bank subordinated debt securities is primarily driven by changes in market interest rates rather than credit concerns. Based on management’s evaluation of these factors, management believes that the unrealized losses on these debt securities are attributable to fluctuations in market spreads and interest rate movements, rather than adverse changes in the underlying credit quality of the issuers.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tabs>
          <w:tab w:leader="none" w:pos="280" w:val="left"/>
          <w:tab w:leader="none" w:pos="12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11" w:name="page12"/>
    <w:bookmarkEnd w:id="1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338"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Gains and losses on the sale of securities are recorded on the trade date and are determined on the specific identification basis. The following table presents the proceeds, realized gross gains and realized gross losses on sales and calls of AFS debt securities for the three months ended March 31, 2026 and 2025 (in thousands):</w:t>
      </w:r>
    </w:p>
    <w:p>
      <w:pPr>
        <w:spacing w:after="0" w:line="153"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5"/>
          </w:tcPr>
          <w:p>
            <w:pPr>
              <w:ind w:left="140"/>
              <w:spacing w:after="0"/>
              <w:rPr>
                <w:sz w:val="20"/>
                <w:szCs w:val="20"/>
                <w:color w:val="auto"/>
              </w:rPr>
            </w:pPr>
            <w:r>
              <w:rPr>
                <w:rFonts w:ascii="Arial" w:cs="Arial" w:eastAsia="Arial" w:hAnsi="Arial"/>
                <w:sz w:val="13"/>
                <w:szCs w:val="13"/>
                <w:b w:val="1"/>
                <w:bCs w:val="1"/>
                <w:color w:val="auto"/>
              </w:rPr>
              <w:t>Three Months Ended March 31,</w:t>
            </w:r>
          </w:p>
        </w:tc>
      </w:tr>
      <w:tr>
        <w:trPr>
          <w:trHeight w:val="161"/>
        </w:trPr>
        <w:tc>
          <w:tcPr>
            <w:tcW w:w="524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b w:val="1"/>
                <w:bCs w:val="1"/>
                <w:color w:val="auto"/>
              </w:rPr>
              <w:t>Available-for-sale:</w:t>
            </w: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2026</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2025</w:t>
            </w:r>
          </w:p>
        </w:tc>
      </w:tr>
      <w:tr>
        <w:trPr>
          <w:trHeight w:val="161"/>
        </w:trPr>
        <w:tc>
          <w:tcPr>
            <w:tcW w:w="5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Proceeds from sale and call of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38,181</w:t>
            </w:r>
          </w:p>
        </w:tc>
        <w:tc>
          <w:tcPr>
            <w:tcW w:w="60" w:type="dxa"/>
            <w:vAlign w:val="bottom"/>
            <w:gridSpan w:val="2"/>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ind w:left="860"/>
              <w:spacing w:after="0"/>
              <w:rPr>
                <w:sz w:val="20"/>
                <w:szCs w:val="20"/>
                <w:color w:val="auto"/>
              </w:rPr>
            </w:pPr>
            <w:r>
              <w:rPr>
                <w:rFonts w:ascii="Arial" w:cs="Arial" w:eastAsia="Arial" w:hAnsi="Arial"/>
                <w:sz w:val="13"/>
                <w:szCs w:val="13"/>
                <w:color w:val="auto"/>
              </w:rPr>
              <w:t>-</w:t>
            </w:r>
          </w:p>
        </w:tc>
      </w:tr>
      <w:tr>
        <w:trPr>
          <w:trHeight w:val="171"/>
        </w:trPr>
        <w:tc>
          <w:tcPr>
            <w:tcW w:w="10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gridSpan w:val="3"/>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5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Gross gains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60" w:type="dxa"/>
            <w:vAlign w:val="bottom"/>
            <w:gridSpan w:val="2"/>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ind w:left="860"/>
              <w:spacing w:after="0"/>
              <w:rPr>
                <w:sz w:val="20"/>
                <w:szCs w:val="20"/>
                <w:color w:val="auto"/>
              </w:rPr>
            </w:pPr>
            <w:r>
              <w:rPr>
                <w:rFonts w:ascii="Arial" w:cs="Arial" w:eastAsia="Arial" w:hAnsi="Arial"/>
                <w:sz w:val="13"/>
                <w:szCs w:val="13"/>
                <w:color w:val="auto"/>
              </w:rPr>
              <w:t>-</w:t>
            </w:r>
          </w:p>
        </w:tc>
      </w:tr>
      <w:tr>
        <w:trPr>
          <w:trHeight w:val="171"/>
        </w:trPr>
        <w:tc>
          <w:tcPr>
            <w:tcW w:w="524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Gross losses</w:t>
            </w: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860"/>
              <w:spacing w:after="0"/>
              <w:rPr>
                <w:sz w:val="20"/>
                <w:szCs w:val="20"/>
                <w:color w:val="auto"/>
              </w:rPr>
            </w:pPr>
            <w:r>
              <w:rPr>
                <w:rFonts w:ascii="Arial" w:cs="Arial" w:eastAsia="Arial" w:hAnsi="Arial"/>
                <w:sz w:val="13"/>
                <w:szCs w:val="13"/>
                <w:color w:val="auto"/>
              </w:rPr>
              <w:t>-</w:t>
            </w:r>
          </w:p>
        </w:tc>
      </w:tr>
      <w:tr>
        <w:trPr>
          <w:trHeight w:val="161"/>
        </w:trPr>
        <w:tc>
          <w:tcPr>
            <w:tcW w:w="100" w:type="dxa"/>
            <w:vAlign w:val="bottom"/>
            <w:shd w:val="clear" w:color="auto" w:fill="CCEEFF"/>
          </w:tcPr>
          <w:p>
            <w:pPr>
              <w:spacing w:after="0"/>
              <w:rPr>
                <w:sz w:val="14"/>
                <w:szCs w:val="14"/>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3"/>
                <w:szCs w:val="13"/>
                <w:color w:val="auto"/>
              </w:rPr>
              <w:t>Net realized gain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60" w:type="dxa"/>
            <w:vAlign w:val="bottom"/>
            <w:gridSpan w:val="2"/>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ind w:left="860"/>
              <w:spacing w:after="0"/>
              <w:rPr>
                <w:sz w:val="20"/>
                <w:szCs w:val="20"/>
                <w:color w:val="auto"/>
              </w:rPr>
            </w:pPr>
            <w:r>
              <w:rPr>
                <w:rFonts w:ascii="Arial" w:cs="Arial" w:eastAsia="Arial" w:hAnsi="Arial"/>
                <w:sz w:val="13"/>
                <w:szCs w:val="13"/>
                <w:color w:val="auto"/>
              </w:rPr>
              <w:t>-</w:t>
            </w:r>
          </w:p>
        </w:tc>
      </w:tr>
      <w:tr>
        <w:trPr>
          <w:trHeight w:val="20"/>
        </w:trPr>
        <w:tc>
          <w:tcPr>
            <w:tcW w:w="1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The amortized cost and fair value of investment securities, by contractual maturity, are shown below as of the date indicated (in thousands). Actual maturities may differ from contractual maturities because borrowers may have the right to call or prepay obligations with or without call or prepayment penalties. Securities not due at a single maturity date are shown separately.</w:t>
      </w:r>
    </w:p>
    <w:p>
      <w:pPr>
        <w:spacing w:after="0" w:line="128" w:lineRule="exact"/>
        <w:rPr>
          <w:sz w:val="20"/>
          <w:szCs w:val="20"/>
          <w:color w:val="auto"/>
        </w:rPr>
      </w:pPr>
    </w:p>
    <w:tbl>
      <w:tblPr>
        <w:tblLayout w:type="fixed"/>
        <w:tblInd w:w="660" w:type="dxa"/>
        <w:tblCellMar>
          <w:top w:w="0" w:type="dxa"/>
          <w:left w:w="0" w:type="dxa"/>
          <w:bottom w:w="0" w:type="dxa"/>
          <w:right w:w="0" w:type="dxa"/>
        </w:tblCellMar>
      </w:tblPr>
      <w:tr>
        <w:trPr>
          <w:trHeight w:val="179"/>
        </w:trPr>
        <w:tc>
          <w:tcPr>
            <w:tcW w:w="3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jc w:val="right"/>
              <w:ind w:right="316"/>
              <w:spacing w:after="0"/>
              <w:rPr>
                <w:sz w:val="20"/>
                <w:szCs w:val="20"/>
                <w:color w:val="auto"/>
              </w:rPr>
            </w:pPr>
            <w:r>
              <w:rPr>
                <w:rFonts w:ascii="Arial" w:cs="Arial" w:eastAsia="Arial" w:hAnsi="Arial"/>
                <w:sz w:val="13"/>
                <w:szCs w:val="13"/>
                <w:b w:val="1"/>
                <w:bCs w:val="1"/>
                <w:color w:val="auto"/>
              </w:rPr>
              <w:t>Available-for-sale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right"/>
              <w:ind w:right="356"/>
              <w:spacing w:after="0"/>
              <w:rPr>
                <w:sz w:val="20"/>
                <w:szCs w:val="20"/>
                <w:color w:val="auto"/>
              </w:rPr>
            </w:pPr>
            <w:r>
              <w:rPr>
                <w:rFonts w:ascii="Arial" w:cs="Arial" w:eastAsia="Arial" w:hAnsi="Arial"/>
                <w:sz w:val="13"/>
                <w:szCs w:val="13"/>
                <w:b w:val="1"/>
                <w:bCs w:val="1"/>
                <w:color w:val="auto"/>
              </w:rPr>
              <w:t>Held-to-maturity</w:t>
            </w:r>
          </w:p>
        </w:tc>
      </w:tr>
      <w:tr>
        <w:trPr>
          <w:trHeight w:val="154"/>
        </w:trPr>
        <w:tc>
          <w:tcPr>
            <w:tcW w:w="3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tcPr>
          <w:p>
            <w:pPr>
              <w:jc w:val="right"/>
              <w:ind w:right="56"/>
              <w:spacing w:after="0"/>
              <w:rPr>
                <w:sz w:val="20"/>
                <w:szCs w:val="20"/>
                <w:color w:val="auto"/>
              </w:rPr>
            </w:pPr>
            <w:r>
              <w:rPr>
                <w:rFonts w:ascii="Arial" w:cs="Arial" w:eastAsia="Arial" w:hAnsi="Arial"/>
                <w:sz w:val="13"/>
                <w:szCs w:val="13"/>
                <w:b w:val="1"/>
                <w:bCs w:val="1"/>
                <w:color w:val="auto"/>
              </w:rPr>
              <w:t>Amortized</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56"/>
              <w:spacing w:after="0"/>
              <w:rPr>
                <w:sz w:val="20"/>
                <w:szCs w:val="20"/>
                <w:color w:val="auto"/>
              </w:rPr>
            </w:pPr>
            <w:r>
              <w:rPr>
                <w:rFonts w:ascii="Arial" w:cs="Arial" w:eastAsia="Arial" w:hAnsi="Arial"/>
                <w:sz w:val="13"/>
                <w:szCs w:val="13"/>
                <w:b w:val="1"/>
                <w:bCs w:val="1"/>
                <w:color w:val="auto"/>
              </w:rPr>
              <w:t>Amortized</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0"/>
        </w:trPr>
        <w:tc>
          <w:tcPr>
            <w:tcW w:w="398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March 31, 2026: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Cost</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9"/>
              </w:rPr>
              <w:t>Fair Value</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Cost</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9"/>
              </w:rPr>
              <w:t>Fair Value</w:t>
            </w:r>
          </w:p>
        </w:tc>
      </w:tr>
      <w:tr>
        <w:trPr>
          <w:trHeight w:val="161"/>
        </w:trPr>
        <w:tc>
          <w:tcPr>
            <w:tcW w:w="39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Due within one year</w:t>
            </w:r>
          </w:p>
        </w:tc>
        <w:tc>
          <w:tcPr>
            <w:tcW w:w="4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8,004</w:t>
            </w:r>
          </w:p>
        </w:tc>
        <w:tc>
          <w:tcPr>
            <w:tcW w:w="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7,995</w:t>
            </w:r>
          </w:p>
        </w:tc>
      </w:tr>
      <w:tr>
        <w:trPr>
          <w:trHeight w:val="168"/>
        </w:trPr>
        <w:tc>
          <w:tcPr>
            <w:tcW w:w="4020" w:type="dxa"/>
            <w:vAlign w:val="bottom"/>
            <w:gridSpan w:val="2"/>
          </w:tcPr>
          <w:p>
            <w:pPr>
              <w:spacing w:after="0"/>
              <w:rPr>
                <w:sz w:val="20"/>
                <w:szCs w:val="20"/>
                <w:color w:val="auto"/>
              </w:rPr>
            </w:pPr>
            <w:r>
              <w:rPr>
                <w:rFonts w:ascii="Arial" w:cs="Arial" w:eastAsia="Arial" w:hAnsi="Arial"/>
                <w:sz w:val="13"/>
                <w:szCs w:val="13"/>
                <w:color w:val="auto"/>
              </w:rPr>
              <w:t>Due after one year through five years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2,000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1,984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3"/>
        </w:trPr>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rPr>
              <w:t>Due after five years through ten years</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17,764</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16,691</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4020" w:type="dxa"/>
            <w:vAlign w:val="bottom"/>
            <w:gridSpan w:val="2"/>
          </w:tcPr>
          <w:p>
            <w:pPr>
              <w:spacing w:after="0"/>
              <w:rPr>
                <w:sz w:val="20"/>
                <w:szCs w:val="20"/>
                <w:color w:val="auto"/>
              </w:rPr>
            </w:pPr>
            <w:r>
              <w:rPr>
                <w:rFonts w:ascii="Arial" w:cs="Arial" w:eastAsia="Arial" w:hAnsi="Arial"/>
                <w:sz w:val="13"/>
                <w:szCs w:val="13"/>
                <w:color w:val="auto"/>
              </w:rPr>
              <w:t>Due after ten years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3"/>
        </w:trPr>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12,568</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11,598</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40,748</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37,507</w:t>
            </w:r>
          </w:p>
        </w:tc>
      </w:tr>
      <w:tr>
        <w:trPr>
          <w:trHeight w:val="169"/>
        </w:trPr>
        <w:tc>
          <w:tcPr>
            <w:tcW w:w="4020" w:type="dxa"/>
            <w:vAlign w:val="bottom"/>
            <w:gridSpan w:val="2"/>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86,307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68,580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50,175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45,071</w:t>
            </w:r>
          </w:p>
        </w:tc>
      </w:tr>
      <w:tr>
        <w:trPr>
          <w:trHeight w:val="172"/>
        </w:trPr>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35,364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29,272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35,963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33,263</w:t>
            </w:r>
          </w:p>
        </w:tc>
      </w:tr>
      <w:tr>
        <w:trPr>
          <w:trHeight w:val="169"/>
        </w:trPr>
        <w:tc>
          <w:tcPr>
            <w:tcW w:w="40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156,895</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149,035</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15,041</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13,878</w:t>
            </w:r>
          </w:p>
        </w:tc>
      </w:tr>
      <w:tr>
        <w:trPr>
          <w:trHeight w:val="163"/>
        </w:trPr>
        <w:tc>
          <w:tcPr>
            <w:tcW w:w="3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310,898</w:t>
            </w:r>
          </w:p>
        </w:tc>
        <w:tc>
          <w:tcPr>
            <w:tcW w:w="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277,160</w:t>
            </w:r>
          </w:p>
        </w:tc>
        <w:tc>
          <w:tcPr>
            <w:tcW w:w="60" w:type="dxa"/>
            <w:vAlign w:val="bottom"/>
            <w:gridSpan w:val="2"/>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149,931</w:t>
            </w:r>
          </w:p>
        </w:tc>
        <w:tc>
          <w:tcPr>
            <w:tcW w:w="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137,714</w:t>
            </w:r>
          </w:p>
        </w:tc>
      </w:tr>
      <w:tr>
        <w:trPr>
          <w:trHeight w:val="20"/>
        </w:trPr>
        <w:tc>
          <w:tcPr>
            <w:tcW w:w="3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At March 31, 2026, there were no securities held in the portfolio from any one issuer in an amount greater than 10% of total stockholders’ equity other than the U.S. Government and U.S. Government Agency issued securities. All the collateralized mortgage obligations and mortgage-backed securities at March 31, 2026 and December 31, 2025 were issued by U.S. Government entities.</w:t>
      </w:r>
    </w:p>
    <w:p>
      <w:pPr>
        <w:spacing w:after="0" w:line="135"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The Bank is a Qualified Public Depository (“QPD”) with the State of Florida. As a QPD, the Bank has the legal authority to maintain public deposits from cities, municipalities, and the State of Florida. These public deposits are secured by securities pledged to the State of Florida at a ratio of 25% of the quarter daily average balance for quarters ended March 31, 2026 and December 31, 2025. The Bank must also maintain a minimum amount of pledged securities to be in the public funds program.</w:t>
      </w:r>
    </w:p>
    <w:p>
      <w:pPr>
        <w:spacing w:after="0" w:line="140"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As of March 31, 2026, the Bank had a total of $ 220.8 million in deposits under the public funds program and pledged to the State of Florida for these public funds were twenty bonds with an aggregate fair value of $55.1 million.</w:t>
      </w:r>
    </w:p>
    <w:p>
      <w:pPr>
        <w:spacing w:after="0" w:line="120" w:lineRule="exact"/>
        <w:rPr>
          <w:sz w:val="20"/>
          <w:szCs w:val="20"/>
          <w:color w:val="auto"/>
        </w:rPr>
      </w:pPr>
    </w:p>
    <w:p>
      <w:pPr>
        <w:jc w:val="both"/>
        <w:ind w:left="660" w:right="659" w:firstLine="256"/>
        <w:spacing w:after="0" w:line="276" w:lineRule="auto"/>
        <w:rPr>
          <w:sz w:val="20"/>
          <w:szCs w:val="20"/>
          <w:color w:val="auto"/>
        </w:rPr>
      </w:pPr>
      <w:r>
        <w:rPr>
          <w:rFonts w:ascii="Arial" w:cs="Arial" w:eastAsia="Arial" w:hAnsi="Arial"/>
          <w:sz w:val="14"/>
          <w:szCs w:val="14"/>
          <w:color w:val="auto"/>
        </w:rPr>
        <w:t>As of December 31, 2025, the Bank had a total of $167.7 million in deposits under the public funds program and pledged to the State of Florida for these public funds were fifteen bonds with an aggregate fair value of $43.5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12" w:name="page13"/>
    <w:bookmarkEnd w:id="1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1040" w:hanging="377"/>
        <w:spacing w:after="0"/>
        <w:tabs>
          <w:tab w:leader="none" w:pos="1040"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LOANS</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is a summary of the distribution of loans held for investment by type (dollars in thousands):</w:t>
      </w: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7"/>
          </w:tcPr>
          <w:p>
            <w:pPr>
              <w:jc w:val="right"/>
              <w:ind w:right="700"/>
              <w:spacing w:after="0"/>
              <w:rPr>
                <w:sz w:val="20"/>
                <w:szCs w:val="20"/>
                <w:color w:val="auto"/>
              </w:rPr>
            </w:pPr>
            <w:r>
              <w:rPr>
                <w:rFonts w:ascii="Arial" w:cs="Arial" w:eastAsia="Arial" w:hAnsi="Arial"/>
                <w:sz w:val="13"/>
                <w:szCs w:val="13"/>
                <w:b w:val="1"/>
                <w:bCs w:val="1"/>
                <w:color w:val="auto"/>
              </w:rPr>
              <w:t>March 31, 2026</w:t>
            </w:r>
          </w:p>
        </w:tc>
        <w:tc>
          <w:tcPr>
            <w:tcW w:w="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3"/>
                <w:szCs w:val="13"/>
                <w:b w:val="1"/>
                <w:bCs w:val="1"/>
                <w:color w:val="auto"/>
              </w:rPr>
              <w:t>December 31, 2025</w:t>
            </w:r>
          </w:p>
        </w:tc>
        <w:tc>
          <w:tcPr>
            <w:tcW w:w="200" w:type="dxa"/>
            <w:vAlign w:val="bottom"/>
            <w:tcBorders>
              <w:bottom w:val="single" w:sz="8" w:color="auto"/>
            </w:tcBorders>
          </w:tcPr>
          <w:p>
            <w:pPr>
              <w:spacing w:after="0"/>
              <w:rPr>
                <w:sz w:val="13"/>
                <w:szCs w:val="13"/>
                <w:color w:val="auto"/>
              </w:rPr>
            </w:pPr>
          </w:p>
        </w:tc>
      </w:tr>
      <w:tr>
        <w:trPr>
          <w:trHeight w:val="194"/>
        </w:trPr>
        <w:tc>
          <w:tcPr>
            <w:tcW w:w="3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97"/>
              </w:rPr>
              <w:t>Percent of</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b w:val="1"/>
                <w:bCs w:val="1"/>
                <w:color w:val="auto"/>
              </w:rPr>
              <w:t>Percent of</w:t>
            </w:r>
          </w:p>
        </w:tc>
        <w:tc>
          <w:tcPr>
            <w:tcW w:w="200" w:type="dxa"/>
            <w:vAlign w:val="bottom"/>
          </w:tcPr>
          <w:p>
            <w:pPr>
              <w:spacing w:after="0"/>
              <w:rPr>
                <w:sz w:val="16"/>
                <w:szCs w:val="16"/>
                <w:color w:val="auto"/>
              </w:rPr>
            </w:pPr>
          </w:p>
        </w:tc>
      </w:tr>
      <w:tr>
        <w:trPr>
          <w:trHeight w:val="149"/>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110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96"/>
              </w:rPr>
              <w:t>Total</w:t>
            </w:r>
          </w:p>
        </w:tc>
        <w:tc>
          <w:tcPr>
            <w:tcW w:w="220" w:type="dxa"/>
            <w:vAlign w:val="bottom"/>
          </w:tcPr>
          <w:p>
            <w:pPr>
              <w:spacing w:after="0"/>
              <w:rPr>
                <w:sz w:val="12"/>
                <w:szCs w:val="12"/>
                <w:color w:val="auto"/>
              </w:rPr>
            </w:pPr>
          </w:p>
        </w:tc>
        <w:tc>
          <w:tcPr>
            <w:tcW w:w="820" w:type="dxa"/>
            <w:vAlign w:val="bottom"/>
            <w:gridSpan w:val="2"/>
          </w:tcPr>
          <w:p>
            <w:pPr>
              <w:ind w:left="160"/>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860" w:type="dxa"/>
            <w:vAlign w:val="bottom"/>
          </w:tcPr>
          <w:p>
            <w:pPr>
              <w:jc w:val="right"/>
              <w:ind w:right="196"/>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2"/>
                <w:szCs w:val="12"/>
                <w:color w:val="auto"/>
              </w:rPr>
            </w:pPr>
          </w:p>
        </w:tc>
      </w:tr>
      <w:tr>
        <w:trPr>
          <w:trHeight w:val="161"/>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346,917</w:t>
            </w: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20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307,692</w:t>
            </w: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340" w:type="dxa"/>
            <w:vAlign w:val="bottom"/>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1,259,642</w:t>
            </w:r>
          </w:p>
        </w:tc>
        <w:tc>
          <w:tcPr>
            <w:tcW w:w="40" w:type="dxa"/>
            <w:vAlign w:val="bottom"/>
          </w:tcPr>
          <w:p>
            <w:pPr>
              <w:spacing w:after="0"/>
              <w:rPr>
                <w:sz w:val="14"/>
                <w:szCs w:val="14"/>
                <w:color w:val="auto"/>
              </w:rPr>
            </w:pPr>
          </w:p>
        </w:tc>
        <w:tc>
          <w:tcPr>
            <w:tcW w:w="1120" w:type="dxa"/>
            <w:vAlign w:val="bottom"/>
            <w:gridSpan w:val="5"/>
          </w:tcPr>
          <w:p>
            <w:pPr>
              <w:jc w:val="right"/>
              <w:ind w:right="40"/>
              <w:spacing w:after="0"/>
              <w:rPr>
                <w:sz w:val="20"/>
                <w:szCs w:val="20"/>
                <w:color w:val="auto"/>
              </w:rPr>
            </w:pPr>
            <w:r>
              <w:rPr>
                <w:rFonts w:ascii="Arial" w:cs="Arial" w:eastAsia="Arial" w:hAnsi="Arial"/>
                <w:sz w:val="13"/>
                <w:szCs w:val="13"/>
                <w:color w:val="auto"/>
              </w:rPr>
              <w:t>56.4 %</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1,244,835</w:t>
            </w:r>
          </w:p>
        </w:tc>
        <w:tc>
          <w:tcPr>
            <w:tcW w:w="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57.0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291,333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295,548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340" w:type="dxa"/>
            <w:vAlign w:val="bottom"/>
          </w:tcPr>
          <w:p>
            <w:pPr>
              <w:spacing w:after="0"/>
              <w:rPr>
                <w:sz w:val="20"/>
                <w:szCs w:val="20"/>
                <w:color w:val="auto"/>
              </w:rPr>
            </w:pPr>
            <w:r>
              <w:rPr>
                <w:rFonts w:ascii="Arial" w:cs="Arial" w:eastAsia="Arial" w:hAnsi="Arial"/>
                <w:sz w:val="13"/>
                <w:szCs w:val="13"/>
                <w:color w:val="auto"/>
              </w:rPr>
              <w:t>Correspondent banks</w:t>
            </w:r>
          </w:p>
        </w:tc>
        <w:tc>
          <w:tcPr>
            <w:tcW w:w="1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128,722</w:t>
            </w:r>
          </w:p>
        </w:tc>
        <w:tc>
          <w:tcPr>
            <w:tcW w:w="40" w:type="dxa"/>
            <w:vAlign w:val="bottom"/>
          </w:tcPr>
          <w:p>
            <w:pPr>
              <w:spacing w:after="0"/>
              <w:rPr>
                <w:sz w:val="14"/>
                <w:szCs w:val="14"/>
                <w:color w:val="auto"/>
              </w:rPr>
            </w:pPr>
          </w:p>
        </w:tc>
        <w:tc>
          <w:tcPr>
            <w:tcW w:w="1120" w:type="dxa"/>
            <w:vAlign w:val="bottom"/>
            <w:gridSpan w:val="5"/>
          </w:tcPr>
          <w:p>
            <w:pPr>
              <w:jc w:val="right"/>
              <w:ind w:right="40"/>
              <w:spacing w:after="0"/>
              <w:rPr>
                <w:sz w:val="20"/>
                <w:szCs w:val="20"/>
                <w:color w:val="auto"/>
              </w:rPr>
            </w:pPr>
            <w:r>
              <w:rPr>
                <w:rFonts w:ascii="Arial" w:cs="Arial" w:eastAsia="Arial" w:hAnsi="Arial"/>
                <w:sz w:val="13"/>
                <w:szCs w:val="13"/>
                <w:color w:val="auto"/>
              </w:rPr>
              <w:t>5.8 %</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127,968</w:t>
            </w:r>
          </w:p>
        </w:tc>
        <w:tc>
          <w:tcPr>
            <w:tcW w:w="4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5.9 %</w:t>
            </w:r>
          </w:p>
        </w:tc>
      </w:tr>
      <w:tr>
        <w:trPr>
          <w:trHeight w:val="171"/>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207,794</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2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207,215</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01"/>
        </w:trPr>
        <w:tc>
          <w:tcPr>
            <w:tcW w:w="3340" w:type="dxa"/>
            <w:vAlign w:val="bottom"/>
          </w:tcPr>
          <w:p>
            <w:pPr>
              <w:ind w:left="100"/>
              <w:spacing w:after="0"/>
              <w:rPr>
                <w:sz w:val="20"/>
                <w:szCs w:val="20"/>
                <w:color w:val="auto"/>
              </w:rPr>
            </w:pPr>
            <w:r>
              <w:rPr>
                <w:rFonts w:ascii="Arial" w:cs="Arial" w:eastAsia="Arial" w:hAnsi="Arial"/>
                <w:sz w:val="13"/>
                <w:szCs w:val="13"/>
                <w:color w:val="auto"/>
              </w:rPr>
              <w:t>Total gross loans</w:t>
            </w:r>
          </w:p>
        </w:tc>
        <w:tc>
          <w:tcPr>
            <w:tcW w:w="1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2,234,408</w:t>
            </w:r>
          </w:p>
        </w:tc>
        <w:tc>
          <w:tcPr>
            <w:tcW w:w="40" w:type="dxa"/>
            <w:vAlign w:val="bottom"/>
          </w:tcPr>
          <w:p>
            <w:pPr>
              <w:spacing w:after="0"/>
              <w:rPr>
                <w:sz w:val="17"/>
                <w:szCs w:val="17"/>
                <w:color w:val="auto"/>
              </w:rPr>
            </w:pPr>
          </w:p>
        </w:tc>
        <w:tc>
          <w:tcPr>
            <w:tcW w:w="1120" w:type="dxa"/>
            <w:vAlign w:val="bottom"/>
            <w:gridSpan w:val="5"/>
          </w:tcPr>
          <w:p>
            <w:pPr>
              <w:jc w:val="right"/>
              <w:ind w:right="40"/>
              <w:spacing w:after="0"/>
              <w:rPr>
                <w:sz w:val="20"/>
                <w:szCs w:val="20"/>
                <w:color w:val="auto"/>
              </w:rPr>
            </w:pPr>
            <w:r>
              <w:rPr>
                <w:rFonts w:ascii="Arial" w:cs="Arial" w:eastAsia="Arial" w:hAnsi="Arial"/>
                <w:sz w:val="13"/>
                <w:szCs w:val="13"/>
                <w:color w:val="auto"/>
              </w:rPr>
              <w:t>100.0 %</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2,183,258</w:t>
            </w:r>
          </w:p>
        </w:tc>
        <w:tc>
          <w:tcPr>
            <w:tcW w:w="4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53"/>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Plus: Deferred fees/costs</w:t>
            </w:r>
          </w:p>
        </w:tc>
        <w:tc>
          <w:tcPr>
            <w:tcW w:w="140" w:type="dxa"/>
            <w:vAlign w:val="bottom"/>
            <w:tcBorders>
              <w:top w:val="single" w:sz="8" w:color="CCEEFF"/>
              <w:bottom w:val="single" w:sz="8" w:color="auto"/>
            </w:tcBorders>
            <w:shd w:val="clear" w:color="auto" w:fill="CCEEFF"/>
          </w:tcPr>
          <w:p>
            <w:pPr>
              <w:spacing w:after="0"/>
              <w:rPr>
                <w:sz w:val="13"/>
                <w:szCs w:val="13"/>
                <w:color w:val="auto"/>
              </w:rPr>
            </w:pPr>
          </w:p>
        </w:tc>
        <w:tc>
          <w:tcPr>
            <w:tcW w:w="860" w:type="dxa"/>
            <w:vAlign w:val="bottom"/>
            <w:tcBorders>
              <w:top w:val="single" w:sz="8" w:color="CCEEFF"/>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6,643</w:t>
            </w:r>
          </w:p>
        </w:tc>
        <w:tc>
          <w:tcPr>
            <w:tcW w:w="40" w:type="dxa"/>
            <w:vAlign w:val="bottom"/>
            <w:tcBorders>
              <w:top w:val="single" w:sz="8" w:color="CCEEFF"/>
              <w:bottom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auto"/>
            </w:tcBorders>
            <w:shd w:val="clear" w:color="auto" w:fill="CCEEFF"/>
          </w:tcPr>
          <w:p>
            <w:pPr>
              <w:spacing w:after="0"/>
              <w:rPr>
                <w:sz w:val="13"/>
                <w:szCs w:val="13"/>
                <w:color w:val="auto"/>
              </w:rPr>
            </w:pPr>
          </w:p>
        </w:tc>
        <w:tc>
          <w:tcPr>
            <w:tcW w:w="7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5,999</w:t>
            </w:r>
          </w:p>
        </w:tc>
        <w:tc>
          <w:tcPr>
            <w:tcW w:w="40" w:type="dxa"/>
            <w:vAlign w:val="bottom"/>
            <w:tcBorders>
              <w:top w:val="single" w:sz="8" w:color="CCEEFF"/>
              <w:bottom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r>
      <w:tr>
        <w:trPr>
          <w:trHeight w:val="161"/>
        </w:trPr>
        <w:tc>
          <w:tcPr>
            <w:tcW w:w="3340" w:type="dxa"/>
            <w:vAlign w:val="bottom"/>
          </w:tcPr>
          <w:p>
            <w:pPr>
              <w:ind w:left="100"/>
              <w:spacing w:after="0"/>
              <w:rPr>
                <w:sz w:val="20"/>
                <w:szCs w:val="20"/>
                <w:color w:val="auto"/>
              </w:rPr>
            </w:pPr>
            <w:r>
              <w:rPr>
                <w:rFonts w:ascii="Arial" w:cs="Arial" w:eastAsia="Arial" w:hAnsi="Arial"/>
                <w:sz w:val="13"/>
                <w:szCs w:val="13"/>
                <w:color w:val="auto"/>
              </w:rPr>
              <w:t>Total loans net of deferred fees/costs</w:t>
            </w:r>
          </w:p>
        </w:tc>
        <w:tc>
          <w:tcPr>
            <w:tcW w:w="1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2,241,051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2,189,257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Less: Allowance for credit losses</w:t>
            </w: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26,102</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25,500</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172"/>
        </w:trPr>
        <w:tc>
          <w:tcPr>
            <w:tcW w:w="3340" w:type="dxa"/>
            <w:vAlign w:val="bottom"/>
          </w:tcPr>
          <w:p>
            <w:pPr>
              <w:ind w:left="100"/>
              <w:spacing w:after="0"/>
              <w:rPr>
                <w:sz w:val="20"/>
                <w:szCs w:val="20"/>
                <w:color w:val="auto"/>
              </w:rPr>
            </w:pPr>
            <w:r>
              <w:rPr>
                <w:rFonts w:ascii="Arial" w:cs="Arial" w:eastAsia="Arial" w:hAnsi="Arial"/>
                <w:sz w:val="13"/>
                <w:szCs w:val="13"/>
                <w:color w:val="auto"/>
              </w:rPr>
              <w:t>Total net loans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2,214,949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2,163,757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46"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At March 31, 2026 and December 31, 2025, the Company had $599.7 million and $561.4 million, respectively, of commercial real estate and residential mortgage loans pledged as collateral for lines of credit with the Federal Home Loan Bank (“FHLB”) of Atlanta and the Federal Reserve Bank of Atlanta.</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Allowance for Credit Losses</w:t>
      </w:r>
    </w:p>
    <w:p>
      <w:pPr>
        <w:spacing w:after="0" w:line="170" w:lineRule="exact"/>
        <w:rPr>
          <w:sz w:val="20"/>
          <w:szCs w:val="20"/>
          <w:color w:val="auto"/>
        </w:rPr>
      </w:pPr>
    </w:p>
    <w:p>
      <w:pPr>
        <w:jc w:val="both"/>
        <w:ind w:left="660" w:right="639" w:firstLine="256"/>
        <w:spacing w:after="0" w:line="248" w:lineRule="auto"/>
        <w:rPr>
          <w:sz w:val="20"/>
          <w:szCs w:val="20"/>
          <w:color w:val="auto"/>
        </w:rPr>
      </w:pPr>
      <w:r>
        <w:rPr>
          <w:rFonts w:ascii="Arial" w:cs="Arial" w:eastAsia="Arial" w:hAnsi="Arial"/>
          <w:sz w:val="14"/>
          <w:szCs w:val="14"/>
          <w:color w:val="auto"/>
        </w:rPr>
        <w:t>In general, the Company utilizes the Discounted Cash Flow (“DCF”) method or the Weighted-Average Remaining Maturity (“WARM”) methodology to estimate the quantitative portion of the ACL for loan pools. The DCF method uses a loss driver analysis (“LDA”) and DCF analysis. Management engaged advisors and consultants with expertise in CECL model development to assist in development of a LDA based on regression models and supportable forecast. Peer group data obtained from FFIEC Call Report filings is used to inform regression analyses to quantify the impact of reasonable and supportable forecasts in projective models. Economic forecasts applied to regression models to estimate probability of default for loan receivables use at least one of the following economic indicators: civilian unemployment rate (national), real gross domestic product growth (national GDP) or the House Price Index (“HPI”). For each of the segments in which the WARM methodology is used, the long-term average loss rate is calculated and applied on a quarterly basis for the remaining life of the pool. Adjustments for economic expectations are made through qualitative factors.</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Qualitative factors (“Q-Factors”) used in the ACL methodology include:</w:t>
      </w:r>
    </w:p>
    <w:p>
      <w:pPr>
        <w:spacing w:after="0" w:line="159" w:lineRule="exact"/>
        <w:rPr>
          <w:sz w:val="20"/>
          <w:szCs w:val="20"/>
          <w:color w:val="auto"/>
        </w:rPr>
      </w:pPr>
    </w:p>
    <w:p>
      <w:pPr>
        <w:ind w:left="1180" w:hanging="261"/>
        <w:spacing w:after="0"/>
        <w:tabs>
          <w:tab w:leader="none" w:pos="118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Changes in lending policies, procedures, and strategies</w:t>
      </w:r>
    </w:p>
    <w:p>
      <w:pPr>
        <w:spacing w:after="0" w:line="23" w:lineRule="exact"/>
        <w:rPr>
          <w:rFonts w:ascii="Arial" w:cs="Arial" w:eastAsia="Arial" w:hAnsi="Arial"/>
          <w:sz w:val="14"/>
          <w:szCs w:val="14"/>
          <w:color w:val="auto"/>
        </w:rPr>
      </w:pPr>
    </w:p>
    <w:p>
      <w:pPr>
        <w:ind w:left="1180" w:hanging="261"/>
        <w:spacing w:after="0"/>
        <w:tabs>
          <w:tab w:leader="none" w:pos="118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Changes in international, national, regional, and local economic conditions</w:t>
      </w:r>
    </w:p>
    <w:p>
      <w:pPr>
        <w:ind w:left="1180" w:hanging="261"/>
        <w:spacing w:after="0"/>
        <w:tabs>
          <w:tab w:leader="none" w:pos="118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Changes in nature and volume of the portfolio</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Changes in the volume and severity of past due loans and other similar conditions</w:t>
      </w:r>
    </w:p>
    <w:p>
      <w:pPr>
        <w:ind w:left="1180" w:hanging="261"/>
        <w:spacing w:after="0"/>
        <w:tabs>
          <w:tab w:leader="none" w:pos="118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Concentration risk</w:t>
      </w:r>
    </w:p>
    <w:p>
      <w:pPr>
        <w:ind w:left="1180" w:hanging="261"/>
        <w:spacing w:after="0"/>
        <w:tabs>
          <w:tab w:leader="none" w:pos="118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Changes in the value of underlying collateral</w:t>
      </w:r>
    </w:p>
    <w:p>
      <w:pPr>
        <w:ind w:left="1180" w:hanging="261"/>
        <w:spacing w:after="0"/>
        <w:tabs>
          <w:tab w:leader="none" w:pos="11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effect of other external factors: e.g., competition, legal, and regulatory requirements</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Changes in lending management, among others</w:t>
      </w:r>
    </w:p>
    <w:p>
      <w:pPr>
        <w:ind w:left="1180" w:hanging="261"/>
        <w:spacing w:after="0"/>
        <w:tabs>
          <w:tab w:leader="none" w:pos="118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Changes in the loan review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13" w:name="page14"/>
    <w:bookmarkEnd w:id="1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Changes in the ACL for the three months ended March 31, 2026 and 2025 were as follows (in thousands):</w:t>
      </w:r>
    </w:p>
    <w:p>
      <w:pPr>
        <w:spacing w:after="0" w:line="269"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tcPr>
          <w:p>
            <w:pPr>
              <w:ind w:left="40"/>
              <w:spacing w:after="0"/>
              <w:rPr>
                <w:sz w:val="20"/>
                <w:szCs w:val="20"/>
                <w:color w:val="auto"/>
              </w:rPr>
            </w:pPr>
            <w:r>
              <w:rPr>
                <w:rFonts w:ascii="Arial" w:cs="Arial" w:eastAsia="Arial" w:hAnsi="Arial"/>
                <w:sz w:val="13"/>
                <w:szCs w:val="13"/>
                <w:b w:val="1"/>
                <w:bCs w:val="1"/>
                <w:color w:val="auto"/>
                <w:w w:val="99"/>
              </w:rPr>
              <w:t>Commercial</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49"/>
        </w:trPr>
        <w:tc>
          <w:tcPr>
            <w:tcW w:w="2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rPr>
              <w:t>Residential</w:t>
            </w:r>
          </w:p>
        </w:tc>
        <w:tc>
          <w:tcPr>
            <w:tcW w:w="60" w:type="dxa"/>
            <w:vAlign w:val="bottom"/>
          </w:tcPr>
          <w:p>
            <w:pPr>
              <w:spacing w:after="0"/>
              <w:rPr>
                <w:sz w:val="12"/>
                <w:szCs w:val="12"/>
                <w:color w:val="auto"/>
              </w:rPr>
            </w:pPr>
          </w:p>
        </w:tc>
        <w:tc>
          <w:tcPr>
            <w:tcW w:w="820" w:type="dxa"/>
            <w:vAlign w:val="bottom"/>
            <w:gridSpan w:val="3"/>
          </w:tcPr>
          <w:p>
            <w:pPr>
              <w:jc w:val="right"/>
              <w:spacing w:after="0"/>
              <w:rPr>
                <w:sz w:val="20"/>
                <w:szCs w:val="20"/>
                <w:color w:val="auto"/>
              </w:rPr>
            </w:pPr>
            <w:r>
              <w:rPr>
                <w:rFonts w:ascii="Arial" w:cs="Arial" w:eastAsia="Arial" w:hAnsi="Arial"/>
                <w:sz w:val="13"/>
                <w:szCs w:val="13"/>
                <w:b w:val="1"/>
                <w:bCs w:val="1"/>
                <w:color w:val="auto"/>
              </w:rPr>
              <w:t>Commercial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ind w:right="216"/>
              <w:spacing w:after="0"/>
              <w:rPr>
                <w:sz w:val="20"/>
                <w:szCs w:val="20"/>
                <w:color w:val="auto"/>
              </w:rPr>
            </w:pPr>
            <w:r>
              <w:rPr>
                <w:rFonts w:ascii="Arial" w:cs="Arial" w:eastAsia="Arial" w:hAnsi="Arial"/>
                <w:sz w:val="13"/>
                <w:szCs w:val="13"/>
                <w:b w:val="1"/>
                <w:bCs w:val="1"/>
                <w:color w:val="auto"/>
              </w:rPr>
              <w:t>and</w:t>
            </w:r>
          </w:p>
        </w:tc>
        <w:tc>
          <w:tcPr>
            <w:tcW w:w="60" w:type="dxa"/>
            <w:vAlign w:val="bottom"/>
          </w:tcPr>
          <w:p>
            <w:pPr>
              <w:spacing w:after="0"/>
              <w:rPr>
                <w:sz w:val="12"/>
                <w:szCs w:val="12"/>
                <w:color w:val="auto"/>
              </w:rPr>
            </w:pPr>
          </w:p>
        </w:tc>
        <w:tc>
          <w:tcPr>
            <w:tcW w:w="980" w:type="dxa"/>
            <w:vAlign w:val="bottom"/>
            <w:gridSpan w:val="4"/>
          </w:tcPr>
          <w:p>
            <w:pPr>
              <w:ind w:left="40"/>
              <w:spacing w:after="0"/>
              <w:rPr>
                <w:sz w:val="20"/>
                <w:szCs w:val="20"/>
                <w:color w:val="auto"/>
              </w:rPr>
            </w:pPr>
            <w:r>
              <w:rPr>
                <w:rFonts w:ascii="Arial" w:cs="Arial" w:eastAsia="Arial" w:hAnsi="Arial"/>
                <w:sz w:val="13"/>
                <w:szCs w:val="13"/>
                <w:b w:val="1"/>
                <w:bCs w:val="1"/>
                <w:color w:val="auto"/>
                <w:w w:val="98"/>
              </w:rPr>
              <w:t>Correspondent</w:t>
            </w:r>
          </w:p>
        </w:tc>
        <w:tc>
          <w:tcPr>
            <w:tcW w:w="60" w:type="dxa"/>
            <w:vAlign w:val="bottom"/>
          </w:tcPr>
          <w:p>
            <w:pPr>
              <w:spacing w:after="0"/>
              <w:rPr>
                <w:sz w:val="12"/>
                <w:szCs w:val="12"/>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b w:val="1"/>
                <w:bCs w:val="1"/>
                <w:color w:val="auto"/>
              </w:rPr>
              <w:t>Consumer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9"/>
        </w:trPr>
        <w:tc>
          <w:tcPr>
            <w:tcW w:w="25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rPr>
              <w:t>Real Estate</w:t>
            </w:r>
          </w:p>
        </w:tc>
        <w:tc>
          <w:tcPr>
            <w:tcW w:w="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Real Estate</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3"/>
                <w:szCs w:val="13"/>
                <w:b w:val="1"/>
                <w:bCs w:val="1"/>
                <w:color w:val="auto"/>
                <w:w w:val="95"/>
              </w:rPr>
              <w:t>Industrial</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Banks</w:t>
            </w:r>
          </w:p>
        </w:tc>
        <w:tc>
          <w:tcPr>
            <w:tcW w:w="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and Other</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Total</w:t>
            </w:r>
          </w:p>
        </w:tc>
      </w:tr>
      <w:tr>
        <w:trPr>
          <w:trHeight w:val="161"/>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Three Months Ended March 31, 2026</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1"/>
        </w:trPr>
        <w:tc>
          <w:tcPr>
            <w:tcW w:w="2520" w:type="dxa"/>
            <w:vAlign w:val="bottom"/>
          </w:tcPr>
          <w:p>
            <w:pPr>
              <w:ind w:left="40"/>
              <w:spacing w:after="0"/>
              <w:rPr>
                <w:sz w:val="20"/>
                <w:szCs w:val="20"/>
                <w:color w:val="auto"/>
              </w:rPr>
            </w:pPr>
            <w:r>
              <w:rPr>
                <w:rFonts w:ascii="Arial" w:cs="Arial" w:eastAsia="Arial" w:hAnsi="Arial"/>
                <w:sz w:val="13"/>
                <w:szCs w:val="13"/>
                <w:color w:val="auto"/>
              </w:rPr>
              <w:t>Beginning balance</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5,908</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9,476</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4,814</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1,015</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6"/>
              <w:spacing w:after="0"/>
              <w:rPr>
                <w:sz w:val="20"/>
                <w:szCs w:val="20"/>
                <w:color w:val="auto"/>
              </w:rPr>
            </w:pPr>
            <w:r>
              <w:rPr>
                <w:rFonts w:ascii="Arial" w:cs="Arial" w:eastAsia="Arial" w:hAnsi="Arial"/>
                <w:sz w:val="13"/>
                <w:szCs w:val="13"/>
                <w:color w:val="auto"/>
              </w:rPr>
              <w:t>4,287</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25,500</w:t>
            </w:r>
          </w:p>
        </w:tc>
      </w:tr>
      <w:tr>
        <w:trPr>
          <w:trHeight w:val="172"/>
        </w:trPr>
        <w:tc>
          <w:tcPr>
            <w:tcW w:w="2520" w:type="dxa"/>
            <w:vAlign w:val="bottom"/>
            <w:tcBorders>
              <w:bottom w:val="single" w:sz="8" w:color="CCEEFF"/>
            </w:tcBorders>
            <w:shd w:val="clear" w:color="auto" w:fill="CCEEFF"/>
          </w:tcPr>
          <w:p>
            <w:pPr>
              <w:ind w:left="40"/>
              <w:spacing w:after="0" w:line="171"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(1)</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(644)</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456</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512</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3</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271</w:t>
            </w: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598</w:t>
            </w:r>
          </w:p>
        </w:tc>
      </w:tr>
      <w:tr>
        <w:trPr>
          <w:trHeight w:val="171"/>
        </w:trPr>
        <w:tc>
          <w:tcPr>
            <w:tcW w:w="2520" w:type="dxa"/>
            <w:vAlign w:val="bottom"/>
          </w:tcPr>
          <w:p>
            <w:pPr>
              <w:ind w:left="40"/>
              <w:spacing w:after="0"/>
              <w:rPr>
                <w:sz w:val="20"/>
                <w:szCs w:val="20"/>
                <w:color w:val="auto"/>
              </w:rPr>
            </w:pPr>
            <w:r>
              <w:rPr>
                <w:rFonts w:ascii="Arial" w:cs="Arial" w:eastAsia="Arial" w:hAnsi="Arial"/>
                <w:sz w:val="13"/>
                <w:szCs w:val="13"/>
                <w:color w:val="auto"/>
              </w:rPr>
              <w:t>Recoveries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71"/>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Charge-offs</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172"/>
        </w:trPr>
        <w:tc>
          <w:tcPr>
            <w:tcW w:w="2520" w:type="dxa"/>
            <w:vAlign w:val="bottom"/>
          </w:tcPr>
          <w:p>
            <w:pPr>
              <w:ind w:left="40"/>
              <w:spacing w:after="0"/>
              <w:rPr>
                <w:sz w:val="20"/>
                <w:szCs w:val="20"/>
                <w:color w:val="auto"/>
              </w:rPr>
            </w:pPr>
            <w:r>
              <w:rPr>
                <w:rFonts w:ascii="Arial" w:cs="Arial" w:eastAsia="Arial" w:hAnsi="Arial"/>
                <w:sz w:val="13"/>
                <w:szCs w:val="13"/>
                <w:color w:val="auto"/>
              </w:rPr>
              <w:t>Ending Balance</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5,270</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9,932</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5,330</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1,018</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6"/>
              <w:spacing w:after="0"/>
              <w:rPr>
                <w:sz w:val="20"/>
                <w:szCs w:val="20"/>
                <w:color w:val="auto"/>
              </w:rPr>
            </w:pPr>
            <w:r>
              <w:rPr>
                <w:rFonts w:ascii="Arial" w:cs="Arial" w:eastAsia="Arial" w:hAnsi="Arial"/>
                <w:sz w:val="13"/>
                <w:szCs w:val="13"/>
                <w:color w:val="auto"/>
              </w:rPr>
              <w:t>4,552</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26,102</w:t>
            </w:r>
          </w:p>
        </w:tc>
      </w:tr>
      <w:tr>
        <w:trPr>
          <w:trHeight w:val="20"/>
        </w:trPr>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700" w:right="999" w:hanging="5"/>
        <w:spacing w:after="0" w:line="252" w:lineRule="auto"/>
        <w:tabs>
          <w:tab w:leader="none" w:pos="892" w:val="left"/>
        </w:tabs>
        <w:numPr>
          <w:ilvl w:val="0"/>
          <w:numId w:val="6"/>
        </w:numPr>
        <w:rPr>
          <w:rFonts w:ascii="Arial" w:cs="Arial" w:eastAsia="Arial" w:hAnsi="Arial"/>
          <w:sz w:val="13"/>
          <w:szCs w:val="13"/>
          <w:color w:val="auto"/>
        </w:rPr>
      </w:pPr>
      <w:r>
        <w:rPr>
          <w:rFonts w:ascii="Arial" w:cs="Arial" w:eastAsia="Arial" w:hAnsi="Arial"/>
          <w:sz w:val="13"/>
          <w:szCs w:val="13"/>
          <w:color w:val="auto"/>
        </w:rPr>
        <w:t>Provision for credit losses excludes a $205 thousand provision due to unfunded commitments included in accrued interest and other liabilities and a $2 thousand release related to investment securities held to maturity.</w:t>
      </w:r>
    </w:p>
    <w:p>
      <w:pPr>
        <w:spacing w:after="0" w:line="230"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tcPr>
          <w:p>
            <w:pPr>
              <w:ind w:left="20"/>
              <w:spacing w:after="0"/>
              <w:rPr>
                <w:sz w:val="20"/>
                <w:szCs w:val="20"/>
                <w:color w:val="auto"/>
              </w:rPr>
            </w:pPr>
            <w:r>
              <w:rPr>
                <w:rFonts w:ascii="Arial" w:cs="Arial" w:eastAsia="Arial" w:hAnsi="Arial"/>
                <w:sz w:val="13"/>
                <w:szCs w:val="13"/>
                <w:b w:val="1"/>
                <w:bCs w:val="1"/>
                <w:color w:val="auto"/>
              </w:rPr>
              <w:t>Commercial</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49"/>
        </w:trPr>
        <w:tc>
          <w:tcPr>
            <w:tcW w:w="2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rPr>
              <w:t>Residential</w:t>
            </w:r>
          </w:p>
        </w:tc>
        <w:tc>
          <w:tcPr>
            <w:tcW w:w="60" w:type="dxa"/>
            <w:vAlign w:val="bottom"/>
          </w:tcPr>
          <w:p>
            <w:pPr>
              <w:spacing w:after="0"/>
              <w:rPr>
                <w:sz w:val="12"/>
                <w:szCs w:val="12"/>
                <w:color w:val="auto"/>
              </w:rPr>
            </w:pPr>
          </w:p>
        </w:tc>
        <w:tc>
          <w:tcPr>
            <w:tcW w:w="820" w:type="dxa"/>
            <w:vAlign w:val="bottom"/>
            <w:gridSpan w:val="3"/>
          </w:tcPr>
          <w:p>
            <w:pPr>
              <w:jc w:val="right"/>
              <w:spacing w:after="0"/>
              <w:rPr>
                <w:sz w:val="20"/>
                <w:szCs w:val="20"/>
                <w:color w:val="auto"/>
              </w:rPr>
            </w:pPr>
            <w:r>
              <w:rPr>
                <w:rFonts w:ascii="Arial" w:cs="Arial" w:eastAsia="Arial" w:hAnsi="Arial"/>
                <w:sz w:val="13"/>
                <w:szCs w:val="13"/>
                <w:b w:val="1"/>
                <w:bCs w:val="1"/>
                <w:color w:val="auto"/>
                <w:w w:val="99"/>
              </w:rPr>
              <w:t>Commercial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jc w:val="right"/>
              <w:ind w:right="236"/>
              <w:spacing w:after="0"/>
              <w:rPr>
                <w:sz w:val="20"/>
                <w:szCs w:val="20"/>
                <w:color w:val="auto"/>
              </w:rPr>
            </w:pPr>
            <w:r>
              <w:rPr>
                <w:rFonts w:ascii="Arial" w:cs="Arial" w:eastAsia="Arial" w:hAnsi="Arial"/>
                <w:sz w:val="13"/>
                <w:szCs w:val="13"/>
                <w:b w:val="1"/>
                <w:bCs w:val="1"/>
                <w:color w:val="auto"/>
              </w:rPr>
              <w:t>and</w:t>
            </w:r>
          </w:p>
        </w:tc>
        <w:tc>
          <w:tcPr>
            <w:tcW w:w="60" w:type="dxa"/>
            <w:vAlign w:val="bottom"/>
          </w:tcPr>
          <w:p>
            <w:pPr>
              <w:spacing w:after="0"/>
              <w:rPr>
                <w:sz w:val="12"/>
                <w:szCs w:val="12"/>
                <w:color w:val="auto"/>
              </w:rPr>
            </w:pPr>
          </w:p>
        </w:tc>
        <w:tc>
          <w:tcPr>
            <w:tcW w:w="980" w:type="dxa"/>
            <w:vAlign w:val="bottom"/>
            <w:gridSpan w:val="4"/>
          </w:tcPr>
          <w:p>
            <w:pPr>
              <w:ind w:left="20"/>
              <w:spacing w:after="0"/>
              <w:rPr>
                <w:sz w:val="20"/>
                <w:szCs w:val="20"/>
                <w:color w:val="auto"/>
              </w:rPr>
            </w:pPr>
            <w:r>
              <w:rPr>
                <w:rFonts w:ascii="Arial" w:cs="Arial" w:eastAsia="Arial" w:hAnsi="Arial"/>
                <w:sz w:val="13"/>
                <w:szCs w:val="13"/>
                <w:b w:val="1"/>
                <w:bCs w:val="1"/>
                <w:color w:val="auto"/>
              </w:rPr>
              <w:t>Correspondent</w:t>
            </w:r>
          </w:p>
        </w:tc>
        <w:tc>
          <w:tcPr>
            <w:tcW w:w="60" w:type="dxa"/>
            <w:vAlign w:val="bottom"/>
          </w:tcPr>
          <w:p>
            <w:pPr>
              <w:spacing w:after="0"/>
              <w:rPr>
                <w:sz w:val="12"/>
                <w:szCs w:val="12"/>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b w:val="1"/>
                <w:bCs w:val="1"/>
                <w:color w:val="auto"/>
              </w:rPr>
              <w:t>Consumer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9"/>
        </w:trPr>
        <w:tc>
          <w:tcPr>
            <w:tcW w:w="25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rPr>
              <w:t>Real Estate</w:t>
            </w:r>
          </w:p>
        </w:tc>
        <w:tc>
          <w:tcPr>
            <w:tcW w:w="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3"/>
                <w:szCs w:val="13"/>
                <w:b w:val="1"/>
                <w:bCs w:val="1"/>
                <w:color w:val="auto"/>
              </w:rPr>
              <w:t>Real Estate</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3"/>
                <w:szCs w:val="13"/>
                <w:b w:val="1"/>
                <w:bCs w:val="1"/>
                <w:color w:val="auto"/>
                <w:w w:val="95"/>
              </w:rPr>
              <w:t>Industrial</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Banks</w:t>
            </w:r>
          </w:p>
        </w:tc>
        <w:tc>
          <w:tcPr>
            <w:tcW w:w="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3"/>
                <w:szCs w:val="13"/>
                <w:b w:val="1"/>
                <w:bCs w:val="1"/>
                <w:color w:val="auto"/>
              </w:rPr>
              <w:t>and Other</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Total</w:t>
            </w:r>
          </w:p>
        </w:tc>
      </w:tr>
      <w:tr>
        <w:trPr>
          <w:trHeight w:val="161"/>
        </w:trPr>
        <w:tc>
          <w:tcPr>
            <w:tcW w:w="25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Three Months Ended March 31, 2025</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1"/>
        </w:trPr>
        <w:tc>
          <w:tcPr>
            <w:tcW w:w="2520" w:type="dxa"/>
            <w:vAlign w:val="bottom"/>
          </w:tcPr>
          <w:p>
            <w:pPr>
              <w:ind w:left="20"/>
              <w:spacing w:after="0"/>
              <w:rPr>
                <w:sz w:val="20"/>
                <w:szCs w:val="20"/>
                <w:color w:val="auto"/>
              </w:rPr>
            </w:pPr>
            <w:r>
              <w:rPr>
                <w:rFonts w:ascii="Arial" w:cs="Arial" w:eastAsia="Arial" w:hAnsi="Arial"/>
                <w:sz w:val="13"/>
                <w:szCs w:val="13"/>
                <w:color w:val="auto"/>
              </w:rPr>
              <w:t>Beginning balance</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5,121</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
              <w:spacing w:after="0"/>
              <w:rPr>
                <w:sz w:val="20"/>
                <w:szCs w:val="20"/>
                <w:color w:val="auto"/>
              </w:rPr>
            </w:pPr>
            <w:r>
              <w:rPr>
                <w:rFonts w:ascii="Arial" w:cs="Arial" w:eastAsia="Arial" w:hAnsi="Arial"/>
                <w:sz w:val="13"/>
                <w:szCs w:val="13"/>
                <w:color w:val="auto"/>
              </w:rPr>
              <w:t>8,788</w:t>
            </w: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6"/>
              <w:spacing w:after="0"/>
              <w:rPr>
                <w:sz w:val="20"/>
                <w:szCs w:val="20"/>
                <w:color w:val="auto"/>
              </w:rPr>
            </w:pPr>
            <w:r>
              <w:rPr>
                <w:rFonts w:ascii="Arial" w:cs="Arial" w:eastAsia="Arial" w:hAnsi="Arial"/>
                <w:sz w:val="13"/>
                <w:szCs w:val="13"/>
                <w:color w:val="auto"/>
              </w:rPr>
              <w:t>4,633</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6"/>
              <w:spacing w:after="0"/>
              <w:rPr>
                <w:sz w:val="20"/>
                <w:szCs w:val="20"/>
                <w:color w:val="auto"/>
              </w:rPr>
            </w:pPr>
            <w:r>
              <w:rPr>
                <w:rFonts w:ascii="Arial" w:cs="Arial" w:eastAsia="Arial" w:hAnsi="Arial"/>
                <w:sz w:val="13"/>
                <w:szCs w:val="13"/>
                <w:color w:val="auto"/>
              </w:rPr>
              <w:t>654</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6"/>
              <w:spacing w:after="0"/>
              <w:rPr>
                <w:sz w:val="20"/>
                <w:szCs w:val="20"/>
                <w:color w:val="auto"/>
              </w:rPr>
            </w:pPr>
            <w:r>
              <w:rPr>
                <w:rFonts w:ascii="Arial" w:cs="Arial" w:eastAsia="Arial" w:hAnsi="Arial"/>
                <w:sz w:val="13"/>
                <w:szCs w:val="13"/>
                <w:color w:val="auto"/>
              </w:rPr>
              <w:t>4,874</w:t>
            </w: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6"/>
              <w:spacing w:after="0"/>
              <w:rPr>
                <w:sz w:val="20"/>
                <w:szCs w:val="20"/>
                <w:color w:val="auto"/>
              </w:rPr>
            </w:pPr>
            <w:r>
              <w:rPr>
                <w:rFonts w:ascii="Arial" w:cs="Arial" w:eastAsia="Arial" w:hAnsi="Arial"/>
                <w:sz w:val="13"/>
                <w:szCs w:val="13"/>
                <w:color w:val="auto"/>
              </w:rPr>
              <w:t>24,070</w:t>
            </w:r>
          </w:p>
        </w:tc>
      </w:tr>
      <w:tr>
        <w:trPr>
          <w:trHeight w:val="172"/>
        </w:trPr>
        <w:tc>
          <w:tcPr>
            <w:tcW w:w="2520" w:type="dxa"/>
            <w:vAlign w:val="bottom"/>
            <w:tcBorders>
              <w:bottom w:val="single" w:sz="8" w:color="CCEEFF"/>
            </w:tcBorders>
            <w:shd w:val="clear" w:color="auto" w:fill="CCEEFF"/>
          </w:tcPr>
          <w:p>
            <w:pPr>
              <w:ind w:left="20"/>
              <w:spacing w:after="0" w:line="171"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(1)</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409</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163</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316</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672</w:t>
            </w:r>
          </w:p>
        </w:tc>
      </w:tr>
      <w:tr>
        <w:trPr>
          <w:trHeight w:val="171"/>
        </w:trPr>
        <w:tc>
          <w:tcPr>
            <w:tcW w:w="2520" w:type="dxa"/>
            <w:vAlign w:val="bottom"/>
          </w:tcPr>
          <w:p>
            <w:pPr>
              <w:ind w:left="20"/>
              <w:spacing w:after="0"/>
              <w:rPr>
                <w:sz w:val="20"/>
                <w:szCs w:val="20"/>
                <w:color w:val="auto"/>
              </w:rPr>
            </w:pPr>
            <w:r>
              <w:rPr>
                <w:rFonts w:ascii="Arial" w:cs="Arial" w:eastAsia="Arial" w:hAnsi="Arial"/>
                <w:sz w:val="13"/>
                <w:szCs w:val="13"/>
                <w:color w:val="auto"/>
              </w:rPr>
              <w:t>Recoveries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6"/>
              <w:spacing w:after="0"/>
              <w:rPr>
                <w:sz w:val="20"/>
                <w:szCs w:val="20"/>
                <w:color w:val="auto"/>
              </w:rPr>
            </w:pPr>
            <w:r>
              <w:rPr>
                <w:rFonts w:ascii="Arial" w:cs="Arial" w:eastAsia="Arial" w:hAnsi="Arial"/>
                <w:sz w:val="13"/>
                <w:szCs w:val="13"/>
                <w:color w:val="auto"/>
              </w:rPr>
              <w:t>11</w:t>
            </w:r>
          </w:p>
        </w:tc>
      </w:tr>
      <w:tr>
        <w:trPr>
          <w:trHeight w:val="171"/>
        </w:trPr>
        <w:tc>
          <w:tcPr>
            <w:tcW w:w="2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Charge-offs</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r>
      <w:tr>
        <w:trPr>
          <w:trHeight w:val="161"/>
        </w:trPr>
        <w:tc>
          <w:tcPr>
            <w:tcW w:w="2520" w:type="dxa"/>
            <w:vAlign w:val="bottom"/>
          </w:tcPr>
          <w:p>
            <w:pPr>
              <w:ind w:left="20"/>
              <w:spacing w:after="0"/>
              <w:rPr>
                <w:sz w:val="20"/>
                <w:szCs w:val="20"/>
                <w:color w:val="auto"/>
              </w:rPr>
            </w:pPr>
            <w:r>
              <w:rPr>
                <w:rFonts w:ascii="Arial" w:cs="Arial" w:eastAsia="Arial" w:hAnsi="Arial"/>
                <w:sz w:val="13"/>
                <w:szCs w:val="13"/>
                <w:color w:val="auto"/>
              </w:rPr>
              <w:t>Ending Balance</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5,115</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
              <w:spacing w:after="0"/>
              <w:rPr>
                <w:sz w:val="20"/>
                <w:szCs w:val="20"/>
                <w:color w:val="auto"/>
              </w:rPr>
            </w:pPr>
            <w:r>
              <w:rPr>
                <w:rFonts w:ascii="Arial" w:cs="Arial" w:eastAsia="Arial" w:hAnsi="Arial"/>
                <w:sz w:val="13"/>
                <w:szCs w:val="13"/>
                <w:color w:val="auto"/>
              </w:rPr>
              <w:t>9,197</w:t>
            </w: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6"/>
              <w:spacing w:after="0"/>
              <w:rPr>
                <w:sz w:val="20"/>
                <w:szCs w:val="20"/>
                <w:color w:val="auto"/>
              </w:rPr>
            </w:pPr>
            <w:r>
              <w:rPr>
                <w:rFonts w:ascii="Arial" w:cs="Arial" w:eastAsia="Arial" w:hAnsi="Arial"/>
                <w:sz w:val="13"/>
                <w:szCs w:val="13"/>
                <w:color w:val="auto"/>
              </w:rPr>
              <w:t>4,434</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6"/>
              <w:spacing w:after="0"/>
              <w:rPr>
                <w:sz w:val="20"/>
                <w:szCs w:val="20"/>
                <w:color w:val="auto"/>
              </w:rPr>
            </w:pPr>
            <w:r>
              <w:rPr>
                <w:rFonts w:ascii="Arial" w:cs="Arial" w:eastAsia="Arial" w:hAnsi="Arial"/>
                <w:sz w:val="13"/>
                <w:szCs w:val="13"/>
                <w:color w:val="auto"/>
              </w:rPr>
              <w:t>817</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6"/>
              <w:spacing w:after="0"/>
              <w:rPr>
                <w:sz w:val="20"/>
                <w:szCs w:val="20"/>
                <w:color w:val="auto"/>
              </w:rPr>
            </w:pPr>
            <w:r>
              <w:rPr>
                <w:rFonts w:ascii="Arial" w:cs="Arial" w:eastAsia="Arial" w:hAnsi="Arial"/>
                <w:sz w:val="13"/>
                <w:szCs w:val="13"/>
                <w:color w:val="auto"/>
              </w:rPr>
              <w:t>5,177</w:t>
            </w: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6"/>
              <w:spacing w:after="0"/>
              <w:rPr>
                <w:sz w:val="20"/>
                <w:szCs w:val="20"/>
                <w:color w:val="auto"/>
              </w:rPr>
            </w:pPr>
            <w:r>
              <w:rPr>
                <w:rFonts w:ascii="Arial" w:cs="Arial" w:eastAsia="Arial" w:hAnsi="Arial"/>
                <w:sz w:val="13"/>
                <w:szCs w:val="13"/>
                <w:color w:val="auto"/>
              </w:rPr>
              <w:t>24,740</w:t>
            </w:r>
          </w:p>
        </w:tc>
      </w:tr>
      <w:tr>
        <w:trPr>
          <w:trHeight w:val="20"/>
        </w:trPr>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680" w:right="759" w:firstLine="4"/>
        <w:spacing w:after="0" w:line="269" w:lineRule="auto"/>
        <w:tabs>
          <w:tab w:leader="none" w:pos="872" w:val="left"/>
        </w:tabs>
        <w:numPr>
          <w:ilvl w:val="0"/>
          <w:numId w:val="7"/>
        </w:numPr>
        <w:rPr>
          <w:rFonts w:ascii="Arial" w:cs="Arial" w:eastAsia="Arial" w:hAnsi="Arial"/>
          <w:sz w:val="13"/>
          <w:szCs w:val="13"/>
          <w:color w:val="auto"/>
        </w:rPr>
      </w:pPr>
      <w:r>
        <w:rPr>
          <w:rFonts w:ascii="Arial" w:cs="Arial" w:eastAsia="Arial" w:hAnsi="Arial"/>
          <w:sz w:val="13"/>
          <w:szCs w:val="13"/>
          <w:color w:val="auto"/>
        </w:rPr>
        <w:t>Provision for credit losses excludes a $10 thousand provision due to unfunded commitments included in accrued interest and other liabilities and a $1 thousand release related to investment securities held to maturity.</w:t>
      </w:r>
    </w:p>
    <w:p>
      <w:pPr>
        <w:spacing w:after="0" w:line="291"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At March 31, 2026, the ACL for loans was $26.1 million compared to $25.5 million at December 31, 2025. The $ 602 thousand increase in the ACL was primarily attributable to loan portfolio growth, partially offset by lower expected loss rates resulting from improvements in the economic forecast.</w:t>
      </w:r>
    </w:p>
    <w:p>
      <w:pPr>
        <w:spacing w:after="0" w:line="118" w:lineRule="exact"/>
        <w:rPr>
          <w:sz w:val="20"/>
          <w:szCs w:val="20"/>
          <w:color w:val="auto"/>
        </w:rPr>
      </w:pPr>
    </w:p>
    <w:p>
      <w:pPr>
        <w:jc w:val="both"/>
        <w:ind w:left="660" w:right="699" w:firstLine="256"/>
        <w:spacing w:after="0" w:line="292" w:lineRule="auto"/>
        <w:rPr>
          <w:sz w:val="20"/>
          <w:szCs w:val="20"/>
          <w:color w:val="auto"/>
        </w:rPr>
      </w:pPr>
      <w:r>
        <w:rPr>
          <w:rFonts w:ascii="Arial" w:cs="Arial" w:eastAsia="Arial" w:hAnsi="Arial"/>
          <w:sz w:val="14"/>
          <w:szCs w:val="14"/>
          <w:color w:val="auto"/>
        </w:rPr>
        <w:t>Charge offs related to loans for the three months ended March 31, 2026 were $6 thousand and were all originated in 2026.</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Charge-offs for the three months ended March 31, 2025 totaled $13 thousand and were all originated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14" w:name="page15"/>
    <w:bookmarkEnd w:id="1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The ACL and the outstanding balances in the specified loan categories as of March 31, 2026 and December 31, 2025 are as follows (in thousands):</w:t>
      </w:r>
    </w:p>
    <w:p>
      <w:pPr>
        <w:spacing w:after="0" w:line="29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Residential</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96"/>
              </w:rPr>
              <w:t>Commercial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6"/>
              </w:rPr>
              <w:t>Commercial</w:t>
            </w:r>
          </w:p>
        </w:tc>
        <w:tc>
          <w:tcPr>
            <w:tcW w:w="2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b w:val="1"/>
                <w:bCs w:val="1"/>
                <w:color w:val="auto"/>
              </w:rPr>
              <w:t>Correspondent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6"/>
              </w:rPr>
              <w:t>Consumer</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Real Estate</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99"/>
              </w:rPr>
              <w:t>Real Estate</w:t>
            </w:r>
          </w:p>
        </w:tc>
        <w:tc>
          <w:tcPr>
            <w:tcW w:w="20" w:type="dxa"/>
            <w:vAlign w:val="bottom"/>
          </w:tcPr>
          <w:p>
            <w:pPr>
              <w:spacing w:after="0"/>
              <w:rPr>
                <w:sz w:val="13"/>
                <w:szCs w:val="13"/>
                <w:color w:val="auto"/>
              </w:rPr>
            </w:pPr>
          </w:p>
        </w:tc>
        <w:tc>
          <w:tcPr>
            <w:tcW w:w="96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rPr>
              <w:t>and Industrial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236"/>
              <w:spacing w:after="0"/>
              <w:rPr>
                <w:sz w:val="20"/>
                <w:szCs w:val="20"/>
                <w:color w:val="auto"/>
              </w:rPr>
            </w:pPr>
            <w:r>
              <w:rPr>
                <w:rFonts w:ascii="Arial" w:cs="Arial" w:eastAsia="Arial" w:hAnsi="Arial"/>
                <w:sz w:val="13"/>
                <w:szCs w:val="13"/>
                <w:b w:val="1"/>
                <w:bCs w:val="1"/>
                <w:color w:val="auto"/>
              </w:rPr>
              <w:t>Banks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4"/>
              </w:rPr>
              <w:t>and Other</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21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1"/>
        </w:trPr>
        <w:tc>
          <w:tcPr>
            <w:tcW w:w="2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March 31, 2026:</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0" w:type="dxa"/>
            <w:vAlign w:val="bottom"/>
            <w:tcBorders>
              <w:left w:val="single" w:sz="8" w:color="CCEEFF"/>
            </w:tcBorders>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80" w:type="dxa"/>
            <w:vAlign w:val="bottom"/>
            <w:gridSpan w:val="2"/>
          </w:tcPr>
          <w:p>
            <w:pPr>
              <w:spacing w:after="0"/>
              <w:rPr>
                <w:sz w:val="20"/>
                <w:szCs w:val="20"/>
                <w:color w:val="auto"/>
              </w:rPr>
            </w:pPr>
            <w:r>
              <w:rPr>
                <w:rFonts w:ascii="Arial" w:cs="Arial" w:eastAsia="Arial" w:hAnsi="Arial"/>
                <w:sz w:val="13"/>
                <w:szCs w:val="13"/>
                <w:color w:val="auto"/>
              </w:rPr>
              <w:t>Allowance for credit losses: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Individually evaluated</w:t>
            </w: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40" w:type="dxa"/>
            <w:vAlign w:val="bottom"/>
            <w:tcBorders>
              <w:left w:val="single" w:sz="8" w:color="CCEEFF"/>
            </w:tcBorders>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16</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71"/>
        </w:trPr>
        <w:tc>
          <w:tcPr>
            <w:tcW w:w="2280" w:type="dxa"/>
            <w:vAlign w:val="bottom"/>
            <w:gridSpan w:val="2"/>
          </w:tcPr>
          <w:p>
            <w:pPr>
              <w:ind w:left="100"/>
              <w:spacing w:after="0"/>
              <w:rPr>
                <w:sz w:val="20"/>
                <w:szCs w:val="20"/>
                <w:color w:val="auto"/>
              </w:rPr>
            </w:pPr>
            <w:r>
              <w:rPr>
                <w:rFonts w:ascii="Arial" w:cs="Arial" w:eastAsia="Arial" w:hAnsi="Arial"/>
                <w:sz w:val="13"/>
                <w:szCs w:val="13"/>
                <w:color w:val="auto"/>
              </w:rPr>
              <w:t>Collectively evaluated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5,246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9,932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3"/>
                <w:szCs w:val="13"/>
                <w:color w:val="auto"/>
              </w:rPr>
              <w:t>5,314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1,018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4,552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26,062</w:t>
            </w:r>
          </w:p>
        </w:tc>
        <w:tc>
          <w:tcPr>
            <w:tcW w:w="0" w:type="dxa"/>
            <w:vAlign w:val="bottom"/>
          </w:tcPr>
          <w:p>
            <w:pPr>
              <w:spacing w:after="0"/>
              <w:rPr>
                <w:sz w:val="1"/>
                <w:szCs w:val="1"/>
                <w:color w:val="auto"/>
              </w:rPr>
            </w:pPr>
          </w:p>
        </w:tc>
      </w:tr>
      <w:tr>
        <w:trPr>
          <w:trHeight w:val="161"/>
        </w:trPr>
        <w:tc>
          <w:tcPr>
            <w:tcW w:w="10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Balances, end of period</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5,270</w:t>
            </w:r>
          </w:p>
        </w:tc>
        <w:tc>
          <w:tcPr>
            <w:tcW w:w="40" w:type="dxa"/>
            <w:vAlign w:val="bottom"/>
            <w:tcBorders>
              <w:left w:val="single" w:sz="8" w:color="CCEEFF"/>
            </w:tcBorders>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9,932</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5,330</w:t>
            </w: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1,018</w:t>
            </w:r>
          </w:p>
        </w:tc>
        <w:tc>
          <w:tcPr>
            <w:tcW w:w="40" w:type="dxa"/>
            <w:vAlign w:val="bottom"/>
            <w:tcBorders>
              <w:top w:val="single" w:sz="8" w:color="CCEEFF"/>
            </w:tcBorders>
            <w:gridSpan w:val="2"/>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4,552</w:t>
            </w: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26,102</w:t>
            </w:r>
          </w:p>
        </w:tc>
        <w:tc>
          <w:tcPr>
            <w:tcW w:w="0" w:type="dxa"/>
            <w:vAlign w:val="bottom"/>
          </w:tcPr>
          <w:p>
            <w:pPr>
              <w:spacing w:after="0"/>
              <w:rPr>
                <w:sz w:val="1"/>
                <w:szCs w:val="1"/>
                <w:color w:val="auto"/>
              </w:rPr>
            </w:pPr>
          </w:p>
        </w:tc>
      </w:tr>
      <w:tr>
        <w:trPr>
          <w:trHeight w:val="20"/>
        </w:trPr>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Loans:</w:t>
            </w: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tcBorders>
              <w:left w:val="single" w:sz="8" w:color="CCEEFF"/>
            </w:tcBorders>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80" w:type="dxa"/>
            <w:vAlign w:val="bottom"/>
            <w:gridSpan w:val="2"/>
          </w:tcPr>
          <w:p>
            <w:pPr>
              <w:ind w:left="100"/>
              <w:spacing w:after="0"/>
              <w:rPr>
                <w:sz w:val="20"/>
                <w:szCs w:val="20"/>
                <w:color w:val="auto"/>
              </w:rPr>
            </w:pPr>
            <w:r>
              <w:rPr>
                <w:rFonts w:ascii="Arial" w:cs="Arial" w:eastAsia="Arial" w:hAnsi="Arial"/>
                <w:sz w:val="13"/>
                <w:szCs w:val="13"/>
                <w:color w:val="auto"/>
              </w:rPr>
              <w:t>Individually evaluated</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6,023</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3"/>
                <w:szCs w:val="13"/>
                <w:color w:val="auto"/>
              </w:rPr>
              <w:t>1,288</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7,311</w:t>
            </w:r>
          </w:p>
        </w:tc>
        <w:tc>
          <w:tcPr>
            <w:tcW w:w="0" w:type="dxa"/>
            <w:vAlign w:val="bottom"/>
          </w:tcPr>
          <w:p>
            <w:pPr>
              <w:spacing w:after="0"/>
              <w:rPr>
                <w:sz w:val="1"/>
                <w:szCs w:val="1"/>
                <w:color w:val="auto"/>
              </w:rPr>
            </w:pPr>
          </w:p>
        </w:tc>
      </w:tr>
      <w:tr>
        <w:trPr>
          <w:trHeight w:val="171"/>
        </w:trPr>
        <w:tc>
          <w:tcPr>
            <w:tcW w:w="10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Collectively evaluated</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340,894</w:t>
            </w:r>
          </w:p>
        </w:tc>
        <w:tc>
          <w:tcPr>
            <w:tcW w:w="40" w:type="dxa"/>
            <w:vAlign w:val="bottom"/>
            <w:tcBorders>
              <w:left w:val="single" w:sz="8" w:color="CCEEFF"/>
            </w:tcBorders>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1,259,642</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290,045</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128,722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207,794</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2,227,097</w:t>
            </w:r>
          </w:p>
        </w:tc>
        <w:tc>
          <w:tcPr>
            <w:tcW w:w="0" w:type="dxa"/>
            <w:vAlign w:val="bottom"/>
          </w:tcPr>
          <w:p>
            <w:pPr>
              <w:spacing w:after="0"/>
              <w:rPr>
                <w:sz w:val="1"/>
                <w:szCs w:val="1"/>
                <w:color w:val="auto"/>
              </w:rPr>
            </w:pPr>
          </w:p>
        </w:tc>
      </w:tr>
      <w:tr>
        <w:trPr>
          <w:trHeight w:val="201"/>
        </w:trPr>
        <w:tc>
          <w:tcPr>
            <w:tcW w:w="2280" w:type="dxa"/>
            <w:vAlign w:val="bottom"/>
            <w:gridSpan w:val="2"/>
          </w:tcPr>
          <w:p>
            <w:pPr>
              <w:ind w:left="100"/>
              <w:spacing w:after="0"/>
              <w:rPr>
                <w:sz w:val="20"/>
                <w:szCs w:val="20"/>
                <w:color w:val="auto"/>
              </w:rPr>
            </w:pPr>
            <w:r>
              <w:rPr>
                <w:rFonts w:ascii="Arial" w:cs="Arial" w:eastAsia="Arial" w:hAnsi="Arial"/>
                <w:sz w:val="13"/>
                <w:szCs w:val="13"/>
                <w:color w:val="auto"/>
              </w:rPr>
              <w:t>Balances, end of period</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346,917</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1,259,642</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3"/>
                <w:szCs w:val="13"/>
                <w:color w:val="auto"/>
              </w:rPr>
              <w:t>291,333</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128,722</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207,794</w:t>
            </w:r>
          </w:p>
        </w:tc>
        <w:tc>
          <w:tcPr>
            <w:tcW w:w="18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2,234,408</w:t>
            </w:r>
          </w:p>
        </w:tc>
        <w:tc>
          <w:tcPr>
            <w:tcW w:w="0" w:type="dxa"/>
            <w:vAlign w:val="bottom"/>
          </w:tcPr>
          <w:p>
            <w:pPr>
              <w:spacing w:after="0"/>
              <w:rPr>
                <w:sz w:val="1"/>
                <w:szCs w:val="1"/>
                <w:color w:val="auto"/>
              </w:rPr>
            </w:pPr>
          </w:p>
        </w:tc>
      </w:tr>
      <w:tr>
        <w:trPr>
          <w:trHeight w:val="143"/>
        </w:trPr>
        <w:tc>
          <w:tcPr>
            <w:tcW w:w="100" w:type="dxa"/>
            <w:vAlign w:val="bottom"/>
            <w:tcBorders>
              <w:top w:val="single" w:sz="8" w:color="CCEEFF"/>
            </w:tcBorders>
            <w:shd w:val="clear" w:color="auto" w:fill="CCEEFF"/>
          </w:tcPr>
          <w:p>
            <w:pPr>
              <w:spacing w:after="0"/>
              <w:rPr>
                <w:sz w:val="12"/>
                <w:szCs w:val="12"/>
                <w:color w:val="auto"/>
              </w:rPr>
            </w:pPr>
          </w:p>
        </w:tc>
        <w:tc>
          <w:tcPr>
            <w:tcW w:w="2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0" w:type="dxa"/>
            <w:vAlign w:val="bottom"/>
            <w:tcBorders>
              <w:left w:val="single" w:sz="8" w:color="CCEEFF"/>
            </w:tcBorders>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80" w:type="dxa"/>
            <w:vAlign w:val="bottom"/>
            <w:gridSpan w:val="2"/>
          </w:tcPr>
          <w:p>
            <w:pPr>
              <w:spacing w:after="0"/>
              <w:rPr>
                <w:sz w:val="20"/>
                <w:szCs w:val="20"/>
                <w:color w:val="auto"/>
              </w:rPr>
            </w:pPr>
            <w:r>
              <w:rPr>
                <w:rFonts w:ascii="Arial" w:cs="Arial" w:eastAsia="Arial" w:hAnsi="Arial"/>
                <w:sz w:val="13"/>
                <w:szCs w:val="13"/>
                <w:b w:val="1"/>
                <w:bCs w:val="1"/>
                <w:color w:val="auto"/>
              </w:rPr>
              <w:t>December 31, 2025: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Allowance for credit losses:</w:t>
            </w: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tcBorders>
              <w:left w:val="single" w:sz="8" w:color="CCEEFF"/>
            </w:tcBorders>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80" w:type="dxa"/>
            <w:vAlign w:val="bottom"/>
            <w:gridSpan w:val="2"/>
          </w:tcPr>
          <w:p>
            <w:pPr>
              <w:ind w:left="100"/>
              <w:spacing w:after="0"/>
              <w:rPr>
                <w:sz w:val="20"/>
                <w:szCs w:val="20"/>
                <w:color w:val="auto"/>
              </w:rPr>
            </w:pPr>
            <w:r>
              <w:rPr>
                <w:rFonts w:ascii="Arial" w:cs="Arial" w:eastAsia="Arial" w:hAnsi="Arial"/>
                <w:sz w:val="13"/>
                <w:szCs w:val="13"/>
                <w:color w:val="auto"/>
              </w:rPr>
              <w:t>Individually evaluated</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27</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3"/>
                <w:szCs w:val="13"/>
                <w:color w:val="auto"/>
              </w:rPr>
              <w:t>84</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51"/>
        </w:trPr>
        <w:tc>
          <w:tcPr>
            <w:tcW w:w="100" w:type="dxa"/>
            <w:vAlign w:val="bottom"/>
            <w:tcBorders>
              <w:bottom w:val="single" w:sz="8" w:color="CCEEFF"/>
            </w:tcBorders>
            <w:shd w:val="clear" w:color="auto" w:fill="CCEEFF"/>
          </w:tcPr>
          <w:p>
            <w:pPr>
              <w:spacing w:after="0"/>
              <w:rPr>
                <w:sz w:val="13"/>
                <w:szCs w:val="13"/>
                <w:color w:val="auto"/>
              </w:rPr>
            </w:pPr>
          </w:p>
        </w:tc>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Collectively evaluated</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5,881</w:t>
            </w:r>
          </w:p>
        </w:tc>
        <w:tc>
          <w:tcPr>
            <w:tcW w:w="40" w:type="dxa"/>
            <w:vAlign w:val="bottom"/>
            <w:tcBorders>
              <w:left w:val="single" w:sz="8" w:color="CCEEFF"/>
            </w:tcBorders>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9,476</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4,730</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1,015</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4,287</w:t>
            </w: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25,389</w:t>
            </w:r>
          </w:p>
        </w:tc>
        <w:tc>
          <w:tcPr>
            <w:tcW w:w="0" w:type="dxa"/>
            <w:vAlign w:val="bottom"/>
          </w:tcPr>
          <w:p>
            <w:pPr>
              <w:spacing w:after="0"/>
              <w:rPr>
                <w:sz w:val="1"/>
                <w:szCs w:val="1"/>
                <w:color w:val="auto"/>
              </w:rPr>
            </w:pPr>
          </w:p>
        </w:tc>
      </w:tr>
      <w:tr>
        <w:trPr>
          <w:trHeight w:val="20"/>
        </w:trPr>
        <w:tc>
          <w:tcPr>
            <w:tcW w:w="2280" w:type="dxa"/>
            <w:vAlign w:val="bottom"/>
            <w:gridSpan w:val="2"/>
            <w:vMerge w:val="restart"/>
          </w:tcPr>
          <w:p>
            <w:pPr>
              <w:ind w:left="100"/>
              <w:spacing w:after="0"/>
              <w:rPr>
                <w:sz w:val="20"/>
                <w:szCs w:val="20"/>
                <w:color w:val="auto"/>
              </w:rPr>
            </w:pPr>
            <w:r>
              <w:rPr>
                <w:rFonts w:ascii="Arial" w:cs="Arial" w:eastAsia="Arial" w:hAnsi="Arial"/>
                <w:sz w:val="13"/>
                <w:szCs w:val="13"/>
                <w:color w:val="auto"/>
              </w:rPr>
              <w:t>Balances, end of period</w:t>
            </w:r>
          </w:p>
        </w:tc>
        <w:tc>
          <w:tcPr>
            <w:tcW w:w="2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280" w:type="dxa"/>
            <w:vAlign w:val="bottom"/>
            <w:gridSpan w:val="2"/>
            <w:vMerge w:val="continue"/>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5,908</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9,476</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3"/>
                <w:szCs w:val="13"/>
                <w:color w:val="auto"/>
              </w:rPr>
              <w:t>4,814</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1,015</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4,287</w:t>
            </w:r>
          </w:p>
        </w:tc>
        <w:tc>
          <w:tcPr>
            <w:tcW w:w="18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25,500</w:t>
            </w:r>
          </w:p>
        </w:tc>
        <w:tc>
          <w:tcPr>
            <w:tcW w:w="0" w:type="dxa"/>
            <w:vAlign w:val="bottom"/>
          </w:tcPr>
          <w:p>
            <w:pPr>
              <w:spacing w:after="0"/>
              <w:rPr>
                <w:sz w:val="1"/>
                <w:szCs w:val="1"/>
                <w:color w:val="auto"/>
              </w:rPr>
            </w:pPr>
          </w:p>
        </w:tc>
      </w:tr>
      <w:tr>
        <w:trPr>
          <w:trHeight w:val="143"/>
        </w:trPr>
        <w:tc>
          <w:tcPr>
            <w:tcW w:w="100" w:type="dxa"/>
            <w:vAlign w:val="bottom"/>
            <w:tcBorders>
              <w:top w:val="single" w:sz="8" w:color="CCEEFF"/>
            </w:tcBorders>
            <w:shd w:val="clear" w:color="auto" w:fill="CCEEFF"/>
          </w:tcPr>
          <w:p>
            <w:pPr>
              <w:spacing w:after="0"/>
              <w:rPr>
                <w:sz w:val="12"/>
                <w:szCs w:val="12"/>
                <w:color w:val="auto"/>
              </w:rPr>
            </w:pPr>
          </w:p>
        </w:tc>
        <w:tc>
          <w:tcPr>
            <w:tcW w:w="2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0" w:type="dxa"/>
            <w:vAlign w:val="bottom"/>
            <w:tcBorders>
              <w:left w:val="single" w:sz="8" w:color="CCEEFF"/>
            </w:tcBorders>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80" w:type="dxa"/>
            <w:vAlign w:val="bottom"/>
            <w:gridSpan w:val="2"/>
          </w:tcPr>
          <w:p>
            <w:pPr>
              <w:spacing w:after="0"/>
              <w:rPr>
                <w:sz w:val="20"/>
                <w:szCs w:val="20"/>
                <w:color w:val="auto"/>
              </w:rPr>
            </w:pPr>
            <w:r>
              <w:rPr>
                <w:rFonts w:ascii="Arial" w:cs="Arial" w:eastAsia="Arial" w:hAnsi="Arial"/>
                <w:sz w:val="13"/>
                <w:szCs w:val="13"/>
                <w:color w:val="auto"/>
              </w:rPr>
              <w:t>Loans: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Individually evaluated</w:t>
            </w: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5,583</w:t>
            </w:r>
          </w:p>
        </w:tc>
        <w:tc>
          <w:tcPr>
            <w:tcW w:w="40" w:type="dxa"/>
            <w:vAlign w:val="bottom"/>
            <w:tcBorders>
              <w:left w:val="single" w:sz="8" w:color="CCEEFF"/>
            </w:tcBorders>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1,265</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6,848</w:t>
            </w:r>
          </w:p>
        </w:tc>
        <w:tc>
          <w:tcPr>
            <w:tcW w:w="0" w:type="dxa"/>
            <w:vAlign w:val="bottom"/>
          </w:tcPr>
          <w:p>
            <w:pPr>
              <w:spacing w:after="0"/>
              <w:rPr>
                <w:sz w:val="1"/>
                <w:szCs w:val="1"/>
                <w:color w:val="auto"/>
              </w:rPr>
            </w:pPr>
          </w:p>
        </w:tc>
      </w:tr>
      <w:tr>
        <w:trPr>
          <w:trHeight w:val="171"/>
        </w:trPr>
        <w:tc>
          <w:tcPr>
            <w:tcW w:w="2280" w:type="dxa"/>
            <w:vAlign w:val="bottom"/>
            <w:gridSpan w:val="2"/>
          </w:tcPr>
          <w:p>
            <w:pPr>
              <w:ind w:left="100"/>
              <w:spacing w:after="0"/>
              <w:rPr>
                <w:sz w:val="20"/>
                <w:szCs w:val="20"/>
                <w:color w:val="auto"/>
              </w:rPr>
            </w:pPr>
            <w:r>
              <w:rPr>
                <w:rFonts w:ascii="Arial" w:cs="Arial" w:eastAsia="Arial" w:hAnsi="Arial"/>
                <w:sz w:val="13"/>
                <w:szCs w:val="13"/>
                <w:color w:val="auto"/>
              </w:rPr>
              <w:t>Collectively evaluated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302,109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1,244,835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3"/>
                <w:szCs w:val="13"/>
                <w:color w:val="auto"/>
              </w:rPr>
              <w:t>294,283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127,968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207,215</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2,176,410</w:t>
            </w:r>
          </w:p>
        </w:tc>
        <w:tc>
          <w:tcPr>
            <w:tcW w:w="0" w:type="dxa"/>
            <w:vAlign w:val="bottom"/>
          </w:tcPr>
          <w:p>
            <w:pPr>
              <w:spacing w:after="0"/>
              <w:rPr>
                <w:sz w:val="1"/>
                <w:szCs w:val="1"/>
                <w:color w:val="auto"/>
              </w:rPr>
            </w:pPr>
          </w:p>
        </w:tc>
      </w:tr>
      <w:tr>
        <w:trPr>
          <w:trHeight w:val="161"/>
        </w:trPr>
        <w:tc>
          <w:tcPr>
            <w:tcW w:w="10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Balances, end of period</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307,692</w:t>
            </w:r>
          </w:p>
        </w:tc>
        <w:tc>
          <w:tcPr>
            <w:tcW w:w="40" w:type="dxa"/>
            <w:vAlign w:val="bottom"/>
            <w:tcBorders>
              <w:left w:val="single" w:sz="8" w:color="CCEEFF"/>
            </w:tcBorders>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1,244,835</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295,548</w:t>
            </w: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127,968</w:t>
            </w:r>
          </w:p>
        </w:tc>
        <w:tc>
          <w:tcPr>
            <w:tcW w:w="40" w:type="dxa"/>
            <w:vAlign w:val="bottom"/>
            <w:tcBorders>
              <w:top w:val="single" w:sz="8" w:color="CCEEFF"/>
            </w:tcBorders>
            <w:gridSpan w:val="2"/>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207,215</w:t>
            </w: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shd w:val="clear" w:color="auto" w:fill="CCEEFF"/>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2,183,258</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Credit Quality Indicators</w:t>
      </w:r>
    </w:p>
    <w:p>
      <w:pPr>
        <w:spacing w:after="0" w:line="17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Company grades loans based on the estimated capability of the borrower to repay the contractual obligation of the loan agreement based on relevant information which may include: current financial information on the borrower, historical payment experience, credit documentation and other current economic trends. Internal credit risk grades are evaluated periodically.</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Company's internally assigned credit risk grades are as follows:</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Pass </w:t>
      </w:r>
      <w:r>
        <w:rPr>
          <w:rFonts w:ascii="Arial" w:cs="Arial" w:eastAsia="Arial" w:hAnsi="Arial"/>
          <w:sz w:val="14"/>
          <w:szCs w:val="14"/>
          <w:color w:val="auto"/>
        </w:rPr>
        <w:t>– Loans indicate different levels of satisfactory financial condition and performance.</w:t>
      </w:r>
    </w:p>
    <w:p>
      <w:pPr>
        <w:spacing w:after="0" w:line="170" w:lineRule="exact"/>
        <w:rPr>
          <w:sz w:val="20"/>
          <w:szCs w:val="20"/>
          <w:color w:val="auto"/>
        </w:rPr>
      </w:pPr>
    </w:p>
    <w:p>
      <w:pPr>
        <w:ind w:left="1180" w:right="819"/>
        <w:spacing w:after="0" w:line="257" w:lineRule="auto"/>
        <w:rPr>
          <w:sz w:val="20"/>
          <w:szCs w:val="20"/>
          <w:color w:val="auto"/>
        </w:rPr>
      </w:pPr>
      <w:r>
        <w:rPr>
          <w:rFonts w:ascii="Arial" w:cs="Arial" w:eastAsia="Arial" w:hAnsi="Arial"/>
          <w:sz w:val="14"/>
          <w:szCs w:val="14"/>
          <w:b w:val="1"/>
          <w:bCs w:val="1"/>
          <w:color w:val="auto"/>
        </w:rPr>
        <w:t xml:space="preserve">Special Mention </w:t>
      </w:r>
      <w:r>
        <w:rPr>
          <w:rFonts w:ascii="Arial" w:cs="Arial" w:eastAsia="Arial" w:hAnsi="Arial"/>
          <w:sz w:val="14"/>
          <w:szCs w:val="14"/>
          <w:color w:val="auto"/>
        </w:rPr>
        <w:t>– Loans classified as special mention have a potential weakness that deserves management’s</w:t>
      </w:r>
      <w:r>
        <w:rPr>
          <w:rFonts w:ascii="Arial" w:cs="Arial" w:eastAsia="Arial" w:hAnsi="Arial"/>
          <w:sz w:val="14"/>
          <w:szCs w:val="14"/>
          <w:b w:val="1"/>
          <w:bCs w:val="1"/>
          <w:color w:val="auto"/>
        </w:rPr>
        <w:t xml:space="preserve"> </w:t>
      </w:r>
      <w:r>
        <w:rPr>
          <w:rFonts w:ascii="Arial" w:cs="Arial" w:eastAsia="Arial" w:hAnsi="Arial"/>
          <w:sz w:val="14"/>
          <w:szCs w:val="14"/>
          <w:color w:val="auto"/>
        </w:rPr>
        <w:t>close attention. If left uncorrected, these potential weaknesses may result in deterioration of the repayment prospects for the loan or of the institution’s credit position at some future date.</w:t>
      </w:r>
    </w:p>
    <w:p>
      <w:pPr>
        <w:spacing w:after="0" w:line="134" w:lineRule="exact"/>
        <w:rPr>
          <w:sz w:val="20"/>
          <w:szCs w:val="20"/>
          <w:color w:val="auto"/>
        </w:rPr>
      </w:pPr>
    </w:p>
    <w:p>
      <w:pPr>
        <w:jc w:val="both"/>
        <w:ind w:left="1180" w:right="819"/>
        <w:spacing w:after="0" w:line="256" w:lineRule="auto"/>
        <w:rPr>
          <w:sz w:val="20"/>
          <w:szCs w:val="20"/>
          <w:color w:val="auto"/>
        </w:rPr>
      </w:pPr>
      <w:r>
        <w:rPr>
          <w:rFonts w:ascii="Arial" w:cs="Arial" w:eastAsia="Arial" w:hAnsi="Arial"/>
          <w:sz w:val="14"/>
          <w:szCs w:val="14"/>
          <w:b w:val="1"/>
          <w:bCs w:val="1"/>
          <w:color w:val="auto"/>
        </w:rPr>
        <w:t xml:space="preserve">Substandard </w:t>
      </w:r>
      <w:r>
        <w:rPr>
          <w:rFonts w:ascii="Arial" w:cs="Arial" w:eastAsia="Arial" w:hAnsi="Arial"/>
          <w:sz w:val="14"/>
          <w:szCs w:val="14"/>
          <w:color w:val="auto"/>
        </w:rPr>
        <w:t>– Loans classified as substandard are inadequately protected by the current net worth and paying</w:t>
      </w:r>
      <w:r>
        <w:rPr>
          <w:rFonts w:ascii="Arial" w:cs="Arial" w:eastAsia="Arial" w:hAnsi="Arial"/>
          <w:sz w:val="14"/>
          <w:szCs w:val="14"/>
          <w:b w:val="1"/>
          <w:bCs w:val="1"/>
          <w:color w:val="auto"/>
        </w:rPr>
        <w:t xml:space="preserve"> </w:t>
      </w:r>
      <w:r>
        <w:rPr>
          <w:rFonts w:ascii="Arial" w:cs="Arial" w:eastAsia="Arial" w:hAnsi="Arial"/>
          <w:sz w:val="14"/>
          <w:szCs w:val="14"/>
          <w:color w:val="auto"/>
        </w:rPr>
        <w:t>capacity of the obligator or of the collateral 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135" w:lineRule="exact"/>
        <w:rPr>
          <w:sz w:val="20"/>
          <w:szCs w:val="20"/>
          <w:color w:val="auto"/>
        </w:rPr>
      </w:pPr>
    </w:p>
    <w:p>
      <w:pPr>
        <w:jc w:val="both"/>
        <w:ind w:left="1180" w:right="719"/>
        <w:spacing w:after="0" w:line="257" w:lineRule="auto"/>
        <w:rPr>
          <w:sz w:val="20"/>
          <w:szCs w:val="20"/>
          <w:color w:val="auto"/>
        </w:rPr>
      </w:pPr>
      <w:r>
        <w:rPr>
          <w:rFonts w:ascii="Arial" w:cs="Arial" w:eastAsia="Arial" w:hAnsi="Arial"/>
          <w:sz w:val="14"/>
          <w:szCs w:val="14"/>
          <w:b w:val="1"/>
          <w:bCs w:val="1"/>
          <w:color w:val="auto"/>
        </w:rPr>
        <w:t xml:space="preserve">Doubtful </w:t>
      </w:r>
      <w:r>
        <w:rPr>
          <w:rFonts w:ascii="Arial" w:cs="Arial" w:eastAsia="Arial" w:hAnsi="Arial"/>
          <w:sz w:val="14"/>
          <w:szCs w:val="14"/>
          <w:color w:val="auto"/>
        </w:rPr>
        <w:t>– Loans classified as doubtful have all the weaknesses inherent in those classified at substandard, with</w:t>
      </w:r>
      <w:r>
        <w:rPr>
          <w:rFonts w:ascii="Arial" w:cs="Arial" w:eastAsia="Arial" w:hAnsi="Arial"/>
          <w:sz w:val="14"/>
          <w:szCs w:val="14"/>
          <w:b w:val="1"/>
          <w:bCs w:val="1"/>
          <w:color w:val="auto"/>
        </w:rPr>
        <w:t xml:space="preserve"> </w:t>
      </w:r>
      <w:r>
        <w:rPr>
          <w:rFonts w:ascii="Arial" w:cs="Arial" w:eastAsia="Arial" w:hAnsi="Arial"/>
          <w:sz w:val="14"/>
          <w:szCs w:val="14"/>
          <w:color w:val="auto"/>
        </w:rPr>
        <w:t>the added characteristic that the weaknesses make collection or liquidation in full on the basis of currently existing facts, conditions, and values, highly questionable and improbable.</w:t>
      </w:r>
    </w:p>
    <w:p>
      <w:pPr>
        <w:spacing w:after="0" w:line="134"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Loss </w:t>
      </w:r>
      <w:r>
        <w:rPr>
          <w:rFonts w:ascii="Arial" w:cs="Arial" w:eastAsia="Arial" w:hAnsi="Arial"/>
          <w:sz w:val="14"/>
          <w:szCs w:val="14"/>
          <w:color w:val="auto"/>
        </w:rPr>
        <w:t>– Loans classified as loss are considered uncollectible.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15</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15" w:name="page16"/>
    <w:bookmarkEnd w:id="1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Loan credit exposures by internally assigned grades are presented below for the periods indicated (in thousands):</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As of March 31, 2026</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r>
      <w:tr>
        <w:trPr>
          <w:trHeight w:val="311"/>
        </w:trPr>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11"/>
          </w:tcPr>
          <w:p>
            <w:pPr>
              <w:jc w:val="right"/>
              <w:spacing w:after="0"/>
              <w:rPr>
                <w:sz w:val="20"/>
                <w:szCs w:val="20"/>
                <w:color w:val="auto"/>
              </w:rPr>
            </w:pPr>
            <w:r>
              <w:rPr>
                <w:rFonts w:ascii="Arial" w:cs="Arial" w:eastAsia="Arial" w:hAnsi="Arial"/>
                <w:sz w:val="13"/>
                <w:szCs w:val="13"/>
                <w:b w:val="1"/>
                <w:bCs w:val="1"/>
                <w:color w:val="auto"/>
              </w:rPr>
              <w:t>Term Loans by Origination Year</w:t>
            </w: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26"/>
        </w:trPr>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b w:val="1"/>
                <w:bCs w:val="1"/>
                <w:color w:val="auto"/>
                <w:w w:val="93"/>
              </w:rPr>
              <w:t>Revolving</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49"/>
        </w:trPr>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3"/>
                <w:szCs w:val="13"/>
                <w:b w:val="1"/>
                <w:bCs w:val="1"/>
                <w:color w:val="auto"/>
              </w:rPr>
              <w:t>2026</w:t>
            </w: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2025</w:t>
            </w: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2024</w:t>
            </w: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2023</w:t>
            </w: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Prior</w:t>
            </w: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Loans</w:t>
            </w: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Total</w:t>
            </w:r>
          </w:p>
        </w:tc>
      </w:tr>
      <w:tr>
        <w:trPr>
          <w:trHeight w:val="161"/>
        </w:trPr>
        <w:tc>
          <w:tcPr>
            <w:tcW w:w="1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71"/>
        </w:trPr>
        <w:tc>
          <w:tcPr>
            <w:tcW w:w="1400" w:type="dxa"/>
            <w:vAlign w:val="bottom"/>
            <w:gridSpan w:val="3"/>
          </w:tcPr>
          <w:p>
            <w:pPr>
              <w:ind w:left="100"/>
              <w:spacing w:after="0"/>
              <w:rPr>
                <w:sz w:val="20"/>
                <w:szCs w:val="20"/>
                <w:color w:val="auto"/>
              </w:rPr>
            </w:pPr>
            <w:r>
              <w:rPr>
                <w:rFonts w:ascii="Arial" w:cs="Arial" w:eastAsia="Arial" w:hAnsi="Arial"/>
                <w:sz w:val="13"/>
                <w:szCs w:val="13"/>
                <w:color w:val="auto"/>
              </w:rPr>
              <w:t>Pass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3"/>
          </w:tcPr>
          <w:p>
            <w:pPr>
              <w:jc w:val="right"/>
              <w:ind w:right="40"/>
              <w:spacing w:after="0"/>
              <w:rPr>
                <w:sz w:val="20"/>
                <w:szCs w:val="20"/>
                <w:color w:val="auto"/>
              </w:rPr>
            </w:pPr>
            <w:r>
              <w:rPr>
                <w:rFonts w:ascii="Arial" w:cs="Arial" w:eastAsia="Arial" w:hAnsi="Arial"/>
                <w:sz w:val="13"/>
                <w:szCs w:val="13"/>
                <w:color w:val="auto"/>
              </w:rPr>
              <w:t>52,271</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63,410</w:t>
            </w:r>
          </w:p>
        </w:tc>
        <w:tc>
          <w:tcPr>
            <w:tcW w:w="2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81,292</w:t>
            </w:r>
          </w:p>
        </w:tc>
        <w:tc>
          <w:tcPr>
            <w:tcW w:w="18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31,652</w:t>
            </w:r>
          </w:p>
        </w:tc>
        <w:tc>
          <w:tcPr>
            <w:tcW w:w="220" w:type="dxa"/>
            <w:vAlign w:val="bottom"/>
            <w:gridSpan w:val="2"/>
          </w:tcPr>
          <w:p>
            <w:pPr>
              <w:jc w:val="right"/>
              <w:ind w:right="56"/>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23,244</w:t>
            </w:r>
          </w:p>
        </w:tc>
        <w:tc>
          <w:tcPr>
            <w:tcW w:w="18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71,610</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19,989</w:t>
            </w:r>
          </w:p>
        </w:tc>
        <w:tc>
          <w:tcPr>
            <w:tcW w:w="20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343,468</w:t>
            </w:r>
          </w:p>
        </w:tc>
      </w:tr>
      <w:tr>
        <w:trPr>
          <w:trHeight w:val="171"/>
        </w:trPr>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Special Mention</w:t>
            </w:r>
          </w:p>
        </w:tc>
        <w:tc>
          <w:tcPr>
            <w:tcW w:w="12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w:t>
            </w:r>
          </w:p>
        </w:tc>
      </w:tr>
      <w:tr>
        <w:trPr>
          <w:trHeight w:val="171"/>
        </w:trPr>
        <w:tc>
          <w:tcPr>
            <w:tcW w:w="1400" w:type="dxa"/>
            <w:vAlign w:val="bottom"/>
            <w:tcBorders>
              <w:bottom w:val="single" w:sz="8" w:color="CCEEFF"/>
            </w:tcBorders>
            <w:gridSpan w:val="3"/>
          </w:tcPr>
          <w:p>
            <w:pPr>
              <w:ind w:left="100"/>
              <w:spacing w:after="0"/>
              <w:rPr>
                <w:sz w:val="20"/>
                <w:szCs w:val="20"/>
                <w:color w:val="auto"/>
              </w:rPr>
            </w:pPr>
            <w:r>
              <w:rPr>
                <w:rFonts w:ascii="Arial" w:cs="Arial" w:eastAsia="Arial" w:hAnsi="Arial"/>
                <w:sz w:val="13"/>
                <w:szCs w:val="13"/>
                <w:color w:val="auto"/>
              </w:rPr>
              <w:t>Substandard</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1,015</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1,468</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2,961</w:t>
            </w:r>
          </w:p>
        </w:tc>
      </w:tr>
      <w:tr>
        <w:trPr>
          <w:trHeight w:val="161"/>
        </w:trPr>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52,271</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64,268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82,307</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33,120</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23,244</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71,718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19,989</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346,917</w:t>
            </w:r>
          </w:p>
        </w:tc>
      </w:tr>
      <w:tr>
        <w:trPr>
          <w:trHeight w:val="171"/>
        </w:trPr>
        <w:tc>
          <w:tcPr>
            <w:tcW w:w="200" w:type="dxa"/>
            <w:vAlign w:val="bottom"/>
            <w:gridSpan w:val="2"/>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53"/>
        </w:trPr>
        <w:tc>
          <w:tcPr>
            <w:tcW w:w="1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Commercial real estate</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r>
      <w:tr>
        <w:trPr>
          <w:trHeight w:val="88"/>
        </w:trPr>
        <w:tc>
          <w:tcPr>
            <w:tcW w:w="200" w:type="dxa"/>
            <w:vAlign w:val="bottom"/>
            <w:gridSpan w:val="2"/>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r>
      <w:tr>
        <w:trPr>
          <w:trHeight w:val="171"/>
        </w:trPr>
        <w:tc>
          <w:tcPr>
            <w:tcW w:w="1400" w:type="dxa"/>
            <w:vAlign w:val="bottom"/>
            <w:gridSpan w:val="3"/>
          </w:tcPr>
          <w:p>
            <w:pPr>
              <w:ind w:left="100"/>
              <w:spacing w:after="0"/>
              <w:rPr>
                <w:sz w:val="20"/>
                <w:szCs w:val="20"/>
                <w:color w:val="auto"/>
              </w:rPr>
            </w:pPr>
            <w:r>
              <w:rPr>
                <w:rFonts w:ascii="Arial" w:cs="Arial" w:eastAsia="Arial" w:hAnsi="Arial"/>
                <w:sz w:val="13"/>
                <w:szCs w:val="13"/>
                <w:color w:val="auto"/>
              </w:rPr>
              <w:t>Pass</w:t>
            </w:r>
          </w:p>
        </w:tc>
        <w:tc>
          <w:tcPr>
            <w:tcW w:w="120" w:type="dxa"/>
            <w:vAlign w:val="bottom"/>
          </w:tcPr>
          <w:p>
            <w:pPr>
              <w:spacing w:after="0"/>
              <w:rPr>
                <w:sz w:val="14"/>
                <w:szCs w:val="14"/>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3"/>
                <w:szCs w:val="13"/>
                <w:color w:val="auto"/>
              </w:rPr>
              <w:t>74,914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243,124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175,333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99,617</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269,282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372,973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5,861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1,241,104</w:t>
            </w:r>
          </w:p>
        </w:tc>
      </w:tr>
      <w:tr>
        <w:trPr>
          <w:trHeight w:val="171"/>
        </w:trPr>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Special Mention</w:t>
            </w:r>
          </w:p>
        </w:tc>
        <w:tc>
          <w:tcPr>
            <w:tcW w:w="12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2,933</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10,083</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16,153</w:t>
            </w:r>
          </w:p>
        </w:tc>
      </w:tr>
      <w:tr>
        <w:trPr>
          <w:trHeight w:val="171"/>
        </w:trPr>
        <w:tc>
          <w:tcPr>
            <w:tcW w:w="1400" w:type="dxa"/>
            <w:vAlign w:val="bottom"/>
            <w:tcBorders>
              <w:bottom w:val="single" w:sz="8" w:color="CCEEFF"/>
            </w:tcBorders>
            <w:gridSpan w:val="3"/>
          </w:tcPr>
          <w:p>
            <w:pPr>
              <w:ind w:left="100"/>
              <w:spacing w:after="0"/>
              <w:rPr>
                <w:sz w:val="20"/>
                <w:szCs w:val="20"/>
                <w:color w:val="auto"/>
              </w:rPr>
            </w:pPr>
            <w:r>
              <w:rPr>
                <w:rFonts w:ascii="Arial" w:cs="Arial" w:eastAsia="Arial" w:hAnsi="Arial"/>
                <w:sz w:val="13"/>
                <w:szCs w:val="13"/>
                <w:color w:val="auto"/>
              </w:rPr>
              <w:t>Substandard</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2,385</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2,385</w:t>
            </w:r>
          </w:p>
        </w:tc>
      </w:tr>
      <w:tr>
        <w:trPr>
          <w:trHeight w:val="151"/>
        </w:trPr>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74,914</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243,124</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178,266</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109,700</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269,282</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378,495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5,861</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1,259,642</w:t>
            </w:r>
          </w:p>
        </w:tc>
      </w:tr>
      <w:tr>
        <w:trPr>
          <w:trHeight w:val="171"/>
        </w:trPr>
        <w:tc>
          <w:tcPr>
            <w:tcW w:w="140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1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Commercial and</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71"/>
        </w:trPr>
        <w:tc>
          <w:tcPr>
            <w:tcW w:w="1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industrial</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71"/>
        </w:trPr>
        <w:tc>
          <w:tcPr>
            <w:tcW w:w="1400" w:type="dxa"/>
            <w:vAlign w:val="bottom"/>
            <w:gridSpan w:val="3"/>
          </w:tcPr>
          <w:p>
            <w:pPr>
              <w:ind w:left="100"/>
              <w:spacing w:after="0"/>
              <w:rPr>
                <w:sz w:val="20"/>
                <w:szCs w:val="20"/>
                <w:color w:val="auto"/>
              </w:rPr>
            </w:pPr>
            <w:r>
              <w:rPr>
                <w:rFonts w:ascii="Arial" w:cs="Arial" w:eastAsia="Arial" w:hAnsi="Arial"/>
                <w:sz w:val="13"/>
                <w:szCs w:val="13"/>
                <w:color w:val="auto"/>
              </w:rPr>
              <w:t>Pass</w:t>
            </w:r>
          </w:p>
        </w:tc>
        <w:tc>
          <w:tcPr>
            <w:tcW w:w="120" w:type="dxa"/>
            <w:vAlign w:val="bottom"/>
          </w:tcPr>
          <w:p>
            <w:pPr>
              <w:spacing w:after="0"/>
              <w:rPr>
                <w:sz w:val="14"/>
                <w:szCs w:val="14"/>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3"/>
                <w:szCs w:val="13"/>
                <w:color w:val="auto"/>
              </w:rPr>
              <w:t>4,473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72,274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62,037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56,211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31,367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39,343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23,336</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289,041</w:t>
            </w:r>
          </w:p>
        </w:tc>
      </w:tr>
      <w:tr>
        <w:trPr>
          <w:trHeight w:val="171"/>
        </w:trPr>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Special Mention</w:t>
            </w:r>
          </w:p>
        </w:tc>
        <w:tc>
          <w:tcPr>
            <w:tcW w:w="12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805</w:t>
            </w:r>
          </w:p>
        </w:tc>
      </w:tr>
      <w:tr>
        <w:trPr>
          <w:trHeight w:val="171"/>
        </w:trPr>
        <w:tc>
          <w:tcPr>
            <w:tcW w:w="1400" w:type="dxa"/>
            <w:vAlign w:val="bottom"/>
            <w:tcBorders>
              <w:bottom w:val="single" w:sz="8" w:color="CCEEFF"/>
            </w:tcBorders>
            <w:gridSpan w:val="3"/>
          </w:tcPr>
          <w:p>
            <w:pPr>
              <w:ind w:left="100"/>
              <w:spacing w:after="0"/>
              <w:rPr>
                <w:sz w:val="20"/>
                <w:szCs w:val="20"/>
                <w:color w:val="auto"/>
              </w:rPr>
            </w:pPr>
            <w:r>
              <w:rPr>
                <w:rFonts w:ascii="Arial" w:cs="Arial" w:eastAsia="Arial" w:hAnsi="Arial"/>
                <w:sz w:val="13"/>
                <w:szCs w:val="13"/>
                <w:color w:val="auto"/>
              </w:rPr>
              <w:t>Substandard</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72</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378</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1,037</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1,487</w:t>
            </w:r>
          </w:p>
        </w:tc>
      </w:tr>
      <w:tr>
        <w:trPr>
          <w:trHeight w:val="161"/>
        </w:trPr>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4,473</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72,274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62,109</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56,589</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31,367</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41,185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23,336</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291,333</w:t>
            </w:r>
          </w:p>
        </w:tc>
      </w:tr>
      <w:tr>
        <w:trPr>
          <w:trHeight w:val="171"/>
        </w:trPr>
        <w:tc>
          <w:tcPr>
            <w:tcW w:w="140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1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Correspondent banks</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71"/>
        </w:trPr>
        <w:tc>
          <w:tcPr>
            <w:tcW w:w="1400" w:type="dxa"/>
            <w:vAlign w:val="bottom"/>
            <w:tcBorders>
              <w:bottom w:val="single" w:sz="8" w:color="CCEEFF"/>
            </w:tcBorders>
            <w:gridSpan w:val="3"/>
          </w:tcPr>
          <w:p>
            <w:pPr>
              <w:ind w:left="100"/>
              <w:spacing w:after="0"/>
              <w:rPr>
                <w:sz w:val="20"/>
                <w:szCs w:val="20"/>
                <w:color w:val="auto"/>
              </w:rPr>
            </w:pPr>
            <w:r>
              <w:rPr>
                <w:rFonts w:ascii="Arial" w:cs="Arial" w:eastAsia="Arial" w:hAnsi="Arial"/>
                <w:sz w:val="13"/>
                <w:szCs w:val="13"/>
                <w:color w:val="auto"/>
              </w:rPr>
              <w:t>Pass</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55,661</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73,061</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128,722</w:t>
            </w:r>
          </w:p>
        </w:tc>
      </w:tr>
      <w:tr>
        <w:trPr>
          <w:trHeight w:val="161"/>
        </w:trPr>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55,661</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73,061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128,722</w:t>
            </w:r>
          </w:p>
        </w:tc>
      </w:tr>
      <w:tr>
        <w:trPr>
          <w:trHeight w:val="171"/>
        </w:trPr>
        <w:tc>
          <w:tcPr>
            <w:tcW w:w="140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1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71"/>
        </w:trPr>
        <w:tc>
          <w:tcPr>
            <w:tcW w:w="1400" w:type="dxa"/>
            <w:vAlign w:val="bottom"/>
            <w:tcBorders>
              <w:bottom w:val="single" w:sz="8" w:color="CCEEFF"/>
            </w:tcBorders>
            <w:gridSpan w:val="3"/>
          </w:tcPr>
          <w:p>
            <w:pPr>
              <w:ind w:left="100"/>
              <w:spacing w:after="0"/>
              <w:rPr>
                <w:sz w:val="20"/>
                <w:szCs w:val="20"/>
                <w:color w:val="auto"/>
              </w:rPr>
            </w:pPr>
            <w:r>
              <w:rPr>
                <w:rFonts w:ascii="Arial" w:cs="Arial" w:eastAsia="Arial" w:hAnsi="Arial"/>
                <w:sz w:val="13"/>
                <w:szCs w:val="13"/>
                <w:color w:val="auto"/>
              </w:rPr>
              <w:t>Pass</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2,623</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58,516</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34,010</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36,516</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50,584</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21,819</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3,726</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207,794</w:t>
            </w:r>
          </w:p>
        </w:tc>
      </w:tr>
      <w:tr>
        <w:trPr>
          <w:trHeight w:val="141"/>
        </w:trPr>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Total</w:t>
            </w: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3"/>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2,623</w:t>
            </w: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58,516</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34,010</w:t>
            </w: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36,516</w:t>
            </w: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50,584</w:t>
            </w: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21,819</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3,726</w:t>
            </w:r>
          </w:p>
        </w:tc>
        <w:tc>
          <w:tcPr>
            <w:tcW w:w="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207,794</w:t>
            </w:r>
          </w:p>
        </w:tc>
      </w:tr>
      <w:tr>
        <w:trPr>
          <w:trHeight w:val="171"/>
        </w:trPr>
        <w:tc>
          <w:tcPr>
            <w:tcW w:w="140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1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Total Loans</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71"/>
        </w:trPr>
        <w:tc>
          <w:tcPr>
            <w:tcW w:w="1400" w:type="dxa"/>
            <w:vAlign w:val="bottom"/>
            <w:gridSpan w:val="3"/>
          </w:tcPr>
          <w:p>
            <w:pPr>
              <w:ind w:left="100"/>
              <w:spacing w:after="0"/>
              <w:rPr>
                <w:sz w:val="20"/>
                <w:szCs w:val="20"/>
                <w:color w:val="auto"/>
              </w:rPr>
            </w:pPr>
            <w:r>
              <w:rPr>
                <w:rFonts w:ascii="Arial" w:cs="Arial" w:eastAsia="Arial" w:hAnsi="Arial"/>
                <w:sz w:val="13"/>
                <w:szCs w:val="13"/>
                <w:color w:val="auto"/>
              </w:rPr>
              <w:t>Pass</w:t>
            </w:r>
          </w:p>
        </w:tc>
        <w:tc>
          <w:tcPr>
            <w:tcW w:w="120" w:type="dxa"/>
            <w:vAlign w:val="bottom"/>
          </w:tcPr>
          <w:p>
            <w:pPr>
              <w:spacing w:after="0"/>
              <w:rPr>
                <w:sz w:val="14"/>
                <w:szCs w:val="14"/>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3"/>
                <w:szCs w:val="13"/>
                <w:color w:val="auto"/>
              </w:rPr>
              <w:t>189,942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510,385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352,672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223,996</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374,477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505,745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52,912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2,210,129</w:t>
            </w:r>
          </w:p>
        </w:tc>
      </w:tr>
      <w:tr>
        <w:trPr>
          <w:trHeight w:val="151"/>
        </w:trPr>
        <w:tc>
          <w:tcPr>
            <w:tcW w:w="10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Special Mention</w:t>
            </w: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488</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2,933</w:t>
            </w: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10,083</w:t>
            </w:r>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3,942</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17,446</w:t>
            </w:r>
          </w:p>
        </w:tc>
      </w:tr>
      <w:tr>
        <w:trPr>
          <w:trHeight w:val="171"/>
        </w:trPr>
        <w:tc>
          <w:tcPr>
            <w:tcW w:w="1400" w:type="dxa"/>
            <w:vAlign w:val="bottom"/>
            <w:tcBorders>
              <w:bottom w:val="single" w:sz="8" w:color="CCEEFF"/>
            </w:tcBorders>
            <w:gridSpan w:val="3"/>
          </w:tcPr>
          <w:p>
            <w:pPr>
              <w:ind w:left="100"/>
              <w:spacing w:after="0"/>
              <w:rPr>
                <w:sz w:val="20"/>
                <w:szCs w:val="20"/>
                <w:color w:val="auto"/>
              </w:rPr>
            </w:pPr>
            <w:r>
              <w:rPr>
                <w:rFonts w:ascii="Arial" w:cs="Arial" w:eastAsia="Arial" w:hAnsi="Arial"/>
                <w:sz w:val="13"/>
                <w:szCs w:val="13"/>
                <w:color w:val="auto"/>
              </w:rPr>
              <w:t>Substandard</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1,087</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1,846</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3,530</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6,833</w:t>
            </w:r>
          </w:p>
        </w:tc>
      </w:tr>
      <w:tr>
        <w:trPr>
          <w:trHeight w:val="161"/>
        </w:trPr>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189,942</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511,243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shd w:val="clear" w:color="auto" w:fill="CCEEFF"/>
              </w:rPr>
              <w:t>356,692</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shd w:val="clear" w:color="auto" w:fill="CCEEFF"/>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235,925</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shd w:val="clear" w:color="auto" w:fill="CCEEFF"/>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374,477</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shd w:val="clear" w:color="auto" w:fill="CCEEFF"/>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513,217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52,912</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shd w:val="clear" w:color="auto" w:fill="CCEEFF"/>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2,234,408</w:t>
            </w:r>
          </w:p>
        </w:tc>
      </w:tr>
      <w:tr>
        <w:trPr>
          <w:trHeight w:val="20"/>
        </w:trPr>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16</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16" w:name="page17"/>
    <w:bookmarkEnd w:id="1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213" w:lineRule="exact"/>
        <w:rPr>
          <w:sz w:val="20"/>
          <w:szCs w:val="20"/>
          <w:color w:val="auto"/>
        </w:rPr>
      </w:pPr>
    </w:p>
    <w:tbl>
      <w:tblPr>
        <w:tblLayout w:type="fixed"/>
        <w:tblInd w:w="660" w:type="dxa"/>
        <w:tblCellMar>
          <w:top w:w="0" w:type="dxa"/>
          <w:left w:w="0" w:type="dxa"/>
          <w:bottom w:w="0" w:type="dxa"/>
          <w:right w:w="0" w:type="dxa"/>
        </w:tblCellMar>
      </w:tblPr>
      <w:tr>
        <w:trPr>
          <w:trHeight w:val="179"/>
        </w:trPr>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9"/>
          </w:tcPr>
          <w:p>
            <w:pPr>
              <w:spacing w:after="0"/>
              <w:rPr>
                <w:sz w:val="20"/>
                <w:szCs w:val="20"/>
                <w:color w:val="auto"/>
              </w:rPr>
            </w:pPr>
            <w:r>
              <w:rPr>
                <w:rFonts w:ascii="Arial" w:cs="Arial" w:eastAsia="Arial" w:hAnsi="Arial"/>
                <w:sz w:val="13"/>
                <w:szCs w:val="13"/>
                <w:b w:val="1"/>
                <w:bCs w:val="1"/>
                <w:color w:val="auto"/>
              </w:rPr>
              <w:t>As of December 31, 2025</w:t>
            </w: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37"/>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13"/>
          </w:tcPr>
          <w:p>
            <w:pPr>
              <w:jc w:val="right"/>
              <w:spacing w:after="0"/>
              <w:rPr>
                <w:sz w:val="20"/>
                <w:szCs w:val="20"/>
                <w:color w:val="auto"/>
              </w:rPr>
            </w:pPr>
            <w:r>
              <w:rPr>
                <w:rFonts w:ascii="Arial" w:cs="Arial" w:eastAsia="Arial" w:hAnsi="Arial"/>
                <w:sz w:val="13"/>
                <w:szCs w:val="13"/>
                <w:b w:val="1"/>
                <w:bCs w:val="1"/>
                <w:color w:val="auto"/>
              </w:rPr>
              <w:t>Term Loans by Origination Year</w:t>
            </w: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restart"/>
          </w:tcPr>
          <w:p>
            <w:pPr>
              <w:jc w:val="right"/>
              <w:ind w:right="116"/>
              <w:spacing w:after="0"/>
              <w:rPr>
                <w:sz w:val="20"/>
                <w:szCs w:val="20"/>
                <w:color w:val="auto"/>
              </w:rPr>
            </w:pPr>
            <w:r>
              <w:rPr>
                <w:rFonts w:ascii="Arial" w:cs="Arial" w:eastAsia="Arial" w:hAnsi="Arial"/>
                <w:sz w:val="13"/>
                <w:szCs w:val="13"/>
                <w:b w:val="1"/>
                <w:bCs w:val="1"/>
                <w:color w:val="auto"/>
              </w:rPr>
              <w:t>2025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vMerge w:val="restart"/>
          </w:tcPr>
          <w:p>
            <w:pPr>
              <w:jc w:val="right"/>
              <w:ind w:right="96"/>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restart"/>
          </w:tcPr>
          <w:p>
            <w:pPr>
              <w:jc w:val="right"/>
              <w:ind w:right="116"/>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vMerge w:val="restart"/>
          </w:tcPr>
          <w:p>
            <w:pPr>
              <w:jc w:val="right"/>
              <w:ind w:right="96"/>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right"/>
              <w:ind w:right="116"/>
              <w:spacing w:after="0"/>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restart"/>
          </w:tcPr>
          <w:p>
            <w:pPr>
              <w:jc w:val="right"/>
              <w:ind w:right="156"/>
              <w:spacing w:after="0"/>
              <w:rPr>
                <w:sz w:val="20"/>
                <w:szCs w:val="20"/>
                <w:color w:val="auto"/>
              </w:rPr>
            </w:pPr>
            <w:r>
              <w:rPr>
                <w:rFonts w:ascii="Arial" w:cs="Arial" w:eastAsia="Arial" w:hAnsi="Arial"/>
                <w:sz w:val="13"/>
                <w:szCs w:val="13"/>
                <w:b w:val="1"/>
                <w:bCs w:val="1"/>
                <w:color w:val="auto"/>
              </w:rPr>
              <w:t>Prior</w:t>
            </w:r>
          </w:p>
        </w:tc>
        <w:tc>
          <w:tcPr>
            <w:tcW w:w="2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rPr>
              <w:t>Revolving</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restart"/>
          </w:tcPr>
          <w:p>
            <w:pPr>
              <w:jc w:val="right"/>
              <w:ind w:right="23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0"/>
        </w:trPr>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Loans</w:t>
            </w: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Residential real estate</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Pass</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65,582</w:t>
            </w:r>
          </w:p>
        </w:tc>
        <w:tc>
          <w:tcPr>
            <w:tcW w:w="14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640" w:type="dxa"/>
            <w:vAlign w:val="bottom"/>
            <w:gridSpan w:val="3"/>
          </w:tcPr>
          <w:p>
            <w:pPr>
              <w:jc w:val="right"/>
              <w:ind w:right="80"/>
              <w:spacing w:after="0"/>
              <w:rPr>
                <w:sz w:val="20"/>
                <w:szCs w:val="20"/>
                <w:color w:val="auto"/>
              </w:rPr>
            </w:pPr>
            <w:r>
              <w:rPr>
                <w:rFonts w:ascii="Arial" w:cs="Arial" w:eastAsia="Arial" w:hAnsi="Arial"/>
                <w:sz w:val="13"/>
                <w:szCs w:val="13"/>
                <w:color w:val="auto"/>
              </w:rPr>
              <w:t>83,426</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32,139</w:t>
            </w:r>
          </w:p>
        </w:tc>
        <w:tc>
          <w:tcPr>
            <w:tcW w:w="14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640" w:type="dxa"/>
            <w:vAlign w:val="bottom"/>
            <w:gridSpan w:val="3"/>
          </w:tcPr>
          <w:p>
            <w:pPr>
              <w:jc w:val="right"/>
              <w:ind w:right="80"/>
              <w:spacing w:after="0"/>
              <w:rPr>
                <w:sz w:val="20"/>
                <w:szCs w:val="20"/>
                <w:color w:val="auto"/>
              </w:rPr>
            </w:pPr>
            <w:r>
              <w:rPr>
                <w:rFonts w:ascii="Arial" w:cs="Arial" w:eastAsia="Arial" w:hAnsi="Arial"/>
                <w:sz w:val="13"/>
                <w:szCs w:val="13"/>
                <w:color w:val="auto"/>
              </w:rPr>
              <w:t>23,685</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21,056</w:t>
            </w:r>
          </w:p>
        </w:tc>
        <w:tc>
          <w:tcPr>
            <w:tcW w:w="160" w:type="dxa"/>
            <w:vAlign w:val="bottom"/>
            <w:gridSpan w:val="3"/>
          </w:tcPr>
          <w:p>
            <w:pPr>
              <w:ind w:left="6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58,220</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20,168</w:t>
            </w:r>
          </w:p>
        </w:tc>
        <w:tc>
          <w:tcPr>
            <w:tcW w:w="160" w:type="dxa"/>
            <w:vAlign w:val="bottom"/>
            <w:gridSpan w:val="3"/>
          </w:tcPr>
          <w:p>
            <w:pPr>
              <w:ind w:left="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304,276</w:t>
            </w:r>
          </w:p>
        </w:tc>
        <w:tc>
          <w:tcPr>
            <w:tcW w:w="0" w:type="dxa"/>
            <w:vAlign w:val="bottom"/>
          </w:tcPr>
          <w:p>
            <w:pPr>
              <w:spacing w:after="0"/>
              <w:rPr>
                <w:sz w:val="1"/>
                <w:szCs w:val="1"/>
                <w:color w:val="auto"/>
              </w:rPr>
            </w:pPr>
          </w:p>
        </w:tc>
      </w:tr>
      <w:tr>
        <w:trPr>
          <w:trHeight w:val="171"/>
        </w:trPr>
        <w:tc>
          <w:tcPr>
            <w:tcW w:w="1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Special Mention</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201</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916</w:t>
            </w:r>
          </w:p>
        </w:tc>
        <w:tc>
          <w:tcPr>
            <w:tcW w:w="0" w:type="dxa"/>
            <w:vAlign w:val="bottom"/>
          </w:tcPr>
          <w:p>
            <w:pPr>
              <w:spacing w:after="0"/>
              <w:rPr>
                <w:sz w:val="1"/>
                <w:szCs w:val="1"/>
                <w:color w:val="auto"/>
              </w:rPr>
            </w:pPr>
          </w:p>
        </w:tc>
      </w:tr>
      <w:tr>
        <w:trPr>
          <w:trHeight w:val="171"/>
        </w:trPr>
        <w:tc>
          <w:tcPr>
            <w:tcW w:w="12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Substandard</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917</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1,468</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115</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2,500</w:t>
            </w:r>
          </w:p>
        </w:tc>
        <w:tc>
          <w:tcPr>
            <w:tcW w:w="0" w:type="dxa"/>
            <w:vAlign w:val="bottom"/>
          </w:tcPr>
          <w:p>
            <w:pPr>
              <w:spacing w:after="0"/>
              <w:rPr>
                <w:sz w:val="1"/>
                <w:szCs w:val="1"/>
                <w:color w:val="auto"/>
              </w:rPr>
            </w:pPr>
          </w:p>
        </w:tc>
      </w:tr>
      <w:tr>
        <w:trPr>
          <w:trHeight w:val="161"/>
        </w:trPr>
        <w:tc>
          <w:tcPr>
            <w:tcW w:w="1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65,710</w:t>
            </w:r>
          </w:p>
        </w:tc>
        <w:tc>
          <w:tcPr>
            <w:tcW w:w="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84,343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33,607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24,272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21,056</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58,536</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20,168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307,692</w:t>
            </w:r>
          </w:p>
        </w:tc>
        <w:tc>
          <w:tcPr>
            <w:tcW w:w="0" w:type="dxa"/>
            <w:vAlign w:val="bottom"/>
          </w:tcPr>
          <w:p>
            <w:pPr>
              <w:spacing w:after="0"/>
              <w:rPr>
                <w:sz w:val="1"/>
                <w:szCs w:val="1"/>
                <w:color w:val="auto"/>
              </w:rPr>
            </w:pPr>
          </w:p>
        </w:tc>
      </w:tr>
      <w:tr>
        <w:trPr>
          <w:trHeight w:val="171"/>
        </w:trPr>
        <w:tc>
          <w:tcPr>
            <w:tcW w:w="220" w:type="dxa"/>
            <w:vAlign w:val="bottom"/>
            <w:gridSpan w:val="2"/>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Commercial real estate</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Pass</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241,028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3"/>
                <w:szCs w:val="13"/>
                <w:color w:val="auto"/>
              </w:rPr>
              <w:t>184,323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109,465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3"/>
                <w:szCs w:val="13"/>
                <w:color w:val="auto"/>
              </w:rPr>
              <w:t>281,985</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134,663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273,483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5,876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1,230,823</w:t>
            </w:r>
          </w:p>
        </w:tc>
        <w:tc>
          <w:tcPr>
            <w:tcW w:w="0" w:type="dxa"/>
            <w:vAlign w:val="bottom"/>
          </w:tcPr>
          <w:p>
            <w:pPr>
              <w:spacing w:after="0"/>
              <w:rPr>
                <w:sz w:val="1"/>
                <w:szCs w:val="1"/>
                <w:color w:val="auto"/>
              </w:rPr>
            </w:pPr>
          </w:p>
        </w:tc>
      </w:tr>
      <w:tr>
        <w:trPr>
          <w:trHeight w:val="171"/>
        </w:trPr>
        <w:tc>
          <w:tcPr>
            <w:tcW w:w="1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Special Mention</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8,451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3,162</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11,613</w:t>
            </w:r>
          </w:p>
        </w:tc>
        <w:tc>
          <w:tcPr>
            <w:tcW w:w="0" w:type="dxa"/>
            <w:vAlign w:val="bottom"/>
          </w:tcPr>
          <w:p>
            <w:pPr>
              <w:spacing w:after="0"/>
              <w:rPr>
                <w:sz w:val="1"/>
                <w:szCs w:val="1"/>
                <w:color w:val="auto"/>
              </w:rPr>
            </w:pPr>
          </w:p>
        </w:tc>
      </w:tr>
      <w:tr>
        <w:trPr>
          <w:trHeight w:val="171"/>
        </w:trPr>
        <w:tc>
          <w:tcPr>
            <w:tcW w:w="12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Substandard</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1,724</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675</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2,399</w:t>
            </w:r>
          </w:p>
        </w:tc>
        <w:tc>
          <w:tcPr>
            <w:tcW w:w="0" w:type="dxa"/>
            <w:vAlign w:val="bottom"/>
          </w:tcPr>
          <w:p>
            <w:pPr>
              <w:spacing w:after="0"/>
              <w:rPr>
                <w:sz w:val="1"/>
                <w:szCs w:val="1"/>
                <w:color w:val="auto"/>
              </w:rPr>
            </w:pPr>
          </w:p>
        </w:tc>
      </w:tr>
      <w:tr>
        <w:trPr>
          <w:trHeight w:val="161"/>
        </w:trPr>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241,028</w:t>
            </w:r>
          </w:p>
        </w:tc>
        <w:tc>
          <w:tcPr>
            <w:tcW w:w="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184,323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117,916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281,985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136,387</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277,320</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5,876</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1,244,835</w:t>
            </w:r>
          </w:p>
        </w:tc>
        <w:tc>
          <w:tcPr>
            <w:tcW w:w="0" w:type="dxa"/>
            <w:vAlign w:val="bottom"/>
          </w:tcPr>
          <w:p>
            <w:pPr>
              <w:spacing w:after="0"/>
              <w:rPr>
                <w:sz w:val="1"/>
                <w:szCs w:val="1"/>
                <w:color w:val="auto"/>
              </w:rPr>
            </w:pPr>
          </w:p>
        </w:tc>
      </w:tr>
      <w:tr>
        <w:trPr>
          <w:trHeight w:val="171"/>
        </w:trPr>
        <w:tc>
          <w:tcPr>
            <w:tcW w:w="152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5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Commercial and</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3"/>
                <w:szCs w:val="13"/>
                <w:color w:val="auto"/>
              </w:rPr>
              <w:t>industrial</w:t>
            </w:r>
          </w:p>
        </w:tc>
        <w:tc>
          <w:tcPr>
            <w:tcW w:w="1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Pass</w:t>
            </w:r>
          </w:p>
        </w:tc>
        <w:tc>
          <w:tcPr>
            <w:tcW w:w="1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75,867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3"/>
                <w:szCs w:val="13"/>
                <w:color w:val="auto"/>
              </w:rPr>
              <w:t>63,178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58,060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32,118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28,090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12,314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23,542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293,169</w:t>
            </w:r>
          </w:p>
        </w:tc>
        <w:tc>
          <w:tcPr>
            <w:tcW w:w="0" w:type="dxa"/>
            <w:vAlign w:val="bottom"/>
          </w:tcPr>
          <w:p>
            <w:pPr>
              <w:spacing w:after="0"/>
              <w:rPr>
                <w:sz w:val="1"/>
                <w:szCs w:val="1"/>
                <w:color w:val="auto"/>
              </w:rPr>
            </w:pPr>
          </w:p>
        </w:tc>
      </w:tr>
      <w:tr>
        <w:trPr>
          <w:trHeight w:val="171"/>
        </w:trPr>
        <w:tc>
          <w:tcPr>
            <w:tcW w:w="1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Special Mention</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835</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907</w:t>
            </w:r>
          </w:p>
        </w:tc>
        <w:tc>
          <w:tcPr>
            <w:tcW w:w="0" w:type="dxa"/>
            <w:vAlign w:val="bottom"/>
          </w:tcPr>
          <w:p>
            <w:pPr>
              <w:spacing w:after="0"/>
              <w:rPr>
                <w:sz w:val="1"/>
                <w:szCs w:val="1"/>
                <w:color w:val="auto"/>
              </w:rPr>
            </w:pPr>
          </w:p>
        </w:tc>
      </w:tr>
      <w:tr>
        <w:trPr>
          <w:trHeight w:val="171"/>
        </w:trPr>
        <w:tc>
          <w:tcPr>
            <w:tcW w:w="12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Substandard</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389</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445</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638</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1,472</w:t>
            </w:r>
          </w:p>
        </w:tc>
        <w:tc>
          <w:tcPr>
            <w:tcW w:w="0" w:type="dxa"/>
            <w:vAlign w:val="bottom"/>
          </w:tcPr>
          <w:p>
            <w:pPr>
              <w:spacing w:after="0"/>
              <w:rPr>
                <w:sz w:val="1"/>
                <w:szCs w:val="1"/>
                <w:color w:val="auto"/>
              </w:rPr>
            </w:pPr>
          </w:p>
        </w:tc>
      </w:tr>
      <w:tr>
        <w:trPr>
          <w:trHeight w:val="151"/>
        </w:trPr>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75,867</w:t>
            </w:r>
          </w:p>
        </w:tc>
        <w:tc>
          <w:tcPr>
            <w:tcW w:w="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63,250</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58,449</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32,118</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29,370</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12,952</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23,542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295,548</w:t>
            </w:r>
          </w:p>
        </w:tc>
        <w:tc>
          <w:tcPr>
            <w:tcW w:w="0" w:type="dxa"/>
            <w:vAlign w:val="bottom"/>
          </w:tcPr>
          <w:p>
            <w:pPr>
              <w:spacing w:after="0"/>
              <w:rPr>
                <w:sz w:val="1"/>
                <w:szCs w:val="1"/>
                <w:color w:val="auto"/>
              </w:rPr>
            </w:pPr>
          </w:p>
        </w:tc>
      </w:tr>
      <w:tr>
        <w:trPr>
          <w:trHeight w:val="171"/>
        </w:trPr>
        <w:tc>
          <w:tcPr>
            <w:tcW w:w="152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Correspondent banks</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Pass</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127,968</w:t>
            </w: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127,968</w:t>
            </w:r>
          </w:p>
        </w:tc>
        <w:tc>
          <w:tcPr>
            <w:tcW w:w="0" w:type="dxa"/>
            <w:vAlign w:val="bottom"/>
          </w:tcPr>
          <w:p>
            <w:pPr>
              <w:spacing w:after="0"/>
              <w:rPr>
                <w:sz w:val="1"/>
                <w:szCs w:val="1"/>
                <w:color w:val="auto"/>
              </w:rPr>
            </w:pPr>
          </w:p>
        </w:tc>
      </w:tr>
      <w:tr>
        <w:trPr>
          <w:trHeight w:val="161"/>
        </w:trPr>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127,968</w:t>
            </w:r>
          </w:p>
        </w:tc>
        <w:tc>
          <w:tcPr>
            <w:tcW w:w="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127,968</w:t>
            </w:r>
          </w:p>
        </w:tc>
        <w:tc>
          <w:tcPr>
            <w:tcW w:w="0" w:type="dxa"/>
            <w:vAlign w:val="bottom"/>
          </w:tcPr>
          <w:p>
            <w:pPr>
              <w:spacing w:after="0"/>
              <w:rPr>
                <w:sz w:val="1"/>
                <w:szCs w:val="1"/>
                <w:color w:val="auto"/>
              </w:rPr>
            </w:pPr>
          </w:p>
        </w:tc>
      </w:tr>
      <w:tr>
        <w:trPr>
          <w:trHeight w:val="171"/>
        </w:trPr>
        <w:tc>
          <w:tcPr>
            <w:tcW w:w="152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Consumer and other</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Pass</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59,276</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color w:val="auto"/>
              </w:rPr>
              <w:t>34,309</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36,808</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color w:val="auto"/>
              </w:rPr>
              <w:t>51,091</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23,214</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747</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1,770</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207,215</w:t>
            </w:r>
          </w:p>
        </w:tc>
        <w:tc>
          <w:tcPr>
            <w:tcW w:w="0" w:type="dxa"/>
            <w:vAlign w:val="bottom"/>
          </w:tcPr>
          <w:p>
            <w:pPr>
              <w:spacing w:after="0"/>
              <w:rPr>
                <w:sz w:val="1"/>
                <w:szCs w:val="1"/>
                <w:color w:val="auto"/>
              </w:rPr>
            </w:pPr>
          </w:p>
        </w:tc>
      </w:tr>
      <w:tr>
        <w:trPr>
          <w:trHeight w:val="161"/>
        </w:trPr>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59,276</w:t>
            </w:r>
          </w:p>
        </w:tc>
        <w:tc>
          <w:tcPr>
            <w:tcW w:w="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34,309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36,808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51,091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23,214</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747</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207,215</w:t>
            </w:r>
          </w:p>
        </w:tc>
        <w:tc>
          <w:tcPr>
            <w:tcW w:w="0" w:type="dxa"/>
            <w:vAlign w:val="bottom"/>
          </w:tcPr>
          <w:p>
            <w:pPr>
              <w:spacing w:after="0"/>
              <w:rPr>
                <w:sz w:val="1"/>
                <w:szCs w:val="1"/>
                <w:color w:val="auto"/>
              </w:rPr>
            </w:pPr>
          </w:p>
        </w:tc>
      </w:tr>
      <w:tr>
        <w:trPr>
          <w:trHeight w:val="171"/>
        </w:trPr>
        <w:tc>
          <w:tcPr>
            <w:tcW w:w="152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Total Loans</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Pass</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569,721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3"/>
                <w:szCs w:val="13"/>
                <w:color w:val="auto"/>
              </w:rPr>
              <w:t>365,236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236,472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3"/>
                <w:szCs w:val="13"/>
                <w:color w:val="auto"/>
              </w:rPr>
              <w:t>388,879</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207,023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344,764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51,356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2,163,451</w:t>
            </w:r>
          </w:p>
        </w:tc>
        <w:tc>
          <w:tcPr>
            <w:tcW w:w="0" w:type="dxa"/>
            <w:vAlign w:val="bottom"/>
          </w:tcPr>
          <w:p>
            <w:pPr>
              <w:spacing w:after="0"/>
              <w:rPr>
                <w:sz w:val="1"/>
                <w:szCs w:val="1"/>
                <w:color w:val="auto"/>
              </w:rPr>
            </w:pPr>
          </w:p>
        </w:tc>
      </w:tr>
      <w:tr>
        <w:trPr>
          <w:trHeight w:val="171"/>
        </w:trPr>
        <w:tc>
          <w:tcPr>
            <w:tcW w:w="1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Special Mention</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8,451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835</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3,363</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13,436</w:t>
            </w:r>
          </w:p>
        </w:tc>
        <w:tc>
          <w:tcPr>
            <w:tcW w:w="0" w:type="dxa"/>
            <w:vAlign w:val="bottom"/>
          </w:tcPr>
          <w:p>
            <w:pPr>
              <w:spacing w:after="0"/>
              <w:rPr>
                <w:sz w:val="1"/>
                <w:szCs w:val="1"/>
                <w:color w:val="auto"/>
              </w:rPr>
            </w:pPr>
          </w:p>
        </w:tc>
      </w:tr>
      <w:tr>
        <w:trPr>
          <w:trHeight w:val="171"/>
        </w:trPr>
        <w:tc>
          <w:tcPr>
            <w:tcW w:w="12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Substandard</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917</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1,857</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2,169</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1,428</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6,371</w:t>
            </w:r>
          </w:p>
        </w:tc>
        <w:tc>
          <w:tcPr>
            <w:tcW w:w="0" w:type="dxa"/>
            <w:vAlign w:val="bottom"/>
          </w:tcPr>
          <w:p>
            <w:pPr>
              <w:spacing w:after="0"/>
              <w:rPr>
                <w:sz w:val="1"/>
                <w:szCs w:val="1"/>
                <w:color w:val="auto"/>
              </w:rPr>
            </w:pPr>
          </w:p>
        </w:tc>
      </w:tr>
      <w:tr>
        <w:trPr>
          <w:trHeight w:val="161"/>
        </w:trPr>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569,849</w:t>
            </w:r>
          </w:p>
        </w:tc>
        <w:tc>
          <w:tcPr>
            <w:tcW w:w="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366,225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246,780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389,466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210,027</w:t>
            </w:r>
          </w:p>
        </w:tc>
        <w:tc>
          <w:tcPr>
            <w:tcW w:w="6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349,555</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51,356</w:t>
            </w:r>
          </w:p>
        </w:tc>
        <w:tc>
          <w:tcPr>
            <w:tcW w:w="40" w:type="dxa"/>
            <w:vAlign w:val="bottom"/>
            <w:gridSpan w:val="2"/>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2,183,258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17</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17" w:name="page18"/>
    <w:bookmarkEnd w:id="1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Loan Aging</w:t>
      </w:r>
    </w:p>
    <w:p>
      <w:pPr>
        <w:spacing w:after="0" w:line="17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Company also considers the performance of loans in grading and in evaluating the credit quality of the loan portfolio. The Company analyzes credit quality and loan grades based on payment performance and the aging status of the loans. The following tables include an aging analysis of accruing loans and total non-accruing loans as of March 31, 2026 and December 31, 2025 (in thousands):</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2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6"/>
          </w:tcPr>
          <w:p>
            <w:pPr>
              <w:ind w:left="440"/>
              <w:spacing w:after="0"/>
              <w:rPr>
                <w:sz w:val="20"/>
                <w:szCs w:val="20"/>
                <w:color w:val="auto"/>
              </w:rPr>
            </w:pPr>
            <w:r>
              <w:rPr>
                <w:rFonts w:ascii="Arial" w:cs="Arial" w:eastAsia="Arial" w:hAnsi="Arial"/>
                <w:sz w:val="13"/>
                <w:szCs w:val="13"/>
                <w:b w:val="1"/>
                <w:bCs w:val="1"/>
                <w:color w:val="auto"/>
              </w:rPr>
              <w:t>Accruing</w:t>
            </w:r>
          </w:p>
        </w:tc>
        <w:tc>
          <w:tcPr>
            <w:tcW w:w="1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68"/>
        </w:trPr>
        <w:tc>
          <w:tcPr>
            <w:tcW w:w="2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gridSpan w:val="4"/>
          </w:tcPr>
          <w:p>
            <w:pPr>
              <w:jc w:val="right"/>
              <w:spacing w:after="0"/>
              <w:rPr>
                <w:sz w:val="20"/>
                <w:szCs w:val="20"/>
                <w:color w:val="auto"/>
              </w:rPr>
            </w:pPr>
            <w:r>
              <w:rPr>
                <w:rFonts w:ascii="Arial" w:cs="Arial" w:eastAsia="Arial" w:hAnsi="Arial"/>
                <w:sz w:val="13"/>
                <w:szCs w:val="13"/>
                <w:b w:val="1"/>
                <w:bCs w:val="1"/>
                <w:color w:val="auto"/>
              </w:rPr>
              <w:t>Past Due 90</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149"/>
        </w:trPr>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tcPr>
          <w:p>
            <w:pPr>
              <w:jc w:val="center"/>
              <w:ind w:left="56"/>
              <w:spacing w:after="0"/>
              <w:rPr>
                <w:sz w:val="20"/>
                <w:szCs w:val="20"/>
                <w:color w:val="auto"/>
              </w:rPr>
            </w:pPr>
            <w:r>
              <w:rPr>
                <w:rFonts w:ascii="Arial" w:cs="Arial" w:eastAsia="Arial" w:hAnsi="Arial"/>
                <w:sz w:val="13"/>
                <w:szCs w:val="13"/>
                <w:b w:val="1"/>
                <w:bCs w:val="1"/>
                <w:color w:val="auto"/>
                <w:w w:val="98"/>
              </w:rPr>
              <w:t>Days or &gt;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Past Due 30-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8"/>
              </w:rPr>
              <w:t>and Still</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216"/>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36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As of March 31, 2026</w:t>
            </w: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Current</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89 Days</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gridSpan w:val="3"/>
          </w:tcPr>
          <w:p>
            <w:pPr>
              <w:jc w:val="center"/>
              <w:ind w:left="36"/>
              <w:spacing w:after="0"/>
              <w:rPr>
                <w:sz w:val="20"/>
                <w:szCs w:val="20"/>
                <w:color w:val="auto"/>
              </w:rPr>
            </w:pPr>
            <w:r>
              <w:rPr>
                <w:rFonts w:ascii="Arial" w:cs="Arial" w:eastAsia="Arial" w:hAnsi="Arial"/>
                <w:sz w:val="13"/>
                <w:szCs w:val="13"/>
                <w:b w:val="1"/>
                <w:bCs w:val="1"/>
                <w:color w:val="auto"/>
                <w:w w:val="99"/>
              </w:rPr>
              <w:t>Accruing</w:t>
            </w: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Accruing</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Non-Accrual</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rPr>
              <w:t>Total Loans</w:t>
            </w:r>
          </w:p>
        </w:tc>
      </w:tr>
      <w:tr>
        <w:trPr>
          <w:trHeight w:val="161"/>
        </w:trPr>
        <w:tc>
          <w:tcPr>
            <w:tcW w:w="2360" w:type="dxa"/>
            <w:vAlign w:val="bottom"/>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71"/>
        </w:trPr>
        <w:tc>
          <w:tcPr>
            <w:tcW w:w="2360" w:type="dxa"/>
            <w:vAlign w:val="bottom"/>
          </w:tcPr>
          <w:p>
            <w:pPr>
              <w:ind w:left="100"/>
              <w:spacing w:after="0"/>
              <w:rPr>
                <w:sz w:val="20"/>
                <w:szCs w:val="20"/>
                <w:color w:val="auto"/>
              </w:rPr>
            </w:pPr>
            <w:r>
              <w:rPr>
                <w:rFonts w:ascii="Arial" w:cs="Arial" w:eastAsia="Arial" w:hAnsi="Arial"/>
                <w:sz w:val="13"/>
                <w:szCs w:val="13"/>
                <w:color w:val="auto"/>
              </w:rPr>
              <w:t>Home equity lines of credit and other</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1,848</w:t>
            </w:r>
          </w:p>
        </w:tc>
        <w:tc>
          <w:tcPr>
            <w:tcW w:w="20" w:type="dxa"/>
            <w:vAlign w:val="bottom"/>
          </w:tcPr>
          <w:p>
            <w:pPr>
              <w:spacing w:after="0"/>
              <w:rPr>
                <w:sz w:val="14"/>
                <w:szCs w:val="14"/>
                <w:color w:val="auto"/>
              </w:rPr>
            </w:pP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1,848</w:t>
            </w:r>
          </w:p>
        </w:tc>
        <w:tc>
          <w:tcPr>
            <w:tcW w:w="340" w:type="dxa"/>
            <w:vAlign w:val="bottom"/>
            <w:gridSpan w:val="3"/>
          </w:tcPr>
          <w:p>
            <w:pPr>
              <w:jc w:val="right"/>
              <w:ind w:right="156"/>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3"/>
          </w:tcPr>
          <w:p>
            <w:pPr>
              <w:jc w:val="right"/>
              <w:ind w:right="1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1,848</w:t>
            </w:r>
          </w:p>
        </w:tc>
      </w:tr>
      <w:tr>
        <w:trPr>
          <w:trHeight w:val="171"/>
        </w:trPr>
        <w:tc>
          <w:tcPr>
            <w:tcW w:w="23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1-4 family residential</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259,121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260,378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263,110</w:t>
            </w:r>
          </w:p>
        </w:tc>
      </w:tr>
      <w:tr>
        <w:trPr>
          <w:trHeight w:val="171"/>
        </w:trPr>
        <w:tc>
          <w:tcPr>
            <w:tcW w:w="23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Condo residential</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79,585</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2,145</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81,730</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229</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81,959</w:t>
            </w:r>
          </w:p>
        </w:tc>
      </w:tr>
      <w:tr>
        <w:trPr>
          <w:trHeight w:val="161"/>
        </w:trPr>
        <w:tc>
          <w:tcPr>
            <w:tcW w:w="2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340,554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343,956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346,917</w:t>
            </w:r>
          </w:p>
        </w:tc>
      </w:tr>
      <w:tr>
        <w:trPr>
          <w:trHeight w:val="169"/>
        </w:trPr>
        <w:tc>
          <w:tcPr>
            <w:tcW w:w="2360" w:type="dxa"/>
            <w:vAlign w:val="bottom"/>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23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Land and construction</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65,423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65,423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65,423</w:t>
            </w:r>
          </w:p>
        </w:tc>
      </w:tr>
      <w:tr>
        <w:trPr>
          <w:trHeight w:val="171"/>
        </w:trPr>
        <w:tc>
          <w:tcPr>
            <w:tcW w:w="2360" w:type="dxa"/>
            <w:vAlign w:val="bottom"/>
          </w:tcPr>
          <w:p>
            <w:pPr>
              <w:ind w:left="100"/>
              <w:spacing w:after="0"/>
              <w:rPr>
                <w:sz w:val="20"/>
                <w:szCs w:val="20"/>
                <w:color w:val="auto"/>
              </w:rPr>
            </w:pPr>
            <w:r>
              <w:rPr>
                <w:rFonts w:ascii="Arial" w:cs="Arial" w:eastAsia="Arial" w:hAnsi="Arial"/>
                <w:sz w:val="13"/>
                <w:szCs w:val="13"/>
                <w:color w:val="auto"/>
              </w:rPr>
              <w:t>Multi-family residential</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265,267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4,583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269,850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269,850</w:t>
            </w:r>
          </w:p>
        </w:tc>
      </w:tr>
      <w:tr>
        <w:trPr>
          <w:trHeight w:val="171"/>
        </w:trPr>
        <w:tc>
          <w:tcPr>
            <w:tcW w:w="23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Condo commercial</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63,777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63,777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63,777</w:t>
            </w:r>
          </w:p>
        </w:tc>
      </w:tr>
      <w:tr>
        <w:trPr>
          <w:trHeight w:val="171"/>
        </w:trPr>
        <w:tc>
          <w:tcPr>
            <w:tcW w:w="23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Commercial property</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858,500</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2,092</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860,592</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860,592</w:t>
            </w:r>
          </w:p>
        </w:tc>
      </w:tr>
      <w:tr>
        <w:trPr>
          <w:trHeight w:val="161"/>
        </w:trPr>
        <w:tc>
          <w:tcPr>
            <w:tcW w:w="2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1,252,967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6,675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1,259,642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1,259,642</w:t>
            </w:r>
          </w:p>
        </w:tc>
      </w:tr>
      <w:tr>
        <w:trPr>
          <w:trHeight w:val="169"/>
        </w:trPr>
        <w:tc>
          <w:tcPr>
            <w:tcW w:w="2360" w:type="dxa"/>
            <w:vAlign w:val="bottom"/>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52"/>
        </w:trPr>
        <w:tc>
          <w:tcPr>
            <w:tcW w:w="2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Secured</w:t>
            </w:r>
          </w:p>
        </w:tc>
        <w:tc>
          <w:tcPr>
            <w:tcW w:w="1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269,120</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269,143</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679</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269,822</w:t>
            </w:r>
          </w:p>
        </w:tc>
      </w:tr>
      <w:tr>
        <w:trPr>
          <w:trHeight w:val="171"/>
        </w:trPr>
        <w:tc>
          <w:tcPr>
            <w:tcW w:w="23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Unsecured</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21,511</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21,511</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21,511</w:t>
            </w:r>
          </w:p>
        </w:tc>
      </w:tr>
      <w:tr>
        <w:trPr>
          <w:trHeight w:val="151"/>
        </w:trPr>
        <w:tc>
          <w:tcPr>
            <w:tcW w:w="2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290,631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290,654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291,333</w:t>
            </w:r>
          </w:p>
        </w:tc>
      </w:tr>
      <w:tr>
        <w:trPr>
          <w:trHeight w:val="171"/>
        </w:trPr>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360" w:type="dxa"/>
            <w:vAlign w:val="bottom"/>
            <w:shd w:val="clear" w:color="auto" w:fill="CCEEFF"/>
          </w:tcPr>
          <w:p>
            <w:pPr>
              <w:spacing w:after="0"/>
              <w:rPr>
                <w:sz w:val="20"/>
                <w:szCs w:val="20"/>
                <w:color w:val="auto"/>
              </w:rPr>
            </w:pPr>
            <w:r>
              <w:rPr>
                <w:rFonts w:ascii="Arial" w:cs="Arial" w:eastAsia="Arial" w:hAnsi="Arial"/>
                <w:sz w:val="13"/>
                <w:szCs w:val="13"/>
                <w:color w:val="auto"/>
              </w:rPr>
              <w:t>Correspondent banks</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128,722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128,722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128,722</w:t>
            </w:r>
          </w:p>
        </w:tc>
      </w:tr>
      <w:tr>
        <w:trPr>
          <w:trHeight w:val="171"/>
        </w:trPr>
        <w:tc>
          <w:tcPr>
            <w:tcW w:w="2360" w:type="dxa"/>
            <w:vAlign w:val="bottom"/>
          </w:tcPr>
          <w:p>
            <w:pPr>
              <w:spacing w:after="0"/>
              <w:rPr>
                <w:sz w:val="20"/>
                <w:szCs w:val="20"/>
                <w:color w:val="auto"/>
              </w:rPr>
            </w:pPr>
            <w:r>
              <w:rPr>
                <w:rFonts w:ascii="Arial" w:cs="Arial" w:eastAsia="Arial" w:hAnsi="Arial"/>
                <w:sz w:val="13"/>
                <w:szCs w:val="13"/>
                <w:color w:val="auto"/>
              </w:rPr>
              <w:t>Consumer and other</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207,794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207,794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207,794</w:t>
            </w:r>
          </w:p>
        </w:tc>
      </w:tr>
      <w:tr>
        <w:trPr>
          <w:trHeight w:val="171"/>
        </w:trPr>
        <w:tc>
          <w:tcPr>
            <w:tcW w:w="23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r>
      <w:tr>
        <w:trPr>
          <w:trHeight w:val="172"/>
        </w:trPr>
        <w:tc>
          <w:tcPr>
            <w:tcW w:w="2360" w:type="dxa"/>
            <w:vAlign w:val="bottom"/>
          </w:tcPr>
          <w:p>
            <w:pPr>
              <w:ind w:left="100"/>
              <w:spacing w:after="0"/>
              <w:rPr>
                <w:sz w:val="20"/>
                <w:szCs w:val="20"/>
                <w:color w:val="auto"/>
              </w:rPr>
            </w:pPr>
            <w:r>
              <w:rPr>
                <w:rFonts w:ascii="Arial" w:cs="Arial" w:eastAsia="Arial" w:hAnsi="Arial"/>
                <w:sz w:val="13"/>
                <w:szCs w:val="13"/>
                <w:color w:val="auto"/>
              </w:rPr>
              <w:t>Total</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2,220,668</w:t>
            </w:r>
          </w:p>
        </w:tc>
        <w:tc>
          <w:tcPr>
            <w:tcW w:w="20" w:type="dxa"/>
            <w:vAlign w:val="bottom"/>
          </w:tcPr>
          <w:p>
            <w:pPr>
              <w:spacing w:after="0"/>
              <w:rPr>
                <w:sz w:val="14"/>
                <w:szCs w:val="14"/>
                <w:color w:val="auto"/>
              </w:rPr>
            </w:pP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10,100</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2,230,768</w:t>
            </w:r>
          </w:p>
        </w:tc>
        <w:tc>
          <w:tcPr>
            <w:tcW w:w="340" w:type="dxa"/>
            <w:vAlign w:val="bottom"/>
            <w:gridSpan w:val="3"/>
          </w:tcPr>
          <w:p>
            <w:pPr>
              <w:jc w:val="right"/>
              <w:ind w:right="156"/>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3,640</w:t>
            </w:r>
          </w:p>
        </w:tc>
        <w:tc>
          <w:tcPr>
            <w:tcW w:w="220" w:type="dxa"/>
            <w:vAlign w:val="bottom"/>
            <w:gridSpan w:val="3"/>
          </w:tcPr>
          <w:p>
            <w:pPr>
              <w:jc w:val="right"/>
              <w:ind w:right="1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2,234,408</w:t>
            </w:r>
          </w:p>
        </w:tc>
      </w:tr>
      <w:tr>
        <w:trPr>
          <w:trHeight w:val="20"/>
        </w:trPr>
        <w:tc>
          <w:tcPr>
            <w:tcW w:w="2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18" w:name="page19"/>
    <w:bookmarkEnd w:id="1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24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5"/>
          </w:tcPr>
          <w:p>
            <w:pPr>
              <w:ind w:left="420"/>
              <w:spacing w:after="0"/>
              <w:rPr>
                <w:sz w:val="20"/>
                <w:szCs w:val="20"/>
                <w:color w:val="auto"/>
              </w:rPr>
            </w:pPr>
            <w:r>
              <w:rPr>
                <w:rFonts w:ascii="Arial" w:cs="Arial" w:eastAsia="Arial" w:hAnsi="Arial"/>
                <w:sz w:val="13"/>
                <w:szCs w:val="13"/>
                <w:b w:val="1"/>
                <w:bCs w:val="1"/>
                <w:color w:val="auto"/>
              </w:rPr>
              <w:t>Accruing</w:t>
            </w: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68"/>
        </w:trPr>
        <w:tc>
          <w:tcPr>
            <w:tcW w:w="1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gridSpan w:val="3"/>
          </w:tcPr>
          <w:p>
            <w:pPr>
              <w:jc w:val="center"/>
              <w:spacing w:after="0"/>
              <w:rPr>
                <w:sz w:val="20"/>
                <w:szCs w:val="20"/>
                <w:color w:val="auto"/>
              </w:rPr>
            </w:pPr>
            <w:r>
              <w:rPr>
                <w:rFonts w:ascii="Arial" w:cs="Arial" w:eastAsia="Arial" w:hAnsi="Arial"/>
                <w:sz w:val="13"/>
                <w:szCs w:val="13"/>
                <w:b w:val="1"/>
                <w:bCs w:val="1"/>
                <w:color w:val="auto"/>
              </w:rPr>
              <w:t>Past Due 90</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49"/>
        </w:trPr>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ind w:left="56"/>
              <w:spacing w:after="0"/>
              <w:rPr>
                <w:sz w:val="20"/>
                <w:szCs w:val="20"/>
                <w:color w:val="auto"/>
              </w:rPr>
            </w:pPr>
            <w:r>
              <w:rPr>
                <w:rFonts w:ascii="Arial" w:cs="Arial" w:eastAsia="Arial" w:hAnsi="Arial"/>
                <w:sz w:val="13"/>
                <w:szCs w:val="13"/>
                <w:b w:val="1"/>
                <w:bCs w:val="1"/>
                <w:color w:val="auto"/>
                <w:w w:val="98"/>
              </w:rPr>
              <w:t>Days or &gt;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76"/>
              <w:spacing w:after="0"/>
              <w:rPr>
                <w:sz w:val="20"/>
                <w:szCs w:val="20"/>
                <w:color w:val="auto"/>
              </w:rPr>
            </w:pPr>
            <w:r>
              <w:rPr>
                <w:rFonts w:ascii="Arial" w:cs="Arial" w:eastAsia="Arial" w:hAnsi="Arial"/>
                <w:sz w:val="13"/>
                <w:szCs w:val="13"/>
                <w:b w:val="1"/>
                <w:bCs w:val="1"/>
                <w:color w:val="auto"/>
                <w:w w:val="93"/>
              </w:rPr>
              <w:t>Past Due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8"/>
              </w:rPr>
              <w:t>and Still</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jc w:val="right"/>
              <w:ind w:right="216"/>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238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b w:val="1"/>
                <w:bCs w:val="1"/>
                <w:color w:val="auto"/>
              </w:rPr>
              <w:t>As of December 31, 2025:</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Current</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30-89 Days</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Accruing</w:t>
            </w: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5"/>
              </w:rPr>
              <w:t>Accruing</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Non-Accrual</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rPr>
              <w:t>Total Loans</w:t>
            </w:r>
          </w:p>
        </w:tc>
      </w:tr>
      <w:tr>
        <w:trPr>
          <w:trHeight w:val="161"/>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Residential real estate: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71"/>
        </w:trPr>
        <w:tc>
          <w:tcPr>
            <w:tcW w:w="120" w:type="dxa"/>
            <w:vAlign w:val="bottom"/>
          </w:tcPr>
          <w:p>
            <w:pPr>
              <w:spacing w:after="0"/>
              <w:rPr>
                <w:sz w:val="14"/>
                <w:szCs w:val="14"/>
                <w:color w:val="auto"/>
              </w:rPr>
            </w:pPr>
          </w:p>
        </w:tc>
        <w:tc>
          <w:tcPr>
            <w:tcW w:w="2260" w:type="dxa"/>
            <w:vAlign w:val="bottom"/>
          </w:tcPr>
          <w:p>
            <w:pPr>
              <w:ind w:left="20"/>
              <w:spacing w:after="0"/>
              <w:rPr>
                <w:sz w:val="20"/>
                <w:szCs w:val="20"/>
                <w:color w:val="auto"/>
              </w:rPr>
            </w:pPr>
            <w:r>
              <w:rPr>
                <w:rFonts w:ascii="Arial" w:cs="Arial" w:eastAsia="Arial" w:hAnsi="Arial"/>
                <w:sz w:val="13"/>
                <w:szCs w:val="13"/>
                <w:color w:val="auto"/>
              </w:rPr>
              <w:t>Home equity lines of credit and other</w:t>
            </w: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
              <w:spacing w:after="0"/>
              <w:rPr>
                <w:sz w:val="20"/>
                <w:szCs w:val="20"/>
                <w:color w:val="auto"/>
              </w:rPr>
            </w:pPr>
            <w:r>
              <w:rPr>
                <w:rFonts w:ascii="Arial" w:cs="Arial" w:eastAsia="Arial" w:hAnsi="Arial"/>
                <w:sz w:val="13"/>
                <w:szCs w:val="13"/>
                <w:color w:val="auto"/>
              </w:rPr>
              <w:t>1,538</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1,538</w:t>
            </w:r>
          </w:p>
        </w:tc>
        <w:tc>
          <w:tcPr>
            <w:tcW w:w="180" w:type="dxa"/>
            <w:vAlign w:val="bottom"/>
            <w:gridSpan w:val="3"/>
          </w:tcPr>
          <w:p>
            <w:pPr>
              <w:ind w:left="8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1,538</w:t>
            </w:r>
          </w:p>
        </w:tc>
      </w:tr>
      <w:tr>
        <w:trPr>
          <w:trHeight w:val="171"/>
        </w:trPr>
        <w:tc>
          <w:tcPr>
            <w:tcW w:w="120" w:type="dxa"/>
            <w:vAlign w:val="bottom"/>
            <w:shd w:val="clear" w:color="auto" w:fill="CCEEFF"/>
          </w:tcPr>
          <w:p>
            <w:pPr>
              <w:spacing w:after="0"/>
              <w:rPr>
                <w:sz w:val="14"/>
                <w:szCs w:val="14"/>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1-4 family residential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238,852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240,002</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2,385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242,387</w:t>
            </w:r>
          </w:p>
        </w:tc>
      </w:tr>
      <w:tr>
        <w:trPr>
          <w:trHeight w:val="171"/>
        </w:trPr>
        <w:tc>
          <w:tcPr>
            <w:tcW w:w="12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Condo residential</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color w:val="auto"/>
              </w:rPr>
              <w:t>62,364</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1,288</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63,652</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115</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63,767</w:t>
            </w:r>
          </w:p>
        </w:tc>
      </w:tr>
      <w:tr>
        <w:trPr>
          <w:trHeight w:val="161"/>
        </w:trPr>
        <w:tc>
          <w:tcPr>
            <w:tcW w:w="12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302,754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305,192</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2,500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307,692</w:t>
            </w:r>
          </w:p>
        </w:tc>
      </w:tr>
      <w:tr>
        <w:trPr>
          <w:trHeight w:val="169"/>
        </w:trPr>
        <w:tc>
          <w:tcPr>
            <w:tcW w:w="2380" w:type="dxa"/>
            <w:vAlign w:val="bottom"/>
            <w:gridSpan w:val="2"/>
          </w:tcPr>
          <w:p>
            <w:pPr>
              <w:ind w:left="40"/>
              <w:spacing w:after="0"/>
              <w:rPr>
                <w:sz w:val="20"/>
                <w:szCs w:val="20"/>
                <w:color w:val="auto"/>
              </w:rPr>
            </w:pPr>
            <w:r>
              <w:rPr>
                <w:rFonts w:ascii="Arial" w:cs="Arial" w:eastAsia="Arial" w:hAnsi="Arial"/>
                <w:sz w:val="13"/>
                <w:szCs w:val="13"/>
                <w:color w:val="auto"/>
              </w:rPr>
              <w:t>Commercial real estate: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52"/>
        </w:trPr>
        <w:tc>
          <w:tcPr>
            <w:tcW w:w="120" w:type="dxa"/>
            <w:vAlign w:val="bottom"/>
            <w:tcBorders>
              <w:bottom w:val="single" w:sz="8" w:color="CCEEFF"/>
            </w:tcBorders>
            <w:shd w:val="clear" w:color="auto" w:fill="CCEEFF"/>
          </w:tcPr>
          <w:p>
            <w:pPr>
              <w:spacing w:after="0"/>
              <w:rPr>
                <w:sz w:val="13"/>
                <w:szCs w:val="13"/>
                <w:color w:val="auto"/>
              </w:rPr>
            </w:pPr>
          </w:p>
        </w:tc>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Land and construction</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83,305</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83,305</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83,305</w:t>
            </w:r>
          </w:p>
        </w:tc>
      </w:tr>
      <w:tr>
        <w:trPr>
          <w:trHeight w:val="171"/>
        </w:trPr>
        <w:tc>
          <w:tcPr>
            <w:tcW w:w="120" w:type="dxa"/>
            <w:vAlign w:val="bottom"/>
          </w:tcPr>
          <w:p>
            <w:pPr>
              <w:spacing w:after="0"/>
              <w:rPr>
                <w:sz w:val="14"/>
                <w:szCs w:val="14"/>
                <w:color w:val="auto"/>
              </w:rPr>
            </w:pPr>
          </w:p>
        </w:tc>
        <w:tc>
          <w:tcPr>
            <w:tcW w:w="2260" w:type="dxa"/>
            <w:vAlign w:val="bottom"/>
          </w:tcPr>
          <w:p>
            <w:pPr>
              <w:ind w:left="20"/>
              <w:spacing w:after="0"/>
              <w:rPr>
                <w:sz w:val="20"/>
                <w:szCs w:val="20"/>
                <w:color w:val="auto"/>
              </w:rPr>
            </w:pPr>
            <w:r>
              <w:rPr>
                <w:rFonts w:ascii="Arial" w:cs="Arial" w:eastAsia="Arial" w:hAnsi="Arial"/>
                <w:sz w:val="13"/>
                <w:szCs w:val="13"/>
                <w:color w:val="auto"/>
              </w:rPr>
              <w:t>Multi-family residential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6"/>
              <w:spacing w:after="0"/>
              <w:rPr>
                <w:sz w:val="20"/>
                <w:szCs w:val="20"/>
                <w:color w:val="auto"/>
              </w:rPr>
            </w:pPr>
            <w:r>
              <w:rPr>
                <w:rFonts w:ascii="Arial" w:cs="Arial" w:eastAsia="Arial" w:hAnsi="Arial"/>
                <w:sz w:val="13"/>
                <w:szCs w:val="13"/>
                <w:color w:val="auto"/>
              </w:rPr>
              <w:t>254,562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254,562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254,562</w:t>
            </w:r>
          </w:p>
        </w:tc>
      </w:tr>
      <w:tr>
        <w:trPr>
          <w:trHeight w:val="151"/>
        </w:trPr>
        <w:tc>
          <w:tcPr>
            <w:tcW w:w="120" w:type="dxa"/>
            <w:vAlign w:val="bottom"/>
            <w:tcBorders>
              <w:bottom w:val="single" w:sz="8" w:color="CCEEFF"/>
            </w:tcBorders>
            <w:shd w:val="clear" w:color="auto" w:fill="CCEEFF"/>
          </w:tcPr>
          <w:p>
            <w:pPr>
              <w:spacing w:after="0"/>
              <w:rPr>
                <w:sz w:val="13"/>
                <w:szCs w:val="13"/>
                <w:color w:val="auto"/>
              </w:rPr>
            </w:pPr>
          </w:p>
        </w:tc>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Condo commercial</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61,525</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61,525</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61,525</w:t>
            </w:r>
          </w:p>
        </w:tc>
      </w:tr>
      <w:tr>
        <w:trPr>
          <w:trHeight w:val="171"/>
        </w:trPr>
        <w:tc>
          <w:tcPr>
            <w:tcW w:w="12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Commercial property</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color w:val="auto"/>
              </w:rPr>
              <w:t>845,003</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440</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845,443</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845,443</w:t>
            </w:r>
          </w:p>
        </w:tc>
      </w:tr>
      <w:tr>
        <w:trPr>
          <w:trHeight w:val="151"/>
        </w:trPr>
        <w:tc>
          <w:tcPr>
            <w:tcW w:w="12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shd w:val="clear" w:color="auto" w:fill="CCEEFF"/>
              </w:rPr>
              <w:t>1,244,395</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1,244,835</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shd w:val="clear" w:color="auto" w:fill="CCEEFF"/>
              </w:rPr>
              <w:t>1,244,835</w:t>
            </w:r>
          </w:p>
        </w:tc>
      </w:tr>
      <w:tr>
        <w:trPr>
          <w:trHeight w:val="171"/>
        </w:trPr>
        <w:tc>
          <w:tcPr>
            <w:tcW w:w="2380" w:type="dxa"/>
            <w:vAlign w:val="bottom"/>
            <w:gridSpan w:val="2"/>
          </w:tcPr>
          <w:p>
            <w:pPr>
              <w:ind w:left="40"/>
              <w:spacing w:after="0"/>
              <w:rPr>
                <w:sz w:val="20"/>
                <w:szCs w:val="20"/>
                <w:color w:val="auto"/>
              </w:rPr>
            </w:pPr>
            <w:r>
              <w:rPr>
                <w:rFonts w:ascii="Arial" w:cs="Arial" w:eastAsia="Arial" w:hAnsi="Arial"/>
                <w:sz w:val="13"/>
                <w:szCs w:val="13"/>
                <w:color w:val="auto"/>
              </w:rPr>
              <w:t>Commercial and industrial: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120" w:type="dxa"/>
            <w:vAlign w:val="bottom"/>
            <w:shd w:val="clear" w:color="auto" w:fill="CCEEFF"/>
          </w:tcPr>
          <w:p>
            <w:pPr>
              <w:spacing w:after="0"/>
              <w:rPr>
                <w:sz w:val="14"/>
                <w:szCs w:val="14"/>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Secured</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272,900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272,971</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638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273,609</w:t>
            </w:r>
          </w:p>
        </w:tc>
      </w:tr>
      <w:tr>
        <w:trPr>
          <w:trHeight w:val="171"/>
        </w:trPr>
        <w:tc>
          <w:tcPr>
            <w:tcW w:w="12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Unsecured</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color w:val="auto"/>
              </w:rPr>
              <w:t>21,939</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21,939</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21,939</w:t>
            </w:r>
          </w:p>
        </w:tc>
      </w:tr>
      <w:tr>
        <w:trPr>
          <w:trHeight w:val="161"/>
        </w:trPr>
        <w:tc>
          <w:tcPr>
            <w:tcW w:w="12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294,839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294,910</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638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295,548</w:t>
            </w:r>
          </w:p>
        </w:tc>
      </w:tr>
      <w:tr>
        <w:trPr>
          <w:trHeight w:val="171"/>
        </w:trPr>
        <w:tc>
          <w:tcPr>
            <w:tcW w:w="23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Correspondent banks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127,968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127,968</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127,968</w:t>
            </w:r>
          </w:p>
        </w:tc>
      </w:tr>
      <w:tr>
        <w:trPr>
          <w:trHeight w:val="171"/>
        </w:trPr>
        <w:tc>
          <w:tcPr>
            <w:tcW w:w="2380" w:type="dxa"/>
            <w:vAlign w:val="bottom"/>
            <w:gridSpan w:val="2"/>
          </w:tcPr>
          <w:p>
            <w:pPr>
              <w:ind w:left="40"/>
              <w:spacing w:after="0"/>
              <w:rPr>
                <w:sz w:val="20"/>
                <w:szCs w:val="20"/>
                <w:color w:val="auto"/>
              </w:rPr>
            </w:pPr>
            <w:r>
              <w:rPr>
                <w:rFonts w:ascii="Arial" w:cs="Arial" w:eastAsia="Arial" w:hAnsi="Arial"/>
                <w:sz w:val="13"/>
                <w:szCs w:val="13"/>
                <w:color w:val="auto"/>
              </w:rPr>
              <w:t>Consumer and 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6"/>
              <w:spacing w:after="0"/>
              <w:rPr>
                <w:sz w:val="20"/>
                <w:szCs w:val="20"/>
                <w:color w:val="auto"/>
              </w:rPr>
            </w:pPr>
            <w:r>
              <w:rPr>
                <w:rFonts w:ascii="Arial" w:cs="Arial" w:eastAsia="Arial" w:hAnsi="Arial"/>
                <w:sz w:val="13"/>
                <w:szCs w:val="13"/>
                <w:color w:val="auto"/>
              </w:rPr>
              <w:t>207,215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207,215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207,215</w:t>
            </w:r>
          </w:p>
        </w:tc>
      </w:tr>
      <w:tr>
        <w:trPr>
          <w:trHeight w:val="171"/>
        </w:trPr>
        <w:tc>
          <w:tcPr>
            <w:tcW w:w="12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r>
      <w:tr>
        <w:trPr>
          <w:trHeight w:val="172"/>
        </w:trPr>
        <w:tc>
          <w:tcPr>
            <w:tcW w:w="120" w:type="dxa"/>
            <w:vAlign w:val="bottom"/>
          </w:tcPr>
          <w:p>
            <w:pPr>
              <w:spacing w:after="0"/>
              <w:rPr>
                <w:sz w:val="14"/>
                <w:szCs w:val="14"/>
                <w:color w:val="auto"/>
              </w:rPr>
            </w:pPr>
          </w:p>
        </w:tc>
        <w:tc>
          <w:tcPr>
            <w:tcW w:w="2260" w:type="dxa"/>
            <w:vAlign w:val="bottom"/>
          </w:tcPr>
          <w:p>
            <w:pPr>
              <w:ind w:left="20"/>
              <w:spacing w:after="0"/>
              <w:rPr>
                <w:sz w:val="20"/>
                <w:szCs w:val="20"/>
                <w:color w:val="auto"/>
              </w:rPr>
            </w:pPr>
            <w:r>
              <w:rPr>
                <w:rFonts w:ascii="Arial" w:cs="Arial" w:eastAsia="Arial" w:hAnsi="Arial"/>
                <w:sz w:val="13"/>
                <w:szCs w:val="13"/>
                <w:color w:val="auto"/>
              </w:rPr>
              <w:t>Total</w:t>
            </w: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
              <w:spacing w:after="0"/>
              <w:rPr>
                <w:sz w:val="20"/>
                <w:szCs w:val="20"/>
                <w:color w:val="auto"/>
              </w:rPr>
            </w:pPr>
            <w:r>
              <w:rPr>
                <w:rFonts w:ascii="Arial" w:cs="Arial" w:eastAsia="Arial" w:hAnsi="Arial"/>
                <w:sz w:val="13"/>
                <w:szCs w:val="13"/>
                <w:color w:val="auto"/>
              </w:rPr>
              <w:t>2,177,171</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2,949</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2,180,120</w:t>
            </w:r>
          </w:p>
        </w:tc>
        <w:tc>
          <w:tcPr>
            <w:tcW w:w="180" w:type="dxa"/>
            <w:vAlign w:val="bottom"/>
            <w:gridSpan w:val="3"/>
          </w:tcPr>
          <w:p>
            <w:pPr>
              <w:ind w:left="8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3,138</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2,183,258</w:t>
            </w:r>
          </w:p>
        </w:tc>
      </w:tr>
      <w:tr>
        <w:trPr>
          <w:trHeight w:val="20"/>
        </w:trPr>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Non-accrual Status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includes the amortized cost basis of loans on non-accrual status as of March 31, 2026 and as of</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December 31, 2025 (in thousands):</w:t>
      </w:r>
    </w:p>
    <w:p>
      <w:pPr>
        <w:spacing w:after="0" w:line="223"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10" w:type="dxa"/>
            <w:vAlign w:val="bottom"/>
          </w:tcPr>
          <w:p>
            <w:pPr>
              <w:spacing w:after="0"/>
              <w:rPr>
                <w:sz w:val="13"/>
                <w:szCs w:val="13"/>
                <w:color w:val="auto"/>
              </w:rPr>
            </w:pPr>
          </w:p>
        </w:tc>
        <w:tc>
          <w:tcPr>
            <w:tcW w:w="5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Borders>
              <w:bottom w:val="single" w:sz="8" w:color="auto"/>
            </w:tcBorders>
          </w:tcPr>
          <w:p>
            <w:pPr>
              <w:spacing w:after="0"/>
              <w:rPr>
                <w:sz w:val="13"/>
                <w:szCs w:val="13"/>
                <w:color w:val="auto"/>
              </w:rPr>
            </w:pPr>
          </w:p>
        </w:tc>
        <w:tc>
          <w:tcPr>
            <w:tcW w:w="109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0" w:type="dxa"/>
            <w:vAlign w:val="bottom"/>
            <w:tcBorders>
              <w:bottom w:val="single" w:sz="8" w:color="auto"/>
            </w:tcBorders>
          </w:tcPr>
          <w:p>
            <w:pPr>
              <w:spacing w:after="0"/>
              <w:rPr>
                <w:sz w:val="13"/>
                <w:szCs w:val="13"/>
                <w:color w:val="auto"/>
              </w:rPr>
            </w:pPr>
          </w:p>
        </w:tc>
        <w:tc>
          <w:tcPr>
            <w:tcW w:w="1090" w:type="dxa"/>
            <w:vAlign w:val="bottom"/>
            <w:tcBorders>
              <w:bottom w:val="single" w:sz="8" w:color="auto"/>
            </w:tcBorders>
          </w:tcPr>
          <w:p>
            <w:pPr>
              <w:jc w:val="center"/>
              <w:ind w:right="26"/>
              <w:spacing w:after="0"/>
              <w:rPr>
                <w:sz w:val="20"/>
                <w:szCs w:val="20"/>
                <w:color w:val="auto"/>
              </w:rPr>
            </w:pPr>
            <w:r>
              <w:rPr>
                <w:rFonts w:ascii="Arial" w:cs="Arial" w:eastAsia="Arial" w:hAnsi="Arial"/>
                <w:sz w:val="13"/>
                <w:szCs w:val="13"/>
                <w:b w:val="1"/>
                <w:bCs w:val="1"/>
                <w:color w:val="auto"/>
                <w:w w:val="97"/>
              </w:rPr>
              <w:t>March 31, 2026</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10" w:type="dxa"/>
            <w:vAlign w:val="bottom"/>
          </w:tcPr>
          <w:p>
            <w:pPr>
              <w:spacing w:after="0"/>
              <w:rPr>
                <w:sz w:val="22"/>
                <w:szCs w:val="22"/>
                <w:color w:val="auto"/>
              </w:rPr>
            </w:pPr>
          </w:p>
        </w:tc>
        <w:tc>
          <w:tcPr>
            <w:tcW w:w="5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1090" w:type="dxa"/>
            <w:vAlign w:val="bottom"/>
          </w:tcPr>
          <w:p>
            <w:pPr>
              <w:jc w:val="center"/>
              <w:ind w:right="66"/>
              <w:spacing w:after="0"/>
              <w:rPr>
                <w:sz w:val="20"/>
                <w:szCs w:val="20"/>
                <w:color w:val="auto"/>
              </w:rPr>
            </w:pPr>
            <w:r>
              <w:rPr>
                <w:rFonts w:ascii="Arial" w:cs="Arial" w:eastAsia="Arial" w:hAnsi="Arial"/>
                <w:sz w:val="13"/>
                <w:szCs w:val="13"/>
                <w:b w:val="1"/>
                <w:bCs w:val="1"/>
                <w:color w:val="auto"/>
                <w:w w:val="98"/>
              </w:rPr>
              <w:t>Non-accrual</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1090" w:type="dxa"/>
            <w:vAlign w:val="bottom"/>
          </w:tcPr>
          <w:p>
            <w:pPr>
              <w:jc w:val="center"/>
              <w:ind w:right="26"/>
              <w:spacing w:after="0"/>
              <w:rPr>
                <w:sz w:val="20"/>
                <w:szCs w:val="20"/>
                <w:color w:val="auto"/>
              </w:rPr>
            </w:pPr>
            <w:r>
              <w:rPr>
                <w:rFonts w:ascii="Arial" w:cs="Arial" w:eastAsia="Arial" w:hAnsi="Arial"/>
                <w:sz w:val="13"/>
                <w:szCs w:val="13"/>
                <w:b w:val="1"/>
                <w:bCs w:val="1"/>
                <w:color w:val="auto"/>
                <w:w w:val="98"/>
              </w:rPr>
              <w:t>Non-accrual</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vMerge w:val="restart"/>
          </w:tcPr>
          <w:p>
            <w:pPr>
              <w:jc w:val="center"/>
              <w:ind w:right="116"/>
              <w:spacing w:after="0"/>
              <w:rPr>
                <w:sz w:val="20"/>
                <w:szCs w:val="20"/>
                <w:color w:val="auto"/>
              </w:rPr>
            </w:pPr>
            <w:r>
              <w:rPr>
                <w:rFonts w:ascii="Arial" w:cs="Arial" w:eastAsia="Arial" w:hAnsi="Arial"/>
                <w:sz w:val="13"/>
                <w:szCs w:val="13"/>
                <w:b w:val="1"/>
                <w:bCs w:val="1"/>
                <w:color w:val="auto"/>
                <w:w w:val="96"/>
              </w:rPr>
              <w:t>Total Non-</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10" w:type="dxa"/>
            <w:vAlign w:val="bottom"/>
          </w:tcPr>
          <w:p>
            <w:pPr>
              <w:spacing w:after="0"/>
              <w:rPr>
                <w:sz w:val="12"/>
                <w:szCs w:val="12"/>
                <w:color w:val="auto"/>
              </w:rPr>
            </w:pPr>
          </w:p>
        </w:tc>
        <w:tc>
          <w:tcPr>
            <w:tcW w:w="5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090" w:type="dxa"/>
            <w:vAlign w:val="bottom"/>
          </w:tcPr>
          <w:p>
            <w:pPr>
              <w:jc w:val="center"/>
              <w:ind w:right="66"/>
              <w:spacing w:after="0"/>
              <w:rPr>
                <w:sz w:val="20"/>
                <w:szCs w:val="20"/>
                <w:color w:val="auto"/>
              </w:rPr>
            </w:pPr>
            <w:r>
              <w:rPr>
                <w:rFonts w:ascii="Arial" w:cs="Arial" w:eastAsia="Arial" w:hAnsi="Arial"/>
                <w:sz w:val="13"/>
                <w:szCs w:val="13"/>
                <w:b w:val="1"/>
                <w:bCs w:val="1"/>
                <w:color w:val="auto"/>
                <w:w w:val="98"/>
              </w:rPr>
              <w:t>Loans With No</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1090" w:type="dxa"/>
            <w:vAlign w:val="bottom"/>
          </w:tcPr>
          <w:p>
            <w:pPr>
              <w:jc w:val="center"/>
              <w:ind w:right="46"/>
              <w:spacing w:after="0"/>
              <w:rPr>
                <w:sz w:val="20"/>
                <w:szCs w:val="20"/>
                <w:color w:val="auto"/>
              </w:rPr>
            </w:pPr>
            <w:r>
              <w:rPr>
                <w:rFonts w:ascii="Arial" w:cs="Arial" w:eastAsia="Arial" w:hAnsi="Arial"/>
                <w:sz w:val="13"/>
                <w:szCs w:val="13"/>
                <w:b w:val="1"/>
                <w:bCs w:val="1"/>
                <w:color w:val="auto"/>
                <w:w w:val="96"/>
              </w:rPr>
              <w:t>Loans With</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710" w:type="dxa"/>
            <w:vAlign w:val="bottom"/>
            <w:tcBorders>
              <w:bottom w:val="single" w:sz="8" w:color="CCEEFF"/>
            </w:tcBorders>
          </w:tcPr>
          <w:p>
            <w:pPr>
              <w:spacing w:after="0"/>
              <w:rPr>
                <w:sz w:val="13"/>
                <w:szCs w:val="13"/>
                <w:color w:val="auto"/>
              </w:rPr>
            </w:pPr>
          </w:p>
        </w:tc>
        <w:tc>
          <w:tcPr>
            <w:tcW w:w="5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Related Allowance</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9"/>
              </w:rPr>
              <w:t>Related Allowance</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98"/>
              </w:rPr>
              <w:t>accruals</w:t>
            </w:r>
          </w:p>
        </w:tc>
        <w:tc>
          <w:tcPr>
            <w:tcW w:w="0" w:type="dxa"/>
            <w:vAlign w:val="bottom"/>
          </w:tcPr>
          <w:p>
            <w:pPr>
              <w:spacing w:after="0"/>
              <w:rPr>
                <w:sz w:val="1"/>
                <w:szCs w:val="1"/>
                <w:color w:val="auto"/>
              </w:rPr>
            </w:pPr>
          </w:p>
        </w:tc>
      </w:tr>
      <w:tr>
        <w:trPr>
          <w:trHeight w:val="151"/>
        </w:trPr>
        <w:tc>
          <w:tcPr>
            <w:tcW w:w="120" w:type="dxa"/>
            <w:vAlign w:val="bottom"/>
            <w:shd w:val="clear" w:color="auto" w:fill="CCEEFF"/>
          </w:tcPr>
          <w:p>
            <w:pPr>
              <w:spacing w:after="0"/>
              <w:rPr>
                <w:sz w:val="13"/>
                <w:szCs w:val="13"/>
                <w:color w:val="auto"/>
              </w:rPr>
            </w:pPr>
          </w:p>
        </w:tc>
        <w:tc>
          <w:tcPr>
            <w:tcW w:w="3810" w:type="dxa"/>
            <w:vAlign w:val="bottom"/>
            <w:gridSpan w:val="2"/>
            <w:shd w:val="clear" w:color="auto" w:fill="CCEEFF"/>
          </w:tcPr>
          <w:p>
            <w:pPr>
              <w:ind w:left="20"/>
              <w:spacing w:after="0" w:line="140" w:lineRule="exact"/>
              <w:rPr>
                <w:sz w:val="20"/>
                <w:szCs w:val="20"/>
                <w:color w:val="auto"/>
              </w:rPr>
            </w:pPr>
            <w:r>
              <w:rPr>
                <w:rFonts w:ascii="Arial" w:cs="Arial" w:eastAsia="Arial" w:hAnsi="Arial"/>
                <w:sz w:val="13"/>
                <w:szCs w:val="13"/>
                <w:color w:val="auto"/>
              </w:rPr>
              <w:t>Residential real estate</w:t>
            </w:r>
          </w:p>
        </w:tc>
        <w:tc>
          <w:tcPr>
            <w:tcW w:w="5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109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2,961</w:t>
            </w:r>
          </w:p>
        </w:tc>
        <w:tc>
          <w:tcPr>
            <w:tcW w:w="60" w:type="dxa"/>
            <w:vAlign w:val="bottom"/>
            <w:gridSpan w:val="2"/>
            <w:shd w:val="clear" w:color="auto" w:fill="CCEEFF"/>
          </w:tcPr>
          <w:p>
            <w:pPr>
              <w:spacing w:after="0"/>
              <w:rPr>
                <w:sz w:val="13"/>
                <w:szCs w:val="13"/>
                <w:color w:val="auto"/>
              </w:rPr>
            </w:pPr>
          </w:p>
        </w:tc>
        <w:tc>
          <w:tcPr>
            <w:tcW w:w="9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shd w:val="clear" w:color="auto" w:fill="CCEEFF"/>
              </w:rPr>
              <w:t>$</w:t>
            </w:r>
          </w:p>
        </w:tc>
        <w:tc>
          <w:tcPr>
            <w:tcW w:w="109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060" w:type="dxa"/>
            <w:vAlign w:val="bottom"/>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2,961</w:t>
            </w:r>
          </w:p>
        </w:tc>
        <w:tc>
          <w:tcPr>
            <w:tcW w:w="0" w:type="dxa"/>
            <w:vAlign w:val="bottom"/>
          </w:tcPr>
          <w:p>
            <w:pPr>
              <w:spacing w:after="0"/>
              <w:rPr>
                <w:sz w:val="1"/>
                <w:szCs w:val="1"/>
                <w:color w:val="auto"/>
              </w:rPr>
            </w:pPr>
          </w:p>
        </w:tc>
      </w:tr>
      <w:tr>
        <w:trPr>
          <w:trHeight w:val="171"/>
        </w:trPr>
        <w:tc>
          <w:tcPr>
            <w:tcW w:w="120" w:type="dxa"/>
            <w:vAlign w:val="bottom"/>
            <w:tcBorders>
              <w:bottom w:val="single" w:sz="8" w:color="CCEEFF"/>
            </w:tcBorders>
          </w:tcPr>
          <w:p>
            <w:pPr>
              <w:spacing w:after="0"/>
              <w:rPr>
                <w:sz w:val="14"/>
                <w:szCs w:val="14"/>
                <w:color w:val="auto"/>
              </w:rPr>
            </w:pPr>
          </w:p>
        </w:tc>
        <w:tc>
          <w:tcPr>
            <w:tcW w:w="3860" w:type="dxa"/>
            <w:vAlign w:val="bottom"/>
            <w:tcBorders>
              <w:bottom w:val="single" w:sz="8" w:color="CCEEFF"/>
            </w:tcBorders>
            <w:gridSpan w:val="3"/>
          </w:tcPr>
          <w:p>
            <w:pPr>
              <w:ind w:left="20"/>
              <w:spacing w:after="0"/>
              <w:rPr>
                <w:sz w:val="20"/>
                <w:szCs w:val="20"/>
                <w:color w:val="auto"/>
              </w:rPr>
            </w:pPr>
            <w:r>
              <w:rPr>
                <w:rFonts w:ascii="Arial" w:cs="Arial" w:eastAsia="Arial" w:hAnsi="Arial"/>
                <w:sz w:val="13"/>
                <w:szCs w:val="13"/>
                <w:color w:val="auto"/>
              </w:rPr>
              <w:t>Commercial and industrial</w:t>
            </w:r>
          </w:p>
        </w:tc>
        <w:tc>
          <w:tcPr>
            <w:tcW w:w="20" w:type="dxa"/>
            <w:vAlign w:val="bottom"/>
            <w:tcBorders>
              <w:bottom w:val="single" w:sz="8" w:color="CCEEFF"/>
            </w:tcBorders>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109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679</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90" w:type="dxa"/>
            <w:vAlign w:val="bottom"/>
            <w:tcBorders>
              <w:bottom w:val="single" w:sz="8" w:color="auto"/>
            </w:tcBorders>
          </w:tcPr>
          <w:p>
            <w:pPr>
              <w:spacing w:after="0"/>
              <w:rPr>
                <w:sz w:val="14"/>
                <w:szCs w:val="14"/>
                <w:color w:val="auto"/>
              </w:rPr>
            </w:pPr>
          </w:p>
        </w:tc>
        <w:tc>
          <w:tcPr>
            <w:tcW w:w="109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color w:val="auto"/>
              </w:rPr>
              <w:t>679</w:t>
            </w:r>
          </w:p>
        </w:tc>
        <w:tc>
          <w:tcPr>
            <w:tcW w:w="0" w:type="dxa"/>
            <w:vAlign w:val="bottom"/>
          </w:tcPr>
          <w:p>
            <w:pPr>
              <w:spacing w:after="0"/>
              <w:rPr>
                <w:sz w:val="1"/>
                <w:szCs w:val="1"/>
                <w:color w:val="auto"/>
              </w:rPr>
            </w:pPr>
          </w:p>
        </w:tc>
      </w:tr>
      <w:tr>
        <w:trPr>
          <w:trHeight w:val="172"/>
        </w:trPr>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71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5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109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3,640</w:t>
            </w:r>
          </w:p>
        </w:tc>
        <w:tc>
          <w:tcPr>
            <w:tcW w:w="60" w:type="dxa"/>
            <w:vAlign w:val="bottom"/>
            <w:gridSpan w:val="2"/>
            <w:shd w:val="clear" w:color="auto" w:fill="CCEEFF"/>
          </w:tcPr>
          <w:p>
            <w:pPr>
              <w:spacing w:after="0"/>
              <w:rPr>
                <w:sz w:val="14"/>
                <w:szCs w:val="14"/>
                <w:color w:val="auto"/>
              </w:rPr>
            </w:pPr>
          </w:p>
        </w:tc>
        <w:tc>
          <w:tcPr>
            <w:tcW w:w="9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shd w:val="clear" w:color="auto" w:fill="CCEEFF"/>
              </w:rPr>
              <w:t>$</w:t>
            </w:r>
          </w:p>
        </w:tc>
        <w:tc>
          <w:tcPr>
            <w:tcW w:w="109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060" w:type="dxa"/>
            <w:vAlign w:val="bottom"/>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3,640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1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109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1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Borders>
              <w:bottom w:val="single" w:sz="8" w:color="auto"/>
            </w:tcBorders>
          </w:tcPr>
          <w:p>
            <w:pPr>
              <w:spacing w:after="0"/>
              <w:rPr>
                <w:sz w:val="24"/>
                <w:szCs w:val="24"/>
                <w:color w:val="auto"/>
              </w:rPr>
            </w:pPr>
          </w:p>
        </w:tc>
        <w:tc>
          <w:tcPr>
            <w:tcW w:w="109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9"/>
              </w:rPr>
              <w:t>December 31, 2025</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10" w:type="dxa"/>
            <w:vAlign w:val="bottom"/>
          </w:tcPr>
          <w:p>
            <w:pPr>
              <w:spacing w:after="0"/>
              <w:rPr>
                <w:sz w:val="23"/>
                <w:szCs w:val="23"/>
                <w:color w:val="auto"/>
              </w:rPr>
            </w:pPr>
          </w:p>
        </w:tc>
        <w:tc>
          <w:tcPr>
            <w:tcW w:w="5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1090" w:type="dxa"/>
            <w:vAlign w:val="bottom"/>
          </w:tcPr>
          <w:p>
            <w:pPr>
              <w:jc w:val="center"/>
              <w:ind w:right="66"/>
              <w:spacing w:after="0"/>
              <w:rPr>
                <w:sz w:val="20"/>
                <w:szCs w:val="20"/>
                <w:color w:val="auto"/>
              </w:rPr>
            </w:pPr>
            <w:r>
              <w:rPr>
                <w:rFonts w:ascii="Arial" w:cs="Arial" w:eastAsia="Arial" w:hAnsi="Arial"/>
                <w:sz w:val="13"/>
                <w:szCs w:val="13"/>
                <w:b w:val="1"/>
                <w:bCs w:val="1"/>
                <w:color w:val="auto"/>
                <w:w w:val="98"/>
              </w:rPr>
              <w:t>Non-accrual</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 w:type="dxa"/>
            <w:vAlign w:val="bottom"/>
          </w:tcPr>
          <w:p>
            <w:pPr>
              <w:spacing w:after="0"/>
              <w:rPr>
                <w:sz w:val="23"/>
                <w:szCs w:val="23"/>
                <w:color w:val="auto"/>
              </w:rPr>
            </w:pPr>
          </w:p>
        </w:tc>
        <w:tc>
          <w:tcPr>
            <w:tcW w:w="1090" w:type="dxa"/>
            <w:vAlign w:val="bottom"/>
          </w:tcPr>
          <w:p>
            <w:pPr>
              <w:jc w:val="center"/>
              <w:ind w:right="26"/>
              <w:spacing w:after="0"/>
              <w:rPr>
                <w:sz w:val="20"/>
                <w:szCs w:val="20"/>
                <w:color w:val="auto"/>
              </w:rPr>
            </w:pPr>
            <w:r>
              <w:rPr>
                <w:rFonts w:ascii="Arial" w:cs="Arial" w:eastAsia="Arial" w:hAnsi="Arial"/>
                <w:sz w:val="13"/>
                <w:szCs w:val="13"/>
                <w:b w:val="1"/>
                <w:bCs w:val="1"/>
                <w:color w:val="auto"/>
                <w:w w:val="98"/>
              </w:rPr>
              <w:t>Non-accrual</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10" w:type="dxa"/>
            <w:vAlign w:val="bottom"/>
          </w:tcPr>
          <w:p>
            <w:pPr>
              <w:spacing w:after="0"/>
              <w:rPr>
                <w:sz w:val="12"/>
                <w:szCs w:val="12"/>
                <w:color w:val="auto"/>
              </w:rPr>
            </w:pPr>
          </w:p>
        </w:tc>
        <w:tc>
          <w:tcPr>
            <w:tcW w:w="5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090" w:type="dxa"/>
            <w:vAlign w:val="bottom"/>
          </w:tcPr>
          <w:p>
            <w:pPr>
              <w:jc w:val="center"/>
              <w:ind w:right="66"/>
              <w:spacing w:after="0"/>
              <w:rPr>
                <w:sz w:val="20"/>
                <w:szCs w:val="20"/>
                <w:color w:val="auto"/>
              </w:rPr>
            </w:pPr>
            <w:r>
              <w:rPr>
                <w:rFonts w:ascii="Arial" w:cs="Arial" w:eastAsia="Arial" w:hAnsi="Arial"/>
                <w:sz w:val="13"/>
                <w:szCs w:val="13"/>
                <w:b w:val="1"/>
                <w:bCs w:val="1"/>
                <w:color w:val="auto"/>
                <w:w w:val="98"/>
              </w:rPr>
              <w:t>Loans With No</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1090" w:type="dxa"/>
            <w:vAlign w:val="bottom"/>
          </w:tcPr>
          <w:p>
            <w:pPr>
              <w:jc w:val="center"/>
              <w:ind w:right="46"/>
              <w:spacing w:after="0"/>
              <w:rPr>
                <w:sz w:val="20"/>
                <w:szCs w:val="20"/>
                <w:color w:val="auto"/>
              </w:rPr>
            </w:pPr>
            <w:r>
              <w:rPr>
                <w:rFonts w:ascii="Arial" w:cs="Arial" w:eastAsia="Arial" w:hAnsi="Arial"/>
                <w:sz w:val="13"/>
                <w:szCs w:val="13"/>
                <w:b w:val="1"/>
                <w:bCs w:val="1"/>
                <w:color w:val="auto"/>
                <w:w w:val="96"/>
              </w:rPr>
              <w:t>Loans With</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ind w:right="116"/>
              <w:spacing w:after="0"/>
              <w:rPr>
                <w:sz w:val="20"/>
                <w:szCs w:val="20"/>
                <w:color w:val="auto"/>
              </w:rPr>
            </w:pPr>
            <w:r>
              <w:rPr>
                <w:rFonts w:ascii="Arial" w:cs="Arial" w:eastAsia="Arial" w:hAnsi="Arial"/>
                <w:sz w:val="13"/>
                <w:szCs w:val="13"/>
                <w:b w:val="1"/>
                <w:bCs w:val="1"/>
                <w:color w:val="auto"/>
                <w:w w:val="96"/>
              </w:rPr>
              <w:t>Total Non-</w:t>
            </w:r>
          </w:p>
        </w:tc>
        <w:tc>
          <w:tcPr>
            <w:tcW w:w="0" w:type="dxa"/>
            <w:vAlign w:val="bottom"/>
          </w:tcPr>
          <w:p>
            <w:pPr>
              <w:spacing w:after="0"/>
              <w:rPr>
                <w:sz w:val="1"/>
                <w:szCs w:val="1"/>
                <w:color w:val="auto"/>
              </w:rPr>
            </w:pPr>
          </w:p>
        </w:tc>
      </w:tr>
      <w:tr>
        <w:trPr>
          <w:trHeight w:val="149"/>
        </w:trPr>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710" w:type="dxa"/>
            <w:vAlign w:val="bottom"/>
            <w:tcBorders>
              <w:bottom w:val="single" w:sz="8" w:color="CCEEFF"/>
            </w:tcBorders>
          </w:tcPr>
          <w:p>
            <w:pPr>
              <w:spacing w:after="0"/>
              <w:rPr>
                <w:sz w:val="12"/>
                <w:szCs w:val="12"/>
                <w:color w:val="auto"/>
              </w:rPr>
            </w:pPr>
          </w:p>
        </w:tc>
        <w:tc>
          <w:tcPr>
            <w:tcW w:w="5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Related Allowance</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9"/>
              </w:rPr>
              <w:t>Related Allowance</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98"/>
              </w:rPr>
              <w:t>accruals</w:t>
            </w:r>
          </w:p>
        </w:tc>
        <w:tc>
          <w:tcPr>
            <w:tcW w:w="0" w:type="dxa"/>
            <w:vAlign w:val="bottom"/>
          </w:tcPr>
          <w:p>
            <w:pPr>
              <w:spacing w:after="0"/>
              <w:rPr>
                <w:sz w:val="1"/>
                <w:szCs w:val="1"/>
                <w:color w:val="auto"/>
              </w:rPr>
            </w:pPr>
          </w:p>
        </w:tc>
      </w:tr>
      <w:tr>
        <w:trPr>
          <w:trHeight w:val="161"/>
        </w:trPr>
        <w:tc>
          <w:tcPr>
            <w:tcW w:w="120" w:type="dxa"/>
            <w:vAlign w:val="bottom"/>
            <w:shd w:val="clear" w:color="auto" w:fill="CCEEFF"/>
          </w:tcPr>
          <w:p>
            <w:pPr>
              <w:spacing w:after="0"/>
              <w:rPr>
                <w:sz w:val="14"/>
                <w:szCs w:val="14"/>
                <w:color w:val="auto"/>
              </w:rPr>
            </w:pPr>
          </w:p>
        </w:tc>
        <w:tc>
          <w:tcPr>
            <w:tcW w:w="381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Residential real estate</w:t>
            </w:r>
          </w:p>
        </w:tc>
        <w:tc>
          <w:tcPr>
            <w:tcW w:w="5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109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2,500</w:t>
            </w:r>
          </w:p>
        </w:tc>
        <w:tc>
          <w:tcPr>
            <w:tcW w:w="60" w:type="dxa"/>
            <w:vAlign w:val="bottom"/>
            <w:gridSpan w:val="2"/>
            <w:shd w:val="clear" w:color="auto" w:fill="CCEEFF"/>
          </w:tcPr>
          <w:p>
            <w:pPr>
              <w:spacing w:after="0"/>
              <w:rPr>
                <w:sz w:val="14"/>
                <w:szCs w:val="14"/>
                <w:color w:val="auto"/>
              </w:rPr>
            </w:pPr>
          </w:p>
        </w:tc>
        <w:tc>
          <w:tcPr>
            <w:tcW w:w="9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shd w:val="clear" w:color="auto" w:fill="CCEEFF"/>
              </w:rPr>
              <w:t>$</w:t>
            </w:r>
          </w:p>
        </w:tc>
        <w:tc>
          <w:tcPr>
            <w:tcW w:w="109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060" w:type="dxa"/>
            <w:vAlign w:val="bottom"/>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2,500</w:t>
            </w:r>
          </w:p>
        </w:tc>
        <w:tc>
          <w:tcPr>
            <w:tcW w:w="0" w:type="dxa"/>
            <w:vAlign w:val="bottom"/>
          </w:tcPr>
          <w:p>
            <w:pPr>
              <w:spacing w:after="0"/>
              <w:rPr>
                <w:sz w:val="1"/>
                <w:szCs w:val="1"/>
                <w:color w:val="auto"/>
              </w:rPr>
            </w:pPr>
          </w:p>
        </w:tc>
      </w:tr>
      <w:tr>
        <w:trPr>
          <w:trHeight w:val="171"/>
        </w:trPr>
        <w:tc>
          <w:tcPr>
            <w:tcW w:w="120" w:type="dxa"/>
            <w:vAlign w:val="bottom"/>
            <w:tcBorders>
              <w:bottom w:val="single" w:sz="8" w:color="CCEEFF"/>
            </w:tcBorders>
          </w:tcPr>
          <w:p>
            <w:pPr>
              <w:spacing w:after="0"/>
              <w:rPr>
                <w:sz w:val="14"/>
                <w:szCs w:val="14"/>
                <w:color w:val="auto"/>
              </w:rPr>
            </w:pPr>
          </w:p>
        </w:tc>
        <w:tc>
          <w:tcPr>
            <w:tcW w:w="3860" w:type="dxa"/>
            <w:vAlign w:val="bottom"/>
            <w:tcBorders>
              <w:bottom w:val="single" w:sz="8" w:color="CCEEFF"/>
            </w:tcBorders>
            <w:gridSpan w:val="3"/>
          </w:tcPr>
          <w:p>
            <w:pPr>
              <w:ind w:left="20"/>
              <w:spacing w:after="0"/>
              <w:rPr>
                <w:sz w:val="20"/>
                <w:szCs w:val="20"/>
                <w:color w:val="auto"/>
              </w:rPr>
            </w:pPr>
            <w:r>
              <w:rPr>
                <w:rFonts w:ascii="Arial" w:cs="Arial" w:eastAsia="Arial" w:hAnsi="Arial"/>
                <w:sz w:val="13"/>
                <w:szCs w:val="13"/>
                <w:color w:val="auto"/>
              </w:rPr>
              <w:t>Commercial and industrial</w:t>
            </w:r>
          </w:p>
        </w:tc>
        <w:tc>
          <w:tcPr>
            <w:tcW w:w="20" w:type="dxa"/>
            <w:vAlign w:val="bottom"/>
            <w:tcBorders>
              <w:bottom w:val="single" w:sz="8" w:color="CCEEFF"/>
            </w:tcBorders>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109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563</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90" w:type="dxa"/>
            <w:vAlign w:val="bottom"/>
            <w:tcBorders>
              <w:bottom w:val="single" w:sz="8" w:color="auto"/>
            </w:tcBorders>
          </w:tcPr>
          <w:p>
            <w:pPr>
              <w:spacing w:after="0"/>
              <w:rPr>
                <w:sz w:val="14"/>
                <w:szCs w:val="14"/>
                <w:color w:val="auto"/>
              </w:rPr>
            </w:pPr>
          </w:p>
        </w:tc>
        <w:tc>
          <w:tcPr>
            <w:tcW w:w="109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color w:val="auto"/>
              </w:rPr>
              <w:t>638</w:t>
            </w:r>
          </w:p>
        </w:tc>
        <w:tc>
          <w:tcPr>
            <w:tcW w:w="0" w:type="dxa"/>
            <w:vAlign w:val="bottom"/>
          </w:tcPr>
          <w:p>
            <w:pPr>
              <w:spacing w:after="0"/>
              <w:rPr>
                <w:sz w:val="1"/>
                <w:szCs w:val="1"/>
                <w:color w:val="auto"/>
              </w:rPr>
            </w:pPr>
          </w:p>
        </w:tc>
      </w:tr>
      <w:tr>
        <w:trPr>
          <w:trHeight w:val="172"/>
        </w:trPr>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71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w:t>
            </w:r>
          </w:p>
        </w:tc>
        <w:tc>
          <w:tcPr>
            <w:tcW w:w="5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1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109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3,063</w:t>
            </w:r>
          </w:p>
        </w:tc>
        <w:tc>
          <w:tcPr>
            <w:tcW w:w="60" w:type="dxa"/>
            <w:vAlign w:val="bottom"/>
            <w:tcBorders>
              <w:bottom w:val="single" w:sz="8" w:color="CCEEFF"/>
            </w:tcBorders>
            <w:gridSpan w:val="2"/>
            <w:shd w:val="clear" w:color="auto" w:fill="CCEEFF"/>
          </w:tcPr>
          <w:p>
            <w:pPr>
              <w:spacing w:after="0"/>
              <w:rPr>
                <w:sz w:val="14"/>
                <w:szCs w:val="14"/>
                <w:color w:val="auto"/>
              </w:rPr>
            </w:pPr>
          </w:p>
        </w:tc>
        <w:tc>
          <w:tcPr>
            <w:tcW w:w="9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82"/>
                <w:shd w:val="clear" w:color="auto" w:fill="CCEEFF"/>
              </w:rPr>
              <w:t>$</w:t>
            </w:r>
          </w:p>
        </w:tc>
        <w:tc>
          <w:tcPr>
            <w:tcW w:w="109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75</w:t>
            </w:r>
          </w:p>
        </w:tc>
        <w:tc>
          <w:tcPr>
            <w:tcW w:w="60" w:type="dxa"/>
            <w:vAlign w:val="bottom"/>
            <w:tcBorders>
              <w:bottom w:val="single" w:sz="8" w:color="CCEEFF"/>
            </w:tcBorders>
            <w:gridSpan w:val="2"/>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06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3,138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1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109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 w:type="dxa"/>
            <w:vAlign w:val="bottom"/>
            <w:tcBorders>
              <w:top w:val="single" w:sz="8" w:color="auto"/>
              <w:bottom w:val="single" w:sz="8" w:color="auto"/>
            </w:tcBorders>
          </w:tcPr>
          <w:p>
            <w:pPr>
              <w:spacing w:after="0" w:line="20" w:lineRule="exact"/>
              <w:rPr>
                <w:sz w:val="1"/>
                <w:szCs w:val="1"/>
                <w:color w:val="auto"/>
              </w:rPr>
            </w:pPr>
          </w:p>
        </w:tc>
        <w:tc>
          <w:tcPr>
            <w:tcW w:w="109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Accrued interest receivable is excluded from the estimate of credit losses. There was no interest income recognized attributable to non-accrual loans outstanding during the three months ended March 31, 2026 and 2025. Interest income on these loans for the three months ended March 31, 2026 and 2025, would have been approximately $ 60 thousand and $52 thousand, respectively, had these loans performed in accordance with their original terms.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19</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19" w:name="page20"/>
    <w:bookmarkEnd w:id="1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Collateral-Dependent Loans</w:t>
      </w:r>
    </w:p>
    <w:p>
      <w:pPr>
        <w:spacing w:after="0" w:line="170"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A loan is collateral dependent when the borrower is experiencing financial difficulty and repayment of the loan is expected to be provided substantially through the sale or operation of the collateral.</w:t>
      </w:r>
    </w:p>
    <w:p>
      <w:pPr>
        <w:spacing w:after="0" w:line="120"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The following table includes the amortized cost basis of collateral dependent loans related to borrowers experiencing financial difficulty by type of collateral as of March 31, 2026 and December 31, 2025 (in thousands):</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 w:type="dxa"/>
            <w:vAlign w:val="bottom"/>
            <w:tcBorders>
              <w:bottom w:val="single" w:sz="8" w:color="auto"/>
            </w:tcBorders>
          </w:tcPr>
          <w:p>
            <w:pPr>
              <w:spacing w:after="0"/>
              <w:rPr>
                <w:sz w:val="13"/>
                <w:szCs w:val="13"/>
                <w:color w:val="auto"/>
              </w:rPr>
            </w:pPr>
          </w:p>
        </w:tc>
        <w:tc>
          <w:tcPr>
            <w:tcW w:w="187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3"/>
                <w:szCs w:val="13"/>
                <w:b w:val="1"/>
                <w:bCs w:val="1"/>
                <w:color w:val="auto"/>
              </w:rPr>
              <w:t>March 31, 2026</w:t>
            </w:r>
          </w:p>
        </w:tc>
        <w:tc>
          <w:tcPr>
            <w:tcW w:w="1900" w:type="dxa"/>
            <w:vAlign w:val="bottom"/>
            <w:tcBorders>
              <w:bottom w:val="single" w:sz="8" w:color="auto"/>
            </w:tcBorders>
          </w:tcPr>
          <w:p>
            <w:pPr>
              <w:spacing w:after="0"/>
              <w:rPr>
                <w:sz w:val="13"/>
                <w:szCs w:val="13"/>
                <w:color w:val="auto"/>
              </w:rPr>
            </w:pPr>
          </w:p>
        </w:tc>
      </w:tr>
      <w:tr>
        <w:trPr>
          <w:trHeight w:val="161"/>
        </w:trPr>
        <w:tc>
          <w:tcPr>
            <w:tcW w:w="2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 w:type="dxa"/>
            <w:vAlign w:val="bottom"/>
            <w:tcBorders>
              <w:bottom w:val="single" w:sz="8" w:color="auto"/>
            </w:tcBorders>
          </w:tcPr>
          <w:p>
            <w:pPr>
              <w:spacing w:after="0"/>
              <w:rPr>
                <w:sz w:val="14"/>
                <w:szCs w:val="14"/>
                <w:color w:val="auto"/>
              </w:rPr>
            </w:pPr>
          </w:p>
        </w:tc>
        <w:tc>
          <w:tcPr>
            <w:tcW w:w="1870" w:type="dxa"/>
            <w:vAlign w:val="bottom"/>
            <w:tcBorders>
              <w:bottom w:val="single" w:sz="8" w:color="auto"/>
            </w:tcBorders>
          </w:tcPr>
          <w:p>
            <w:pPr>
              <w:jc w:val="center"/>
              <w:ind w:left="266"/>
              <w:spacing w:after="0"/>
              <w:rPr>
                <w:sz w:val="20"/>
                <w:szCs w:val="20"/>
                <w:color w:val="auto"/>
              </w:rPr>
            </w:pPr>
            <w:r>
              <w:rPr>
                <w:rFonts w:ascii="Arial" w:cs="Arial" w:eastAsia="Arial" w:hAnsi="Arial"/>
                <w:sz w:val="13"/>
                <w:szCs w:val="13"/>
                <w:b w:val="1"/>
                <w:bCs w:val="1"/>
                <w:color w:val="auto"/>
                <w:w w:val="96"/>
              </w:rPr>
              <w:t>Collateral Type</w:t>
            </w:r>
          </w:p>
        </w:tc>
        <w:tc>
          <w:tcPr>
            <w:tcW w:w="4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spacing w:after="0"/>
              <w:rPr>
                <w:sz w:val="14"/>
                <w:szCs w:val="14"/>
                <w:color w:val="auto"/>
              </w:rPr>
            </w:pPr>
          </w:p>
        </w:tc>
      </w:tr>
      <w:tr>
        <w:trPr>
          <w:trHeight w:val="151"/>
        </w:trPr>
        <w:tc>
          <w:tcPr>
            <w:tcW w:w="220" w:type="dxa"/>
            <w:vAlign w:val="bottom"/>
            <w:tcBorders>
              <w:bottom w:val="single" w:sz="8" w:color="CCEEFF"/>
            </w:tcBorders>
          </w:tcPr>
          <w:p>
            <w:pPr>
              <w:spacing w:after="0"/>
              <w:rPr>
                <w:sz w:val="13"/>
                <w:szCs w:val="13"/>
                <w:color w:val="auto"/>
              </w:rPr>
            </w:pPr>
          </w:p>
        </w:tc>
        <w:tc>
          <w:tcPr>
            <w:tcW w:w="24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30" w:type="dxa"/>
            <w:vAlign w:val="bottom"/>
            <w:tcBorders>
              <w:bottom w:val="single" w:sz="8" w:color="auto"/>
            </w:tcBorders>
          </w:tcPr>
          <w:p>
            <w:pPr>
              <w:spacing w:after="0"/>
              <w:rPr>
                <w:sz w:val="13"/>
                <w:szCs w:val="13"/>
                <w:color w:val="auto"/>
              </w:rPr>
            </w:pPr>
          </w:p>
        </w:tc>
        <w:tc>
          <w:tcPr>
            <w:tcW w:w="1870" w:type="dxa"/>
            <w:vAlign w:val="bottom"/>
            <w:tcBorders>
              <w:bottom w:val="single" w:sz="8" w:color="auto"/>
            </w:tcBorders>
          </w:tcPr>
          <w:p>
            <w:pPr>
              <w:jc w:val="center"/>
              <w:ind w:left="286"/>
              <w:spacing w:after="0"/>
              <w:rPr>
                <w:sz w:val="20"/>
                <w:szCs w:val="20"/>
                <w:color w:val="auto"/>
              </w:rPr>
            </w:pPr>
            <w:r>
              <w:rPr>
                <w:rFonts w:ascii="Arial" w:cs="Arial" w:eastAsia="Arial" w:hAnsi="Arial"/>
                <w:sz w:val="13"/>
                <w:szCs w:val="13"/>
                <w:b w:val="1"/>
                <w:bCs w:val="1"/>
                <w:color w:val="auto"/>
                <w:w w:val="97"/>
              </w:rPr>
              <w:t>Residential Real Estate</w:t>
            </w:r>
          </w:p>
        </w:tc>
        <w:tc>
          <w:tcPr>
            <w:tcW w:w="48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Specific Reserve</w:t>
            </w:r>
          </w:p>
        </w:tc>
      </w:tr>
      <w:tr>
        <w:trPr>
          <w:trHeight w:val="161"/>
        </w:trPr>
        <w:tc>
          <w:tcPr>
            <w:tcW w:w="26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Residential real estate</w:t>
            </w:r>
          </w:p>
        </w:tc>
        <w:tc>
          <w:tcPr>
            <w:tcW w:w="80" w:type="dxa"/>
            <w:vAlign w:val="bottom"/>
            <w:shd w:val="clear" w:color="auto" w:fill="CCEEFF"/>
          </w:tcPr>
          <w:p>
            <w:pPr>
              <w:spacing w:after="0"/>
              <w:rPr>
                <w:sz w:val="14"/>
                <w:szCs w:val="14"/>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87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3,063</w:t>
            </w: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shd w:val="clear" w:color="auto" w:fill="CCEEFF"/>
              </w:rPr>
              <w:t>$</w:t>
            </w:r>
          </w:p>
        </w:tc>
        <w:tc>
          <w:tcPr>
            <w:tcW w:w="19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r>
      <w:tr>
        <w:trPr>
          <w:trHeight w:val="171"/>
        </w:trPr>
        <w:tc>
          <w:tcPr>
            <w:tcW w:w="2700" w:type="dxa"/>
            <w:vAlign w:val="bottom"/>
            <w:tcBorders>
              <w:bottom w:val="single" w:sz="8" w:color="CCEEFF"/>
            </w:tcBorders>
            <w:gridSpan w:val="3"/>
          </w:tcPr>
          <w:p>
            <w:pPr>
              <w:ind w:left="140"/>
              <w:spacing w:after="0"/>
              <w:rPr>
                <w:sz w:val="20"/>
                <w:szCs w:val="20"/>
                <w:color w:val="auto"/>
              </w:rPr>
            </w:pPr>
            <w:r>
              <w:rPr>
                <w:rFonts w:ascii="Arial" w:cs="Arial" w:eastAsia="Arial" w:hAnsi="Arial"/>
                <w:sz w:val="13"/>
                <w:szCs w:val="13"/>
                <w:color w:val="auto"/>
              </w:rPr>
              <w:t>Commercial and industrial</w:t>
            </w:r>
          </w:p>
        </w:tc>
        <w:tc>
          <w:tcPr>
            <w:tcW w:w="130" w:type="dxa"/>
            <w:vAlign w:val="bottom"/>
            <w:tcBorders>
              <w:bottom w:val="single" w:sz="8" w:color="auto"/>
            </w:tcBorders>
          </w:tcPr>
          <w:p>
            <w:pPr>
              <w:spacing w:after="0"/>
              <w:rPr>
                <w:sz w:val="14"/>
                <w:szCs w:val="14"/>
                <w:color w:val="auto"/>
              </w:rPr>
            </w:pPr>
          </w:p>
        </w:tc>
        <w:tc>
          <w:tcPr>
            <w:tcW w:w="187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72</w:t>
            </w:r>
          </w:p>
        </w:tc>
        <w:tc>
          <w:tcPr>
            <w:tcW w:w="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r>
      <w:tr>
        <w:trPr>
          <w:trHeight w:val="172"/>
        </w:trPr>
        <w:tc>
          <w:tcPr>
            <w:tcW w:w="22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87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3,135</w:t>
            </w:r>
          </w:p>
        </w:tc>
        <w:tc>
          <w:tcPr>
            <w:tcW w:w="4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shd w:val="clear" w:color="auto" w:fill="CCEEFF"/>
              </w:rPr>
              <w:t>$</w:t>
            </w:r>
          </w:p>
        </w:tc>
        <w:tc>
          <w:tcPr>
            <w:tcW w:w="1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r>
      <w:tr>
        <w:trPr>
          <w:trHeight w:val="20"/>
        </w:trPr>
        <w:tc>
          <w:tcPr>
            <w:tcW w:w="2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187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gridSpan w:val="6"/>
          </w:tcPr>
          <w:p>
            <w:pPr>
              <w:ind w:left="1780"/>
              <w:spacing w:after="0"/>
              <w:rPr>
                <w:sz w:val="20"/>
                <w:szCs w:val="20"/>
                <w:color w:val="auto"/>
              </w:rPr>
            </w:pPr>
            <w:r>
              <w:rPr>
                <w:rFonts w:ascii="Arial" w:cs="Arial" w:eastAsia="Arial" w:hAnsi="Arial"/>
                <w:sz w:val="13"/>
                <w:szCs w:val="13"/>
                <w:b w:val="1"/>
                <w:bCs w:val="1"/>
                <w:color w:val="auto"/>
              </w:rPr>
              <w:t>December 31, 2025</w:t>
            </w:r>
          </w:p>
        </w:tc>
        <w:tc>
          <w:tcPr>
            <w:tcW w:w="1840" w:type="dxa"/>
            <w:vAlign w:val="bottom"/>
            <w:tcBorders>
              <w:bottom w:val="single" w:sz="8" w:color="auto"/>
            </w:tcBorders>
          </w:tcPr>
          <w:p>
            <w:pPr>
              <w:spacing w:after="0"/>
              <w:rPr>
                <w:sz w:val="13"/>
                <w:szCs w:val="13"/>
                <w:color w:val="auto"/>
              </w:rPr>
            </w:pPr>
          </w:p>
        </w:tc>
      </w:tr>
      <w:tr>
        <w:trPr>
          <w:trHeight w:val="161"/>
        </w:trPr>
        <w:tc>
          <w:tcPr>
            <w:tcW w:w="1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b w:val="1"/>
                <w:bCs w:val="1"/>
                <w:color w:val="auto"/>
              </w:rPr>
              <w:t>Collateral Type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r>
      <w:tr>
        <w:trPr>
          <w:trHeight w:val="161"/>
        </w:trPr>
        <w:tc>
          <w:tcPr>
            <w:tcW w:w="10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Residential Real Estate</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Specific Reserve</w:t>
            </w:r>
          </w:p>
        </w:tc>
      </w:tr>
      <w:tr>
        <w:trPr>
          <w:trHeight w:val="151"/>
        </w:trPr>
        <w:tc>
          <w:tcPr>
            <w:tcW w:w="10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2,583</w:t>
            </w:r>
          </w:p>
        </w:tc>
        <w:tc>
          <w:tcPr>
            <w:tcW w:w="60" w:type="dxa"/>
            <w:vAlign w:val="bottom"/>
            <w:gridSpan w:val="2"/>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840" w:type="dxa"/>
            <w:vAlign w:val="bottom"/>
            <w:tcBorders>
              <w:bottom w:val="single" w:sz="8" w:color="auto"/>
            </w:tcBorders>
            <w:shd w:val="clear" w:color="auto" w:fill="CCEEFF"/>
          </w:tcPr>
          <w:p>
            <w:pPr>
              <w:ind w:left="1760"/>
              <w:spacing w:after="0"/>
              <w:rPr>
                <w:sz w:val="20"/>
                <w:szCs w:val="20"/>
                <w:color w:val="auto"/>
              </w:rPr>
            </w:pPr>
            <w:r>
              <w:rPr>
                <w:rFonts w:ascii="Arial" w:cs="Arial" w:eastAsia="Arial" w:hAnsi="Arial"/>
                <w:sz w:val="13"/>
                <w:szCs w:val="13"/>
                <w:color w:val="auto"/>
              </w:rPr>
              <w:t>-</w:t>
            </w:r>
          </w:p>
        </w:tc>
      </w:tr>
      <w:tr>
        <w:trPr>
          <w:trHeight w:val="172"/>
        </w:trPr>
        <w:tc>
          <w:tcPr>
            <w:tcW w:w="100" w:type="dxa"/>
            <w:vAlign w:val="bottom"/>
          </w:tcPr>
          <w:p>
            <w:pPr>
              <w:spacing w:after="0"/>
              <w:rPr>
                <w:sz w:val="14"/>
                <w:szCs w:val="14"/>
                <w:color w:val="auto"/>
              </w:rPr>
            </w:pPr>
          </w:p>
        </w:tc>
        <w:tc>
          <w:tcPr>
            <w:tcW w:w="2600" w:type="dxa"/>
            <w:vAlign w:val="bottom"/>
          </w:tcPr>
          <w:p>
            <w:pPr>
              <w:ind w:left="100"/>
              <w:spacing w:after="0"/>
              <w:rPr>
                <w:sz w:val="20"/>
                <w:szCs w:val="20"/>
                <w:color w:val="auto"/>
              </w:rPr>
            </w:pPr>
            <w:r>
              <w:rPr>
                <w:rFonts w:ascii="Arial" w:cs="Arial" w:eastAsia="Arial" w:hAnsi="Arial"/>
                <w:sz w:val="13"/>
                <w:szCs w:val="13"/>
                <w:color w:val="auto"/>
              </w:rPr>
              <w:t>Total</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340" w:type="dxa"/>
            <w:vAlign w:val="bottom"/>
          </w:tcPr>
          <w:p>
            <w:pPr>
              <w:jc w:val="right"/>
              <w:spacing w:after="0"/>
              <w:rPr>
                <w:sz w:val="20"/>
                <w:szCs w:val="20"/>
                <w:color w:val="auto"/>
              </w:rPr>
            </w:pPr>
            <w:r>
              <w:rPr>
                <w:rFonts w:ascii="Arial" w:cs="Arial" w:eastAsia="Arial" w:hAnsi="Arial"/>
                <w:sz w:val="13"/>
                <w:szCs w:val="13"/>
                <w:color w:val="auto"/>
              </w:rPr>
              <w:t>2,583</w:t>
            </w:r>
          </w:p>
        </w:tc>
        <w:tc>
          <w:tcPr>
            <w:tcW w:w="180" w:type="dxa"/>
            <w:vAlign w:val="bottom"/>
            <w:gridSpan w:val="3"/>
          </w:tcPr>
          <w:p>
            <w:pPr>
              <w:jc w:val="right"/>
              <w:ind w:right="12"/>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tcPr>
          <w:p>
            <w:pPr>
              <w:ind w:left="1760"/>
              <w:spacing w:after="0"/>
              <w:rPr>
                <w:sz w:val="20"/>
                <w:szCs w:val="20"/>
                <w:color w:val="auto"/>
              </w:rPr>
            </w:pPr>
            <w:r>
              <w:rPr>
                <w:rFonts w:ascii="Arial" w:cs="Arial" w:eastAsia="Arial" w:hAnsi="Arial"/>
                <w:sz w:val="13"/>
                <w:szCs w:val="13"/>
                <w:color w:val="auto"/>
              </w:rPr>
              <w:t>-</w:t>
            </w:r>
          </w:p>
        </w:tc>
      </w:tr>
      <w:tr>
        <w:trPr>
          <w:trHeight w:val="20"/>
        </w:trPr>
        <w:tc>
          <w:tcPr>
            <w:tcW w:w="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60" w:right="699" w:firstLine="256"/>
        <w:spacing w:after="0" w:line="251" w:lineRule="auto"/>
        <w:rPr>
          <w:sz w:val="20"/>
          <w:szCs w:val="20"/>
          <w:color w:val="auto"/>
        </w:rPr>
      </w:pPr>
      <w:r>
        <w:rPr>
          <w:rFonts w:ascii="Arial" w:cs="Arial" w:eastAsia="Arial" w:hAnsi="Arial"/>
          <w:sz w:val="14"/>
          <w:szCs w:val="14"/>
          <w:color w:val="auto"/>
        </w:rPr>
        <w:t>Management evaluates on an individual basis collateral dependent loans using the fair value of the collateral method to determine if a allowance for credit loss reserve is necessary. The ACL is measured based on the difference of the fair value of the collateral and amortized cost basis of the loan. If the final collateral valuation is less than the amortized cost basis of the loan, a reserve amount is calculated. If the collateral valuation is equal to or greater than the amortized cost basis of the loan, no reserve is determined.</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Loan Modifications to Borrowers Experiencing Financial Difficulties</w:t>
      </w:r>
    </w:p>
    <w:p>
      <w:pPr>
        <w:spacing w:after="0" w:line="170"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The Company had one new modification to borrowers experiencing financial difficulties for the three months ended March 31, 2026. The Company had no new modifications to borrowers experiencing financial difficulties for the three months ended March 31, 2025. The following table presents newly restructured loans, by type of modification, which occurred during the three months ended March 31, 2026 (in thousands):</w:t>
      </w:r>
    </w:p>
    <w:p>
      <w:pPr>
        <w:spacing w:after="0" w:line="234" w:lineRule="exact"/>
        <w:rPr>
          <w:sz w:val="20"/>
          <w:szCs w:val="20"/>
          <w:color w:val="auto"/>
        </w:rPr>
      </w:pPr>
    </w:p>
    <w:tbl>
      <w:tblPr>
        <w:tblLayout w:type="fixed"/>
        <w:tblInd w:w="660" w:type="dxa"/>
        <w:tblCellMar>
          <w:top w:w="0" w:type="dxa"/>
          <w:left w:w="0" w:type="dxa"/>
          <w:bottom w:w="0" w:type="dxa"/>
          <w:right w:w="0" w:type="dxa"/>
        </w:tblCellMar>
      </w:tblPr>
      <w:tr>
        <w:trPr>
          <w:trHeight w:val="176"/>
        </w:trPr>
        <w:tc>
          <w:tcPr>
            <w:tcW w:w="1640" w:type="dxa"/>
            <w:vAlign w:val="bottom"/>
          </w:tcPr>
          <w:p>
            <w:pPr>
              <w:spacing w:after="0"/>
              <w:rPr>
                <w:sz w:val="15"/>
                <w:szCs w:val="15"/>
                <w:color w:val="auto"/>
              </w:rPr>
            </w:pPr>
          </w:p>
        </w:tc>
        <w:tc>
          <w:tcPr>
            <w:tcW w:w="3000" w:type="dxa"/>
            <w:vAlign w:val="bottom"/>
            <w:gridSpan w:val="12"/>
          </w:tcPr>
          <w:p>
            <w:pPr>
              <w:ind w:left="200"/>
              <w:spacing w:after="0"/>
              <w:rPr>
                <w:sz w:val="20"/>
                <w:szCs w:val="20"/>
                <w:color w:val="auto"/>
              </w:rPr>
            </w:pPr>
            <w:r>
              <w:rPr>
                <w:rFonts w:ascii="Arial" w:cs="Arial" w:eastAsia="Arial" w:hAnsi="Arial"/>
                <w:sz w:val="13"/>
                <w:szCs w:val="13"/>
                <w:b w:val="1"/>
                <w:bCs w:val="1"/>
                <w:color w:val="auto"/>
              </w:rPr>
              <w:t>Amortized Cost Basis Prior to Modification</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0" w:type="dxa"/>
            <w:vAlign w:val="bottom"/>
            <w:gridSpan w:val="9"/>
          </w:tcPr>
          <w:p>
            <w:pPr>
              <w:ind w:left="260"/>
              <w:spacing w:after="0"/>
              <w:rPr>
                <w:sz w:val="20"/>
                <w:szCs w:val="20"/>
                <w:color w:val="auto"/>
              </w:rPr>
            </w:pPr>
            <w:r>
              <w:rPr>
                <w:rFonts w:ascii="Arial" w:cs="Arial" w:eastAsia="Arial" w:hAnsi="Arial"/>
                <w:sz w:val="13"/>
                <w:szCs w:val="13"/>
                <w:b w:val="1"/>
                <w:bCs w:val="1"/>
                <w:color w:val="auto"/>
              </w:rPr>
              <w:t>Amortized Cost Basis After Modification</w:t>
            </w:r>
          </w:p>
        </w:tc>
      </w:tr>
      <w:tr>
        <w:trPr>
          <w:trHeight w:val="80"/>
        </w:trPr>
        <w:tc>
          <w:tcPr>
            <w:tcW w:w="1640" w:type="dxa"/>
            <w:vAlign w:val="bottom"/>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r>
      <w:tr>
        <w:trPr>
          <w:trHeight w:val="183"/>
        </w:trPr>
        <w:tc>
          <w:tcPr>
            <w:tcW w:w="164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3"/>
                <w:szCs w:val="13"/>
                <w:b w:val="1"/>
                <w:bCs w:val="1"/>
                <w:color w:val="auto"/>
              </w:rPr>
              <w:t>Number of</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Combination</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Number of</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76"/>
              <w:spacing w:after="0"/>
              <w:rPr>
                <w:sz w:val="20"/>
                <w:szCs w:val="20"/>
                <w:color w:val="auto"/>
              </w:rPr>
            </w:pPr>
            <w:r>
              <w:rPr>
                <w:rFonts w:ascii="Arial" w:cs="Arial" w:eastAsia="Arial" w:hAnsi="Arial"/>
                <w:sz w:val="13"/>
                <w:szCs w:val="13"/>
                <w:b w:val="1"/>
                <w:bCs w:val="1"/>
                <w:color w:val="auto"/>
              </w:rPr>
              <w:t>Combination</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ind w:right="36"/>
              <w:spacing w:after="0"/>
              <w:rPr>
                <w:sz w:val="20"/>
                <w:szCs w:val="20"/>
                <w:color w:val="auto"/>
              </w:rPr>
            </w:pPr>
            <w:r>
              <w:rPr>
                <w:rFonts w:ascii="Arial" w:cs="Arial" w:eastAsia="Arial" w:hAnsi="Arial"/>
                <w:sz w:val="13"/>
                <w:szCs w:val="13"/>
                <w:b w:val="1"/>
                <w:bCs w:val="1"/>
                <w:color w:val="auto"/>
                <w:w w:val="96"/>
              </w:rPr>
              <w:t>Total</w:t>
            </w:r>
          </w:p>
        </w:tc>
      </w:tr>
      <w:tr>
        <w:trPr>
          <w:trHeight w:val="149"/>
        </w:trPr>
        <w:tc>
          <w:tcPr>
            <w:tcW w:w="16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Loans</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7"/>
              </w:rPr>
              <w:t>Modifications</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3"/>
                <w:szCs w:val="13"/>
                <w:b w:val="1"/>
                <w:bCs w:val="1"/>
                <w:color w:val="auto"/>
              </w:rPr>
              <w:t>Modifications</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Loans</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Modifications</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7"/>
              </w:rPr>
              <w:t>Modifications</w:t>
            </w:r>
          </w:p>
        </w:tc>
      </w:tr>
      <w:tr>
        <w:trPr>
          <w:trHeight w:val="161"/>
        </w:trPr>
        <w:tc>
          <w:tcPr>
            <w:tcW w:w="164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7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3"/>
                <w:szCs w:val="13"/>
                <w:color w:val="auto"/>
              </w:rPr>
              <w:t>1</w:t>
            </w:r>
          </w:p>
        </w:tc>
        <w:tc>
          <w:tcPr>
            <w:tcW w:w="80" w:type="dxa"/>
            <w:vAlign w:val="bottom"/>
            <w:gridSpan w:val="2"/>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3"/>
                <w:szCs w:val="13"/>
                <w:color w:val="auto"/>
              </w:rPr>
              <w:t>418</w:t>
            </w:r>
          </w:p>
        </w:tc>
        <w:tc>
          <w:tcPr>
            <w:tcW w:w="20" w:type="dxa"/>
            <w:vAlign w:val="bottom"/>
            <w:tcBorders>
              <w:bottom w:val="single" w:sz="8" w:color="auto"/>
            </w:tcBorders>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418</w:t>
            </w:r>
          </w:p>
        </w:tc>
        <w:tc>
          <w:tcPr>
            <w:tcW w:w="60" w:type="dxa"/>
            <w:vAlign w:val="bottom"/>
            <w:gridSpan w:val="2"/>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60" w:type="dxa"/>
            <w:vAlign w:val="bottom"/>
            <w:gridSpan w:val="2"/>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60" w:type="dxa"/>
            <w:vAlign w:val="bottom"/>
            <w:gridSpan w:val="2"/>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3"/>
                <w:szCs w:val="13"/>
                <w:color w:val="auto"/>
              </w:rPr>
              <w:t>350</w:t>
            </w:r>
          </w:p>
        </w:tc>
      </w:tr>
      <w:tr>
        <w:trPr>
          <w:trHeight w:val="172"/>
        </w:trPr>
        <w:tc>
          <w:tcPr>
            <w:tcW w:w="1640" w:type="dxa"/>
            <w:vAlign w:val="bottom"/>
          </w:tcPr>
          <w:p>
            <w:pPr>
              <w:ind w:left="200"/>
              <w:spacing w:after="0"/>
              <w:rPr>
                <w:sz w:val="20"/>
                <w:szCs w:val="20"/>
                <w:color w:val="auto"/>
              </w:rPr>
            </w:pPr>
            <w:r>
              <w:rPr>
                <w:rFonts w:ascii="Arial" w:cs="Arial" w:eastAsia="Arial" w:hAnsi="Arial"/>
                <w:sz w:val="13"/>
                <w:szCs w:val="13"/>
                <w:color w:val="auto"/>
              </w:rPr>
              <w:t>Total</w:t>
            </w:r>
          </w:p>
        </w:tc>
        <w:tc>
          <w:tcPr>
            <w:tcW w:w="760" w:type="dxa"/>
            <w:vAlign w:val="bottom"/>
          </w:tcPr>
          <w:p>
            <w:pPr>
              <w:ind w:left="660"/>
              <w:spacing w:after="0"/>
              <w:rPr>
                <w:sz w:val="20"/>
                <w:szCs w:val="20"/>
                <w:color w:val="auto"/>
              </w:rPr>
            </w:pPr>
            <w:r>
              <w:rPr>
                <w:rFonts w:ascii="Arial" w:cs="Arial" w:eastAsia="Arial" w:hAnsi="Arial"/>
                <w:sz w:val="13"/>
                <w:szCs w:val="13"/>
                <w:color w:val="auto"/>
              </w:rPr>
              <w:t>1</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ind w:left="740"/>
              <w:spacing w:after="0"/>
              <w:rPr>
                <w:sz w:val="20"/>
                <w:szCs w:val="20"/>
                <w:color w:val="auto"/>
              </w:rPr>
            </w:pPr>
            <w:r>
              <w:rPr>
                <w:rFonts w:ascii="Arial" w:cs="Arial" w:eastAsia="Arial" w:hAnsi="Arial"/>
                <w:sz w:val="13"/>
                <w:szCs w:val="13"/>
                <w:color w:val="auto"/>
              </w:rPr>
              <w:t>418</w:t>
            </w:r>
          </w:p>
        </w:tc>
        <w:tc>
          <w:tcPr>
            <w:tcW w:w="20" w:type="dxa"/>
            <w:vAlign w:val="bottom"/>
          </w:tcPr>
          <w:p>
            <w:pPr>
              <w:spacing w:after="0"/>
              <w:rPr>
                <w:sz w:val="14"/>
                <w:szCs w:val="14"/>
                <w:color w:val="auto"/>
              </w:rPr>
            </w:pP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3"/>
          </w:tcPr>
          <w:p>
            <w:pPr>
              <w:jc w:val="right"/>
              <w:spacing w:after="0"/>
              <w:rPr>
                <w:sz w:val="20"/>
                <w:szCs w:val="20"/>
                <w:color w:val="auto"/>
              </w:rPr>
            </w:pPr>
            <w:r>
              <w:rPr>
                <w:rFonts w:ascii="Arial" w:cs="Arial" w:eastAsia="Arial" w:hAnsi="Arial"/>
                <w:sz w:val="13"/>
                <w:szCs w:val="13"/>
                <w:color w:val="auto"/>
              </w:rPr>
              <w:t>418</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1</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350</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ind w:left="700"/>
              <w:spacing w:after="0"/>
              <w:rPr>
                <w:sz w:val="20"/>
                <w:szCs w:val="20"/>
                <w:color w:val="auto"/>
              </w:rPr>
            </w:pPr>
            <w:r>
              <w:rPr>
                <w:rFonts w:ascii="Arial" w:cs="Arial" w:eastAsia="Arial" w:hAnsi="Arial"/>
                <w:sz w:val="13"/>
                <w:szCs w:val="13"/>
                <w:color w:val="auto"/>
              </w:rPr>
              <w:t>350</w:t>
            </w:r>
          </w:p>
        </w:tc>
      </w:tr>
      <w:tr>
        <w:trPr>
          <w:trHeight w:val="20"/>
        </w:trPr>
        <w:tc>
          <w:tcPr>
            <w:tcW w:w="1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loan modification for the borrower experiencing financial difficulty at March 31, 2026 included a combination of principal and maturity modifications. There was a principal reduction of $68 thousand and a two-year extension of the loan maturity.</w:t>
      </w:r>
    </w:p>
    <w:p>
      <w:pPr>
        <w:spacing w:after="0" w:line="118" w:lineRule="exact"/>
        <w:rPr>
          <w:sz w:val="20"/>
          <w:szCs w:val="20"/>
          <w:color w:val="auto"/>
        </w:rPr>
      </w:pPr>
    </w:p>
    <w:p>
      <w:pPr>
        <w:jc w:val="both"/>
        <w:ind w:left="660" w:right="679" w:firstLine="256"/>
        <w:spacing w:after="0" w:line="292" w:lineRule="auto"/>
        <w:rPr>
          <w:sz w:val="20"/>
          <w:szCs w:val="20"/>
          <w:color w:val="auto"/>
        </w:rPr>
      </w:pPr>
      <w:r>
        <w:rPr>
          <w:rFonts w:ascii="Arial" w:cs="Arial" w:eastAsia="Arial" w:hAnsi="Arial"/>
          <w:sz w:val="14"/>
          <w:szCs w:val="14"/>
          <w:color w:val="auto"/>
        </w:rPr>
        <w:t>There were no existing loan modifications that subsequently defaulted during the three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20</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20" w:name="page21"/>
    <w:bookmarkEnd w:id="2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1040" w:hanging="377"/>
        <w:spacing w:after="0"/>
        <w:tabs>
          <w:tab w:leader="none" w:pos="104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Company’s income tax expense is presented in the following table for the periods indicated (in thousands):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6"/>
          </w:tcPr>
          <w:p>
            <w:pPr>
              <w:jc w:val="right"/>
              <w:ind w:right="276"/>
              <w:spacing w:after="0"/>
              <w:rPr>
                <w:sz w:val="20"/>
                <w:szCs w:val="20"/>
                <w:color w:val="auto"/>
              </w:rPr>
            </w:pPr>
            <w:r>
              <w:rPr>
                <w:rFonts w:ascii="Arial" w:cs="Arial" w:eastAsia="Arial" w:hAnsi="Arial"/>
                <w:sz w:val="13"/>
                <w:szCs w:val="13"/>
                <w:b w:val="1"/>
                <w:bCs w:val="1"/>
                <w:color w:val="auto"/>
              </w:rPr>
              <w:t>Three Months Ended March 31,</w:t>
            </w:r>
          </w:p>
        </w:tc>
      </w:tr>
      <w:tr>
        <w:trPr>
          <w:trHeight w:val="161"/>
        </w:trPr>
        <w:tc>
          <w:tcPr>
            <w:tcW w:w="2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820" w:type="dxa"/>
            <w:vAlign w:val="bottom"/>
            <w:gridSpan w:val="5"/>
          </w:tcPr>
          <w:p>
            <w:pPr>
              <w:jc w:val="right"/>
              <w:spacing w:after="0"/>
              <w:rPr>
                <w:sz w:val="20"/>
                <w:szCs w:val="20"/>
                <w:color w:val="auto"/>
              </w:rPr>
            </w:pPr>
            <w:r>
              <w:rPr>
                <w:rFonts w:ascii="Arial" w:cs="Arial" w:eastAsia="Arial" w:hAnsi="Arial"/>
                <w:sz w:val="13"/>
                <w:szCs w:val="13"/>
                <w:b w:val="1"/>
                <w:bCs w:val="1"/>
                <w:color w:val="auto"/>
              </w:rPr>
              <w:t>2026</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416"/>
              <w:spacing w:after="0"/>
              <w:rPr>
                <w:sz w:val="20"/>
                <w:szCs w:val="20"/>
                <w:color w:val="auto"/>
              </w:rPr>
            </w:pPr>
            <w:r>
              <w:rPr>
                <w:rFonts w:ascii="Arial" w:cs="Arial" w:eastAsia="Arial" w:hAnsi="Arial"/>
                <w:sz w:val="13"/>
                <w:szCs w:val="13"/>
                <w:b w:val="1"/>
                <w:bCs w:val="1"/>
                <w:color w:val="auto"/>
              </w:rPr>
              <w:t>2025</w:t>
            </w:r>
          </w:p>
        </w:tc>
      </w:tr>
      <w:tr>
        <w:trPr>
          <w:trHeight w:val="161"/>
        </w:trPr>
        <w:tc>
          <w:tcPr>
            <w:tcW w:w="5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Pre-tax income:</w:t>
            </w: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r>
      <w:tr>
        <w:trPr>
          <w:trHeight w:val="171"/>
        </w:trPr>
        <w:tc>
          <w:tcPr>
            <w:tcW w:w="5120" w:type="dxa"/>
            <w:vAlign w:val="bottom"/>
            <w:gridSpan w:val="2"/>
          </w:tcPr>
          <w:p>
            <w:pPr>
              <w:ind w:left="100"/>
              <w:spacing w:after="0"/>
              <w:rPr>
                <w:sz w:val="20"/>
                <w:szCs w:val="20"/>
                <w:color w:val="auto"/>
              </w:rPr>
            </w:pPr>
            <w:r>
              <w:rPr>
                <w:rFonts w:ascii="Arial" w:cs="Arial" w:eastAsia="Arial" w:hAnsi="Arial"/>
                <w:sz w:val="13"/>
                <w:szCs w:val="13"/>
                <w:color w:val="auto"/>
              </w:rPr>
              <w:t>Domestic</w:t>
            </w:r>
          </w:p>
        </w:tc>
        <w:tc>
          <w:tcPr>
            <w:tcW w:w="160" w:type="dxa"/>
            <w:vAlign w:val="bottom"/>
            <w:gridSpan w:val="3"/>
          </w:tcPr>
          <w:p>
            <w:pPr>
              <w:ind w:left="80"/>
              <w:spacing w:after="0"/>
              <w:rPr>
                <w:sz w:val="20"/>
                <w:szCs w:val="20"/>
                <w:color w:val="auto"/>
              </w:rPr>
            </w:pPr>
            <w:r>
              <w:rPr>
                <w:rFonts w:ascii="Arial" w:cs="Arial" w:eastAsia="Arial" w:hAnsi="Arial"/>
                <w:sz w:val="13"/>
                <w:szCs w:val="13"/>
                <w:color w:val="auto"/>
                <w:w w:val="82"/>
              </w:rPr>
              <w:t>$</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95"/>
              </w:rPr>
              <w:t>11,686</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10,098</w:t>
            </w:r>
          </w:p>
        </w:tc>
      </w:tr>
      <w:tr>
        <w:trPr>
          <w:trHeight w:val="161"/>
        </w:trPr>
        <w:tc>
          <w:tcPr>
            <w:tcW w:w="200" w:type="dxa"/>
            <w:vAlign w:val="bottom"/>
            <w:tcBorders>
              <w:top w:val="single" w:sz="8" w:color="CCEEFF"/>
            </w:tcBorders>
            <w:shd w:val="clear" w:color="auto" w:fill="CCEEFF"/>
          </w:tcPr>
          <w:p>
            <w:pPr>
              <w:spacing w:after="0"/>
              <w:rPr>
                <w:sz w:val="14"/>
                <w:szCs w:val="14"/>
                <w:color w:val="auto"/>
              </w:rPr>
            </w:pPr>
          </w:p>
        </w:tc>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Total pre-tax income</w:t>
            </w: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5"/>
              </w:rPr>
              <w:t>11,686</w:t>
            </w:r>
          </w:p>
        </w:tc>
        <w:tc>
          <w:tcPr>
            <w:tcW w:w="80" w:type="dxa"/>
            <w:vAlign w:val="bottom"/>
            <w:tcBorders>
              <w:top w:val="single" w:sz="8" w:color="CCEEFF"/>
            </w:tcBorders>
            <w:gridSpan w:val="2"/>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10,098</w:t>
            </w:r>
          </w:p>
        </w:tc>
      </w:tr>
      <w:tr>
        <w:trPr>
          <w:trHeight w:val="20"/>
        </w:trPr>
        <w:tc>
          <w:tcPr>
            <w:tcW w:w="5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53"/>
        </w:trPr>
        <w:tc>
          <w:tcPr>
            <w:tcW w:w="5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1"/>
        </w:trPr>
        <w:tc>
          <w:tcPr>
            <w:tcW w:w="51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Current tax expense: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1"/>
        </w:trPr>
        <w:tc>
          <w:tcPr>
            <w:tcW w:w="5120" w:type="dxa"/>
            <w:vAlign w:val="bottom"/>
            <w:gridSpan w:val="2"/>
          </w:tcPr>
          <w:p>
            <w:pPr>
              <w:ind w:left="100"/>
              <w:spacing w:after="0"/>
              <w:rPr>
                <w:sz w:val="20"/>
                <w:szCs w:val="20"/>
                <w:color w:val="auto"/>
              </w:rPr>
            </w:pPr>
            <w:r>
              <w:rPr>
                <w:rFonts w:ascii="Arial" w:cs="Arial" w:eastAsia="Arial" w:hAnsi="Arial"/>
                <w:sz w:val="13"/>
                <w:szCs w:val="13"/>
                <w:color w:val="auto"/>
              </w:rPr>
              <w:t>Federal</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2,833</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51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State</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5120" w:type="dxa"/>
            <w:vAlign w:val="bottom"/>
            <w:gridSpan w:val="2"/>
          </w:tcPr>
          <w:p>
            <w:pPr>
              <w:spacing w:after="0"/>
              <w:rPr>
                <w:sz w:val="20"/>
                <w:szCs w:val="20"/>
                <w:color w:val="auto"/>
              </w:rPr>
            </w:pPr>
            <w:r>
              <w:rPr>
                <w:rFonts w:ascii="Arial" w:cs="Arial" w:eastAsia="Arial" w:hAnsi="Arial"/>
                <w:sz w:val="13"/>
                <w:szCs w:val="13"/>
                <w:color w:val="auto"/>
              </w:rPr>
              <w:t>Total current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2,916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51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Deferred tax expense: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1"/>
        </w:trPr>
        <w:tc>
          <w:tcPr>
            <w:tcW w:w="5120" w:type="dxa"/>
            <w:vAlign w:val="bottom"/>
            <w:gridSpan w:val="2"/>
          </w:tcPr>
          <w:p>
            <w:pPr>
              <w:ind w:left="100"/>
              <w:spacing w:after="0"/>
              <w:rPr>
                <w:sz w:val="20"/>
                <w:szCs w:val="20"/>
                <w:color w:val="auto"/>
              </w:rPr>
            </w:pPr>
            <w:r>
              <w:rPr>
                <w:rFonts w:ascii="Arial" w:cs="Arial" w:eastAsia="Arial" w:hAnsi="Arial"/>
                <w:sz w:val="13"/>
                <w:szCs w:val="13"/>
                <w:color w:val="auto"/>
              </w:rPr>
              <w:t>Federal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(799)</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1,914</w:t>
            </w:r>
          </w:p>
        </w:tc>
      </w:tr>
      <w:tr>
        <w:trPr>
          <w:trHeight w:val="171"/>
        </w:trPr>
        <w:tc>
          <w:tcPr>
            <w:tcW w:w="51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State</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218</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526</w:t>
            </w:r>
          </w:p>
        </w:tc>
      </w:tr>
      <w:tr>
        <w:trPr>
          <w:trHeight w:val="161"/>
        </w:trPr>
        <w:tc>
          <w:tcPr>
            <w:tcW w:w="5120" w:type="dxa"/>
            <w:vAlign w:val="bottom"/>
            <w:gridSpan w:val="2"/>
          </w:tcPr>
          <w:p>
            <w:pPr>
              <w:spacing w:after="0"/>
              <w:rPr>
                <w:sz w:val="20"/>
                <w:szCs w:val="20"/>
                <w:color w:val="auto"/>
              </w:rPr>
            </w:pPr>
            <w:r>
              <w:rPr>
                <w:rFonts w:ascii="Arial" w:cs="Arial" w:eastAsia="Arial" w:hAnsi="Arial"/>
                <w:sz w:val="13"/>
                <w:szCs w:val="13"/>
                <w:color w:val="auto"/>
              </w:rPr>
              <w:t>Deferred income tax expense (benefit)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(581)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2,440</w:t>
            </w:r>
          </w:p>
        </w:tc>
      </w:tr>
      <w:tr>
        <w:trPr>
          <w:trHeight w:val="171"/>
        </w:trPr>
        <w:tc>
          <w:tcPr>
            <w:tcW w:w="200" w:type="dxa"/>
            <w:vAlign w:val="bottom"/>
            <w:shd w:val="clear" w:color="auto" w:fill="CCEEFF"/>
          </w:tcPr>
          <w:p>
            <w:pPr>
              <w:spacing w:after="0"/>
              <w:rPr>
                <w:sz w:val="14"/>
                <w:szCs w:val="14"/>
                <w:color w:val="auto"/>
              </w:rPr>
            </w:pPr>
          </w:p>
        </w:tc>
        <w:tc>
          <w:tcPr>
            <w:tcW w:w="4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r>
      <w:tr>
        <w:trPr>
          <w:trHeight w:val="161"/>
        </w:trPr>
        <w:tc>
          <w:tcPr>
            <w:tcW w:w="5120" w:type="dxa"/>
            <w:vAlign w:val="bottom"/>
            <w:gridSpan w:val="2"/>
          </w:tcPr>
          <w:p>
            <w:pPr>
              <w:ind w:left="100"/>
              <w:spacing w:after="0"/>
              <w:rPr>
                <w:sz w:val="20"/>
                <w:szCs w:val="20"/>
                <w:color w:val="auto"/>
              </w:rPr>
            </w:pPr>
            <w:r>
              <w:rPr>
                <w:rFonts w:ascii="Arial" w:cs="Arial" w:eastAsia="Arial" w:hAnsi="Arial"/>
                <w:sz w:val="13"/>
                <w:szCs w:val="13"/>
                <w:color w:val="auto"/>
              </w:rPr>
              <w:t>Total income tax expense</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2,335</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2,440</w:t>
            </w:r>
          </w:p>
        </w:tc>
      </w:tr>
      <w:tr>
        <w:trPr>
          <w:trHeight w:val="20"/>
        </w:trPr>
        <w:tc>
          <w:tcPr>
            <w:tcW w:w="2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actual income tax expense for the three months ended March 31, 2026 and 2025 differs from the statutory tax expense for the periods (computed by applying the U.S. federal corporate tax rate of 21% for both 2026 and 2025 periods to income before income tax expense) as follows (in thousands):</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35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0" w:type="dxa"/>
            <w:vAlign w:val="bottom"/>
            <w:tcBorders>
              <w:bottom w:val="single" w:sz="8" w:color="auto"/>
            </w:tcBorders>
            <w:gridSpan w:val="8"/>
          </w:tcPr>
          <w:p>
            <w:pPr>
              <w:ind w:left="960"/>
              <w:spacing w:after="0"/>
              <w:rPr>
                <w:sz w:val="20"/>
                <w:szCs w:val="20"/>
                <w:color w:val="auto"/>
              </w:rPr>
            </w:pPr>
            <w:r>
              <w:rPr>
                <w:rFonts w:ascii="Arial" w:cs="Arial" w:eastAsia="Arial" w:hAnsi="Arial"/>
                <w:sz w:val="13"/>
                <w:szCs w:val="13"/>
                <w:b w:val="1"/>
                <w:bCs w:val="1"/>
                <w:color w:val="auto"/>
              </w:rPr>
              <w:t>Three Months Ended March 31,</w:t>
            </w:r>
          </w:p>
        </w:tc>
        <w:tc>
          <w:tcPr>
            <w:tcW w:w="800" w:type="dxa"/>
            <w:vAlign w:val="bottom"/>
            <w:tcBorders>
              <w:bottom w:val="single" w:sz="8" w:color="auto"/>
            </w:tcBorders>
          </w:tcPr>
          <w:p>
            <w:pPr>
              <w:spacing w:after="0"/>
              <w:rPr>
                <w:sz w:val="13"/>
                <w:szCs w:val="13"/>
                <w:color w:val="auto"/>
              </w:rPr>
            </w:pPr>
          </w:p>
        </w:tc>
      </w:tr>
      <w:tr>
        <w:trPr>
          <w:trHeight w:val="161"/>
        </w:trPr>
        <w:tc>
          <w:tcPr>
            <w:tcW w:w="3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2026</w:t>
            </w: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2025</w:t>
            </w: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72"/>
        </w:trPr>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 Pre-tax</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ind w:right="56"/>
              <w:spacing w:after="0"/>
              <w:rPr>
                <w:sz w:val="20"/>
                <w:szCs w:val="20"/>
                <w:color w:val="auto"/>
              </w:rPr>
            </w:pPr>
            <w:r>
              <w:rPr>
                <w:rFonts w:ascii="Arial" w:cs="Arial" w:eastAsia="Arial" w:hAnsi="Arial"/>
                <w:sz w:val="13"/>
                <w:szCs w:val="13"/>
                <w:b w:val="1"/>
                <w:bCs w:val="1"/>
                <w:color w:val="auto"/>
              </w:rPr>
              <w:t>% Pre-tax</w:t>
            </w:r>
          </w:p>
        </w:tc>
      </w:tr>
      <w:tr>
        <w:trPr>
          <w:trHeight w:val="160"/>
        </w:trPr>
        <w:tc>
          <w:tcPr>
            <w:tcW w:w="3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Amount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Income</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gridSpan w:val="2"/>
          </w:tcPr>
          <w:p>
            <w:pPr>
              <w:ind w:left="200"/>
              <w:spacing w:after="0"/>
              <w:rPr>
                <w:sz w:val="20"/>
                <w:szCs w:val="20"/>
                <w:color w:val="auto"/>
              </w:rPr>
            </w:pPr>
            <w:r>
              <w:rPr>
                <w:rFonts w:ascii="Arial" w:cs="Arial" w:eastAsia="Arial" w:hAnsi="Arial"/>
                <w:sz w:val="13"/>
                <w:szCs w:val="13"/>
                <w:b w:val="1"/>
                <w:bCs w:val="1"/>
                <w:color w:val="auto"/>
              </w:rPr>
              <w:t>Amount</w:t>
            </w:r>
          </w:p>
        </w:tc>
        <w:tc>
          <w:tcPr>
            <w:tcW w:w="800" w:type="dxa"/>
            <w:vAlign w:val="bottom"/>
          </w:tcPr>
          <w:p>
            <w:pPr>
              <w:jc w:val="right"/>
              <w:ind w:right="116"/>
              <w:spacing w:after="0"/>
              <w:rPr>
                <w:sz w:val="20"/>
                <w:szCs w:val="20"/>
                <w:color w:val="auto"/>
              </w:rPr>
            </w:pPr>
            <w:r>
              <w:rPr>
                <w:rFonts w:ascii="Arial" w:cs="Arial" w:eastAsia="Arial" w:hAnsi="Arial"/>
                <w:sz w:val="13"/>
                <w:szCs w:val="13"/>
                <w:b w:val="1"/>
                <w:bCs w:val="1"/>
                <w:color w:val="auto"/>
              </w:rPr>
              <w:t>Income</w:t>
            </w:r>
          </w:p>
        </w:tc>
      </w:tr>
      <w:tr>
        <w:trPr>
          <w:trHeight w:val="141"/>
        </w:trPr>
        <w:tc>
          <w:tcPr>
            <w:tcW w:w="3540" w:type="dxa"/>
            <w:vAlign w:val="bottom"/>
            <w:tcBorders>
              <w:top w:val="single" w:sz="8" w:color="CCEEFF"/>
              <w:bottom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Computed tax at the statutory federal income tax rate</w:t>
            </w:r>
          </w:p>
        </w:tc>
        <w:tc>
          <w:tcPr>
            <w:tcW w:w="140" w:type="dxa"/>
            <w:vAlign w:val="bottom"/>
            <w:tcBorders>
              <w:top w:val="single" w:sz="8" w:color="auto"/>
              <w:bottom w:val="single" w:sz="8" w:color="CCEEFF"/>
              <w:right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CCEEFF"/>
            </w:tcBorders>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2,454</w:t>
            </w:r>
          </w:p>
        </w:tc>
        <w:tc>
          <w:tcPr>
            <w:tcW w:w="40" w:type="dxa"/>
            <w:vAlign w:val="bottom"/>
          </w:tcPr>
          <w:p>
            <w:pPr>
              <w:spacing w:after="0"/>
              <w:rPr>
                <w:sz w:val="12"/>
                <w:szCs w:val="12"/>
                <w:color w:val="auto"/>
              </w:rPr>
            </w:pPr>
          </w:p>
        </w:tc>
        <w:tc>
          <w:tcPr>
            <w:tcW w:w="80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21.00%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CCEEFF"/>
            </w:tcBorders>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2,120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21.00%</w:t>
            </w:r>
          </w:p>
        </w:tc>
      </w:tr>
      <w:tr>
        <w:trPr>
          <w:trHeight w:val="171"/>
        </w:trPr>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51"/>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Increase (decrease) resulting from:</w:t>
            </w:r>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r>
      <w:tr>
        <w:trPr>
          <w:trHeight w:val="192"/>
        </w:trPr>
        <w:tc>
          <w:tcPr>
            <w:tcW w:w="3540" w:type="dxa"/>
            <w:vAlign w:val="bottom"/>
          </w:tcPr>
          <w:p>
            <w:pPr>
              <w:spacing w:after="0" w:line="192" w:lineRule="exact"/>
              <w:rPr>
                <w:sz w:val="20"/>
                <w:szCs w:val="20"/>
                <w:color w:val="auto"/>
              </w:rPr>
            </w:pPr>
            <w:r>
              <w:rPr>
                <w:rFonts w:ascii="Arial" w:cs="Arial" w:eastAsia="Arial" w:hAnsi="Arial"/>
                <w:sz w:val="13"/>
                <w:szCs w:val="13"/>
                <w:color w:val="auto"/>
              </w:rPr>
              <w:t xml:space="preserve">State income taxes, net of federal tax benefit </w:t>
            </w:r>
            <w:r>
              <w:rPr>
                <w:rFonts w:ascii="Arial" w:cs="Arial" w:eastAsia="Arial" w:hAnsi="Arial"/>
                <w:sz w:val="17"/>
                <w:szCs w:val="17"/>
                <w:color w:val="auto"/>
                <w:vertAlign w:val="superscript"/>
              </w:rPr>
              <w:t>(1)</w:t>
            </w:r>
          </w:p>
        </w:tc>
        <w:tc>
          <w:tcPr>
            <w:tcW w:w="14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631</w:t>
            </w:r>
          </w:p>
        </w:tc>
        <w:tc>
          <w:tcPr>
            <w:tcW w:w="4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5.40%</w:t>
            </w:r>
          </w:p>
        </w:tc>
        <w:tc>
          <w:tcPr>
            <w:tcW w:w="12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439</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4.34%</w:t>
            </w:r>
          </w:p>
        </w:tc>
      </w:tr>
      <w:tr>
        <w:trPr>
          <w:trHeight w:val="151"/>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Bank owned life insurance income</w:t>
            </w:r>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(1.18%)</w:t>
            </w:r>
          </w:p>
        </w:tc>
      </w:tr>
      <w:tr>
        <w:trPr>
          <w:trHeight w:val="171"/>
        </w:trPr>
        <w:tc>
          <w:tcPr>
            <w:tcW w:w="3540" w:type="dxa"/>
            <w:vAlign w:val="bottom"/>
          </w:tcPr>
          <w:p>
            <w:pPr>
              <w:spacing w:after="0"/>
              <w:rPr>
                <w:sz w:val="20"/>
                <w:szCs w:val="20"/>
                <w:color w:val="auto"/>
              </w:rPr>
            </w:pPr>
            <w:r>
              <w:rPr>
                <w:rFonts w:ascii="Arial" w:cs="Arial" w:eastAsia="Arial" w:hAnsi="Arial"/>
                <w:sz w:val="13"/>
                <w:szCs w:val="13"/>
                <w:color w:val="auto"/>
              </w:rPr>
              <w:t>Benefit from stock-based compensation</w:t>
            </w:r>
          </w:p>
        </w:tc>
        <w:tc>
          <w:tcPr>
            <w:tcW w:w="140" w:type="dxa"/>
            <w:vAlign w:val="bottom"/>
          </w:tcPr>
          <w:p>
            <w:pPr>
              <w:spacing w:after="0"/>
              <w:rPr>
                <w:sz w:val="14"/>
                <w:szCs w:val="14"/>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3"/>
                <w:szCs w:val="13"/>
                <w:color w:val="auto"/>
              </w:rPr>
              <w:t>(166)</w:t>
            </w: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(1.42%)</w:t>
            </w:r>
          </w:p>
        </w:tc>
        <w:tc>
          <w:tcPr>
            <w:tcW w:w="1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0" w:type="dxa"/>
            <w:vAlign w:val="bottom"/>
          </w:tcPr>
          <w:p>
            <w:pPr>
              <w:ind w:left="720"/>
              <w:spacing w:after="0"/>
              <w:rPr>
                <w:sz w:val="20"/>
                <w:szCs w:val="20"/>
                <w:color w:val="auto"/>
              </w:rPr>
            </w:pPr>
            <w:r>
              <w:rPr>
                <w:rFonts w:ascii="Arial" w:cs="Arial" w:eastAsia="Arial" w:hAnsi="Arial"/>
                <w:sz w:val="13"/>
                <w:szCs w:val="13"/>
                <w:color w:val="auto"/>
              </w:rPr>
              <w:t>-</w:t>
            </w:r>
          </w:p>
        </w:tc>
      </w:tr>
      <w:tr>
        <w:trPr>
          <w:trHeight w:val="151"/>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Section 162(m) limitation</w:t>
            </w:r>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0.71%</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3"/>
                <w:szCs w:val="13"/>
                <w:color w:val="auto"/>
              </w:rPr>
              <w:t>-</w:t>
            </w:r>
          </w:p>
        </w:tc>
      </w:tr>
      <w:tr>
        <w:trPr>
          <w:trHeight w:val="171"/>
        </w:trPr>
        <w:tc>
          <w:tcPr>
            <w:tcW w:w="3540" w:type="dxa"/>
            <w:vAlign w:val="bottom"/>
          </w:tcPr>
          <w:p>
            <w:pPr>
              <w:spacing w:after="0"/>
              <w:rPr>
                <w:sz w:val="20"/>
                <w:szCs w:val="20"/>
                <w:color w:val="auto"/>
              </w:rPr>
            </w:pPr>
            <w:r>
              <w:rPr>
                <w:rFonts w:ascii="Arial" w:cs="Arial" w:eastAsia="Arial" w:hAnsi="Arial"/>
                <w:sz w:val="13"/>
                <w:szCs w:val="13"/>
                <w:color w:val="auto"/>
              </w:rPr>
              <w:t>Other adjustments, net</w:t>
            </w:r>
          </w:p>
        </w:tc>
        <w:tc>
          <w:tcPr>
            <w:tcW w:w="140" w:type="dxa"/>
            <w:vAlign w:val="bottom"/>
          </w:tcPr>
          <w:p>
            <w:pPr>
              <w:spacing w:after="0"/>
              <w:rPr>
                <w:sz w:val="14"/>
                <w:szCs w:val="14"/>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3"/>
                <w:szCs w:val="13"/>
                <w:color w:val="auto"/>
              </w:rPr>
              <w:t>(536)</w:t>
            </w: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(4.59%)</w:t>
            </w:r>
          </w:p>
        </w:tc>
        <w:tc>
          <w:tcPr>
            <w:tcW w:w="1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0" w:type="dxa"/>
            <w:vAlign w:val="bottom"/>
          </w:tcPr>
          <w:p>
            <w:pPr>
              <w:ind w:left="720"/>
              <w:spacing w:after="0"/>
              <w:rPr>
                <w:sz w:val="20"/>
                <w:szCs w:val="20"/>
                <w:color w:val="auto"/>
              </w:rPr>
            </w:pPr>
            <w:r>
              <w:rPr>
                <w:rFonts w:ascii="Arial" w:cs="Arial" w:eastAsia="Arial" w:hAnsi="Arial"/>
                <w:sz w:val="13"/>
                <w:szCs w:val="13"/>
                <w:color w:val="auto"/>
              </w:rPr>
              <w:t>-</w:t>
            </w:r>
          </w:p>
        </w:tc>
      </w:tr>
      <w:tr>
        <w:trPr>
          <w:trHeight w:val="20"/>
        </w:trPr>
        <w:tc>
          <w:tcPr>
            <w:tcW w:w="35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171"/>
        </w:trPr>
        <w:tc>
          <w:tcPr>
            <w:tcW w:w="3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tax expense</w:t>
            </w:r>
          </w:p>
        </w:tc>
        <w:tc>
          <w:tcPr>
            <w:tcW w:w="140" w:type="dxa"/>
            <w:vAlign w:val="bottom"/>
            <w:tcBorders>
              <w:right w:val="single" w:sz="8" w:color="CCEEFF"/>
            </w:tcBorders>
          </w:tcPr>
          <w:p>
            <w:pPr>
              <w:jc w:val="right"/>
              <w:spacing w:after="0"/>
              <w:rPr>
                <w:sz w:val="20"/>
                <w:szCs w:val="20"/>
                <w:color w:val="auto"/>
              </w:rPr>
            </w:pPr>
            <w:r>
              <w:rPr>
                <w:rFonts w:ascii="Arial" w:cs="Arial" w:eastAsia="Arial" w:hAnsi="Arial"/>
                <w:sz w:val="13"/>
                <w:szCs w:val="13"/>
                <w:color w:val="auto"/>
                <w:w w:val="82"/>
              </w:rPr>
              <w:t>$</w:t>
            </w:r>
          </w:p>
        </w:tc>
        <w:tc>
          <w:tcPr>
            <w:tcW w:w="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2,335</w:t>
            </w:r>
          </w:p>
        </w:tc>
        <w:tc>
          <w:tcPr>
            <w:tcW w:w="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19.98%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2,440</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24.16%</w:t>
            </w:r>
          </w:p>
        </w:tc>
      </w:tr>
      <w:tr>
        <w:trPr>
          <w:trHeight w:val="23"/>
        </w:trPr>
        <w:tc>
          <w:tcPr>
            <w:tcW w:w="35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22" w:lineRule="exact"/>
        <w:rPr>
          <w:sz w:val="20"/>
          <w:szCs w:val="20"/>
          <w:color w:val="auto"/>
        </w:rPr>
      </w:pPr>
    </w:p>
    <w:p>
      <w:pPr>
        <w:ind w:left="660"/>
        <w:spacing w:after="0"/>
        <w:rPr>
          <w:sz w:val="20"/>
          <w:szCs w:val="20"/>
          <w:color w:val="auto"/>
        </w:rPr>
      </w:pPr>
      <w:r>
        <w:rPr>
          <w:rFonts w:ascii="Arial" w:cs="Arial" w:eastAsia="Arial" w:hAnsi="Arial"/>
          <w:sz w:val="13"/>
          <w:szCs w:val="13"/>
          <w:color w:val="auto"/>
        </w:rPr>
        <w:t>(1) Taxes in Florida made up the majority (greater than 50%) of the tax effect in this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21" w:name="page22"/>
    <w:bookmarkEnd w:id="2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Company’s deferred tax assets and deferred tax liabilities as of the dates indicated were (in thousands):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4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b w:val="1"/>
                <w:bCs w:val="1"/>
                <w:color w:val="auto"/>
              </w:rPr>
              <w:t>March 31, 2026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jc w:val="right"/>
              <w:ind w:right="56"/>
              <w:spacing w:after="0"/>
              <w:rPr>
                <w:sz w:val="20"/>
                <w:szCs w:val="20"/>
                <w:color w:val="auto"/>
              </w:rPr>
            </w:pPr>
            <w:r>
              <w:rPr>
                <w:rFonts w:ascii="Arial" w:cs="Arial" w:eastAsia="Arial" w:hAnsi="Arial"/>
                <w:sz w:val="13"/>
                <w:szCs w:val="13"/>
                <w:b w:val="1"/>
                <w:bCs w:val="1"/>
                <w:color w:val="auto"/>
                <w:w w:val="97"/>
              </w:rPr>
              <w:t>December 31, 2025</w:t>
            </w:r>
          </w:p>
        </w:tc>
      </w:tr>
      <w:tr>
        <w:trPr>
          <w:trHeight w:val="161"/>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Deferred tax assets:</w:t>
            </w:r>
          </w:p>
        </w:tc>
        <w:tc>
          <w:tcPr>
            <w:tcW w:w="1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r>
      <w:tr>
        <w:trPr>
          <w:trHeight w:val="171"/>
        </w:trPr>
        <w:tc>
          <w:tcPr>
            <w:tcW w:w="4920" w:type="dxa"/>
            <w:vAlign w:val="bottom"/>
          </w:tcPr>
          <w:p>
            <w:pPr>
              <w:ind w:left="100"/>
              <w:spacing w:after="0"/>
              <w:rPr>
                <w:sz w:val="20"/>
                <w:szCs w:val="20"/>
                <w:color w:val="auto"/>
              </w:rPr>
            </w:pPr>
            <w:r>
              <w:rPr>
                <w:rFonts w:ascii="Arial" w:cs="Arial" w:eastAsia="Arial" w:hAnsi="Arial"/>
                <w:sz w:val="13"/>
                <w:szCs w:val="13"/>
                <w:color w:val="auto"/>
              </w:rPr>
              <w:t>Net operating loss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618</w:t>
            </w:r>
          </w:p>
        </w:tc>
        <w:tc>
          <w:tcPr>
            <w:tcW w:w="4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1,039</w:t>
            </w:r>
          </w:p>
        </w:tc>
      </w:tr>
      <w:tr>
        <w:trPr>
          <w:trHeight w:val="171"/>
        </w:trPr>
        <w:tc>
          <w:tcPr>
            <w:tcW w:w="49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Allowance for credit losses</w:t>
            </w: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6,891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6,463</w:t>
            </w:r>
          </w:p>
        </w:tc>
      </w:tr>
      <w:tr>
        <w:trPr>
          <w:trHeight w:val="171"/>
        </w:trPr>
        <w:tc>
          <w:tcPr>
            <w:tcW w:w="4920" w:type="dxa"/>
            <w:vAlign w:val="bottom"/>
          </w:tcPr>
          <w:p>
            <w:pPr>
              <w:ind w:left="100"/>
              <w:spacing w:after="0"/>
              <w:rPr>
                <w:sz w:val="20"/>
                <w:szCs w:val="20"/>
                <w:color w:val="auto"/>
              </w:rPr>
            </w:pPr>
            <w:r>
              <w:rPr>
                <w:rFonts w:ascii="Arial" w:cs="Arial" w:eastAsia="Arial" w:hAnsi="Arial"/>
                <w:sz w:val="13"/>
                <w:szCs w:val="13"/>
                <w:color w:val="auto"/>
              </w:rPr>
              <w:t>Lease liability</w:t>
            </w:r>
          </w:p>
        </w:tc>
        <w:tc>
          <w:tcPr>
            <w:tcW w:w="14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1,256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1,399</w:t>
            </w:r>
          </w:p>
        </w:tc>
      </w:tr>
      <w:tr>
        <w:trPr>
          <w:trHeight w:val="171"/>
        </w:trPr>
        <w:tc>
          <w:tcPr>
            <w:tcW w:w="49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Unrealized losses on available for sale securities</w:t>
            </w: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11,266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10,270</w:t>
            </w:r>
          </w:p>
        </w:tc>
      </w:tr>
      <w:tr>
        <w:trPr>
          <w:trHeight w:val="171"/>
        </w:trPr>
        <w:tc>
          <w:tcPr>
            <w:tcW w:w="4920" w:type="dxa"/>
            <w:vAlign w:val="bottom"/>
          </w:tcPr>
          <w:p>
            <w:pPr>
              <w:ind w:left="100"/>
              <w:spacing w:after="0"/>
              <w:rPr>
                <w:sz w:val="20"/>
                <w:szCs w:val="20"/>
                <w:color w:val="auto"/>
              </w:rPr>
            </w:pPr>
            <w:r>
              <w:rPr>
                <w:rFonts w:ascii="Arial" w:cs="Arial" w:eastAsia="Arial" w:hAnsi="Arial"/>
                <w:sz w:val="13"/>
                <w:szCs w:val="13"/>
                <w:color w:val="auto"/>
              </w:rPr>
              <w:t>Equity compensation</w:t>
            </w:r>
          </w:p>
        </w:tc>
        <w:tc>
          <w:tcPr>
            <w:tcW w:w="14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878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973</w:t>
            </w:r>
          </w:p>
        </w:tc>
      </w:tr>
      <w:tr>
        <w:trPr>
          <w:trHeight w:val="171"/>
        </w:trPr>
        <w:tc>
          <w:tcPr>
            <w:tcW w:w="49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Accruals</w:t>
            </w: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721</w:t>
            </w:r>
          </w:p>
        </w:tc>
      </w:tr>
      <w:tr>
        <w:trPr>
          <w:trHeight w:val="171"/>
        </w:trPr>
        <w:tc>
          <w:tcPr>
            <w:tcW w:w="4920" w:type="dxa"/>
            <w:vAlign w:val="bottom"/>
          </w:tcPr>
          <w:p>
            <w:pPr>
              <w:ind w:left="100"/>
              <w:spacing w:after="0"/>
              <w:rPr>
                <w:sz w:val="20"/>
                <w:szCs w:val="20"/>
                <w:color w:val="auto"/>
              </w:rPr>
            </w:pPr>
            <w:r>
              <w:rPr>
                <w:rFonts w:ascii="Arial" w:cs="Arial" w:eastAsia="Arial" w:hAnsi="Arial"/>
                <w:sz w:val="13"/>
                <w:szCs w:val="13"/>
                <w:color w:val="auto"/>
              </w:rPr>
              <w:t>Cash flow hedge</w:t>
            </w:r>
          </w:p>
        </w:tc>
        <w:tc>
          <w:tcPr>
            <w:tcW w:w="14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21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71"/>
        </w:trPr>
        <w:tc>
          <w:tcPr>
            <w:tcW w:w="49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net</w:t>
            </w:r>
          </w:p>
        </w:tc>
        <w:tc>
          <w:tcPr>
            <w:tcW w:w="1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1,771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268</w:t>
            </w:r>
          </w:p>
        </w:tc>
      </w:tr>
      <w:tr>
        <w:trPr>
          <w:trHeight w:val="151"/>
        </w:trPr>
        <w:tc>
          <w:tcPr>
            <w:tcW w:w="4920" w:type="dxa"/>
            <w:vAlign w:val="bottom"/>
          </w:tcPr>
          <w:p>
            <w:pPr>
              <w:spacing w:after="0"/>
              <w:rPr>
                <w:sz w:val="20"/>
                <w:szCs w:val="20"/>
                <w:color w:val="auto"/>
              </w:rPr>
            </w:pPr>
            <w:r>
              <w:rPr>
                <w:rFonts w:ascii="Arial" w:cs="Arial" w:eastAsia="Arial" w:hAnsi="Arial"/>
                <w:sz w:val="13"/>
                <w:szCs w:val="13"/>
                <w:color w:val="auto"/>
              </w:rPr>
              <w:t>Deferred tax assets:</w:t>
            </w:r>
          </w:p>
        </w:tc>
        <w:tc>
          <w:tcPr>
            <w:tcW w:w="140" w:type="dxa"/>
            <w:vAlign w:val="bottom"/>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22,875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21,128</w:t>
            </w:r>
          </w:p>
        </w:tc>
      </w:tr>
      <w:tr>
        <w:trPr>
          <w:trHeight w:val="171"/>
        </w:trPr>
        <w:tc>
          <w:tcPr>
            <w:tcW w:w="4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71"/>
        </w:trPr>
        <w:tc>
          <w:tcPr>
            <w:tcW w:w="4920" w:type="dxa"/>
            <w:vAlign w:val="bottom"/>
          </w:tcPr>
          <w:p>
            <w:pPr>
              <w:spacing w:after="0"/>
              <w:rPr>
                <w:sz w:val="20"/>
                <w:szCs w:val="20"/>
                <w:color w:val="auto"/>
              </w:rPr>
            </w:pPr>
            <w:r>
              <w:rPr>
                <w:rFonts w:ascii="Arial" w:cs="Arial" w:eastAsia="Arial" w:hAnsi="Arial"/>
                <w:sz w:val="13"/>
                <w:szCs w:val="13"/>
                <w:b w:val="1"/>
                <w:bCs w:val="1"/>
                <w:color w:val="auto"/>
              </w:rPr>
              <w:t>Deferred tax liabilities: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49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Deferred loan cost</w:t>
            </w:r>
          </w:p>
        </w:tc>
        <w:tc>
          <w:tcPr>
            <w:tcW w:w="1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(1,754)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(1,520)</w:t>
            </w:r>
          </w:p>
        </w:tc>
      </w:tr>
      <w:tr>
        <w:trPr>
          <w:trHeight w:val="151"/>
        </w:trPr>
        <w:tc>
          <w:tcPr>
            <w:tcW w:w="4920" w:type="dxa"/>
            <w:vAlign w:val="bottom"/>
          </w:tcPr>
          <w:p>
            <w:pPr>
              <w:ind w:left="100"/>
              <w:spacing w:after="0"/>
              <w:rPr>
                <w:sz w:val="20"/>
                <w:szCs w:val="20"/>
                <w:color w:val="auto"/>
              </w:rPr>
            </w:pPr>
            <w:r>
              <w:rPr>
                <w:rFonts w:ascii="Arial" w:cs="Arial" w:eastAsia="Arial" w:hAnsi="Arial"/>
                <w:sz w:val="13"/>
                <w:szCs w:val="13"/>
                <w:color w:val="auto"/>
              </w:rPr>
              <w:t>Lease right of use asset</w:t>
            </w:r>
          </w:p>
        </w:tc>
        <w:tc>
          <w:tcPr>
            <w:tcW w:w="140" w:type="dxa"/>
            <w:vAlign w:val="bottom"/>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(1,256)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(1,399)</w:t>
            </w:r>
          </w:p>
        </w:tc>
      </w:tr>
      <w:tr>
        <w:trPr>
          <w:trHeight w:val="171"/>
        </w:trPr>
        <w:tc>
          <w:tcPr>
            <w:tcW w:w="49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Deferred expenses</w:t>
            </w:r>
          </w:p>
        </w:tc>
        <w:tc>
          <w:tcPr>
            <w:tcW w:w="1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(154)</w:t>
            </w:r>
          </w:p>
        </w:tc>
      </w:tr>
      <w:tr>
        <w:trPr>
          <w:trHeight w:val="151"/>
        </w:trPr>
        <w:tc>
          <w:tcPr>
            <w:tcW w:w="4920" w:type="dxa"/>
            <w:vAlign w:val="bottom"/>
          </w:tcPr>
          <w:p>
            <w:pPr>
              <w:ind w:left="100"/>
              <w:spacing w:after="0"/>
              <w:rPr>
                <w:sz w:val="20"/>
                <w:szCs w:val="20"/>
                <w:color w:val="auto"/>
              </w:rPr>
            </w:pPr>
            <w:r>
              <w:rPr>
                <w:rFonts w:ascii="Arial" w:cs="Arial" w:eastAsia="Arial" w:hAnsi="Arial"/>
                <w:sz w:val="13"/>
                <w:szCs w:val="13"/>
                <w:color w:val="auto"/>
              </w:rPr>
              <w:t>Depreciable property</w:t>
            </w:r>
          </w:p>
        </w:tc>
        <w:tc>
          <w:tcPr>
            <w:tcW w:w="140" w:type="dxa"/>
            <w:vAlign w:val="bottom"/>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(22)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71"/>
        </w:trPr>
        <w:tc>
          <w:tcPr>
            <w:tcW w:w="49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net</w:t>
            </w:r>
          </w:p>
        </w:tc>
        <w:tc>
          <w:tcPr>
            <w:tcW w:w="1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4920" w:type="dxa"/>
            <w:vAlign w:val="bottom"/>
          </w:tcPr>
          <w:p>
            <w:pPr>
              <w:spacing w:after="0"/>
              <w:rPr>
                <w:sz w:val="20"/>
                <w:szCs w:val="20"/>
                <w:color w:val="auto"/>
              </w:rPr>
            </w:pPr>
            <w:r>
              <w:rPr>
                <w:rFonts w:ascii="Arial" w:cs="Arial" w:eastAsia="Arial" w:hAnsi="Arial"/>
                <w:sz w:val="13"/>
                <w:szCs w:val="13"/>
                <w:color w:val="auto"/>
              </w:rPr>
              <w:t>Deferred tax liabilities</w:t>
            </w:r>
          </w:p>
        </w:tc>
        <w:tc>
          <w:tcPr>
            <w:tcW w:w="14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(3,226)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(3,082)</w:t>
            </w:r>
          </w:p>
        </w:tc>
      </w:tr>
      <w:tr>
        <w:trPr>
          <w:trHeight w:val="171"/>
        </w:trPr>
        <w:tc>
          <w:tcPr>
            <w:tcW w:w="49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r>
      <w:tr>
        <w:trPr>
          <w:trHeight w:val="172"/>
        </w:trPr>
        <w:tc>
          <w:tcPr>
            <w:tcW w:w="4920" w:type="dxa"/>
            <w:vAlign w:val="bottom"/>
          </w:tcPr>
          <w:p>
            <w:pPr>
              <w:spacing w:after="0"/>
              <w:rPr>
                <w:sz w:val="20"/>
                <w:szCs w:val="20"/>
                <w:color w:val="auto"/>
              </w:rPr>
            </w:pPr>
            <w:r>
              <w:rPr>
                <w:rFonts w:ascii="Arial" w:cs="Arial" w:eastAsia="Arial" w:hAnsi="Arial"/>
                <w:sz w:val="13"/>
                <w:szCs w:val="13"/>
                <w:color w:val="auto"/>
              </w:rPr>
              <w:t>Net deferred tax assets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19,649</w:t>
            </w:r>
          </w:p>
        </w:tc>
        <w:tc>
          <w:tcPr>
            <w:tcW w:w="4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18,046</w:t>
            </w:r>
          </w:p>
        </w:tc>
      </w:tr>
      <w:tr>
        <w:trPr>
          <w:trHeight w:val="20"/>
        </w:trPr>
        <w:tc>
          <w:tcPr>
            <w:tcW w:w="4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The Company has approximately $17.4 million of state net operating loss carryforwards expiring in various amounts between 2032 and 2036 and which are limited to offset, to the extent permitted, future taxable earnings of the Company.</w:t>
      </w:r>
    </w:p>
    <w:p>
      <w:pPr>
        <w:spacing w:after="0" w:line="120"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p>
    <w:p>
      <w:pPr>
        <w:spacing w:after="0" w:line="140"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major tax jurisdictions where the Company files income tax returns are the U.S. federal jurisdiction and the State of Florida. With few exceptions, the Company is no longer subject to U.S. federal and state income tax return examinations by tax authorities for years before 2022.</w:t>
      </w:r>
    </w:p>
    <w:p>
      <w:pPr>
        <w:spacing w:after="0" w:line="118"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For the three months ended March 31, 2026 and 2025 the Company did not have any unrecognized tax benefits as a result of tax positions taken during a prior period or during the current period. Additionally, no interest or penalties were recorded as a result of tax uncertainties.</w:t>
      </w:r>
    </w:p>
    <w:p>
      <w:pPr>
        <w:spacing w:after="0" w:line="128" w:lineRule="exact"/>
        <w:rPr>
          <w:sz w:val="20"/>
          <w:szCs w:val="20"/>
          <w:color w:val="auto"/>
        </w:rPr>
      </w:pPr>
    </w:p>
    <w:p>
      <w:pPr>
        <w:ind w:left="1040" w:hanging="377"/>
        <w:spacing w:after="0"/>
        <w:tabs>
          <w:tab w:leader="none" w:pos="104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OFF-BALANCE SHEET ARRANGEMENTS</w:t>
      </w:r>
    </w:p>
    <w:p>
      <w:pPr>
        <w:spacing w:after="0" w:line="202"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The Company is a party to financial instruments with off-balance-sheet risk in the normal course of business in order to meet the financial needs of its customers and to reduce its own exposure to fluctuations in interest rates. These financial instruments include unfunded commitments under lines of credit, commitments to extend credit, and standby and commercial letters of credit. Those instruments involve, to varying degrees, elements of credit and interest rate risk in excess of the amount recognized in the Company’s Consolidated Balance Sheets. The Company uses the same credit policies in making commitments and conditional obligations as it does for on-balance sheet instruments.</w:t>
      </w:r>
    </w:p>
    <w:p>
      <w:pPr>
        <w:spacing w:after="0" w:line="127" w:lineRule="exact"/>
        <w:rPr>
          <w:sz w:val="20"/>
          <w:szCs w:val="20"/>
          <w:color w:val="auto"/>
        </w:rPr>
      </w:pPr>
    </w:p>
    <w:p>
      <w:pPr>
        <w:jc w:val="both"/>
        <w:ind w:left="660" w:right="699" w:firstLine="256"/>
        <w:spacing w:after="0" w:line="292" w:lineRule="auto"/>
        <w:rPr>
          <w:sz w:val="20"/>
          <w:szCs w:val="20"/>
          <w:color w:val="auto"/>
        </w:rPr>
      </w:pPr>
      <w:r>
        <w:rPr>
          <w:rFonts w:ascii="Arial" w:cs="Arial" w:eastAsia="Arial" w:hAnsi="Arial"/>
          <w:sz w:val="14"/>
          <w:szCs w:val="14"/>
          <w:color w:val="auto"/>
        </w:rPr>
        <w:t>The Company's exposure to credit loss in the event of nonperformance by the other party to the financial instruments for unused lines of credit and standby letters of credit is represented by the contractual amount of these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22" w:name="page23"/>
    <w:bookmarkEnd w:id="2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 summary of the amounts of the Company's financial instruments with off-balance sheet risk are shown below at</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March 31, 2026 and December 31, 2025 (in thousands):</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00" w:type="dxa"/>
            <w:vAlign w:val="bottom"/>
            <w:tcBorders>
              <w:bottom w:val="single" w:sz="8" w:color="CCEEFF"/>
            </w:tcBorders>
          </w:tcPr>
          <w:p>
            <w:pPr>
              <w:spacing w:after="0"/>
              <w:rPr>
                <w:sz w:val="13"/>
                <w:szCs w:val="13"/>
                <w:color w:val="auto"/>
              </w:rPr>
            </w:pPr>
          </w:p>
        </w:tc>
        <w:tc>
          <w:tcPr>
            <w:tcW w:w="47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March 31, 2026</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9"/>
              </w:rPr>
              <w:t>December 31, 2025</w:t>
            </w:r>
          </w:p>
        </w:tc>
      </w:tr>
      <w:tr>
        <w:trPr>
          <w:trHeight w:val="151"/>
        </w:trPr>
        <w:tc>
          <w:tcPr>
            <w:tcW w:w="4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Commitments to grant loans and unfunded lines of credit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179,642</w:t>
            </w:r>
          </w:p>
        </w:tc>
        <w:tc>
          <w:tcPr>
            <w:tcW w:w="80" w:type="dxa"/>
            <w:vAlign w:val="bottom"/>
            <w:gridSpan w:val="2"/>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161,606</w:t>
            </w:r>
          </w:p>
        </w:tc>
      </w:tr>
      <w:tr>
        <w:trPr>
          <w:trHeight w:val="171"/>
        </w:trPr>
        <w:tc>
          <w:tcPr>
            <w:tcW w:w="48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Standby and commercial letters of credit</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3,073</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2,700</w:t>
            </w:r>
          </w:p>
        </w:tc>
      </w:tr>
      <w:tr>
        <w:trPr>
          <w:trHeight w:val="172"/>
        </w:trPr>
        <w:tc>
          <w:tcPr>
            <w:tcW w:w="100" w:type="dxa"/>
            <w:vAlign w:val="bottom"/>
            <w:tcBorders>
              <w:bottom w:val="single" w:sz="8" w:color="CCEEFF"/>
            </w:tcBorders>
            <w:shd w:val="clear" w:color="auto" w:fill="CCEEFF"/>
          </w:tcPr>
          <w:p>
            <w:pPr>
              <w:spacing w:after="0"/>
              <w:rPr>
                <w:sz w:val="14"/>
                <w:szCs w:val="14"/>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182,715</w:t>
            </w:r>
          </w:p>
        </w:tc>
        <w:tc>
          <w:tcPr>
            <w:tcW w:w="80" w:type="dxa"/>
            <w:vAlign w:val="bottom"/>
            <w:tcBorders>
              <w:bottom w:val="single" w:sz="8" w:color="CCEEFF"/>
            </w:tcBorders>
            <w:gridSpan w:val="2"/>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164,306</w:t>
            </w:r>
          </w:p>
        </w:tc>
      </w:tr>
      <w:tr>
        <w:trPr>
          <w:trHeight w:val="20"/>
        </w:trPr>
        <w:tc>
          <w:tcPr>
            <w:tcW w:w="1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60" w:right="719" w:firstLine="256"/>
        <w:spacing w:after="0" w:line="276" w:lineRule="auto"/>
        <w:rPr>
          <w:sz w:val="20"/>
          <w:szCs w:val="20"/>
          <w:color w:val="auto"/>
        </w:rPr>
      </w:pPr>
      <w:r>
        <w:rPr>
          <w:rFonts w:ascii="Arial" w:cs="Arial" w:eastAsia="Arial" w:hAnsi="Arial"/>
          <w:sz w:val="14"/>
          <w:szCs w:val="14"/>
          <w:color w:val="auto"/>
        </w:rPr>
        <w:t>Commitments to extend credit are agreements to lend to a customer as long as there is no violation of any condition established in the contract. Commitments generally have fixed expiration dates or other termination clauses.</w:t>
      </w:r>
    </w:p>
    <w:p>
      <w:pPr>
        <w:spacing w:after="0" w:line="120"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Unfunded lines of credit and revolving credit lines are commitments for possible future extensions of credit to existing customers. These lines of credit are uncollateralized and usually do not contain a specified maturity date and ultimately may not be drawn upon to the total extent to which the Company committed.</w:t>
      </w:r>
    </w:p>
    <w:p>
      <w:pPr>
        <w:spacing w:after="0" w:line="11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Standby and commercial letters of credit are conditional commitments issued by the Company to guarantee the performance of a customer to a third party. Those letters of credit are primarily issued to support public and private borrowing arrangements. Essentially all letters of credit have fixed maturity dates and since many of them expire without being drawn upon, they do not generally present a significant liquidity risk to the Company.</w:t>
      </w:r>
    </w:p>
    <w:p>
      <w:pPr>
        <w:spacing w:after="0" w:line="135" w:lineRule="exact"/>
        <w:rPr>
          <w:sz w:val="20"/>
          <w:szCs w:val="20"/>
          <w:color w:val="auto"/>
        </w:rPr>
      </w:pPr>
    </w:p>
    <w:p>
      <w:pPr>
        <w:ind w:left="1040" w:hanging="377"/>
        <w:spacing w:after="0"/>
        <w:tabs>
          <w:tab w:leader="none" w:pos="104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DERIVATIVES</w:t>
      </w:r>
    </w:p>
    <w:p>
      <w:pPr>
        <w:spacing w:after="0" w:line="202"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Company utilizes interest rate swap agreements as part of its asset-liability management strategy to help manage its interest rate risk exposure. The notional amount of the interest rate swaps does not represent actual amounts exchanged by the parties. The amounts exchanged are determined by reference to the notional amount and the other terms of the individual interest rate swap agreements.</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Interest Rate Swaps Designated as a Cash Flow Hedge</w:t>
      </w:r>
    </w:p>
    <w:p>
      <w:pPr>
        <w:spacing w:after="0" w:line="159"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As of March 31, 2026, the Company had two costless collar hedges with a notional amount of $ 100 million that were designated as cash flow hedges of two three-month brokered CDs. The derivatives are based on the USD SOFR overnight index and have a weighted average cap rate of 4.50% and weighted average floor rate of 1.763%, effectively creating a defined range of interest rate outcomes without requiring an upfront premium. The costless collar hedges have an average maturity of 1.29 years.</w:t>
      </w:r>
    </w:p>
    <w:p>
      <w:pPr>
        <w:spacing w:after="0" w:line="126"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As of December 31, 2025, the Company had two costless collar hedges with a notional amount of $100 million that were designated as cash flow hedge of two three-month brokered CDs. The derivatives are based on the USD SOFR overnight index and have a weighted average cap rate of 4.50% and weighted average floor rate of 1.763%, effectively creating a defined range of interest rate outcomes without requiring an upfront premium. The costless collar hedges had an average maturity of 1.54 years.</w:t>
      </w:r>
    </w:p>
    <w:p>
      <w:pPr>
        <w:spacing w:after="0" w:line="126" w:lineRule="exact"/>
        <w:rPr>
          <w:sz w:val="20"/>
          <w:szCs w:val="20"/>
          <w:color w:val="auto"/>
        </w:rPr>
      </w:pPr>
    </w:p>
    <w:p>
      <w:pPr>
        <w:jc w:val="both"/>
        <w:ind w:left="660" w:right="679" w:firstLine="256"/>
        <w:spacing w:after="0" w:line="172" w:lineRule="exact"/>
        <w:rPr>
          <w:sz w:val="20"/>
          <w:szCs w:val="20"/>
          <w:color w:val="auto"/>
        </w:rPr>
      </w:pPr>
      <w:r>
        <w:rPr>
          <w:rFonts w:ascii="Arial" w:cs="Arial" w:eastAsia="Arial" w:hAnsi="Arial"/>
          <w:sz w:val="14"/>
          <w:szCs w:val="14"/>
          <w:color w:val="auto"/>
        </w:rPr>
        <w:t xml:space="preserve">As of March 31, 2026, the Company had one interest rate swap agreement with a notional aggregate amount of $25 million that was designated as a cash flow hedge of a certificate of deposit. Under the agreement, the Company pays a fixed rate of 3.47% and receives a variable rate based on the weighted </w:t>
      </w:r>
      <w:r>
        <w:rPr>
          <w:rFonts w:ascii="MS PGothic" w:cs="MS PGothic" w:eastAsia="MS PGothic" w:hAnsi="MS PGothic"/>
          <w:sz w:val="14"/>
          <w:szCs w:val="14"/>
          <w:color w:val="auto"/>
        </w:rPr>
        <w:t>‑</w:t>
      </w:r>
      <w:r>
        <w:rPr>
          <w:rFonts w:ascii="Arial" w:cs="Arial" w:eastAsia="Arial" w:hAnsi="Arial"/>
          <w:sz w:val="14"/>
          <w:szCs w:val="14"/>
          <w:color w:val="auto"/>
        </w:rPr>
        <w:t xml:space="preserve">average three </w:t>
      </w:r>
      <w:r>
        <w:rPr>
          <w:rFonts w:ascii="MS PGothic" w:cs="MS PGothic" w:eastAsia="MS PGothic" w:hAnsi="MS PGothic"/>
          <w:sz w:val="14"/>
          <w:szCs w:val="14"/>
          <w:color w:val="auto"/>
        </w:rPr>
        <w:t>‑</w:t>
      </w:r>
      <w:r>
        <w:rPr>
          <w:rFonts w:ascii="Arial" w:cs="Arial" w:eastAsia="Arial" w:hAnsi="Arial"/>
          <w:sz w:val="14"/>
          <w:szCs w:val="14"/>
          <w:color w:val="auto"/>
        </w:rPr>
        <w:t>months compounded USD SOFR. The swap has a remaining maturity of 0.12 years.</w:t>
      </w:r>
    </w:p>
    <w:p>
      <w:pPr>
        <w:spacing w:after="0" w:line="135" w:lineRule="exact"/>
        <w:rPr>
          <w:sz w:val="20"/>
          <w:szCs w:val="20"/>
          <w:color w:val="auto"/>
        </w:rPr>
      </w:pPr>
    </w:p>
    <w:p>
      <w:pPr>
        <w:jc w:val="both"/>
        <w:ind w:left="660" w:right="679" w:firstLine="256"/>
        <w:spacing w:after="0" w:line="168" w:lineRule="exact"/>
        <w:rPr>
          <w:sz w:val="20"/>
          <w:szCs w:val="20"/>
          <w:color w:val="auto"/>
        </w:rPr>
      </w:pPr>
      <w:r>
        <w:rPr>
          <w:rFonts w:ascii="Arial" w:cs="Arial" w:eastAsia="Arial" w:hAnsi="Arial"/>
          <w:sz w:val="14"/>
          <w:szCs w:val="14"/>
          <w:color w:val="auto"/>
        </w:rPr>
        <w:t xml:space="preserve">As of December 31, 2025, the Company had one interest rate swap agreement with a notional aggregate amount of $25 million that was designated as cash flow hedge of a certificate of deposit. Under the agreement, the Company pays a fixed rate of 3.47% and receives a variable rate based on the weighted </w:t>
      </w:r>
      <w:r>
        <w:rPr>
          <w:rFonts w:ascii="MS PGothic" w:cs="MS PGothic" w:eastAsia="MS PGothic" w:hAnsi="MS PGothic"/>
          <w:sz w:val="14"/>
          <w:szCs w:val="14"/>
          <w:color w:val="auto"/>
        </w:rPr>
        <w:t>‑</w:t>
      </w:r>
      <w:r>
        <w:rPr>
          <w:rFonts w:ascii="Arial" w:cs="Arial" w:eastAsia="Arial" w:hAnsi="Arial"/>
          <w:sz w:val="14"/>
          <w:szCs w:val="14"/>
          <w:color w:val="auto"/>
        </w:rPr>
        <w:t xml:space="preserve">average three </w:t>
      </w:r>
      <w:r>
        <w:rPr>
          <w:rFonts w:ascii="MS PGothic" w:cs="MS PGothic" w:eastAsia="MS PGothic" w:hAnsi="MS PGothic"/>
          <w:sz w:val="14"/>
          <w:szCs w:val="14"/>
          <w:color w:val="auto"/>
        </w:rPr>
        <w:t>‑</w:t>
      </w:r>
      <w:r>
        <w:rPr>
          <w:rFonts w:ascii="Arial" w:cs="Arial" w:eastAsia="Arial" w:hAnsi="Arial"/>
          <w:sz w:val="14"/>
          <w:szCs w:val="14"/>
          <w:color w:val="auto"/>
        </w:rPr>
        <w:t>months compounded USD SOFR. The swap had a maturity of 0.42 years. The Company unwound one interest rate swap designated as a cash flow hedge of certificate of deposit with notional amount of $ 25 million during the quarter ended December 31, 2025. The decision to unwind this swap was driven by changes in interest rate forecasts and asset-liability management strategies. The early termination income to unwind the fair value swaps totaled $5 thousand. The original maturity of the cash flow interest rate swap was April 2026.</w:t>
      </w:r>
    </w:p>
    <w:p>
      <w:pPr>
        <w:spacing w:after="0" w:line="147" w:lineRule="exact"/>
        <w:rPr>
          <w:sz w:val="20"/>
          <w:szCs w:val="20"/>
          <w:color w:val="auto"/>
        </w:rPr>
      </w:pPr>
    </w:p>
    <w:p>
      <w:pPr>
        <w:jc w:val="both"/>
        <w:ind w:left="660" w:right="699" w:firstLine="256"/>
        <w:spacing w:after="0" w:line="257" w:lineRule="auto"/>
        <w:rPr>
          <w:sz w:val="20"/>
          <w:szCs w:val="20"/>
          <w:color w:val="auto"/>
        </w:rPr>
      </w:pPr>
      <w:r>
        <w:rPr>
          <w:rFonts w:ascii="Arial" w:cs="Arial" w:eastAsia="Arial" w:hAnsi="Arial"/>
          <w:sz w:val="14"/>
          <w:szCs w:val="14"/>
          <w:color w:val="auto"/>
        </w:rPr>
        <w:t>The changes in fair value of these interest rate swaps are recorded in other assets or accrued interest and other liabilities with a corresponding recognition in other comprehensive income (loss) and subsequently reclassified to earnings when gains or losses are realized.</w:t>
      </w:r>
    </w:p>
    <w:p>
      <w:pPr>
        <w:spacing w:after="0" w:line="240"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23" w:name="page24"/>
    <w:bookmarkEnd w:id="2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338"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Interest Rate Swaps</w:t>
      </w:r>
    </w:p>
    <w:p>
      <w:pPr>
        <w:spacing w:after="0" w:line="170"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The Company enters into interest rate swaps with its loan customers. The Company had 113 and 94 interest rate swaps with loan customers with an aggregate notional amount of $370.1 million and $310.8 million at March 31, 2026 and December 31, 2025, respectively. At March 31, 2026, these interest rate swaps mature between 2026 and 2051. The Company entered into corresponding and offsetting derivatives with third parties. The fair value of the liability created by these derivatives requires the Company to provide the counterparty with funds to be held as collateral which the Company reports as other assets under the Consolidated Balance Sheets. While these derivatives represent economic hedges, they do not qualify as hedges for accounting purposes.</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reflects the Company’s interest rate swaps at the dates indicated (in thousands):</w:t>
      </w:r>
    </w:p>
    <w:p>
      <w:pPr>
        <w:sectPr>
          <w:pgSz w:w="11900" w:h="16838" w:orient="portrait"/>
          <w:cols w:equalWidth="0" w:num="1">
            <w:col w:w="9019"/>
          </w:cols>
          <w:pgMar w:left="1440" w:top="4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700"/>
        <w:spacing w:after="0"/>
        <w:rPr>
          <w:sz w:val="20"/>
          <w:szCs w:val="20"/>
          <w:color w:val="auto"/>
        </w:rPr>
      </w:pPr>
      <w:r>
        <w:rPr>
          <w:rFonts w:ascii="Arial" w:cs="Arial" w:eastAsia="Arial" w:hAnsi="Arial"/>
          <w:sz w:val="10"/>
          <w:szCs w:val="10"/>
          <w:b w:val="1"/>
          <w:bCs w:val="1"/>
          <w:color w:val="auto"/>
        </w:rPr>
        <w:t>March 31, 2026:</w:t>
      </w:r>
    </w:p>
    <w:p>
      <w:pPr>
        <w:spacing w:after="0" w:line="21" w:lineRule="exact"/>
        <w:rPr>
          <w:sz w:val="20"/>
          <w:szCs w:val="20"/>
          <w:color w:val="auto"/>
        </w:rPr>
      </w:pPr>
    </w:p>
    <w:p>
      <w:pPr>
        <w:ind w:left="800"/>
        <w:spacing w:after="0"/>
        <w:rPr>
          <w:sz w:val="20"/>
          <w:szCs w:val="20"/>
          <w:color w:val="auto"/>
        </w:rPr>
      </w:pPr>
      <w:r>
        <w:rPr>
          <w:rFonts w:ascii="Arial" w:cs="Arial" w:eastAsia="Arial" w:hAnsi="Arial"/>
          <w:sz w:val="10"/>
          <w:szCs w:val="10"/>
          <w:color w:val="auto"/>
        </w:rPr>
        <w:t>Derivatives designated as cash flow hedges:</w:t>
      </w:r>
    </w:p>
    <w:p>
      <w:pPr>
        <w:spacing w:after="0" w:line="69" w:lineRule="exact"/>
        <w:rPr>
          <w:sz w:val="20"/>
          <w:szCs w:val="20"/>
          <w:color w:val="auto"/>
        </w:rPr>
      </w:pPr>
    </w:p>
    <w:p>
      <w:pPr>
        <w:ind w:left="880"/>
        <w:spacing w:after="0"/>
        <w:rPr>
          <w:sz w:val="20"/>
          <w:szCs w:val="20"/>
          <w:color w:val="auto"/>
        </w:rPr>
      </w:pPr>
      <w:r>
        <w:rPr>
          <w:rFonts w:ascii="Arial" w:cs="Arial" w:eastAsia="Arial" w:hAnsi="Arial"/>
          <w:sz w:val="10"/>
          <w:szCs w:val="10"/>
          <w:color w:val="auto"/>
        </w:rPr>
        <w:t>Interest rate swaps</w:t>
      </w:r>
    </w:p>
    <w:p>
      <w:pPr>
        <w:spacing w:after="0" w:line="205" w:lineRule="exact"/>
        <w:rPr>
          <w:sz w:val="20"/>
          <w:szCs w:val="20"/>
          <w:color w:val="auto"/>
        </w:rPr>
      </w:pPr>
    </w:p>
    <w:p>
      <w:pPr>
        <w:jc w:val="center"/>
        <w:ind w:left="800"/>
        <w:spacing w:after="0"/>
        <w:rPr>
          <w:sz w:val="20"/>
          <w:szCs w:val="20"/>
          <w:color w:val="auto"/>
        </w:rPr>
      </w:pPr>
      <w:r>
        <w:rPr>
          <w:rFonts w:ascii="Arial" w:cs="Arial" w:eastAsia="Arial" w:hAnsi="Arial"/>
          <w:sz w:val="9"/>
          <w:szCs w:val="9"/>
          <w:color w:val="auto"/>
        </w:rPr>
        <w:t>Derivatives not designated as hedging instruments:</w:t>
      </w:r>
    </w:p>
    <w:p>
      <w:pPr>
        <w:spacing w:after="0" w:line="89" w:lineRule="exact"/>
        <w:rPr>
          <w:sz w:val="20"/>
          <w:szCs w:val="20"/>
          <w:color w:val="auto"/>
        </w:rPr>
      </w:pPr>
    </w:p>
    <w:p>
      <w:pPr>
        <w:jc w:val="center"/>
        <w:ind w:left="720"/>
        <w:spacing w:after="0"/>
        <w:rPr>
          <w:sz w:val="20"/>
          <w:szCs w:val="20"/>
          <w:color w:val="auto"/>
        </w:rPr>
      </w:pPr>
      <w:r>
        <w:rPr>
          <w:rFonts w:ascii="Arial" w:cs="Arial" w:eastAsia="Arial" w:hAnsi="Arial"/>
          <w:sz w:val="10"/>
          <w:szCs w:val="10"/>
          <w:color w:val="auto"/>
        </w:rPr>
        <w:t>Interest rate swaps related to customer loans</w:t>
      </w:r>
    </w:p>
    <w:p>
      <w:pPr>
        <w:spacing w:after="0" w:line="205" w:lineRule="exact"/>
        <w:rPr>
          <w:sz w:val="20"/>
          <w:szCs w:val="20"/>
          <w:color w:val="auto"/>
        </w:rPr>
      </w:pPr>
    </w:p>
    <w:p>
      <w:pPr>
        <w:ind w:left="700"/>
        <w:spacing w:after="0"/>
        <w:rPr>
          <w:sz w:val="20"/>
          <w:szCs w:val="20"/>
          <w:color w:val="auto"/>
        </w:rPr>
      </w:pPr>
      <w:r>
        <w:rPr>
          <w:rFonts w:ascii="Arial" w:cs="Arial" w:eastAsia="Arial" w:hAnsi="Arial"/>
          <w:sz w:val="10"/>
          <w:szCs w:val="10"/>
          <w:b w:val="1"/>
          <w:bCs w:val="1"/>
          <w:color w:val="auto"/>
        </w:rPr>
        <w:t>December 31, 2025:</w:t>
      </w:r>
    </w:p>
    <w:p>
      <w:pPr>
        <w:spacing w:after="0" w:line="21" w:lineRule="exact"/>
        <w:rPr>
          <w:sz w:val="20"/>
          <w:szCs w:val="20"/>
          <w:color w:val="auto"/>
        </w:rPr>
      </w:pPr>
    </w:p>
    <w:p>
      <w:pPr>
        <w:ind w:left="800"/>
        <w:spacing w:after="0"/>
        <w:rPr>
          <w:sz w:val="20"/>
          <w:szCs w:val="20"/>
          <w:color w:val="auto"/>
        </w:rPr>
      </w:pPr>
      <w:r>
        <w:rPr>
          <w:rFonts w:ascii="Arial" w:cs="Arial" w:eastAsia="Arial" w:hAnsi="Arial"/>
          <w:sz w:val="10"/>
          <w:szCs w:val="10"/>
          <w:color w:val="auto"/>
        </w:rPr>
        <w:t>Derivatives designated as cash flow hedges:</w:t>
      </w:r>
    </w:p>
    <w:p>
      <w:pPr>
        <w:spacing w:after="0" w:line="69" w:lineRule="exact"/>
        <w:rPr>
          <w:sz w:val="20"/>
          <w:szCs w:val="20"/>
          <w:color w:val="auto"/>
        </w:rPr>
      </w:pPr>
    </w:p>
    <w:p>
      <w:pPr>
        <w:ind w:left="880"/>
        <w:spacing w:after="0"/>
        <w:rPr>
          <w:sz w:val="20"/>
          <w:szCs w:val="20"/>
          <w:color w:val="auto"/>
        </w:rPr>
      </w:pPr>
      <w:r>
        <w:rPr>
          <w:rFonts w:ascii="Arial" w:cs="Arial" w:eastAsia="Arial" w:hAnsi="Arial"/>
          <w:sz w:val="10"/>
          <w:szCs w:val="10"/>
          <w:color w:val="auto"/>
        </w:rPr>
        <w:t>Interest rate swaps</w:t>
      </w:r>
    </w:p>
    <w:p>
      <w:pPr>
        <w:spacing w:after="0" w:line="205" w:lineRule="exact"/>
        <w:rPr>
          <w:sz w:val="20"/>
          <w:szCs w:val="20"/>
          <w:color w:val="auto"/>
        </w:rPr>
      </w:pPr>
    </w:p>
    <w:p>
      <w:pPr>
        <w:jc w:val="center"/>
        <w:ind w:left="800"/>
        <w:spacing w:after="0"/>
        <w:rPr>
          <w:sz w:val="20"/>
          <w:szCs w:val="20"/>
          <w:color w:val="auto"/>
        </w:rPr>
      </w:pPr>
      <w:r>
        <w:rPr>
          <w:rFonts w:ascii="Arial" w:cs="Arial" w:eastAsia="Arial" w:hAnsi="Arial"/>
          <w:sz w:val="9"/>
          <w:szCs w:val="9"/>
          <w:color w:val="auto"/>
        </w:rPr>
        <w:t>Derivatives not designated as hedging instruments:</w:t>
      </w:r>
    </w:p>
    <w:p>
      <w:pPr>
        <w:spacing w:after="0" w:line="89" w:lineRule="exact"/>
        <w:rPr>
          <w:sz w:val="20"/>
          <w:szCs w:val="20"/>
          <w:color w:val="auto"/>
        </w:rPr>
      </w:pPr>
    </w:p>
    <w:p>
      <w:pPr>
        <w:jc w:val="center"/>
        <w:ind w:left="720"/>
        <w:spacing w:after="0"/>
        <w:rPr>
          <w:sz w:val="20"/>
          <w:szCs w:val="20"/>
          <w:color w:val="auto"/>
        </w:rPr>
      </w:pPr>
      <w:r>
        <w:rPr>
          <w:rFonts w:ascii="Arial" w:cs="Arial" w:eastAsia="Arial" w:hAnsi="Arial"/>
          <w:sz w:val="10"/>
          <w:szCs w:val="10"/>
          <w:color w:val="auto"/>
        </w:rPr>
        <w:t>Interest rate swaps related to customer loans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8"/>
          </w:tcPr>
          <w:p>
            <w:pPr>
              <w:ind w:left="300"/>
              <w:spacing w:after="0"/>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0"/>
                <w:szCs w:val="10"/>
                <w:b w:val="1"/>
                <w:bCs w:val="1"/>
                <w:color w:val="auto"/>
              </w:rPr>
              <w:t>Notional</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0"/>
                <w:szCs w:val="10"/>
                <w:b w:val="1"/>
                <w:bCs w:val="1"/>
                <w:color w:val="auto"/>
              </w:rPr>
              <w:t>Collateral</w:t>
            </w:r>
          </w:p>
        </w:tc>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ind w:left="40"/>
              <w:spacing w:after="0"/>
              <w:rPr>
                <w:sz w:val="20"/>
                <w:szCs w:val="20"/>
                <w:color w:val="auto"/>
              </w:rPr>
            </w:pPr>
            <w:r>
              <w:rPr>
                <w:rFonts w:ascii="Arial" w:cs="Arial" w:eastAsia="Arial" w:hAnsi="Arial"/>
                <w:sz w:val="10"/>
                <w:szCs w:val="10"/>
                <w:b w:val="1"/>
                <w:bCs w:val="1"/>
                <w:color w:val="auto"/>
              </w:rPr>
              <w:t>Amount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95"/>
              </w:rPr>
              <w:t>Amount</w:t>
            </w:r>
          </w:p>
        </w:tc>
        <w:tc>
          <w:tcPr>
            <w:tcW w:w="20" w:type="dxa"/>
            <w:vAlign w:val="bottom"/>
          </w:tcPr>
          <w:p>
            <w:pPr>
              <w:spacing w:after="0"/>
              <w:rPr>
                <w:sz w:val="11"/>
                <w:szCs w:val="11"/>
                <w:color w:val="auto"/>
              </w:rPr>
            </w:pPr>
          </w:p>
        </w:tc>
        <w:tc>
          <w:tcPr>
            <w:tcW w:w="1600" w:type="dxa"/>
            <w:vAlign w:val="bottom"/>
            <w:gridSpan w:val="2"/>
          </w:tcPr>
          <w:p>
            <w:pPr>
              <w:ind w:left="220"/>
              <w:spacing w:after="0"/>
              <w:rPr>
                <w:sz w:val="20"/>
                <w:szCs w:val="20"/>
                <w:color w:val="auto"/>
              </w:rPr>
            </w:pPr>
            <w:r>
              <w:rPr>
                <w:rFonts w:ascii="Arial" w:cs="Arial" w:eastAsia="Arial" w:hAnsi="Arial"/>
                <w:sz w:val="10"/>
                <w:szCs w:val="10"/>
                <w:b w:val="1"/>
                <w:bCs w:val="1"/>
                <w:color w:val="auto"/>
              </w:rPr>
              <w:t>Balance Sheet Location</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Asset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3"/>
          </w:tcPr>
          <w:p>
            <w:pPr>
              <w:ind w:left="40"/>
              <w:spacing w:after="0"/>
              <w:rPr>
                <w:sz w:val="20"/>
                <w:szCs w:val="20"/>
                <w:color w:val="auto"/>
              </w:rPr>
            </w:pPr>
            <w:r>
              <w:rPr>
                <w:rFonts w:ascii="Arial" w:cs="Arial" w:eastAsia="Arial" w:hAnsi="Arial"/>
                <w:sz w:val="10"/>
                <w:szCs w:val="10"/>
                <w:b w:val="1"/>
                <w:bCs w:val="1"/>
                <w:color w:val="auto"/>
              </w:rPr>
              <w:t>Liability</w:t>
            </w:r>
          </w:p>
        </w:tc>
        <w:tc>
          <w:tcPr>
            <w:tcW w:w="0" w:type="dxa"/>
            <w:vAlign w:val="bottom"/>
          </w:tcPr>
          <w:p>
            <w:pPr>
              <w:spacing w:after="0"/>
              <w:rPr>
                <w:sz w:val="1"/>
                <w:szCs w:val="1"/>
                <w:color w:val="auto"/>
              </w:rPr>
            </w:pPr>
          </w:p>
        </w:tc>
      </w:tr>
      <w:tr>
        <w:trPr>
          <w:trHeight w:val="113"/>
        </w:trPr>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 w:type="dxa"/>
            <w:vAlign w:val="bottom"/>
            <w:tcBorders>
              <w:top w:val="single" w:sz="8" w:color="auto"/>
              <w:right w:val="single" w:sz="8" w:color="CCEEFF"/>
            </w:tcBorders>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right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5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left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Other assets/Accrued interest and</w:t>
            </w:r>
          </w:p>
        </w:tc>
        <w:tc>
          <w:tcPr>
            <w:tcW w:w="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60" w:type="dxa"/>
            <w:vAlign w:val="bottom"/>
            <w:gridSpan w:val="2"/>
            <w:vMerge w:val="restart"/>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1560" w:type="dxa"/>
            <w:vAlign w:val="bottom"/>
            <w:vMerge w:val="restart"/>
            <w:shd w:val="clear" w:color="auto" w:fill="CCEEFF"/>
          </w:tcPr>
          <w:p>
            <w:pPr>
              <w:spacing w:after="0"/>
              <w:rPr>
                <w:sz w:val="20"/>
                <w:szCs w:val="20"/>
                <w:color w:val="auto"/>
              </w:rPr>
            </w:pPr>
            <w:r>
              <w:rPr>
                <w:rFonts w:ascii="Arial" w:cs="Arial" w:eastAsia="Arial" w:hAnsi="Arial"/>
                <w:sz w:val="10"/>
                <w:szCs w:val="10"/>
                <w:color w:val="auto"/>
              </w:rPr>
              <w:t>other liabilities</w:t>
            </w:r>
          </w:p>
        </w:tc>
        <w:tc>
          <w:tcPr>
            <w:tcW w:w="4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80" w:type="dxa"/>
            <w:vAlign w:val="bottom"/>
            <w:gridSpan w:val="2"/>
            <w:vMerge w:val="restart"/>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vMerge w:val="continue"/>
          </w:tcPr>
          <w:p>
            <w:pPr>
              <w:spacing w:after="0"/>
              <w:rPr>
                <w:sz w:val="9"/>
                <w:szCs w:val="9"/>
                <w:color w:val="auto"/>
              </w:rPr>
            </w:pPr>
          </w:p>
        </w:tc>
        <w:tc>
          <w:tcPr>
            <w:tcW w:w="80" w:type="dxa"/>
            <w:vAlign w:val="bottom"/>
            <w:shd w:val="clear" w:color="auto" w:fill="CCEEFF"/>
          </w:tcPr>
          <w:p>
            <w:pPr>
              <w:jc w:val="right"/>
              <w:spacing w:after="0" w:line="96" w:lineRule="exact"/>
              <w:rPr>
                <w:sz w:val="20"/>
                <w:szCs w:val="20"/>
                <w:color w:val="auto"/>
              </w:rPr>
            </w:pPr>
            <w:r>
              <w:rPr>
                <w:rFonts w:ascii="Arial" w:cs="Arial" w:eastAsia="Arial" w:hAnsi="Arial"/>
                <w:sz w:val="10"/>
                <w:szCs w:val="10"/>
                <w:color w:val="auto"/>
                <w:w w:val="71"/>
                <w:shd w:val="clear" w:color="auto" w:fill="CCEEFF"/>
              </w:rPr>
              <w:t>$</w:t>
            </w:r>
          </w:p>
        </w:tc>
        <w:tc>
          <w:tcPr>
            <w:tcW w:w="60" w:type="dxa"/>
            <w:vAlign w:val="bottom"/>
          </w:tcPr>
          <w:p>
            <w:pPr>
              <w:spacing w:after="0"/>
              <w:rPr>
                <w:sz w:val="9"/>
                <w:szCs w:val="9"/>
                <w:color w:val="auto"/>
              </w:rPr>
            </w:pPr>
          </w:p>
        </w:tc>
        <w:tc>
          <w:tcPr>
            <w:tcW w:w="540" w:type="dxa"/>
            <w:vAlign w:val="bottom"/>
            <w:shd w:val="clear" w:color="auto" w:fill="CCEEFF"/>
          </w:tcPr>
          <w:p>
            <w:pPr>
              <w:jc w:val="right"/>
              <w:spacing w:after="0" w:line="96" w:lineRule="exact"/>
              <w:rPr>
                <w:sz w:val="20"/>
                <w:szCs w:val="20"/>
                <w:color w:val="auto"/>
              </w:rPr>
            </w:pPr>
            <w:r>
              <w:rPr>
                <w:rFonts w:ascii="Arial" w:cs="Arial" w:eastAsia="Arial" w:hAnsi="Arial"/>
                <w:sz w:val="10"/>
                <w:szCs w:val="10"/>
                <w:color w:val="auto"/>
              </w:rPr>
              <w:t>125,000</w:t>
            </w:r>
          </w:p>
        </w:tc>
        <w:tc>
          <w:tcPr>
            <w:tcW w:w="80" w:type="dxa"/>
            <w:vAlign w:val="bottom"/>
            <w:vMerge w:val="continue"/>
          </w:tcPr>
          <w:p>
            <w:pPr>
              <w:spacing w:after="0"/>
              <w:rPr>
                <w:sz w:val="9"/>
                <w:szCs w:val="9"/>
                <w:color w:val="auto"/>
              </w:rPr>
            </w:pPr>
          </w:p>
        </w:tc>
        <w:tc>
          <w:tcPr>
            <w:tcW w:w="60" w:type="dxa"/>
            <w:vAlign w:val="bottom"/>
            <w:gridSpan w:val="2"/>
            <w:vMerge w:val="continue"/>
          </w:tcPr>
          <w:p>
            <w:pPr>
              <w:spacing w:after="0"/>
              <w:rPr>
                <w:sz w:val="9"/>
                <w:szCs w:val="9"/>
                <w:color w:val="auto"/>
              </w:rPr>
            </w:pPr>
          </w:p>
        </w:tc>
        <w:tc>
          <w:tcPr>
            <w:tcW w:w="80" w:type="dxa"/>
            <w:vAlign w:val="bottom"/>
            <w:shd w:val="clear" w:color="auto" w:fill="CCEEFF"/>
          </w:tcPr>
          <w:p>
            <w:pPr>
              <w:jc w:val="right"/>
              <w:spacing w:after="0" w:line="96" w:lineRule="exact"/>
              <w:rPr>
                <w:sz w:val="20"/>
                <w:szCs w:val="20"/>
                <w:color w:val="auto"/>
              </w:rPr>
            </w:pPr>
            <w:r>
              <w:rPr>
                <w:rFonts w:ascii="Arial" w:cs="Arial" w:eastAsia="Arial" w:hAnsi="Arial"/>
                <w:sz w:val="10"/>
                <w:szCs w:val="10"/>
                <w:color w:val="auto"/>
                <w:w w:val="71"/>
                <w:shd w:val="clear" w:color="auto" w:fill="CCEEFF"/>
              </w:rPr>
              <w:t>$</w:t>
            </w:r>
          </w:p>
        </w:tc>
        <w:tc>
          <w:tcPr>
            <w:tcW w:w="60" w:type="dxa"/>
            <w:vAlign w:val="bottom"/>
            <w:vMerge w:val="continue"/>
          </w:tcPr>
          <w:p>
            <w:pPr>
              <w:spacing w:after="0"/>
              <w:rPr>
                <w:sz w:val="9"/>
                <w:szCs w:val="9"/>
                <w:color w:val="auto"/>
              </w:rPr>
            </w:pPr>
          </w:p>
        </w:tc>
        <w:tc>
          <w:tcPr>
            <w:tcW w:w="500" w:type="dxa"/>
            <w:vAlign w:val="bottom"/>
            <w:shd w:val="clear" w:color="auto" w:fill="CCEEFF"/>
          </w:tcPr>
          <w:p>
            <w:pPr>
              <w:jc w:val="right"/>
              <w:spacing w:after="0" w:line="96" w:lineRule="exact"/>
              <w:rPr>
                <w:sz w:val="20"/>
                <w:szCs w:val="20"/>
                <w:color w:val="auto"/>
              </w:rPr>
            </w:pPr>
            <w:r>
              <w:rPr>
                <w:rFonts w:ascii="Arial" w:cs="Arial" w:eastAsia="Arial" w:hAnsi="Arial"/>
                <w:sz w:val="10"/>
                <w:szCs w:val="10"/>
                <w:color w:val="auto"/>
              </w:rPr>
              <w:t>-</w:t>
            </w:r>
          </w:p>
        </w:tc>
        <w:tc>
          <w:tcPr>
            <w:tcW w:w="12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560" w:type="dxa"/>
            <w:vAlign w:val="bottom"/>
            <w:vMerge w:val="continue"/>
            <w:shd w:val="clear" w:color="auto" w:fill="CCEEFF"/>
          </w:tcPr>
          <w:p>
            <w:pPr>
              <w:spacing w:after="0"/>
              <w:rPr>
                <w:sz w:val="9"/>
                <w:szCs w:val="9"/>
                <w:color w:val="auto"/>
              </w:rPr>
            </w:pPr>
          </w:p>
        </w:tc>
        <w:tc>
          <w:tcPr>
            <w:tcW w:w="4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80" w:type="dxa"/>
            <w:vAlign w:val="bottom"/>
            <w:shd w:val="clear" w:color="auto" w:fill="CCEEFF"/>
          </w:tcPr>
          <w:p>
            <w:pPr>
              <w:jc w:val="right"/>
              <w:spacing w:after="0" w:line="96" w:lineRule="exact"/>
              <w:rPr>
                <w:sz w:val="20"/>
                <w:szCs w:val="20"/>
                <w:color w:val="auto"/>
              </w:rPr>
            </w:pPr>
            <w:r>
              <w:rPr>
                <w:rFonts w:ascii="Arial" w:cs="Arial" w:eastAsia="Arial" w:hAnsi="Arial"/>
                <w:sz w:val="10"/>
                <w:szCs w:val="10"/>
                <w:color w:val="auto"/>
                <w:w w:val="71"/>
                <w:shd w:val="clear" w:color="auto" w:fill="CCEEFF"/>
              </w:rPr>
              <w:t>$</w:t>
            </w:r>
          </w:p>
        </w:tc>
        <w:tc>
          <w:tcPr>
            <w:tcW w:w="60" w:type="dxa"/>
            <w:vAlign w:val="bottom"/>
            <w:vMerge w:val="continue"/>
          </w:tcPr>
          <w:p>
            <w:pPr>
              <w:spacing w:after="0"/>
              <w:rPr>
                <w:sz w:val="9"/>
                <w:szCs w:val="9"/>
                <w:color w:val="auto"/>
              </w:rPr>
            </w:pPr>
          </w:p>
        </w:tc>
        <w:tc>
          <w:tcPr>
            <w:tcW w:w="440" w:type="dxa"/>
            <w:vAlign w:val="bottom"/>
            <w:shd w:val="clear" w:color="auto" w:fill="CCEEFF"/>
          </w:tcPr>
          <w:p>
            <w:pPr>
              <w:jc w:val="right"/>
              <w:spacing w:after="0" w:line="96" w:lineRule="exact"/>
              <w:rPr>
                <w:sz w:val="20"/>
                <w:szCs w:val="20"/>
                <w:color w:val="auto"/>
              </w:rPr>
            </w:pPr>
            <w:r>
              <w:rPr>
                <w:rFonts w:ascii="Arial" w:cs="Arial" w:eastAsia="Arial" w:hAnsi="Arial"/>
                <w:sz w:val="10"/>
                <w:szCs w:val="10"/>
                <w:color w:val="auto"/>
              </w:rPr>
              <w:t>78</w:t>
            </w:r>
          </w:p>
        </w:tc>
        <w:tc>
          <w:tcPr>
            <w:tcW w:w="60" w:type="dxa"/>
            <w:vAlign w:val="bottom"/>
            <w:vMerge w:val="continue"/>
          </w:tcPr>
          <w:p>
            <w:pPr>
              <w:spacing w:after="0"/>
              <w:rPr>
                <w:sz w:val="9"/>
                <w:szCs w:val="9"/>
                <w:color w:val="auto"/>
              </w:rPr>
            </w:pPr>
          </w:p>
        </w:tc>
        <w:tc>
          <w:tcPr>
            <w:tcW w:w="80" w:type="dxa"/>
            <w:vAlign w:val="bottom"/>
            <w:gridSpan w:val="2"/>
            <w:vMerge w:val="continue"/>
          </w:tcPr>
          <w:p>
            <w:pPr>
              <w:spacing w:after="0"/>
              <w:rPr>
                <w:sz w:val="9"/>
                <w:szCs w:val="9"/>
                <w:color w:val="auto"/>
              </w:rPr>
            </w:pPr>
          </w:p>
        </w:tc>
        <w:tc>
          <w:tcPr>
            <w:tcW w:w="80" w:type="dxa"/>
            <w:vAlign w:val="bottom"/>
            <w:shd w:val="clear" w:color="auto" w:fill="CCEEFF"/>
          </w:tcPr>
          <w:p>
            <w:pPr>
              <w:jc w:val="right"/>
              <w:spacing w:after="0" w:line="96" w:lineRule="exact"/>
              <w:rPr>
                <w:sz w:val="20"/>
                <w:szCs w:val="20"/>
                <w:color w:val="auto"/>
              </w:rPr>
            </w:pPr>
            <w:r>
              <w:rPr>
                <w:rFonts w:ascii="Arial" w:cs="Arial" w:eastAsia="Arial" w:hAnsi="Arial"/>
                <w:sz w:val="10"/>
                <w:szCs w:val="10"/>
                <w:color w:val="auto"/>
                <w:w w:val="71"/>
                <w:shd w:val="clear" w:color="auto" w:fill="CCEEFF"/>
              </w:rPr>
              <w:t>$</w:t>
            </w:r>
          </w:p>
        </w:tc>
        <w:tc>
          <w:tcPr>
            <w:tcW w:w="60" w:type="dxa"/>
            <w:vAlign w:val="bottom"/>
            <w:vMerge w:val="continue"/>
          </w:tcPr>
          <w:p>
            <w:pPr>
              <w:spacing w:after="0"/>
              <w:rPr>
                <w:sz w:val="9"/>
                <w:szCs w:val="9"/>
                <w:color w:val="auto"/>
              </w:rPr>
            </w:pPr>
          </w:p>
        </w:tc>
        <w:tc>
          <w:tcPr>
            <w:tcW w:w="440" w:type="dxa"/>
            <w:vAlign w:val="bottom"/>
            <w:shd w:val="clear" w:color="auto" w:fill="CCEEFF"/>
          </w:tcPr>
          <w:p>
            <w:pPr>
              <w:jc w:val="right"/>
              <w:spacing w:after="0" w:line="96" w:lineRule="exact"/>
              <w:rPr>
                <w:sz w:val="20"/>
                <w:szCs w:val="20"/>
                <w:color w:val="auto"/>
              </w:rPr>
            </w:pPr>
            <w:r>
              <w:rPr>
                <w:rFonts w:ascii="Arial" w:cs="Arial" w:eastAsia="Arial" w:hAnsi="Arial"/>
                <w:sz w:val="10"/>
                <w:szCs w:val="10"/>
                <w:color w:val="auto"/>
              </w:rPr>
              <w:t>-</w:t>
            </w:r>
          </w:p>
        </w:tc>
        <w:tc>
          <w:tcPr>
            <w:tcW w:w="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right w:val="single" w:sz="8" w:color="CCEEFF"/>
            </w:tcBorders>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0" w:type="dxa"/>
            <w:vAlign w:val="bottom"/>
            <w:gridSpan w:val="2"/>
            <w:shd w:val="clear" w:color="auto" w:fill="CCEEFF"/>
          </w:tcPr>
          <w:p>
            <w:pPr>
              <w:spacing w:after="0"/>
              <w:rPr>
                <w:sz w:val="9"/>
                <w:szCs w:val="9"/>
                <w:color w:val="auto"/>
              </w:rPr>
            </w:pPr>
          </w:p>
        </w:tc>
        <w:tc>
          <w:tcPr>
            <w:tcW w:w="60" w:type="dxa"/>
            <w:vAlign w:val="bottom"/>
            <w:tcBorders>
              <w:lef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0" w:type="dxa"/>
            <w:vAlign w:val="bottom"/>
            <w:gridSpan w:val="2"/>
          </w:tcPr>
          <w:p>
            <w:pPr>
              <w:spacing w:after="0" w:line="114" w:lineRule="exact"/>
              <w:rPr>
                <w:sz w:val="20"/>
                <w:szCs w:val="20"/>
                <w:color w:val="auto"/>
              </w:rPr>
            </w:pPr>
            <w:r>
              <w:rPr>
                <w:rFonts w:ascii="Arial" w:cs="Arial" w:eastAsia="Arial" w:hAnsi="Arial"/>
                <w:sz w:val="10"/>
                <w:szCs w:val="10"/>
                <w:color w:val="auto"/>
              </w:rPr>
              <w:t>Other assets/Accrued interest and</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0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370,106</w:t>
            </w:r>
          </w:p>
        </w:tc>
        <w:tc>
          <w:tcPr>
            <w:tcW w:w="80" w:type="dxa"/>
            <w:vAlign w:val="bottom"/>
          </w:tcPr>
          <w:p>
            <w:pPr>
              <w:spacing w:after="0"/>
              <w:rPr>
                <w:sz w:val="12"/>
                <w:szCs w:val="12"/>
                <w:color w:val="auto"/>
              </w:rPr>
            </w:pPr>
          </w:p>
        </w:tc>
        <w:tc>
          <w:tcPr>
            <w:tcW w:w="140" w:type="dxa"/>
            <w:vAlign w:val="bottom"/>
            <w:gridSpan w:val="3"/>
          </w:tcPr>
          <w:p>
            <w:pPr>
              <w:jc w:val="right"/>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spacing w:after="0"/>
              <w:rPr>
                <w:sz w:val="20"/>
                <w:szCs w:val="20"/>
                <w:color w:val="auto"/>
              </w:rPr>
            </w:pPr>
            <w:r>
              <w:rPr>
                <w:rFonts w:ascii="Arial" w:cs="Arial" w:eastAsia="Arial" w:hAnsi="Arial"/>
                <w:sz w:val="10"/>
                <w:szCs w:val="10"/>
                <w:color w:val="auto"/>
              </w:rPr>
              <w:t>6,972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2"/>
          </w:tcPr>
          <w:p>
            <w:pPr>
              <w:spacing w:after="0"/>
              <w:rPr>
                <w:sz w:val="20"/>
                <w:szCs w:val="20"/>
                <w:color w:val="auto"/>
              </w:rPr>
            </w:pPr>
            <w:r>
              <w:rPr>
                <w:rFonts w:ascii="Arial" w:cs="Arial" w:eastAsia="Arial" w:hAnsi="Arial"/>
                <w:sz w:val="10"/>
                <w:szCs w:val="10"/>
                <w:color w:val="auto"/>
              </w:rPr>
              <w:t>other liabilities</w:t>
            </w:r>
          </w:p>
        </w:tc>
        <w:tc>
          <w:tcPr>
            <w:tcW w:w="1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560" w:type="dxa"/>
            <w:vAlign w:val="bottom"/>
            <w:gridSpan w:val="3"/>
          </w:tcPr>
          <w:p>
            <w:pPr>
              <w:jc w:val="right"/>
              <w:ind w:right="40"/>
              <w:spacing w:after="0"/>
              <w:rPr>
                <w:sz w:val="20"/>
                <w:szCs w:val="20"/>
                <w:color w:val="auto"/>
              </w:rPr>
            </w:pPr>
            <w:r>
              <w:rPr>
                <w:rFonts w:ascii="Arial" w:cs="Arial" w:eastAsia="Arial" w:hAnsi="Arial"/>
                <w:sz w:val="10"/>
                <w:szCs w:val="10"/>
                <w:color w:val="auto"/>
              </w:rPr>
              <w:t>8,837</w:t>
            </w:r>
          </w:p>
        </w:tc>
        <w:tc>
          <w:tcPr>
            <w:tcW w:w="160" w:type="dxa"/>
            <w:vAlign w:val="bottom"/>
            <w:gridSpan w:val="3"/>
          </w:tcPr>
          <w:p>
            <w:pPr>
              <w:jc w:val="right"/>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8,837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right w:val="single" w:sz="8" w:color="CCEEFF"/>
            </w:tcBorders>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1600" w:type="dxa"/>
            <w:vAlign w:val="bottom"/>
            <w:gridSpan w:val="2"/>
          </w:tcPr>
          <w:p>
            <w:pPr>
              <w:spacing w:after="0"/>
              <w:rPr>
                <w:sz w:val="9"/>
                <w:szCs w:val="9"/>
                <w:color w:val="auto"/>
              </w:rPr>
            </w:pPr>
          </w:p>
        </w:tc>
        <w:tc>
          <w:tcPr>
            <w:tcW w:w="60" w:type="dxa"/>
            <w:vAlign w:val="bottom"/>
            <w:tcBorders>
              <w:lef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right w:val="single" w:sz="8" w:color="CCEEFF"/>
            </w:tcBorders>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1600" w:type="dxa"/>
            <w:vAlign w:val="bottom"/>
            <w:gridSpan w:val="2"/>
            <w:vMerge w:val="restart"/>
          </w:tcPr>
          <w:p>
            <w:pPr>
              <w:spacing w:after="0"/>
              <w:rPr>
                <w:sz w:val="20"/>
                <w:szCs w:val="20"/>
                <w:color w:val="auto"/>
              </w:rPr>
            </w:pPr>
            <w:r>
              <w:rPr>
                <w:rFonts w:ascii="Arial" w:cs="Arial" w:eastAsia="Arial" w:hAnsi="Arial"/>
                <w:sz w:val="10"/>
                <w:szCs w:val="10"/>
                <w:color w:val="auto"/>
              </w:rPr>
              <w:t>Other assets/Accrued interest and</w:t>
            </w:r>
          </w:p>
        </w:tc>
        <w:tc>
          <w:tcPr>
            <w:tcW w:w="60" w:type="dxa"/>
            <w:vAlign w:val="bottom"/>
            <w:tcBorders>
              <w:lef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0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125,000</w:t>
            </w:r>
          </w:p>
        </w:tc>
        <w:tc>
          <w:tcPr>
            <w:tcW w:w="80" w:type="dxa"/>
            <w:vAlign w:val="bottom"/>
          </w:tcPr>
          <w:p>
            <w:pPr>
              <w:spacing w:after="0"/>
              <w:rPr>
                <w:sz w:val="12"/>
                <w:szCs w:val="12"/>
                <w:color w:val="auto"/>
              </w:rPr>
            </w:pPr>
          </w:p>
        </w:tc>
        <w:tc>
          <w:tcPr>
            <w:tcW w:w="140" w:type="dxa"/>
            <w:vAlign w:val="bottom"/>
            <w:gridSpan w:val="3"/>
          </w:tcPr>
          <w:p>
            <w:pPr>
              <w:jc w:val="right"/>
              <w:spacing w:after="0"/>
              <w:rPr>
                <w:sz w:val="20"/>
                <w:szCs w:val="20"/>
                <w:color w:val="auto"/>
              </w:rPr>
            </w:pPr>
            <w:r>
              <w:rPr>
                <w:rFonts w:ascii="Arial" w:cs="Arial" w:eastAsia="Arial" w:hAnsi="Arial"/>
                <w:sz w:val="10"/>
                <w:szCs w:val="10"/>
                <w:color w:val="auto"/>
              </w:rPr>
              <w:t>$</w:t>
            </w:r>
          </w:p>
        </w:tc>
        <w:tc>
          <w:tcPr>
            <w:tcW w:w="68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c>
          <w:tcPr>
            <w:tcW w:w="1600" w:type="dxa"/>
            <w:vAlign w:val="bottom"/>
            <w:gridSpan w:val="2"/>
          </w:tcPr>
          <w:p>
            <w:pPr>
              <w:spacing w:after="0"/>
              <w:rPr>
                <w:sz w:val="20"/>
                <w:szCs w:val="20"/>
                <w:color w:val="auto"/>
              </w:rPr>
            </w:pPr>
            <w:r>
              <w:rPr>
                <w:rFonts w:ascii="Arial" w:cs="Arial" w:eastAsia="Arial" w:hAnsi="Arial"/>
                <w:sz w:val="10"/>
                <w:szCs w:val="10"/>
                <w:color w:val="auto"/>
              </w:rPr>
              <w:t>other liabilities</w:t>
            </w:r>
          </w:p>
        </w:tc>
        <w:tc>
          <w:tcPr>
            <w:tcW w:w="1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560" w:type="dxa"/>
            <w:vAlign w:val="bottom"/>
            <w:gridSpan w:val="3"/>
          </w:tcPr>
          <w:p>
            <w:pPr>
              <w:jc w:val="right"/>
              <w:ind w:right="40"/>
              <w:spacing w:after="0"/>
              <w:rPr>
                <w:sz w:val="20"/>
                <w:szCs w:val="20"/>
                <w:color w:val="auto"/>
              </w:rPr>
            </w:pPr>
            <w:r>
              <w:rPr>
                <w:rFonts w:ascii="Arial" w:cs="Arial" w:eastAsia="Arial" w:hAnsi="Arial"/>
                <w:sz w:val="10"/>
                <w:szCs w:val="10"/>
                <w:color w:val="auto"/>
              </w:rPr>
              <w:t>14</w:t>
            </w:r>
          </w:p>
        </w:tc>
        <w:tc>
          <w:tcPr>
            <w:tcW w:w="160" w:type="dxa"/>
            <w:vAlign w:val="bottom"/>
            <w:gridSpan w:val="3"/>
          </w:tcPr>
          <w:p>
            <w:pPr>
              <w:jc w:val="right"/>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33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right w:val="single" w:sz="8" w:color="CCEEFF"/>
            </w:tcBorders>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1600" w:type="dxa"/>
            <w:vAlign w:val="bottom"/>
            <w:gridSpan w:val="2"/>
          </w:tcPr>
          <w:p>
            <w:pPr>
              <w:spacing w:after="0"/>
              <w:rPr>
                <w:sz w:val="9"/>
                <w:szCs w:val="9"/>
                <w:color w:val="auto"/>
              </w:rPr>
            </w:pPr>
          </w:p>
        </w:tc>
        <w:tc>
          <w:tcPr>
            <w:tcW w:w="60" w:type="dxa"/>
            <w:vAlign w:val="bottom"/>
            <w:tcBorders>
              <w:lef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Other assets/Accrued interest and</w:t>
            </w:r>
          </w:p>
        </w:tc>
        <w:tc>
          <w:tcPr>
            <w:tcW w:w="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gridSpan w:val="2"/>
            <w:vMerge w:val="restart"/>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560" w:type="dxa"/>
            <w:vAlign w:val="bottom"/>
            <w:vMerge w:val="restart"/>
            <w:shd w:val="clear" w:color="auto" w:fill="CCEEFF"/>
          </w:tcPr>
          <w:p>
            <w:pPr>
              <w:spacing w:after="0"/>
              <w:rPr>
                <w:sz w:val="20"/>
                <w:szCs w:val="20"/>
                <w:color w:val="auto"/>
              </w:rPr>
            </w:pPr>
            <w:r>
              <w:rPr>
                <w:rFonts w:ascii="Arial" w:cs="Arial" w:eastAsia="Arial" w:hAnsi="Arial"/>
                <w:sz w:val="10"/>
                <w:szCs w:val="10"/>
                <w:color w:val="auto"/>
              </w:rPr>
              <w:t>other liabilities</w:t>
            </w:r>
          </w:p>
        </w:tc>
        <w:tc>
          <w:tcPr>
            <w:tcW w:w="4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80" w:type="dxa"/>
            <w:vAlign w:val="bottom"/>
            <w:gridSpan w:val="2"/>
            <w:vMerge w:val="restart"/>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vMerge w:val="continue"/>
          </w:tcPr>
          <w:p>
            <w:pPr>
              <w:spacing w:after="0"/>
              <w:rPr>
                <w:sz w:val="9"/>
                <w:szCs w:val="9"/>
                <w:color w:val="auto"/>
              </w:rPr>
            </w:pPr>
          </w:p>
        </w:tc>
        <w:tc>
          <w:tcPr>
            <w:tcW w:w="80" w:type="dxa"/>
            <w:vAlign w:val="bottom"/>
            <w:shd w:val="clear" w:color="auto" w:fill="CCEEFF"/>
          </w:tcPr>
          <w:p>
            <w:pPr>
              <w:jc w:val="right"/>
              <w:spacing w:after="0" w:line="96" w:lineRule="exact"/>
              <w:rPr>
                <w:sz w:val="20"/>
                <w:szCs w:val="20"/>
                <w:color w:val="auto"/>
              </w:rPr>
            </w:pPr>
            <w:r>
              <w:rPr>
                <w:rFonts w:ascii="Arial" w:cs="Arial" w:eastAsia="Arial" w:hAnsi="Arial"/>
                <w:sz w:val="10"/>
                <w:szCs w:val="10"/>
                <w:color w:val="auto"/>
                <w:w w:val="71"/>
                <w:shd w:val="clear" w:color="auto" w:fill="CCEEFF"/>
              </w:rPr>
              <w:t>$</w:t>
            </w:r>
          </w:p>
        </w:tc>
        <w:tc>
          <w:tcPr>
            <w:tcW w:w="60" w:type="dxa"/>
            <w:vAlign w:val="bottom"/>
          </w:tcPr>
          <w:p>
            <w:pPr>
              <w:spacing w:after="0"/>
              <w:rPr>
                <w:sz w:val="9"/>
                <w:szCs w:val="9"/>
                <w:color w:val="auto"/>
              </w:rPr>
            </w:pPr>
          </w:p>
        </w:tc>
        <w:tc>
          <w:tcPr>
            <w:tcW w:w="540" w:type="dxa"/>
            <w:vAlign w:val="bottom"/>
            <w:shd w:val="clear" w:color="auto" w:fill="CCEEFF"/>
          </w:tcPr>
          <w:p>
            <w:pPr>
              <w:jc w:val="right"/>
              <w:spacing w:after="0" w:line="96" w:lineRule="exact"/>
              <w:rPr>
                <w:sz w:val="20"/>
                <w:szCs w:val="20"/>
                <w:color w:val="auto"/>
              </w:rPr>
            </w:pPr>
            <w:r>
              <w:rPr>
                <w:rFonts w:ascii="Arial" w:cs="Arial" w:eastAsia="Arial" w:hAnsi="Arial"/>
                <w:sz w:val="10"/>
                <w:szCs w:val="10"/>
                <w:color w:val="auto"/>
              </w:rPr>
              <w:t>310,761</w:t>
            </w:r>
          </w:p>
        </w:tc>
        <w:tc>
          <w:tcPr>
            <w:tcW w:w="80" w:type="dxa"/>
            <w:vAlign w:val="bottom"/>
          </w:tcPr>
          <w:p>
            <w:pPr>
              <w:spacing w:after="0"/>
              <w:rPr>
                <w:sz w:val="9"/>
                <w:szCs w:val="9"/>
                <w:color w:val="auto"/>
              </w:rPr>
            </w:pPr>
          </w:p>
        </w:tc>
        <w:tc>
          <w:tcPr>
            <w:tcW w:w="60" w:type="dxa"/>
            <w:vAlign w:val="bottom"/>
            <w:gridSpan w:val="2"/>
            <w:vMerge w:val="continue"/>
          </w:tcPr>
          <w:p>
            <w:pPr>
              <w:spacing w:after="0"/>
              <w:rPr>
                <w:sz w:val="9"/>
                <w:szCs w:val="9"/>
                <w:color w:val="auto"/>
              </w:rPr>
            </w:pPr>
          </w:p>
        </w:tc>
        <w:tc>
          <w:tcPr>
            <w:tcW w:w="80" w:type="dxa"/>
            <w:vAlign w:val="bottom"/>
            <w:shd w:val="clear" w:color="auto" w:fill="CCEEFF"/>
          </w:tcPr>
          <w:p>
            <w:pPr>
              <w:jc w:val="right"/>
              <w:spacing w:after="0" w:line="96" w:lineRule="exact"/>
              <w:rPr>
                <w:sz w:val="20"/>
                <w:szCs w:val="20"/>
                <w:color w:val="auto"/>
              </w:rPr>
            </w:pPr>
            <w:r>
              <w:rPr>
                <w:rFonts w:ascii="Arial" w:cs="Arial" w:eastAsia="Arial" w:hAnsi="Arial"/>
                <w:sz w:val="10"/>
                <w:szCs w:val="10"/>
                <w:color w:val="auto"/>
                <w:w w:val="71"/>
                <w:shd w:val="clear" w:color="auto" w:fill="CCEEFF"/>
              </w:rPr>
              <w:t>$</w:t>
            </w:r>
          </w:p>
        </w:tc>
        <w:tc>
          <w:tcPr>
            <w:tcW w:w="60" w:type="dxa"/>
            <w:vAlign w:val="bottom"/>
            <w:vMerge w:val="continue"/>
          </w:tcPr>
          <w:p>
            <w:pPr>
              <w:spacing w:after="0"/>
              <w:rPr>
                <w:sz w:val="9"/>
                <w:szCs w:val="9"/>
                <w:color w:val="auto"/>
              </w:rPr>
            </w:pPr>
          </w:p>
        </w:tc>
        <w:tc>
          <w:tcPr>
            <w:tcW w:w="500" w:type="dxa"/>
            <w:vAlign w:val="bottom"/>
            <w:shd w:val="clear" w:color="auto" w:fill="CCEEFF"/>
          </w:tcPr>
          <w:p>
            <w:pPr>
              <w:jc w:val="right"/>
              <w:spacing w:after="0" w:line="96" w:lineRule="exact"/>
              <w:rPr>
                <w:sz w:val="20"/>
                <w:szCs w:val="20"/>
                <w:color w:val="auto"/>
              </w:rPr>
            </w:pPr>
            <w:r>
              <w:rPr>
                <w:rFonts w:ascii="Arial" w:cs="Arial" w:eastAsia="Arial" w:hAnsi="Arial"/>
                <w:sz w:val="10"/>
                <w:szCs w:val="10"/>
                <w:color w:val="auto"/>
              </w:rPr>
              <w:t>5,769</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vMerge w:val="continue"/>
            <w:shd w:val="clear" w:color="auto" w:fill="CCEEFF"/>
          </w:tcPr>
          <w:p>
            <w:pPr>
              <w:spacing w:after="0"/>
              <w:rPr>
                <w:sz w:val="9"/>
                <w:szCs w:val="9"/>
                <w:color w:val="auto"/>
              </w:rPr>
            </w:pPr>
          </w:p>
        </w:tc>
        <w:tc>
          <w:tcPr>
            <w:tcW w:w="4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80" w:type="dxa"/>
            <w:vAlign w:val="bottom"/>
            <w:shd w:val="clear" w:color="auto" w:fill="CCEEFF"/>
          </w:tcPr>
          <w:p>
            <w:pPr>
              <w:jc w:val="right"/>
              <w:spacing w:after="0" w:line="96" w:lineRule="exact"/>
              <w:rPr>
                <w:sz w:val="20"/>
                <w:szCs w:val="20"/>
                <w:color w:val="auto"/>
              </w:rPr>
            </w:pPr>
            <w:r>
              <w:rPr>
                <w:rFonts w:ascii="Arial" w:cs="Arial" w:eastAsia="Arial" w:hAnsi="Arial"/>
                <w:sz w:val="10"/>
                <w:szCs w:val="10"/>
                <w:color w:val="auto"/>
                <w:w w:val="71"/>
                <w:shd w:val="clear" w:color="auto" w:fill="CCEEFF"/>
              </w:rPr>
              <w:t>$</w:t>
            </w:r>
          </w:p>
        </w:tc>
        <w:tc>
          <w:tcPr>
            <w:tcW w:w="60" w:type="dxa"/>
            <w:vAlign w:val="bottom"/>
            <w:vMerge w:val="continue"/>
          </w:tcPr>
          <w:p>
            <w:pPr>
              <w:spacing w:after="0"/>
              <w:rPr>
                <w:sz w:val="9"/>
                <w:szCs w:val="9"/>
                <w:color w:val="auto"/>
              </w:rPr>
            </w:pPr>
          </w:p>
        </w:tc>
        <w:tc>
          <w:tcPr>
            <w:tcW w:w="440" w:type="dxa"/>
            <w:vAlign w:val="bottom"/>
            <w:shd w:val="clear" w:color="auto" w:fill="CCEEFF"/>
          </w:tcPr>
          <w:p>
            <w:pPr>
              <w:jc w:val="right"/>
              <w:spacing w:after="0" w:line="96" w:lineRule="exact"/>
              <w:rPr>
                <w:sz w:val="20"/>
                <w:szCs w:val="20"/>
                <w:color w:val="auto"/>
              </w:rPr>
            </w:pPr>
            <w:r>
              <w:rPr>
                <w:rFonts w:ascii="Arial" w:cs="Arial" w:eastAsia="Arial" w:hAnsi="Arial"/>
                <w:sz w:val="10"/>
                <w:szCs w:val="10"/>
                <w:color w:val="auto"/>
              </w:rPr>
              <w:t>9,753</w:t>
            </w:r>
          </w:p>
        </w:tc>
        <w:tc>
          <w:tcPr>
            <w:tcW w:w="60" w:type="dxa"/>
            <w:vAlign w:val="bottom"/>
            <w:vMerge w:val="continue"/>
          </w:tcPr>
          <w:p>
            <w:pPr>
              <w:spacing w:after="0"/>
              <w:rPr>
                <w:sz w:val="9"/>
                <w:szCs w:val="9"/>
                <w:color w:val="auto"/>
              </w:rPr>
            </w:pPr>
          </w:p>
        </w:tc>
        <w:tc>
          <w:tcPr>
            <w:tcW w:w="80" w:type="dxa"/>
            <w:vAlign w:val="bottom"/>
            <w:gridSpan w:val="2"/>
            <w:vMerge w:val="continue"/>
          </w:tcPr>
          <w:p>
            <w:pPr>
              <w:spacing w:after="0"/>
              <w:rPr>
                <w:sz w:val="9"/>
                <w:szCs w:val="9"/>
                <w:color w:val="auto"/>
              </w:rPr>
            </w:pPr>
          </w:p>
        </w:tc>
        <w:tc>
          <w:tcPr>
            <w:tcW w:w="80" w:type="dxa"/>
            <w:vAlign w:val="bottom"/>
            <w:shd w:val="clear" w:color="auto" w:fill="CCEEFF"/>
          </w:tcPr>
          <w:p>
            <w:pPr>
              <w:jc w:val="right"/>
              <w:spacing w:after="0" w:line="96" w:lineRule="exact"/>
              <w:rPr>
                <w:sz w:val="20"/>
                <w:szCs w:val="20"/>
                <w:color w:val="auto"/>
              </w:rPr>
            </w:pPr>
            <w:r>
              <w:rPr>
                <w:rFonts w:ascii="Arial" w:cs="Arial" w:eastAsia="Arial" w:hAnsi="Arial"/>
                <w:sz w:val="10"/>
                <w:szCs w:val="10"/>
                <w:color w:val="auto"/>
                <w:w w:val="71"/>
                <w:shd w:val="clear" w:color="auto" w:fill="CCEEFF"/>
              </w:rPr>
              <w:t>$</w:t>
            </w:r>
          </w:p>
        </w:tc>
        <w:tc>
          <w:tcPr>
            <w:tcW w:w="60" w:type="dxa"/>
            <w:vAlign w:val="bottom"/>
            <w:vMerge w:val="continue"/>
          </w:tcPr>
          <w:p>
            <w:pPr>
              <w:spacing w:after="0"/>
              <w:rPr>
                <w:sz w:val="9"/>
                <w:szCs w:val="9"/>
                <w:color w:val="auto"/>
              </w:rPr>
            </w:pPr>
          </w:p>
        </w:tc>
        <w:tc>
          <w:tcPr>
            <w:tcW w:w="440" w:type="dxa"/>
            <w:vAlign w:val="bottom"/>
            <w:shd w:val="clear" w:color="auto" w:fill="CCEEFF"/>
          </w:tcPr>
          <w:p>
            <w:pPr>
              <w:jc w:val="right"/>
              <w:spacing w:after="0" w:line="96" w:lineRule="exact"/>
              <w:rPr>
                <w:sz w:val="20"/>
                <w:szCs w:val="20"/>
                <w:color w:val="auto"/>
              </w:rPr>
            </w:pPr>
            <w:r>
              <w:rPr>
                <w:rFonts w:ascii="Arial" w:cs="Arial" w:eastAsia="Arial" w:hAnsi="Arial"/>
                <w:sz w:val="10"/>
                <w:szCs w:val="10"/>
                <w:color w:val="auto"/>
              </w:rPr>
              <w:t>9,753</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ectPr>
          <w:pgSz w:w="11900" w:h="16838" w:orient="portrait"/>
          <w:cols w:equalWidth="0" w:num="2">
            <w:col w:w="3040" w:space="720"/>
            <w:col w:w="5259"/>
          </w:cols>
          <w:pgMar w:left="1440" w:top="477" w:right="1440" w:bottom="1440" w:gutter="0" w:footer="0" w:header="0"/>
          <w:type w:val="continuous"/>
        </w:sectPr>
      </w:pPr>
    </w:p>
    <w:p>
      <w:pPr>
        <w:ind w:left="1040" w:hanging="377"/>
        <w:spacing w:after="0"/>
        <w:tabs>
          <w:tab w:leader="none" w:pos="104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Determination of Fair Value</w:t>
      </w:r>
    </w:p>
    <w:p>
      <w:pPr>
        <w:spacing w:after="0" w:line="17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The Company uses fair value measurements to record fair-value adjustments to certain assets and liabilities and to determine fair value disclosures. In accordance with the fair value measurements accounting guidance, the fair value of a financial instrument is the price that would be received to sell an asset or paid to transfer a liability in an orderly transaction between market participants at the measurement date. Fair value is best determined based upon quoted market prices. However, in many instances, there are no quoted market prices for the Company's various financial instruments. In cases where quoted market prices are not available, fair values are based on estimates using present value or other valuation techniques. Those techniques are significantly affected by the assumptions used, including the discount rate and estimates of future cash flows. Accordingly, the fair value estimates may not be realized in an immediate settlement of the instrument.</w:t>
      </w:r>
    </w:p>
    <w:p>
      <w:pPr>
        <w:spacing w:after="0" w:line="141"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The fair value guidance provides a consistent definition of fair value, which focuses on exit price in an orderly transaction (that is, not a forced liquidation or distressed sale) between market participants at the measurement date under current market conditions. If there has been a significant decrease in the volume and level of activity for the asset or liability, a change in valuation technique or the use of multiple valuation techniques may be appropriate. In such instances, determining the price at which willing market participants would transact at the measurement date under current market conditions depends on the facts and circumstances and requires the use of significant judgment. The fair value is a reasonable point within the range that is most representative of fair value under current market conditions.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Fair Value Hierarchy</w:t>
      </w:r>
    </w:p>
    <w:p>
      <w:pPr>
        <w:spacing w:after="0" w:line="170"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In accordance with this guidance, the Company groups its financial assets and financial liabilities generally measured at fair value in three levels, based on the markets in which the assets and liabilities are traded, and the reliability of the assumptions used to determine fair value.</w:t>
      </w:r>
    </w:p>
    <w:p>
      <w:pPr>
        <w:spacing w:after="0" w:line="118" w:lineRule="exact"/>
        <w:rPr>
          <w:sz w:val="20"/>
          <w:szCs w:val="20"/>
          <w:color w:val="auto"/>
        </w:rPr>
      </w:pPr>
    </w:p>
    <w:p>
      <w:pPr>
        <w:ind w:left="1180" w:right="699"/>
        <w:spacing w:after="0" w:line="292" w:lineRule="auto"/>
        <w:rPr>
          <w:sz w:val="20"/>
          <w:szCs w:val="20"/>
          <w:color w:val="auto"/>
        </w:rPr>
      </w:pPr>
      <w:r>
        <w:rPr>
          <w:rFonts w:ascii="Arial" w:cs="Arial" w:eastAsia="Arial" w:hAnsi="Arial"/>
          <w:sz w:val="14"/>
          <w:szCs w:val="14"/>
          <w:b w:val="1"/>
          <w:bCs w:val="1"/>
          <w:color w:val="auto"/>
        </w:rPr>
        <w:t xml:space="preserve">Level 1 </w:t>
      </w:r>
      <w:r>
        <w:rPr>
          <w:rFonts w:ascii="Arial" w:cs="Arial" w:eastAsia="Arial" w:hAnsi="Arial"/>
          <w:sz w:val="14"/>
          <w:szCs w:val="14"/>
          <w:color w:val="auto"/>
        </w:rPr>
        <w:t>- Valuation is based on quoted prices in active markets for identical assets or liabilities that the reporting</w:t>
      </w:r>
      <w:r>
        <w:rPr>
          <w:rFonts w:ascii="Arial" w:cs="Arial" w:eastAsia="Arial" w:hAnsi="Arial"/>
          <w:sz w:val="14"/>
          <w:szCs w:val="14"/>
          <w:b w:val="1"/>
          <w:bCs w:val="1"/>
          <w:color w:val="auto"/>
        </w:rPr>
        <w:t xml:space="preserve"> </w:t>
      </w:r>
      <w:r>
        <w:rPr>
          <w:rFonts w:ascii="Arial" w:cs="Arial" w:eastAsia="Arial" w:hAnsi="Arial"/>
          <w:sz w:val="14"/>
          <w:szCs w:val="14"/>
          <w:color w:val="auto"/>
        </w:rPr>
        <w:t>entity has the ability to access at the measurement date. Level 1 assets and liabilities generally include debt and</w:t>
      </w:r>
    </w:p>
    <w:p>
      <w:pPr>
        <w:spacing w:after="0" w:line="131"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type w:val="continuous"/>
        </w:sectPr>
      </w:pPr>
    </w:p>
    <w:bookmarkStart w:id="24" w:name="page25"/>
    <w:bookmarkEnd w:id="2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jc w:val="both"/>
        <w:ind w:left="1180" w:right="679"/>
        <w:spacing w:after="0" w:line="276" w:lineRule="auto"/>
        <w:rPr>
          <w:sz w:val="20"/>
          <w:szCs w:val="20"/>
          <w:color w:val="auto"/>
        </w:rPr>
      </w:pPr>
      <w:r>
        <w:rPr>
          <w:rFonts w:ascii="Arial" w:cs="Arial" w:eastAsia="Arial" w:hAnsi="Arial"/>
          <w:sz w:val="14"/>
          <w:szCs w:val="14"/>
          <w:color w:val="auto"/>
        </w:rPr>
        <w:t>equity securities that are traded in an active exchange market. Valuations are obtained from readily available pricing sources for market transactions involving identical assets or liabilities.</w:t>
      </w:r>
    </w:p>
    <w:p>
      <w:pPr>
        <w:spacing w:after="0" w:line="120" w:lineRule="exact"/>
        <w:rPr>
          <w:sz w:val="20"/>
          <w:szCs w:val="20"/>
          <w:color w:val="auto"/>
        </w:rPr>
      </w:pPr>
    </w:p>
    <w:p>
      <w:pPr>
        <w:jc w:val="both"/>
        <w:ind w:left="1180" w:right="679"/>
        <w:spacing w:after="0" w:line="256" w:lineRule="auto"/>
        <w:rPr>
          <w:sz w:val="20"/>
          <w:szCs w:val="20"/>
          <w:color w:val="auto"/>
        </w:rPr>
      </w:pPr>
      <w:r>
        <w:rPr>
          <w:rFonts w:ascii="Arial" w:cs="Arial" w:eastAsia="Arial" w:hAnsi="Arial"/>
          <w:sz w:val="14"/>
          <w:szCs w:val="14"/>
          <w:b w:val="1"/>
          <w:bCs w:val="1"/>
          <w:color w:val="auto"/>
        </w:rPr>
        <w:t xml:space="preserve">Level 2 </w:t>
      </w:r>
      <w:r>
        <w:rPr>
          <w:rFonts w:ascii="Arial" w:cs="Arial" w:eastAsia="Arial" w:hAnsi="Arial"/>
          <w:sz w:val="14"/>
          <w:szCs w:val="14"/>
          <w:color w:val="auto"/>
        </w:rPr>
        <w:t>- Valuation is based on inputs other than quoted prices included within Level 1 that are observable for the</w:t>
      </w:r>
      <w:r>
        <w:rPr>
          <w:rFonts w:ascii="Arial" w:cs="Arial" w:eastAsia="Arial" w:hAnsi="Arial"/>
          <w:sz w:val="14"/>
          <w:szCs w:val="14"/>
          <w:b w:val="1"/>
          <w:bCs w:val="1"/>
          <w:color w:val="auto"/>
        </w:rPr>
        <w:t xml:space="preserve"> </w:t>
      </w:r>
      <w:r>
        <w:rPr>
          <w:rFonts w:ascii="Arial" w:cs="Arial" w:eastAsia="Arial" w:hAnsi="Arial"/>
          <w:sz w:val="14"/>
          <w:szCs w:val="14"/>
          <w:color w:val="auto"/>
        </w:rPr>
        <w:t>asset or liability, either directly or indirectly. The valuation may be based on quoted prices for similar assets or liabilities; quoted prices in markets that are not active; or other inputs that are observable or can be corroborated by observable market data for substantially the full term of the asset or liability.</w:t>
      </w:r>
    </w:p>
    <w:p>
      <w:pPr>
        <w:spacing w:after="0" w:line="135" w:lineRule="exact"/>
        <w:rPr>
          <w:sz w:val="20"/>
          <w:szCs w:val="20"/>
          <w:color w:val="auto"/>
        </w:rPr>
      </w:pPr>
    </w:p>
    <w:p>
      <w:pPr>
        <w:jc w:val="both"/>
        <w:ind w:left="1180" w:right="699"/>
        <w:spacing w:after="0" w:line="256" w:lineRule="auto"/>
        <w:rPr>
          <w:sz w:val="20"/>
          <w:szCs w:val="20"/>
          <w:color w:val="auto"/>
        </w:rPr>
      </w:pPr>
      <w:r>
        <w:rPr>
          <w:rFonts w:ascii="Arial" w:cs="Arial" w:eastAsia="Arial" w:hAnsi="Arial"/>
          <w:sz w:val="14"/>
          <w:szCs w:val="14"/>
          <w:b w:val="1"/>
          <w:bCs w:val="1"/>
          <w:color w:val="auto"/>
        </w:rPr>
        <w:t xml:space="preserve">Level 3 </w:t>
      </w:r>
      <w:r>
        <w:rPr>
          <w:rFonts w:ascii="Arial" w:cs="Arial" w:eastAsia="Arial" w:hAnsi="Arial"/>
          <w:sz w:val="14"/>
          <w:szCs w:val="14"/>
          <w:color w:val="auto"/>
        </w:rPr>
        <w:t>- Valuation is based on unobservable inputs that are supported by little or no market activity and that are</w:t>
      </w:r>
      <w:r>
        <w:rPr>
          <w:rFonts w:ascii="Arial" w:cs="Arial" w:eastAsia="Arial" w:hAnsi="Arial"/>
          <w:sz w:val="14"/>
          <w:szCs w:val="14"/>
          <w:b w:val="1"/>
          <w:bCs w:val="1"/>
          <w:color w:val="auto"/>
        </w:rPr>
        <w:t xml:space="preserve"> </w:t>
      </w:r>
      <w:r>
        <w:rPr>
          <w:rFonts w:ascii="Arial" w:cs="Arial" w:eastAsia="Arial" w:hAnsi="Arial"/>
          <w:sz w:val="14"/>
          <w:szCs w:val="14"/>
          <w:color w:val="auto"/>
        </w:rPr>
        <w:t>significant to the fair value of the assets or liabilities. Level 3 assets and liabilities include financial instruments whose value is determined using pricing models, discounted cash flow methodologies, or similar techniques, as well as instruments for which determination of fair value requires significant management judgment or estimation.</w:t>
      </w:r>
    </w:p>
    <w:p>
      <w:pPr>
        <w:spacing w:after="0" w:line="124" w:lineRule="exact"/>
        <w:rPr>
          <w:sz w:val="20"/>
          <w:szCs w:val="20"/>
          <w:color w:val="auto"/>
        </w:rPr>
      </w:pPr>
    </w:p>
    <w:p>
      <w:pPr>
        <w:jc w:val="both"/>
        <w:ind w:left="660" w:right="679" w:firstLine="256"/>
        <w:spacing w:after="0" w:line="292"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Items Measured at Fair Value on a Recurring Basis</w:t>
      </w:r>
    </w:p>
    <w:p>
      <w:pPr>
        <w:spacing w:after="0" w:line="170"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b w:val="1"/>
          <w:bCs w:val="1"/>
          <w:color w:val="auto"/>
        </w:rPr>
        <w:t xml:space="preserve">AFS investment securities: </w:t>
      </w:r>
      <w:r>
        <w:rPr>
          <w:rFonts w:ascii="Arial" w:cs="Arial" w:eastAsia="Arial" w:hAnsi="Arial"/>
          <w:sz w:val="14"/>
          <w:szCs w:val="14"/>
          <w:color w:val="auto"/>
        </w:rPr>
        <w:t>When instruments are traded in secondary markets and quoted market prices do not exist</w:t>
      </w:r>
      <w:r>
        <w:rPr>
          <w:rFonts w:ascii="Arial" w:cs="Arial" w:eastAsia="Arial" w:hAnsi="Arial"/>
          <w:sz w:val="14"/>
          <w:szCs w:val="14"/>
          <w:b w:val="1"/>
          <w:bCs w:val="1"/>
          <w:color w:val="auto"/>
        </w:rPr>
        <w:t xml:space="preserve"> </w:t>
      </w:r>
      <w:r>
        <w:rPr>
          <w:rFonts w:ascii="Arial" w:cs="Arial" w:eastAsia="Arial" w:hAnsi="Arial"/>
          <w:sz w:val="14"/>
          <w:szCs w:val="14"/>
          <w:color w:val="auto"/>
        </w:rPr>
        <w:t>for such securities, management generally relies on prices obtained from independent vendors or third-party broker-dealers. Management reviews pricing methodologies provided by the vendors and third-party broker-dealers in order to determine if observable market information is being utilized. Securities measured with pricing provided by independent vendors or third-party broker-dealers are classified within Level 2 of the hierarchy and often involve using quoted market prices for similar securities, pricing models or discounted cash flow analyses utilizing inputs observable in the market where available.</w:t>
      </w:r>
    </w:p>
    <w:p>
      <w:pPr>
        <w:spacing w:after="0" w:line="127" w:lineRule="exact"/>
        <w:rPr>
          <w:sz w:val="20"/>
          <w:szCs w:val="20"/>
          <w:color w:val="auto"/>
        </w:rPr>
      </w:pPr>
    </w:p>
    <w:p>
      <w:pPr>
        <w:ind w:left="660" w:right="699" w:firstLine="256"/>
        <w:spacing w:after="0" w:line="292" w:lineRule="auto"/>
        <w:rPr>
          <w:sz w:val="20"/>
          <w:szCs w:val="20"/>
          <w:color w:val="auto"/>
        </w:rPr>
      </w:pPr>
      <w:r>
        <w:rPr>
          <w:rFonts w:ascii="Arial" w:cs="Arial" w:eastAsia="Arial" w:hAnsi="Arial"/>
          <w:sz w:val="14"/>
          <w:szCs w:val="14"/>
          <w:b w:val="1"/>
          <w:bCs w:val="1"/>
          <w:color w:val="auto"/>
        </w:rPr>
        <w:t xml:space="preserve">Derivatives: </w:t>
      </w:r>
      <w:r>
        <w:rPr>
          <w:rFonts w:ascii="Arial" w:cs="Arial" w:eastAsia="Arial" w:hAnsi="Arial"/>
          <w:sz w:val="14"/>
          <w:szCs w:val="14"/>
          <w:color w:val="auto"/>
        </w:rPr>
        <w:t>The fair values of derivatives are measured with pricing provided by third-party participants and are</w:t>
      </w:r>
      <w:r>
        <w:rPr>
          <w:rFonts w:ascii="Arial" w:cs="Arial" w:eastAsia="Arial" w:hAnsi="Arial"/>
          <w:sz w:val="14"/>
          <w:szCs w:val="14"/>
          <w:b w:val="1"/>
          <w:bCs w:val="1"/>
          <w:color w:val="auto"/>
        </w:rPr>
        <w:t xml:space="preserve"> </w:t>
      </w:r>
      <w:r>
        <w:rPr>
          <w:rFonts w:ascii="Arial" w:cs="Arial" w:eastAsia="Arial" w:hAnsi="Arial"/>
          <w:sz w:val="14"/>
          <w:szCs w:val="14"/>
          <w:color w:val="auto"/>
        </w:rPr>
        <w:t>classified within Level 2 of the hierarchy.</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represents the Company's assets and liabilities measured at fair value on a recurring basis at</w:t>
      </w:r>
    </w:p>
    <w:p>
      <w:pPr>
        <w:spacing w:after="0" w:line="24" w:lineRule="exact"/>
        <w:rPr>
          <w:sz w:val="20"/>
          <w:szCs w:val="20"/>
          <w:color w:val="auto"/>
        </w:rPr>
      </w:pPr>
    </w:p>
    <w:p>
      <w:pPr>
        <w:ind w:left="660"/>
        <w:spacing w:after="0"/>
        <w:rPr>
          <w:sz w:val="20"/>
          <w:szCs w:val="20"/>
          <w:color w:val="auto"/>
        </w:rPr>
      </w:pPr>
      <w:r>
        <w:rPr>
          <w:rFonts w:ascii="Arial" w:cs="Arial" w:eastAsia="Arial" w:hAnsi="Arial"/>
          <w:sz w:val="14"/>
          <w:szCs w:val="14"/>
          <w:color w:val="auto"/>
        </w:rPr>
        <w:t>March 31, 2026 and December 31, 2025 for each of the fair value hierarchy levels (in thousands):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2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7"/>
          </w:tcPr>
          <w:p>
            <w:pPr>
              <w:ind w:left="200"/>
              <w:spacing w:after="0"/>
              <w:rPr>
                <w:sz w:val="20"/>
                <w:szCs w:val="20"/>
                <w:color w:val="auto"/>
              </w:rPr>
            </w:pPr>
            <w:r>
              <w:rPr>
                <w:rFonts w:ascii="Arial" w:cs="Arial" w:eastAsia="Arial" w:hAnsi="Arial"/>
                <w:sz w:val="13"/>
                <w:szCs w:val="13"/>
                <w:b w:val="1"/>
                <w:bCs w:val="1"/>
                <w:color w:val="auto"/>
              </w:rPr>
              <w:t>March 31, 2026</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8"/>
          </w:tcPr>
          <w:p>
            <w:pPr>
              <w:jc w:val="right"/>
              <w:ind w:right="56"/>
              <w:spacing w:after="0"/>
              <w:rPr>
                <w:sz w:val="20"/>
                <w:szCs w:val="20"/>
                <w:color w:val="auto"/>
              </w:rPr>
            </w:pPr>
            <w:r>
              <w:rPr>
                <w:rFonts w:ascii="Arial" w:cs="Arial" w:eastAsia="Arial" w:hAnsi="Arial"/>
                <w:sz w:val="13"/>
                <w:szCs w:val="13"/>
                <w:b w:val="1"/>
                <w:bCs w:val="1"/>
                <w:color w:val="auto"/>
              </w:rPr>
              <w:t>December 31, 2025</w:t>
            </w:r>
          </w:p>
        </w:tc>
        <w:tc>
          <w:tcPr>
            <w:tcW w:w="600" w:type="dxa"/>
            <w:vAlign w:val="bottom"/>
            <w:tcBorders>
              <w:bottom w:val="single" w:sz="8" w:color="auto"/>
            </w:tcBorders>
          </w:tcPr>
          <w:p>
            <w:pPr>
              <w:spacing w:after="0"/>
              <w:rPr>
                <w:sz w:val="13"/>
                <w:szCs w:val="13"/>
                <w:color w:val="auto"/>
              </w:rPr>
            </w:pPr>
          </w:p>
        </w:tc>
      </w:tr>
      <w:tr>
        <w:trPr>
          <w:trHeight w:val="161"/>
        </w:trPr>
        <w:tc>
          <w:tcPr>
            <w:tcW w:w="2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5"/>
          </w:tcPr>
          <w:p>
            <w:pPr>
              <w:jc w:val="right"/>
              <w:ind w:right="112"/>
              <w:spacing w:after="0"/>
              <w:rPr>
                <w:sz w:val="20"/>
                <w:szCs w:val="20"/>
                <w:color w:val="auto"/>
              </w:rPr>
            </w:pPr>
            <w:r>
              <w:rPr>
                <w:rFonts w:ascii="Arial" w:cs="Arial" w:eastAsia="Arial" w:hAnsi="Arial"/>
                <w:sz w:val="13"/>
                <w:szCs w:val="13"/>
                <w:b w:val="1"/>
                <w:bCs w:val="1"/>
                <w:color w:val="auto"/>
                <w:w w:val="99"/>
              </w:rPr>
              <w:t>Level 1</w:t>
            </w:r>
          </w:p>
        </w:tc>
        <w:tc>
          <w:tcPr>
            <w:tcW w:w="640" w:type="dxa"/>
            <w:vAlign w:val="bottom"/>
            <w:gridSpan w:val="2"/>
          </w:tcPr>
          <w:p>
            <w:pPr>
              <w:ind w:left="60"/>
              <w:spacing w:after="0"/>
              <w:rPr>
                <w:sz w:val="20"/>
                <w:szCs w:val="20"/>
                <w:color w:val="auto"/>
              </w:rPr>
            </w:pPr>
            <w:r>
              <w:rPr>
                <w:rFonts w:ascii="Arial" w:cs="Arial" w:eastAsia="Arial" w:hAnsi="Arial"/>
                <w:sz w:val="13"/>
                <w:szCs w:val="13"/>
                <w:b w:val="1"/>
                <w:bCs w:val="1"/>
                <w:color w:val="auto"/>
              </w:rPr>
              <w:t>Level 2</w:t>
            </w:r>
          </w:p>
        </w:tc>
        <w:tc>
          <w:tcPr>
            <w:tcW w:w="20" w:type="dxa"/>
            <w:vAlign w:val="bottom"/>
          </w:tcPr>
          <w:p>
            <w:pPr>
              <w:spacing w:after="0"/>
              <w:rPr>
                <w:sz w:val="14"/>
                <w:szCs w:val="14"/>
                <w:color w:val="auto"/>
              </w:rPr>
            </w:pPr>
          </w:p>
        </w:tc>
        <w:tc>
          <w:tcPr>
            <w:tcW w:w="520" w:type="dxa"/>
            <w:vAlign w:val="bottom"/>
            <w:gridSpan w:val="4"/>
          </w:tcPr>
          <w:p>
            <w:pPr>
              <w:ind w:left="40"/>
              <w:spacing w:after="0"/>
              <w:rPr>
                <w:sz w:val="20"/>
                <w:szCs w:val="20"/>
                <w:color w:val="auto"/>
              </w:rPr>
            </w:pPr>
            <w:r>
              <w:rPr>
                <w:rFonts w:ascii="Arial" w:cs="Arial" w:eastAsia="Arial" w:hAnsi="Arial"/>
                <w:sz w:val="13"/>
                <w:szCs w:val="13"/>
                <w:b w:val="1"/>
                <w:bCs w:val="1"/>
                <w:color w:val="auto"/>
              </w:rPr>
              <w:t>Level 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5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c>
          <w:tcPr>
            <w:tcW w:w="540" w:type="dxa"/>
            <w:vAlign w:val="bottom"/>
            <w:gridSpan w:val="3"/>
          </w:tcPr>
          <w:p>
            <w:pPr>
              <w:ind w:left="60"/>
              <w:spacing w:after="0"/>
              <w:rPr>
                <w:sz w:val="20"/>
                <w:szCs w:val="20"/>
                <w:color w:val="auto"/>
              </w:rPr>
            </w:pPr>
            <w:r>
              <w:rPr>
                <w:rFonts w:ascii="Arial" w:cs="Arial" w:eastAsia="Arial" w:hAnsi="Arial"/>
                <w:sz w:val="13"/>
                <w:szCs w:val="13"/>
                <w:b w:val="1"/>
                <w:bCs w:val="1"/>
                <w:color w:val="auto"/>
              </w:rPr>
              <w:t>Level 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76"/>
              <w:spacing w:after="0"/>
              <w:rPr>
                <w:sz w:val="20"/>
                <w:szCs w:val="20"/>
                <w:color w:val="auto"/>
              </w:rPr>
            </w:pPr>
            <w:r>
              <w:rPr>
                <w:rFonts w:ascii="Arial" w:cs="Arial" w:eastAsia="Arial" w:hAnsi="Arial"/>
                <w:sz w:val="13"/>
                <w:szCs w:val="13"/>
                <w:b w:val="1"/>
                <w:bCs w:val="1"/>
                <w:color w:val="auto"/>
              </w:rPr>
              <w:t>Level 2</w:t>
            </w:r>
          </w:p>
        </w:tc>
        <w:tc>
          <w:tcPr>
            <w:tcW w:w="20" w:type="dxa"/>
            <w:vAlign w:val="bottom"/>
          </w:tcPr>
          <w:p>
            <w:pPr>
              <w:spacing w:after="0"/>
              <w:rPr>
                <w:sz w:val="14"/>
                <w:szCs w:val="14"/>
                <w:color w:val="auto"/>
              </w:rPr>
            </w:pPr>
          </w:p>
        </w:tc>
        <w:tc>
          <w:tcPr>
            <w:tcW w:w="520" w:type="dxa"/>
            <w:vAlign w:val="bottom"/>
            <w:gridSpan w:val="4"/>
          </w:tcPr>
          <w:p>
            <w:pPr>
              <w:ind w:left="40"/>
              <w:spacing w:after="0"/>
              <w:rPr>
                <w:sz w:val="20"/>
                <w:szCs w:val="20"/>
                <w:color w:val="auto"/>
              </w:rPr>
            </w:pPr>
            <w:r>
              <w:rPr>
                <w:rFonts w:ascii="Arial" w:cs="Arial" w:eastAsia="Arial" w:hAnsi="Arial"/>
                <w:sz w:val="13"/>
                <w:szCs w:val="13"/>
                <w:b w:val="1"/>
                <w:bCs w:val="1"/>
                <w:color w:val="auto"/>
              </w:rPr>
              <w:t>Level 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76"/>
              <w:spacing w:after="0"/>
              <w:rPr>
                <w:sz w:val="20"/>
                <w:szCs w:val="20"/>
                <w:color w:val="auto"/>
              </w:rPr>
            </w:pPr>
            <w:r>
              <w:rPr>
                <w:rFonts w:ascii="Arial" w:cs="Arial" w:eastAsia="Arial" w:hAnsi="Arial"/>
                <w:sz w:val="13"/>
                <w:szCs w:val="13"/>
                <w:b w:val="1"/>
                <w:bCs w:val="1"/>
                <w:color w:val="auto"/>
              </w:rPr>
              <w:t>Total</w:t>
            </w:r>
          </w:p>
        </w:tc>
      </w:tr>
      <w:tr>
        <w:trPr>
          <w:trHeight w:val="151"/>
        </w:trPr>
        <w:tc>
          <w:tcPr>
            <w:tcW w:w="2540" w:type="dxa"/>
            <w:vAlign w:val="bottom"/>
            <w:tcBorders>
              <w:top w:val="single" w:sz="8" w:color="CCEEFF"/>
            </w:tcBorders>
            <w:shd w:val="clear" w:color="auto" w:fill="CCEEFF"/>
          </w:tcPr>
          <w:p>
            <w:pPr>
              <w:spacing w:after="0" w:line="148" w:lineRule="exact"/>
              <w:rPr>
                <w:sz w:val="20"/>
                <w:szCs w:val="20"/>
                <w:color w:val="auto"/>
              </w:rPr>
            </w:pPr>
            <w:r>
              <w:rPr>
                <w:rFonts w:ascii="Arial" w:cs="Arial" w:eastAsia="Arial" w:hAnsi="Arial"/>
                <w:sz w:val="13"/>
                <w:szCs w:val="13"/>
                <w:color w:val="auto"/>
              </w:rPr>
              <w:t>Investment securities available for sale:</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r>
      <w:tr>
        <w:trPr>
          <w:trHeight w:val="171"/>
        </w:trPr>
        <w:tc>
          <w:tcPr>
            <w:tcW w:w="2540" w:type="dxa"/>
            <w:vAlign w:val="bottom"/>
          </w:tcPr>
          <w:p>
            <w:pPr>
              <w:ind w:left="100"/>
              <w:spacing w:after="0"/>
              <w:rPr>
                <w:sz w:val="20"/>
                <w:szCs w:val="20"/>
                <w:color w:val="auto"/>
              </w:rPr>
            </w:pPr>
            <w:r>
              <w:rPr>
                <w:rFonts w:ascii="Arial" w:cs="Arial" w:eastAsia="Arial" w:hAnsi="Arial"/>
                <w:sz w:val="13"/>
                <w:szCs w:val="13"/>
                <w:color w:val="auto"/>
              </w:rPr>
              <w:t>U.S. Government Agency</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4"/>
          </w:tcPr>
          <w:p>
            <w:pPr>
              <w:ind w:left="360"/>
              <w:spacing w:after="0"/>
              <w:rPr>
                <w:sz w:val="20"/>
                <w:szCs w:val="20"/>
                <w:color w:val="auto"/>
              </w:rPr>
            </w:pPr>
            <w:r>
              <w:rPr>
                <w:rFonts w:ascii="Arial" w:cs="Arial" w:eastAsia="Arial" w:hAnsi="Arial"/>
                <w:sz w:val="13"/>
                <w:szCs w:val="13"/>
                <w:color w:val="auto"/>
              </w:rPr>
              <w:t>- $</w:t>
            </w:r>
          </w:p>
        </w:tc>
        <w:tc>
          <w:tcPr>
            <w:tcW w:w="620" w:type="dxa"/>
            <w:vAlign w:val="bottom"/>
          </w:tcPr>
          <w:p>
            <w:pPr>
              <w:jc w:val="right"/>
              <w:spacing w:after="0"/>
              <w:rPr>
                <w:sz w:val="20"/>
                <w:szCs w:val="20"/>
                <w:color w:val="auto"/>
              </w:rPr>
            </w:pPr>
            <w:r>
              <w:rPr>
                <w:rFonts w:ascii="Arial" w:cs="Arial" w:eastAsia="Arial" w:hAnsi="Arial"/>
                <w:sz w:val="13"/>
                <w:szCs w:val="13"/>
                <w:color w:val="auto"/>
              </w:rPr>
              <w:t>11,598</w:t>
            </w:r>
          </w:p>
        </w:tc>
        <w:tc>
          <w:tcPr>
            <w:tcW w:w="2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5"/>
          </w:tcPr>
          <w:p>
            <w:pPr>
              <w:ind w:left="360"/>
              <w:spacing w:after="0"/>
              <w:rPr>
                <w:sz w:val="20"/>
                <w:szCs w:val="20"/>
                <w:color w:val="auto"/>
              </w:rPr>
            </w:pPr>
            <w:r>
              <w:rPr>
                <w:rFonts w:ascii="Arial" w:cs="Arial" w:eastAsia="Arial" w:hAnsi="Arial"/>
                <w:sz w:val="13"/>
                <w:szCs w:val="13"/>
                <w:color w:val="auto"/>
              </w:rPr>
              <w:t>- $</w:t>
            </w:r>
          </w:p>
        </w:tc>
        <w:tc>
          <w:tcPr>
            <w:tcW w:w="580" w:type="dxa"/>
            <w:vAlign w:val="bottom"/>
          </w:tcPr>
          <w:p>
            <w:pPr>
              <w:jc w:val="right"/>
              <w:spacing w:after="0"/>
              <w:rPr>
                <w:sz w:val="20"/>
                <w:szCs w:val="20"/>
                <w:color w:val="auto"/>
              </w:rPr>
            </w:pPr>
            <w:r>
              <w:rPr>
                <w:rFonts w:ascii="Arial" w:cs="Arial" w:eastAsia="Arial" w:hAnsi="Arial"/>
                <w:sz w:val="13"/>
                <w:szCs w:val="13"/>
                <w:color w:val="auto"/>
              </w:rPr>
              <w:t>11,598</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4"/>
          </w:tcPr>
          <w:p>
            <w:pPr>
              <w:ind w:left="360"/>
              <w:spacing w:after="0"/>
              <w:rPr>
                <w:sz w:val="20"/>
                <w:szCs w:val="20"/>
                <w:color w:val="auto"/>
              </w:rPr>
            </w:pPr>
            <w:r>
              <w:rPr>
                <w:rFonts w:ascii="Arial" w:cs="Arial" w:eastAsia="Arial" w:hAnsi="Arial"/>
                <w:sz w:val="13"/>
                <w:szCs w:val="13"/>
                <w:color w:val="auto"/>
              </w:rPr>
              <w:t>- $</w:t>
            </w:r>
          </w:p>
        </w:tc>
        <w:tc>
          <w:tcPr>
            <w:tcW w:w="620" w:type="dxa"/>
            <w:vAlign w:val="bottom"/>
          </w:tcPr>
          <w:p>
            <w:pPr>
              <w:jc w:val="right"/>
              <w:spacing w:after="0"/>
              <w:rPr>
                <w:sz w:val="20"/>
                <w:szCs w:val="20"/>
                <w:color w:val="auto"/>
              </w:rPr>
            </w:pPr>
            <w:r>
              <w:rPr>
                <w:rFonts w:ascii="Arial" w:cs="Arial" w:eastAsia="Arial" w:hAnsi="Arial"/>
                <w:sz w:val="13"/>
                <w:szCs w:val="13"/>
                <w:color w:val="auto"/>
              </w:rPr>
              <w:t>14,144</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5"/>
          </w:tcPr>
          <w:p>
            <w:pPr>
              <w:ind w:left="360"/>
              <w:spacing w:after="0"/>
              <w:rPr>
                <w:sz w:val="20"/>
                <w:szCs w:val="20"/>
                <w:color w:val="auto"/>
              </w:rPr>
            </w:pPr>
            <w:r>
              <w:rPr>
                <w:rFonts w:ascii="Arial" w:cs="Arial" w:eastAsia="Arial" w:hAnsi="Arial"/>
                <w:sz w:val="13"/>
                <w:szCs w:val="13"/>
                <w:color w:val="auto"/>
              </w:rPr>
              <w:t>- $</w:t>
            </w:r>
          </w:p>
        </w:tc>
        <w:tc>
          <w:tcPr>
            <w:tcW w:w="600" w:type="dxa"/>
            <w:vAlign w:val="bottom"/>
          </w:tcPr>
          <w:p>
            <w:pPr>
              <w:jc w:val="right"/>
              <w:spacing w:after="0"/>
              <w:rPr>
                <w:sz w:val="20"/>
                <w:szCs w:val="20"/>
                <w:color w:val="auto"/>
              </w:rPr>
            </w:pPr>
            <w:r>
              <w:rPr>
                <w:rFonts w:ascii="Arial" w:cs="Arial" w:eastAsia="Arial" w:hAnsi="Arial"/>
                <w:sz w:val="13"/>
                <w:szCs w:val="13"/>
                <w:color w:val="auto"/>
              </w:rPr>
              <w:t>14,144</w:t>
            </w:r>
          </w:p>
        </w:tc>
      </w:tr>
      <w:tr>
        <w:trPr>
          <w:trHeight w:val="171"/>
        </w:trPr>
        <w:tc>
          <w:tcPr>
            <w:tcW w:w="2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68,580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3"/>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68,580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75,828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3"/>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75,828</w:t>
            </w:r>
          </w:p>
        </w:tc>
      </w:tr>
      <w:tr>
        <w:trPr>
          <w:trHeight w:val="171"/>
        </w:trPr>
        <w:tc>
          <w:tcPr>
            <w:tcW w:w="2540" w:type="dxa"/>
            <w:vAlign w:val="bottom"/>
          </w:tcPr>
          <w:p>
            <w:pPr>
              <w:ind w:left="100"/>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29,272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3"/>
          </w:tcPr>
          <w:p>
            <w:pPr>
              <w:ind w:left="3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29,272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29,917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3"/>
          </w:tcPr>
          <w:p>
            <w:pPr>
              <w:ind w:left="3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29,917</w:t>
            </w:r>
          </w:p>
        </w:tc>
      </w:tr>
      <w:tr>
        <w:trPr>
          <w:trHeight w:val="171"/>
        </w:trPr>
        <w:tc>
          <w:tcPr>
            <w:tcW w:w="2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149,035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3"/>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149,035</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168,108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3"/>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168,108</w:t>
            </w:r>
          </w:p>
        </w:tc>
      </w:tr>
      <w:tr>
        <w:trPr>
          <w:trHeight w:val="171"/>
        </w:trPr>
        <w:tc>
          <w:tcPr>
            <w:tcW w:w="2540" w:type="dxa"/>
            <w:vAlign w:val="bottom"/>
          </w:tcPr>
          <w:p>
            <w:pPr>
              <w:ind w:left="100"/>
              <w:spacing w:after="0"/>
              <w:rPr>
                <w:sz w:val="20"/>
                <w:szCs w:val="20"/>
                <w:color w:val="auto"/>
              </w:rPr>
            </w:pPr>
            <w:r>
              <w:rPr>
                <w:rFonts w:ascii="Arial" w:cs="Arial" w:eastAsia="Arial" w:hAnsi="Arial"/>
                <w:sz w:val="13"/>
                <w:szCs w:val="13"/>
                <w:color w:val="auto"/>
              </w:rPr>
              <w:t>Municipal securities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4,199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3"/>
          </w:tcPr>
          <w:p>
            <w:pPr>
              <w:ind w:left="3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4,199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4,263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3"/>
          </w:tcPr>
          <w:p>
            <w:pPr>
              <w:ind w:left="3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4,263</w:t>
            </w:r>
          </w:p>
        </w:tc>
      </w:tr>
      <w:tr>
        <w:trPr>
          <w:trHeight w:val="171"/>
        </w:trPr>
        <w:tc>
          <w:tcPr>
            <w:tcW w:w="2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Bank subordinated debt securities</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14,476</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gridSpan w:val="3"/>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14,476</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15,230</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gridSpan w:val="3"/>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15,230</w:t>
            </w:r>
          </w:p>
        </w:tc>
      </w:tr>
      <w:tr>
        <w:trPr>
          <w:trHeight w:val="161"/>
        </w:trPr>
        <w:tc>
          <w:tcPr>
            <w:tcW w:w="2540" w:type="dxa"/>
            <w:vAlign w:val="bottom"/>
          </w:tcPr>
          <w:p>
            <w:pPr>
              <w:spacing w:after="0"/>
              <w:rPr>
                <w:sz w:val="20"/>
                <w:szCs w:val="20"/>
                <w:color w:val="auto"/>
              </w:rPr>
            </w:pPr>
            <w:r>
              <w:rPr>
                <w:rFonts w:ascii="Arial" w:cs="Arial" w:eastAsia="Arial" w:hAnsi="Arial"/>
                <w:sz w:val="13"/>
                <w:szCs w:val="13"/>
                <w:color w:val="auto"/>
              </w:rPr>
              <w:t>Total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277,160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3"/>
          </w:tcPr>
          <w:p>
            <w:pPr>
              <w:ind w:left="3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277,160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307,490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3"/>
          </w:tcPr>
          <w:p>
            <w:pPr>
              <w:ind w:left="3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307,490</w:t>
            </w:r>
          </w:p>
        </w:tc>
      </w:tr>
      <w:tr>
        <w:trPr>
          <w:trHeight w:val="171"/>
        </w:trPr>
        <w:tc>
          <w:tcPr>
            <w:tcW w:w="2540" w:type="dxa"/>
            <w:vAlign w:val="bottom"/>
            <w:shd w:val="clear" w:color="auto" w:fill="CCEEFF"/>
          </w:tcPr>
          <w:p>
            <w:pPr>
              <w:spacing w:after="0"/>
              <w:rPr>
                <w:sz w:val="20"/>
                <w:szCs w:val="20"/>
                <w:color w:val="auto"/>
              </w:rPr>
            </w:pPr>
            <w:r>
              <w:rPr>
                <w:rFonts w:ascii="Arial" w:cs="Arial" w:eastAsia="Arial" w:hAnsi="Arial"/>
                <w:sz w:val="13"/>
                <w:szCs w:val="13"/>
                <w:color w:val="auto"/>
              </w:rPr>
              <w:t>Derivative assets</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8,915</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gridSpan w:val="3"/>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8,915</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9,767</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gridSpan w:val="3"/>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9,767</w:t>
            </w:r>
          </w:p>
        </w:tc>
      </w:tr>
      <w:tr>
        <w:trPr>
          <w:trHeight w:val="212"/>
        </w:trPr>
        <w:tc>
          <w:tcPr>
            <w:tcW w:w="2540" w:type="dxa"/>
            <w:vAlign w:val="bottom"/>
          </w:tcPr>
          <w:p>
            <w:pPr>
              <w:spacing w:after="0"/>
              <w:rPr>
                <w:sz w:val="20"/>
                <w:szCs w:val="20"/>
                <w:color w:val="auto"/>
              </w:rPr>
            </w:pPr>
            <w:r>
              <w:rPr>
                <w:rFonts w:ascii="Arial" w:cs="Arial" w:eastAsia="Arial" w:hAnsi="Arial"/>
                <w:sz w:val="13"/>
                <w:szCs w:val="13"/>
                <w:b w:val="1"/>
                <w:bCs w:val="1"/>
                <w:color w:val="auto"/>
              </w:rPr>
              <w:t>Total assets at fair value</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4"/>
          </w:tcPr>
          <w:p>
            <w:pPr>
              <w:ind w:left="360"/>
              <w:spacing w:after="0"/>
              <w:rPr>
                <w:sz w:val="20"/>
                <w:szCs w:val="20"/>
                <w:color w:val="auto"/>
              </w:rPr>
            </w:pPr>
            <w:r>
              <w:rPr>
                <w:rFonts w:ascii="Arial" w:cs="Arial" w:eastAsia="Arial" w:hAnsi="Arial"/>
                <w:sz w:val="13"/>
                <w:szCs w:val="13"/>
                <w:color w:val="auto"/>
              </w:rPr>
              <w:t>- $</w:t>
            </w:r>
          </w:p>
        </w:tc>
        <w:tc>
          <w:tcPr>
            <w:tcW w:w="620" w:type="dxa"/>
            <w:vAlign w:val="bottom"/>
          </w:tcPr>
          <w:p>
            <w:pPr>
              <w:jc w:val="right"/>
              <w:spacing w:after="0"/>
              <w:rPr>
                <w:sz w:val="20"/>
                <w:szCs w:val="20"/>
                <w:color w:val="auto"/>
              </w:rPr>
            </w:pPr>
            <w:r>
              <w:rPr>
                <w:rFonts w:ascii="Arial" w:cs="Arial" w:eastAsia="Arial" w:hAnsi="Arial"/>
                <w:sz w:val="13"/>
                <w:szCs w:val="13"/>
                <w:color w:val="auto"/>
              </w:rPr>
              <w:t>286,075</w:t>
            </w:r>
          </w:p>
        </w:tc>
        <w:tc>
          <w:tcPr>
            <w:tcW w:w="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3"/>
          </w:tcPr>
          <w:p>
            <w:pPr>
              <w:ind w:left="360"/>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286,075</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317,257</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3"/>
          </w:tcPr>
          <w:p>
            <w:pPr>
              <w:ind w:left="360"/>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317,257</w:t>
            </w:r>
          </w:p>
        </w:tc>
      </w:tr>
      <w:tr>
        <w:trPr>
          <w:trHeight w:val="153"/>
        </w:trPr>
        <w:tc>
          <w:tcPr>
            <w:tcW w:w="254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Derivative liabilities</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8,837</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8,837</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9,786</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9,786</w:t>
            </w:r>
          </w:p>
        </w:tc>
      </w:tr>
      <w:tr>
        <w:trPr>
          <w:trHeight w:val="161"/>
        </w:trPr>
        <w:tc>
          <w:tcPr>
            <w:tcW w:w="2540" w:type="dxa"/>
            <w:vAlign w:val="bottom"/>
          </w:tcPr>
          <w:p>
            <w:pPr>
              <w:spacing w:after="0"/>
              <w:rPr>
                <w:sz w:val="20"/>
                <w:szCs w:val="20"/>
                <w:color w:val="auto"/>
              </w:rPr>
            </w:pPr>
            <w:r>
              <w:rPr>
                <w:rFonts w:ascii="Arial" w:cs="Arial" w:eastAsia="Arial" w:hAnsi="Arial"/>
                <w:sz w:val="13"/>
                <w:szCs w:val="13"/>
                <w:b w:val="1"/>
                <w:bCs w:val="1"/>
                <w:color w:val="auto"/>
              </w:rPr>
              <w:t>Total liabilities at fair value</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gridSpan w:val="4"/>
          </w:tcPr>
          <w:p>
            <w:pPr>
              <w:ind w:left="360"/>
              <w:spacing w:after="0"/>
              <w:rPr>
                <w:sz w:val="20"/>
                <w:szCs w:val="20"/>
                <w:color w:val="auto"/>
              </w:rPr>
            </w:pPr>
            <w:r>
              <w:rPr>
                <w:rFonts w:ascii="Arial" w:cs="Arial" w:eastAsia="Arial" w:hAnsi="Arial"/>
                <w:sz w:val="13"/>
                <w:szCs w:val="13"/>
                <w:color w:val="auto"/>
              </w:rPr>
              <w:t>- $</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8,837</w:t>
            </w:r>
          </w:p>
        </w:tc>
        <w:tc>
          <w:tcPr>
            <w:tcW w:w="20" w:type="dxa"/>
            <w:vAlign w:val="bottom"/>
          </w:tcPr>
          <w:p>
            <w:pPr>
              <w:spacing w:after="0"/>
              <w:rPr>
                <w:sz w:val="14"/>
                <w:szCs w:val="14"/>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gridSpan w:val="5"/>
          </w:tcPr>
          <w:p>
            <w:pPr>
              <w:ind w:left="360"/>
              <w:spacing w:after="0"/>
              <w:rPr>
                <w:sz w:val="20"/>
                <w:szCs w:val="20"/>
                <w:color w:val="auto"/>
              </w:rPr>
            </w:pPr>
            <w:r>
              <w:rPr>
                <w:rFonts w:ascii="Arial" w:cs="Arial" w:eastAsia="Arial" w:hAnsi="Arial"/>
                <w:sz w:val="13"/>
                <w:szCs w:val="13"/>
                <w:color w:val="auto"/>
              </w:rPr>
              <w:t>- $</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8,837</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gridSpan w:val="4"/>
          </w:tcPr>
          <w:p>
            <w:pPr>
              <w:ind w:left="360"/>
              <w:spacing w:after="0"/>
              <w:rPr>
                <w:sz w:val="20"/>
                <w:szCs w:val="20"/>
                <w:color w:val="auto"/>
              </w:rPr>
            </w:pPr>
            <w:r>
              <w:rPr>
                <w:rFonts w:ascii="Arial" w:cs="Arial" w:eastAsia="Arial" w:hAnsi="Arial"/>
                <w:sz w:val="13"/>
                <w:szCs w:val="13"/>
                <w:color w:val="auto"/>
              </w:rPr>
              <w:t>- $</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9,786</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gridSpan w:val="5"/>
          </w:tcPr>
          <w:p>
            <w:pPr>
              <w:ind w:left="360"/>
              <w:spacing w:after="0"/>
              <w:rPr>
                <w:sz w:val="20"/>
                <w:szCs w:val="20"/>
                <w:color w:val="auto"/>
              </w:rPr>
            </w:pPr>
            <w:r>
              <w:rPr>
                <w:rFonts w:ascii="Arial" w:cs="Arial" w:eastAsia="Arial" w:hAnsi="Arial"/>
                <w:sz w:val="13"/>
                <w:szCs w:val="13"/>
                <w:color w:val="auto"/>
              </w:rPr>
              <w:t>- $</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9,786</w:t>
            </w:r>
          </w:p>
        </w:tc>
      </w:tr>
      <w:tr>
        <w:trPr>
          <w:trHeight w:val="20"/>
        </w:trPr>
        <w:tc>
          <w:tcPr>
            <w:tcW w:w="2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25</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25" w:name="page26"/>
    <w:bookmarkEnd w:id="2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ind w:left="2800"/>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Fair Value Measurements on a Nonrecurring Basis</w:t>
      </w:r>
    </w:p>
    <w:p>
      <w:pPr>
        <w:spacing w:after="0" w:line="170"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At March 31, 2026 and December 31, 2025, the Company did not have any assets or liabilities measured at fair value on a nonrecurring basis.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Items Not Measured at Fair Value</w:t>
      </w:r>
    </w:p>
    <w:p>
      <w:pPr>
        <w:spacing w:after="0" w:line="159" w:lineRule="exact"/>
        <w:rPr>
          <w:sz w:val="20"/>
          <w:szCs w:val="20"/>
          <w:color w:val="auto"/>
        </w:rPr>
      </w:pPr>
    </w:p>
    <w:p>
      <w:pPr>
        <w:ind w:left="660" w:right="699" w:firstLine="256"/>
        <w:spacing w:after="0" w:line="292" w:lineRule="auto"/>
        <w:rPr>
          <w:sz w:val="20"/>
          <w:szCs w:val="20"/>
          <w:color w:val="auto"/>
        </w:rPr>
      </w:pPr>
      <w:r>
        <w:rPr>
          <w:rFonts w:ascii="Arial" w:cs="Arial" w:eastAsia="Arial" w:hAnsi="Arial"/>
          <w:sz w:val="14"/>
          <w:szCs w:val="14"/>
          <w:color w:val="auto"/>
        </w:rPr>
        <w:t>The following table presents the carrying amounts and estimated fair values of financial instruments not carried at fair value as of March 31, 2026 and December 31, 2025 (in thousands):</w:t>
      </w:r>
    </w:p>
    <w:p>
      <w:pPr>
        <w:spacing w:after="0" w:line="124"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2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gridSpan w:val="7"/>
          </w:tcPr>
          <w:p>
            <w:pPr>
              <w:jc w:val="right"/>
              <w:ind w:right="16"/>
              <w:spacing w:after="0"/>
              <w:rPr>
                <w:sz w:val="20"/>
                <w:szCs w:val="20"/>
                <w:color w:val="auto"/>
              </w:rPr>
            </w:pPr>
            <w:r>
              <w:rPr>
                <w:rFonts w:ascii="Arial" w:cs="Arial" w:eastAsia="Arial" w:hAnsi="Arial"/>
                <w:sz w:val="13"/>
                <w:szCs w:val="13"/>
                <w:b w:val="1"/>
                <w:bCs w:val="1"/>
                <w:color w:val="auto"/>
              </w:rPr>
              <w:t>Fair Value Hierarchy</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83"/>
        </w:trPr>
        <w:tc>
          <w:tcPr>
            <w:tcW w:w="2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36"/>
              <w:spacing w:after="0"/>
              <w:rPr>
                <w:sz w:val="20"/>
                <w:szCs w:val="20"/>
                <w:color w:val="auto"/>
              </w:rPr>
            </w:pPr>
            <w:r>
              <w:rPr>
                <w:rFonts w:ascii="Arial" w:cs="Arial" w:eastAsia="Arial" w:hAnsi="Arial"/>
                <w:sz w:val="13"/>
                <w:szCs w:val="13"/>
                <w:b w:val="1"/>
                <w:bCs w:val="1"/>
                <w:color w:val="auto"/>
              </w:rPr>
              <w:t>Carrying</w:t>
            </w: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16"/>
              <w:spacing w:after="0"/>
              <w:rPr>
                <w:sz w:val="20"/>
                <w:szCs w:val="20"/>
                <w:color w:val="auto"/>
              </w:rPr>
            </w:pPr>
            <w:r>
              <w:rPr>
                <w:rFonts w:ascii="Arial" w:cs="Arial" w:eastAsia="Arial" w:hAnsi="Arial"/>
                <w:sz w:val="13"/>
                <w:szCs w:val="13"/>
                <w:b w:val="1"/>
                <w:bCs w:val="1"/>
                <w:color w:val="auto"/>
                <w:w w:val="99"/>
              </w:rPr>
              <w:t>Fair Value</w:t>
            </w:r>
          </w:p>
        </w:tc>
      </w:tr>
      <w:tr>
        <w:trPr>
          <w:trHeight w:val="149"/>
        </w:trPr>
        <w:tc>
          <w:tcPr>
            <w:tcW w:w="2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156"/>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13"/>
                <w:szCs w:val="13"/>
                <w:b w:val="1"/>
                <w:bCs w:val="1"/>
                <w:color w:val="auto"/>
              </w:rPr>
              <w:t>Level 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176"/>
              <w:spacing w:after="0"/>
              <w:rPr>
                <w:sz w:val="20"/>
                <w:szCs w:val="20"/>
                <w:color w:val="auto"/>
              </w:rPr>
            </w:pPr>
            <w:r>
              <w:rPr>
                <w:rFonts w:ascii="Arial" w:cs="Arial" w:eastAsia="Arial" w:hAnsi="Arial"/>
                <w:sz w:val="13"/>
                <w:szCs w:val="13"/>
                <w:b w:val="1"/>
                <w:bCs w:val="1"/>
                <w:color w:val="auto"/>
              </w:rPr>
              <w:t>Level 2</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3"/>
                <w:szCs w:val="13"/>
                <w:b w:val="1"/>
                <w:bCs w:val="1"/>
                <w:color w:val="auto"/>
              </w:rPr>
              <w:t>Level 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76"/>
              <w:spacing w:after="0"/>
              <w:rPr>
                <w:sz w:val="20"/>
                <w:szCs w:val="20"/>
                <w:color w:val="auto"/>
              </w:rPr>
            </w:pPr>
            <w:r>
              <w:rPr>
                <w:rFonts w:ascii="Arial" w:cs="Arial" w:eastAsia="Arial" w:hAnsi="Arial"/>
                <w:sz w:val="13"/>
                <w:szCs w:val="13"/>
                <w:b w:val="1"/>
                <w:bCs w:val="1"/>
                <w:color w:val="auto"/>
              </w:rPr>
              <w:t>Amount</w:t>
            </w:r>
          </w:p>
        </w:tc>
      </w:tr>
      <w:tr>
        <w:trPr>
          <w:trHeight w:val="161"/>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March 31, 2026:</w:t>
            </w: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r>
      <w:tr>
        <w:trPr>
          <w:trHeight w:val="169"/>
        </w:trPr>
        <w:tc>
          <w:tcPr>
            <w:tcW w:w="2640" w:type="dxa"/>
            <w:vAlign w:val="bottom"/>
          </w:tcPr>
          <w:p>
            <w:pPr>
              <w:spacing w:after="0"/>
              <w:rPr>
                <w:sz w:val="20"/>
                <w:szCs w:val="20"/>
                <w:color w:val="auto"/>
              </w:rPr>
            </w:pPr>
            <w:r>
              <w:rPr>
                <w:rFonts w:ascii="Arial" w:cs="Arial" w:eastAsia="Arial" w:hAnsi="Arial"/>
                <w:sz w:val="13"/>
                <w:szCs w:val="13"/>
                <w:color w:val="auto"/>
              </w:rPr>
              <w:t>Financial Assets: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 and due from banks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6,598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6,598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6,598</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Interest-bearing deposits in banks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72,365</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72,365</w:t>
            </w:r>
          </w:p>
        </w:tc>
        <w:tc>
          <w:tcPr>
            <w:tcW w:w="40" w:type="dxa"/>
            <w:vAlign w:val="bottom"/>
          </w:tcPr>
          <w:p>
            <w:pPr>
              <w:spacing w:after="0"/>
              <w:rPr>
                <w:sz w:val="14"/>
                <w:szCs w:val="14"/>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ind w:left="66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72,365</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Investment securities held to maturity, net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149,931</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137,714</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137,714</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Loans held for investment, net</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2,214,949</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2,266,736</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2,266,736</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interest receivable</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11,773</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1,331</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10,442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11,773</w:t>
            </w:r>
          </w:p>
        </w:tc>
      </w:tr>
      <w:tr>
        <w:trPr>
          <w:trHeight w:val="169"/>
        </w:trPr>
        <w:tc>
          <w:tcPr>
            <w:tcW w:w="2640" w:type="dxa"/>
            <w:vAlign w:val="bottom"/>
          </w:tcPr>
          <w:p>
            <w:pPr>
              <w:spacing w:after="0"/>
              <w:rPr>
                <w:sz w:val="20"/>
                <w:szCs w:val="20"/>
                <w:color w:val="auto"/>
              </w:rPr>
            </w:pPr>
            <w:r>
              <w:rPr>
                <w:rFonts w:ascii="Arial" w:cs="Arial" w:eastAsia="Arial" w:hAnsi="Arial"/>
                <w:sz w:val="13"/>
                <w:szCs w:val="13"/>
                <w:color w:val="auto"/>
              </w:rPr>
              <w:t>Financial Liabilities: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Non-interest bearing demand deposits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620,714</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620,714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620,714</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Savings and money market deposits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1,263,248</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1,263,248</w:t>
            </w:r>
          </w:p>
        </w:tc>
        <w:tc>
          <w:tcPr>
            <w:tcW w:w="40" w:type="dxa"/>
            <w:vAlign w:val="bottom"/>
          </w:tcPr>
          <w:p>
            <w:pPr>
              <w:spacing w:after="0"/>
              <w:rPr>
                <w:sz w:val="14"/>
                <w:szCs w:val="14"/>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ind w:left="66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1,263,248</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Interest-bearing demand deposits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57,444</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57,444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57,444</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Time deposits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552,174</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551,253</w:t>
            </w:r>
          </w:p>
        </w:tc>
        <w:tc>
          <w:tcPr>
            <w:tcW w:w="24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ind w:left="66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551,253</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FHLB advances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53,000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52,989</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52,989</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Subordinated notes, net</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39,338</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39,454</w:t>
            </w:r>
          </w:p>
        </w:tc>
        <w:tc>
          <w:tcPr>
            <w:tcW w:w="24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ind w:left="66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39,454</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interest payable</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2,436</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2,436</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2,436</w:t>
            </w:r>
          </w:p>
        </w:tc>
      </w:tr>
      <w:tr>
        <w:trPr>
          <w:trHeight w:val="171"/>
        </w:trPr>
        <w:tc>
          <w:tcPr>
            <w:tcW w:w="2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26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2025:</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9"/>
        </w:trPr>
        <w:tc>
          <w:tcPr>
            <w:tcW w:w="2640" w:type="dxa"/>
            <w:vAlign w:val="bottom"/>
          </w:tcPr>
          <w:p>
            <w:pPr>
              <w:spacing w:after="0"/>
              <w:rPr>
                <w:sz w:val="20"/>
                <w:szCs w:val="20"/>
                <w:color w:val="auto"/>
              </w:rPr>
            </w:pPr>
            <w:r>
              <w:rPr>
                <w:rFonts w:ascii="Arial" w:cs="Arial" w:eastAsia="Arial" w:hAnsi="Arial"/>
                <w:sz w:val="13"/>
                <w:szCs w:val="13"/>
                <w:color w:val="auto"/>
              </w:rPr>
              <w:t>Financial Assets: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 and due from banks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6,027</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6,027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6,027</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Interest-bearing deposits in banks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32,450</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32,450</w:t>
            </w:r>
          </w:p>
        </w:tc>
        <w:tc>
          <w:tcPr>
            <w:tcW w:w="40" w:type="dxa"/>
            <w:vAlign w:val="bottom"/>
          </w:tcPr>
          <w:p>
            <w:pPr>
              <w:spacing w:after="0"/>
              <w:rPr>
                <w:sz w:val="14"/>
                <w:szCs w:val="14"/>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ind w:left="66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32,450</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Investment securities held to maturity, net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153,941</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142,508</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142,508</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Loans held for investment, net</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2,163,757</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2,210,781</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2,210,781</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interest receivable</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11,661</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1,443</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10,218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11,661</w:t>
            </w:r>
          </w:p>
        </w:tc>
      </w:tr>
      <w:tr>
        <w:trPr>
          <w:trHeight w:val="169"/>
        </w:trPr>
        <w:tc>
          <w:tcPr>
            <w:tcW w:w="2640" w:type="dxa"/>
            <w:vAlign w:val="bottom"/>
          </w:tcPr>
          <w:p>
            <w:pPr>
              <w:spacing w:after="0"/>
              <w:rPr>
                <w:sz w:val="20"/>
                <w:szCs w:val="20"/>
                <w:color w:val="auto"/>
              </w:rPr>
            </w:pPr>
            <w:r>
              <w:rPr>
                <w:rFonts w:ascii="Arial" w:cs="Arial" w:eastAsia="Arial" w:hAnsi="Arial"/>
                <w:sz w:val="13"/>
                <w:szCs w:val="13"/>
                <w:color w:val="auto"/>
              </w:rPr>
              <w:t>Financial Liabilities: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Non-interest bearing demand deposits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583,860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583,860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583,860</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Savings and money market deposits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1,186,422</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1,186,422</w:t>
            </w:r>
          </w:p>
        </w:tc>
        <w:tc>
          <w:tcPr>
            <w:tcW w:w="40" w:type="dxa"/>
            <w:vAlign w:val="bottom"/>
          </w:tcPr>
          <w:p>
            <w:pPr>
              <w:spacing w:after="0"/>
              <w:rPr>
                <w:sz w:val="14"/>
                <w:szCs w:val="14"/>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ind w:left="66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1,186,422</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Interest-bearing demand deposits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46,989</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46,989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46,989</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Time deposits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527,809</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527,575</w:t>
            </w:r>
          </w:p>
        </w:tc>
        <w:tc>
          <w:tcPr>
            <w:tcW w:w="24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ind w:left="66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527,575</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FHLB advances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158,250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158,342</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158,342</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Subordinated notes, net</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39,300</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40,131</w:t>
            </w:r>
          </w:p>
        </w:tc>
        <w:tc>
          <w:tcPr>
            <w:tcW w:w="24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ind w:left="66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40,131</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interest payable</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3,984</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3,984</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3,984</w:t>
            </w:r>
          </w:p>
        </w:tc>
      </w:tr>
    </w:tbl>
    <w:p>
      <w:pPr>
        <w:spacing w:after="0" w:line="157"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b w:val="1"/>
          <w:bCs w:val="1"/>
          <w:color w:val="auto"/>
        </w:rPr>
        <w:t xml:space="preserve">Collateral Dependent Loans Measured for Expected Credit Losses: </w:t>
      </w:r>
      <w:r>
        <w:rPr>
          <w:rFonts w:ascii="Arial" w:cs="Arial" w:eastAsia="Arial" w:hAnsi="Arial"/>
          <w:sz w:val="14"/>
          <w:szCs w:val="14"/>
          <w:color w:val="auto"/>
        </w:rPr>
        <w:t>Fair values of collateral-dependent yacht loans</w:t>
      </w:r>
      <w:r>
        <w:rPr>
          <w:rFonts w:ascii="Arial" w:cs="Arial" w:eastAsia="Arial" w:hAnsi="Arial"/>
          <w:sz w:val="14"/>
          <w:szCs w:val="14"/>
          <w:b w:val="1"/>
          <w:bCs w:val="1"/>
          <w:color w:val="auto"/>
        </w:rPr>
        <w:t xml:space="preserve"> </w:t>
      </w:r>
      <w:r>
        <w:rPr>
          <w:rFonts w:ascii="Arial" w:cs="Arial" w:eastAsia="Arial" w:hAnsi="Arial"/>
          <w:sz w:val="14"/>
          <w:szCs w:val="14"/>
          <w:color w:val="auto"/>
        </w:rPr>
        <w:t>and real estate loans are based on recent boat and real estate appraisals less estimated costs of sale, repossession, and/or holding costs. Appraisals are made by a third party, and its evaluation may use either a comparative sales, cost and/or income approach or a combination of methodologies.</w:t>
      </w:r>
    </w:p>
    <w:p>
      <w:pPr>
        <w:spacing w:after="0" w:line="135"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The fair value of collateral dependent loans considered Level 3 in the fair value hierarchy was $ 0 with no reserve as of March 31, 2026 and $2.6 million with no specific reserve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26" w:name="page27"/>
    <w:bookmarkEnd w:id="2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1040" w:hanging="377"/>
        <w:spacing w:after="0"/>
        <w:tabs>
          <w:tab w:leader="none" w:pos="1040"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auto"/>
        </w:rPr>
        <w:t>STOCKHOLDERS’ EQUITY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Common Stock</w:t>
      </w:r>
    </w:p>
    <w:p>
      <w:pPr>
        <w:spacing w:after="0" w:line="170"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During the three months ended March 31, 2026, the Company repurchased 53,475 shares of Class A common stock at a weighted average cost per share of $18.74. The aggregate purchase price for these transactions was approximately $1.0 million, including transaction costs. These repurchases were made pursuant to the Company’s publicly announced repurchase programs. As of March 31, 2026, 474,834 shares remained authorized for repurchase under the Company’s the 2024 share repurchase program. The Company’s 2022 share repurchase program has been fully utilized.</w:t>
      </w:r>
    </w:p>
    <w:p>
      <w:pPr>
        <w:spacing w:after="0" w:line="140"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During the three months ended March 31, 2025, the Company repurchased 9,671 shares of Class A common stock at a weighted average cost per share of $17.91. The aggregate purchase price for these transactions was approximately $174 thousand, including transaction costs. These repurchases were made pursuant to the Company’s publicly announced repurchase programs. As of March 31, 2025, 528,309 shares remained authorized for repurchase under the Company’s two stock repurchase programs.</w:t>
      </w:r>
    </w:p>
    <w:p>
      <w:pPr>
        <w:spacing w:after="0" w:line="140"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During the three months ended March 31, 2026, the Company issued 147,490 shares of Class common stock to employees as restricted stock awards pursuant to the Company’s 2015 equity incentive plan.</w:t>
      </w:r>
    </w:p>
    <w:p>
      <w:pPr>
        <w:spacing w:after="0" w:line="120"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During the three months ended March 31, 2025, the Company issued 124,424 shares of Class A common stock to employees as restricted stock awards pursuant to the Company’s 2015 equity incentive plan.</w:t>
      </w:r>
    </w:p>
    <w:p>
      <w:pPr>
        <w:spacing w:after="0" w:line="120" w:lineRule="exact"/>
        <w:rPr>
          <w:sz w:val="20"/>
          <w:szCs w:val="20"/>
          <w:color w:val="auto"/>
        </w:rPr>
      </w:pPr>
    </w:p>
    <w:p>
      <w:pPr>
        <w:ind w:left="660" w:right="739" w:firstLine="256"/>
        <w:spacing w:after="0" w:line="276" w:lineRule="auto"/>
        <w:rPr>
          <w:sz w:val="20"/>
          <w:szCs w:val="20"/>
          <w:color w:val="auto"/>
        </w:rPr>
      </w:pPr>
      <w:r>
        <w:rPr>
          <w:rFonts w:ascii="Arial" w:cs="Arial" w:eastAsia="Arial" w:hAnsi="Arial"/>
          <w:sz w:val="14"/>
          <w:szCs w:val="14"/>
          <w:color w:val="auto"/>
        </w:rPr>
        <w:t>The number of shares of the Company’s Class A common stock issued and outstanding as of March 31, 2026 and December 31, 2025 were 18,257,400 and 18,137,885, respectively.</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Dividends</w:t>
      </w:r>
    </w:p>
    <w:p>
      <w:pPr>
        <w:spacing w:after="0" w:line="159"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Declaration of dividends by the Board of Directors is required before dividend payments are made. The Company is limited in the amount of cash dividends that it may pay. Payment of dividends is generally limited to the Company’s net income for the current year combined with the Company’s retained income for the preceding two years, as defined by state banking regulations. However, for any dividend declaration, the Company must consider additional factors such as the amount of current period net income, liquidity, asset quality, capital adequacy and economic conditions at the Bank since the Bank is the primary source of funds to fund dividends paid by the Company. It is likely that these factors would further limit the amount of dividends which the Company could legally declare. In addition, bank regulators have the authority to prohibit banks and bank holding companies from paying dividends if they deem such payment to be an unsafe or unsound practice.</w:t>
      </w:r>
    </w:p>
    <w:p>
      <w:pPr>
        <w:spacing w:after="0" w:line="140"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As of March 31, 2026, the Company was not subject to any formal supervisory restrictions on its ability to pay dividends but will notify the Federal Reserve Bank of Atlanta in advance of any proposed dividend to the Company's stockholders in light of the Bank's negative retained earnings. In addition, under applicable FDIC regulations and policy, because the Bank has negative retained earnings, it must obtain the prior approval of the FDIC before effecting a cash dividend or other capital distribution from the Bank to the Company.</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details the dividends declared and paid by the Company for the periods presented: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Three Months Ended March 31, 2026</w:t>
      </w:r>
    </w:p>
    <w:p>
      <w:pPr>
        <w:spacing w:after="0" w:line="32"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44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Declaration Date</w:t>
            </w:r>
          </w:p>
        </w:tc>
        <w:tc>
          <w:tcPr>
            <w:tcW w:w="6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Record Date</w:t>
            </w:r>
          </w:p>
        </w:tc>
        <w:tc>
          <w:tcPr>
            <w:tcW w:w="26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4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Payment Date</w:t>
            </w:r>
          </w:p>
        </w:tc>
        <w:tc>
          <w:tcPr>
            <w:tcW w:w="60" w:type="dxa"/>
            <w:vAlign w:val="bottom"/>
            <w:tcBorders>
              <w:bottom w:val="single" w:sz="8" w:color="CCEEFF"/>
            </w:tcBorders>
          </w:tcPr>
          <w:p>
            <w:pPr>
              <w:spacing w:after="0"/>
              <w:rPr>
                <w:sz w:val="12"/>
                <w:szCs w:val="12"/>
                <w:color w:val="auto"/>
              </w:rPr>
            </w:pPr>
          </w:p>
        </w:tc>
        <w:tc>
          <w:tcPr>
            <w:tcW w:w="130" w:type="dxa"/>
            <w:vAlign w:val="bottom"/>
            <w:tcBorders>
              <w:bottom w:val="single" w:sz="8" w:color="auto"/>
            </w:tcBorders>
          </w:tcPr>
          <w:p>
            <w:pPr>
              <w:spacing w:after="0"/>
              <w:rPr>
                <w:sz w:val="12"/>
                <w:szCs w:val="12"/>
                <w:color w:val="auto"/>
              </w:rPr>
            </w:pPr>
          </w:p>
        </w:tc>
        <w:tc>
          <w:tcPr>
            <w:tcW w:w="1430" w:type="dxa"/>
            <w:vAlign w:val="bottom"/>
            <w:tcBorders>
              <w:bottom w:val="single" w:sz="8" w:color="auto"/>
            </w:tcBorders>
          </w:tcPr>
          <w:p>
            <w:pPr>
              <w:ind w:left="70"/>
              <w:spacing w:after="0"/>
              <w:rPr>
                <w:sz w:val="20"/>
                <w:szCs w:val="20"/>
                <w:color w:val="auto"/>
              </w:rPr>
            </w:pPr>
            <w:r>
              <w:rPr>
                <w:rFonts w:ascii="Arial" w:cs="Arial" w:eastAsia="Arial" w:hAnsi="Arial"/>
                <w:sz w:val="13"/>
                <w:szCs w:val="13"/>
                <w:b w:val="1"/>
                <w:bCs w:val="1"/>
                <w:color w:val="auto"/>
              </w:rPr>
              <w:t>Dividend Per Share</w:t>
            </w:r>
          </w:p>
        </w:tc>
        <w:tc>
          <w:tcPr>
            <w:tcW w:w="80" w:type="dxa"/>
            <w:vAlign w:val="bottom"/>
            <w:tcBorders>
              <w:bottom w:val="single" w:sz="8" w:color="CCEEFF"/>
            </w:tcBorders>
          </w:tcPr>
          <w:p>
            <w:pPr>
              <w:spacing w:after="0"/>
              <w:rPr>
                <w:sz w:val="12"/>
                <w:szCs w:val="12"/>
                <w:color w:val="auto"/>
              </w:rPr>
            </w:pPr>
          </w:p>
        </w:tc>
        <w:tc>
          <w:tcPr>
            <w:tcW w:w="130" w:type="dxa"/>
            <w:vAlign w:val="bottom"/>
            <w:tcBorders>
              <w:bottom w:val="single" w:sz="8" w:color="auto"/>
            </w:tcBorders>
          </w:tcPr>
          <w:p>
            <w:pPr>
              <w:spacing w:after="0"/>
              <w:rPr>
                <w:sz w:val="12"/>
                <w:szCs w:val="12"/>
                <w:color w:val="auto"/>
              </w:rPr>
            </w:pPr>
          </w:p>
        </w:tc>
        <w:tc>
          <w:tcPr>
            <w:tcW w:w="1450" w:type="dxa"/>
            <w:vAlign w:val="bottom"/>
            <w:tcBorders>
              <w:bottom w:val="single" w:sz="8" w:color="auto"/>
            </w:tcBorders>
          </w:tcPr>
          <w:p>
            <w:pPr>
              <w:ind w:left="130"/>
              <w:spacing w:after="0"/>
              <w:rPr>
                <w:sz w:val="20"/>
                <w:szCs w:val="20"/>
                <w:color w:val="auto"/>
              </w:rPr>
            </w:pPr>
            <w:r>
              <w:rPr>
                <w:rFonts w:ascii="Arial" w:cs="Arial" w:eastAsia="Arial" w:hAnsi="Arial"/>
                <w:sz w:val="13"/>
                <w:szCs w:val="13"/>
                <w:b w:val="1"/>
                <w:bCs w:val="1"/>
                <w:color w:val="auto"/>
              </w:rPr>
              <w:t>Dividend Amount</w:t>
            </w:r>
          </w:p>
        </w:tc>
      </w:tr>
      <w:tr>
        <w:trPr>
          <w:trHeight w:val="161"/>
        </w:trPr>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January 20, 2026</w:t>
            </w:r>
          </w:p>
        </w:tc>
        <w:tc>
          <w:tcPr>
            <w:tcW w:w="60" w:type="dxa"/>
            <w:vAlign w:val="bottom"/>
            <w:shd w:val="clear" w:color="auto" w:fill="CCEEFF"/>
          </w:tcPr>
          <w:p>
            <w:pPr>
              <w:spacing w:after="0"/>
              <w:rPr>
                <w:sz w:val="14"/>
                <w:szCs w:val="14"/>
                <w:color w:val="auto"/>
              </w:rPr>
            </w:pPr>
          </w:p>
        </w:tc>
        <w:tc>
          <w:tcPr>
            <w:tcW w:w="1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February 17, 2026</w:t>
            </w: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4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March 5, 2026</w:t>
            </w:r>
          </w:p>
        </w:tc>
        <w:tc>
          <w:tcPr>
            <w:tcW w:w="60" w:type="dxa"/>
            <w:vAlign w:val="bottom"/>
            <w:shd w:val="clear" w:color="auto" w:fill="CCEEFF"/>
          </w:tcPr>
          <w:p>
            <w:pPr>
              <w:spacing w:after="0"/>
              <w:rPr>
                <w:sz w:val="14"/>
                <w:szCs w:val="14"/>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43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0.125</w:t>
            </w:r>
          </w:p>
        </w:tc>
        <w:tc>
          <w:tcPr>
            <w:tcW w:w="80" w:type="dxa"/>
            <w:vAlign w:val="bottom"/>
            <w:shd w:val="clear" w:color="auto" w:fill="CCEEFF"/>
          </w:tcPr>
          <w:p>
            <w:pPr>
              <w:spacing w:after="0"/>
              <w:rPr>
                <w:sz w:val="14"/>
                <w:szCs w:val="14"/>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450" w:type="dxa"/>
            <w:vAlign w:val="bottom"/>
            <w:shd w:val="clear" w:color="auto" w:fill="CCEEFF"/>
          </w:tcPr>
          <w:p>
            <w:pPr>
              <w:ind w:left="430"/>
              <w:spacing w:after="0"/>
              <w:rPr>
                <w:sz w:val="20"/>
                <w:szCs w:val="20"/>
                <w:color w:val="auto"/>
              </w:rPr>
            </w:pPr>
            <w:r>
              <w:rPr>
                <w:rFonts w:ascii="Arial" w:cs="Arial" w:eastAsia="Arial" w:hAnsi="Arial"/>
                <w:sz w:val="13"/>
                <w:szCs w:val="13"/>
                <w:color w:val="auto"/>
              </w:rPr>
              <w:t>2.3 million</w:t>
            </w:r>
          </w:p>
        </w:tc>
      </w:tr>
      <w:tr>
        <w:trPr>
          <w:trHeight w:val="341"/>
        </w:trPr>
        <w:tc>
          <w:tcPr>
            <w:tcW w:w="1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6"/>
          </w:tcPr>
          <w:p>
            <w:pPr>
              <w:ind w:left="80"/>
              <w:spacing w:after="0"/>
              <w:rPr>
                <w:sz w:val="20"/>
                <w:szCs w:val="20"/>
                <w:color w:val="auto"/>
              </w:rPr>
            </w:pPr>
            <w:r>
              <w:rPr>
                <w:rFonts w:ascii="Arial" w:cs="Arial" w:eastAsia="Arial" w:hAnsi="Arial"/>
                <w:sz w:val="13"/>
                <w:szCs w:val="13"/>
                <w:b w:val="1"/>
                <w:bCs w:val="1"/>
                <w:color w:val="auto"/>
              </w:rPr>
              <w:t>Three Months Ended March 31, 2025</w:t>
            </w:r>
          </w:p>
        </w:tc>
        <w:tc>
          <w:tcPr>
            <w:tcW w:w="80" w:type="dxa"/>
            <w:vAlign w:val="bottom"/>
            <w:tcBorders>
              <w:bottom w:val="single" w:sz="8" w:color="auto"/>
            </w:tcBorders>
          </w:tcPr>
          <w:p>
            <w:pPr>
              <w:spacing w:after="0"/>
              <w:rPr>
                <w:sz w:val="24"/>
                <w:szCs w:val="24"/>
                <w:color w:val="auto"/>
              </w:rPr>
            </w:pPr>
          </w:p>
        </w:tc>
        <w:tc>
          <w:tcPr>
            <w:tcW w:w="130" w:type="dxa"/>
            <w:vAlign w:val="bottom"/>
            <w:tcBorders>
              <w:bottom w:val="single" w:sz="8" w:color="auto"/>
            </w:tcBorders>
          </w:tcPr>
          <w:p>
            <w:pPr>
              <w:spacing w:after="0"/>
              <w:rPr>
                <w:sz w:val="24"/>
                <w:szCs w:val="24"/>
                <w:color w:val="auto"/>
              </w:rPr>
            </w:pPr>
          </w:p>
        </w:tc>
        <w:tc>
          <w:tcPr>
            <w:tcW w:w="1450" w:type="dxa"/>
            <w:vAlign w:val="bottom"/>
            <w:tcBorders>
              <w:bottom w:val="single" w:sz="8" w:color="auto"/>
            </w:tcBorders>
          </w:tcPr>
          <w:p>
            <w:pPr>
              <w:spacing w:after="0"/>
              <w:rPr>
                <w:sz w:val="24"/>
                <w:szCs w:val="24"/>
                <w:color w:val="auto"/>
              </w:rPr>
            </w:pPr>
          </w:p>
        </w:tc>
      </w:tr>
      <w:tr>
        <w:trPr>
          <w:trHeight w:val="161"/>
        </w:trPr>
        <w:tc>
          <w:tcPr>
            <w:tcW w:w="144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Declaration Date</w:t>
            </w:r>
          </w:p>
        </w:tc>
        <w:tc>
          <w:tcPr>
            <w:tcW w:w="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Record Date</w:t>
            </w: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Payment Date</w:t>
            </w:r>
          </w:p>
        </w:tc>
        <w:tc>
          <w:tcPr>
            <w:tcW w:w="60" w:type="dxa"/>
            <w:vAlign w:val="bottom"/>
            <w:tcBorders>
              <w:bottom w:val="single" w:sz="8" w:color="CCEEFF"/>
            </w:tcBorders>
          </w:tcPr>
          <w:p>
            <w:pPr>
              <w:spacing w:after="0"/>
              <w:rPr>
                <w:sz w:val="14"/>
                <w:szCs w:val="14"/>
                <w:color w:val="auto"/>
              </w:rPr>
            </w:pPr>
          </w:p>
        </w:tc>
        <w:tc>
          <w:tcPr>
            <w:tcW w:w="130" w:type="dxa"/>
            <w:vAlign w:val="bottom"/>
            <w:tcBorders>
              <w:bottom w:val="single" w:sz="8" w:color="auto"/>
            </w:tcBorders>
          </w:tcPr>
          <w:p>
            <w:pPr>
              <w:spacing w:after="0"/>
              <w:rPr>
                <w:sz w:val="14"/>
                <w:szCs w:val="14"/>
                <w:color w:val="auto"/>
              </w:rPr>
            </w:pPr>
          </w:p>
        </w:tc>
        <w:tc>
          <w:tcPr>
            <w:tcW w:w="1430" w:type="dxa"/>
            <w:vAlign w:val="bottom"/>
            <w:tcBorders>
              <w:bottom w:val="single" w:sz="8" w:color="auto"/>
            </w:tcBorders>
          </w:tcPr>
          <w:p>
            <w:pPr>
              <w:ind w:left="70"/>
              <w:spacing w:after="0"/>
              <w:rPr>
                <w:sz w:val="20"/>
                <w:szCs w:val="20"/>
                <w:color w:val="auto"/>
              </w:rPr>
            </w:pPr>
            <w:r>
              <w:rPr>
                <w:rFonts w:ascii="Arial" w:cs="Arial" w:eastAsia="Arial" w:hAnsi="Arial"/>
                <w:sz w:val="13"/>
                <w:szCs w:val="13"/>
                <w:b w:val="1"/>
                <w:bCs w:val="1"/>
                <w:color w:val="auto"/>
              </w:rPr>
              <w:t>Dividend Per Share</w:t>
            </w:r>
          </w:p>
        </w:tc>
        <w:tc>
          <w:tcPr>
            <w:tcW w:w="80" w:type="dxa"/>
            <w:vAlign w:val="bottom"/>
            <w:tcBorders>
              <w:bottom w:val="single" w:sz="8" w:color="CCEEFF"/>
            </w:tcBorders>
          </w:tcPr>
          <w:p>
            <w:pPr>
              <w:spacing w:after="0"/>
              <w:rPr>
                <w:sz w:val="14"/>
                <w:szCs w:val="14"/>
                <w:color w:val="auto"/>
              </w:rPr>
            </w:pPr>
          </w:p>
        </w:tc>
        <w:tc>
          <w:tcPr>
            <w:tcW w:w="130" w:type="dxa"/>
            <w:vAlign w:val="bottom"/>
            <w:tcBorders>
              <w:bottom w:val="single" w:sz="8" w:color="auto"/>
            </w:tcBorders>
          </w:tcPr>
          <w:p>
            <w:pPr>
              <w:spacing w:after="0"/>
              <w:rPr>
                <w:sz w:val="14"/>
                <w:szCs w:val="14"/>
                <w:color w:val="auto"/>
              </w:rPr>
            </w:pPr>
          </w:p>
        </w:tc>
        <w:tc>
          <w:tcPr>
            <w:tcW w:w="1450" w:type="dxa"/>
            <w:vAlign w:val="bottom"/>
            <w:tcBorders>
              <w:bottom w:val="single" w:sz="8" w:color="auto"/>
            </w:tcBorders>
          </w:tcPr>
          <w:p>
            <w:pPr>
              <w:ind w:left="130"/>
              <w:spacing w:after="0"/>
              <w:rPr>
                <w:sz w:val="20"/>
                <w:szCs w:val="20"/>
                <w:color w:val="auto"/>
              </w:rPr>
            </w:pPr>
            <w:r>
              <w:rPr>
                <w:rFonts w:ascii="Arial" w:cs="Arial" w:eastAsia="Arial" w:hAnsi="Arial"/>
                <w:sz w:val="13"/>
                <w:szCs w:val="13"/>
                <w:b w:val="1"/>
                <w:bCs w:val="1"/>
                <w:color w:val="auto"/>
              </w:rPr>
              <w:t>Dividend Amount</w:t>
            </w:r>
          </w:p>
        </w:tc>
      </w:tr>
      <w:tr>
        <w:trPr>
          <w:trHeight w:val="161"/>
        </w:trPr>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January 21, 2025</w:t>
            </w:r>
          </w:p>
        </w:tc>
        <w:tc>
          <w:tcPr>
            <w:tcW w:w="60" w:type="dxa"/>
            <w:vAlign w:val="bottom"/>
            <w:shd w:val="clear" w:color="auto" w:fill="CCEEFF"/>
          </w:tcPr>
          <w:p>
            <w:pPr>
              <w:spacing w:after="0"/>
              <w:rPr>
                <w:sz w:val="14"/>
                <w:szCs w:val="14"/>
                <w:color w:val="auto"/>
              </w:rPr>
            </w:pPr>
          </w:p>
        </w:tc>
        <w:tc>
          <w:tcPr>
            <w:tcW w:w="1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February 14, 2025</w:t>
            </w: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4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March 5, 2025</w:t>
            </w:r>
          </w:p>
        </w:tc>
        <w:tc>
          <w:tcPr>
            <w:tcW w:w="60" w:type="dxa"/>
            <w:vAlign w:val="bottom"/>
            <w:shd w:val="clear" w:color="auto" w:fill="CCEEFF"/>
          </w:tcPr>
          <w:p>
            <w:pPr>
              <w:spacing w:after="0"/>
              <w:rPr>
                <w:sz w:val="14"/>
                <w:szCs w:val="14"/>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430" w:type="dxa"/>
            <w:vAlign w:val="bottom"/>
            <w:shd w:val="clear" w:color="auto" w:fill="CCEEFF"/>
          </w:tcPr>
          <w:p>
            <w:pPr>
              <w:jc w:val="right"/>
              <w:ind w:right="516"/>
              <w:spacing w:after="0"/>
              <w:rPr>
                <w:sz w:val="20"/>
                <w:szCs w:val="20"/>
                <w:color w:val="auto"/>
              </w:rPr>
            </w:pPr>
            <w:r>
              <w:rPr>
                <w:rFonts w:ascii="Arial" w:cs="Arial" w:eastAsia="Arial" w:hAnsi="Arial"/>
                <w:sz w:val="13"/>
                <w:szCs w:val="13"/>
                <w:color w:val="auto"/>
              </w:rPr>
              <w:t>0.10</w:t>
            </w:r>
          </w:p>
        </w:tc>
        <w:tc>
          <w:tcPr>
            <w:tcW w:w="80" w:type="dxa"/>
            <w:vAlign w:val="bottom"/>
            <w:shd w:val="clear" w:color="auto" w:fill="CCEEFF"/>
          </w:tcPr>
          <w:p>
            <w:pPr>
              <w:spacing w:after="0"/>
              <w:rPr>
                <w:sz w:val="14"/>
                <w:szCs w:val="14"/>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450" w:type="dxa"/>
            <w:vAlign w:val="bottom"/>
            <w:shd w:val="clear" w:color="auto" w:fill="CCEEFF"/>
          </w:tcPr>
          <w:p>
            <w:pPr>
              <w:ind w:left="430"/>
              <w:spacing w:after="0"/>
              <w:rPr>
                <w:sz w:val="20"/>
                <w:szCs w:val="20"/>
                <w:color w:val="auto"/>
              </w:rPr>
            </w:pPr>
            <w:r>
              <w:rPr>
                <w:rFonts w:ascii="Arial" w:cs="Arial" w:eastAsia="Arial" w:hAnsi="Arial"/>
                <w:sz w:val="13"/>
                <w:szCs w:val="13"/>
                <w:color w:val="auto"/>
              </w:rPr>
              <w:t>2.0 million</w:t>
            </w:r>
          </w:p>
        </w:tc>
      </w:tr>
    </w:tbl>
    <w:p>
      <w:pPr>
        <w:spacing w:after="0" w:line="317"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The Company and the Bank exceeded all regulatory capital requirements and remained above “well-capitalized” guidelines as of March 31, 2026 and December 31, 2025. At March 31, 2026, the total risk-based capital ratio for the Bank was 13.96%. The Company is not subject to regulatory capital ratios imposed by Basel III on bank holding companies because the Company is deemed to be a small bank holding company.</w:t>
      </w:r>
    </w:p>
    <w:p>
      <w:pPr>
        <w:spacing w:after="0" w:line="252"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27</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27" w:name="page28"/>
    <w:bookmarkEnd w:id="2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33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See Note 11, Subsequent Events, for information regarding dividends declared in April 2026.</w:t>
      </w:r>
    </w:p>
    <w:p>
      <w:pPr>
        <w:spacing w:after="0" w:line="170" w:lineRule="exact"/>
        <w:rPr>
          <w:sz w:val="20"/>
          <w:szCs w:val="20"/>
          <w:color w:val="auto"/>
        </w:rPr>
      </w:pPr>
    </w:p>
    <w:p>
      <w:pPr>
        <w:ind w:left="1040" w:hanging="377"/>
        <w:spacing w:after="0"/>
        <w:tabs>
          <w:tab w:leader="none" w:pos="1040"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auto"/>
        </w:rPr>
        <w:t>EARNINGS PER SHARE</w:t>
      </w:r>
    </w:p>
    <w:p>
      <w:pPr>
        <w:spacing w:after="0" w:line="202" w:lineRule="exact"/>
        <w:rPr>
          <w:sz w:val="20"/>
          <w:szCs w:val="20"/>
          <w:color w:val="auto"/>
        </w:rPr>
      </w:pPr>
    </w:p>
    <w:p>
      <w:pPr>
        <w:jc w:val="both"/>
        <w:ind w:left="660" w:right="699" w:firstLine="256"/>
        <w:spacing w:after="0" w:line="250" w:lineRule="auto"/>
        <w:rPr>
          <w:sz w:val="20"/>
          <w:szCs w:val="20"/>
          <w:color w:val="auto"/>
        </w:rPr>
      </w:pPr>
      <w:r>
        <w:rPr>
          <w:rFonts w:ascii="Arial" w:cs="Arial" w:eastAsia="Arial" w:hAnsi="Arial"/>
          <w:sz w:val="14"/>
          <w:szCs w:val="14"/>
          <w:color w:val="auto"/>
        </w:rPr>
        <w:t>Earnings per share (“EPS”) for common stock is calculated using the two-class method required for participating securities. Basic EPS is calculated by dividing net income available to common shareholders by the weighted-average number of common shares outstanding for the period, without consideration for common stock equivalents. Diluted EPS is computed by dividing net income available to common shareholders by the weighted-average number of common shares outstanding for the period and the weighted-average number of dilutive common stock equivalents outstanding for the period determined using the treasury-stock method. For purposes of this calculation, common stock equivalents include common stock options which are only included in the calculation of diluted EPS when their effect is dilutive.</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reflects the calculation of net income available to common shareholders for the three months ended</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March 31, 2026 and 2025 (in thousands):</w:t>
      </w:r>
    </w:p>
    <w:p>
      <w:pPr>
        <w:spacing w:after="0" w:line="309"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5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20" w:type="dxa"/>
            <w:vAlign w:val="bottom"/>
            <w:tcBorders>
              <w:bottom w:val="single" w:sz="8" w:color="auto"/>
            </w:tcBorders>
            <w:gridSpan w:val="6"/>
          </w:tcPr>
          <w:p>
            <w:pPr>
              <w:spacing w:after="0"/>
              <w:rPr>
                <w:sz w:val="20"/>
                <w:szCs w:val="20"/>
                <w:color w:val="auto"/>
              </w:rPr>
            </w:pPr>
            <w:r>
              <w:rPr>
                <w:rFonts w:ascii="Arial" w:cs="Arial" w:eastAsia="Arial" w:hAnsi="Arial"/>
                <w:sz w:val="13"/>
                <w:szCs w:val="13"/>
                <w:b w:val="1"/>
                <w:bCs w:val="1"/>
                <w:color w:val="auto"/>
                <w:w w:val="98"/>
              </w:rPr>
              <w:t>Three Months Ended March 31,</w:t>
            </w:r>
          </w:p>
        </w:tc>
      </w:tr>
      <w:tr>
        <w:trPr>
          <w:trHeight w:val="161"/>
        </w:trPr>
        <w:tc>
          <w:tcPr>
            <w:tcW w:w="57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2026</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2025</w:t>
            </w:r>
          </w:p>
        </w:tc>
      </w:tr>
      <w:tr>
        <w:trPr>
          <w:trHeight w:val="161"/>
        </w:trPr>
        <w:tc>
          <w:tcPr>
            <w:tcW w:w="576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9,351</w:t>
            </w:r>
          </w:p>
        </w:tc>
        <w:tc>
          <w:tcPr>
            <w:tcW w:w="80" w:type="dxa"/>
            <w:vAlign w:val="bottom"/>
            <w:gridSpan w:val="2"/>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3"/>
                <w:szCs w:val="13"/>
                <w:color w:val="auto"/>
              </w:rPr>
              <w:t>7,658</w:t>
            </w:r>
          </w:p>
        </w:tc>
      </w:tr>
      <w:tr>
        <w:trPr>
          <w:trHeight w:val="161"/>
        </w:trPr>
        <w:tc>
          <w:tcPr>
            <w:tcW w:w="5760" w:type="dxa"/>
            <w:vAlign w:val="bottom"/>
          </w:tcPr>
          <w:p>
            <w:pPr>
              <w:ind w:left="100"/>
              <w:spacing w:after="0"/>
              <w:rPr>
                <w:sz w:val="20"/>
                <w:szCs w:val="20"/>
                <w:color w:val="auto"/>
              </w:rPr>
            </w:pPr>
            <w:r>
              <w:rPr>
                <w:rFonts w:ascii="Arial" w:cs="Arial" w:eastAsia="Arial" w:hAnsi="Arial"/>
                <w:sz w:val="13"/>
                <w:szCs w:val="13"/>
                <w:color w:val="auto"/>
              </w:rPr>
              <w:t>Net income available to common shareholders</w:t>
            </w:r>
          </w:p>
        </w:tc>
        <w:tc>
          <w:tcPr>
            <w:tcW w:w="1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9,351</w:t>
            </w:r>
          </w:p>
        </w:tc>
        <w:tc>
          <w:tcPr>
            <w:tcW w:w="260" w:type="dxa"/>
            <w:vAlign w:val="bottom"/>
            <w:gridSpan w:val="3"/>
          </w:tcPr>
          <w:p>
            <w:pPr>
              <w:jc w:val="right"/>
              <w:ind w:right="72"/>
              <w:spacing w:after="0"/>
              <w:rPr>
                <w:sz w:val="20"/>
                <w:szCs w:val="20"/>
                <w:color w:val="auto"/>
              </w:rPr>
            </w:pPr>
            <w:r>
              <w:rPr>
                <w:rFonts w:ascii="Arial" w:cs="Arial" w:eastAsia="Arial" w:hAnsi="Arial"/>
                <w:sz w:val="13"/>
                <w:szCs w:val="13"/>
                <w:color w:val="auto"/>
              </w:rPr>
              <w:t>$</w:t>
            </w:r>
          </w:p>
        </w:tc>
        <w:tc>
          <w:tcPr>
            <w:tcW w:w="740" w:type="dxa"/>
            <w:vAlign w:val="bottom"/>
          </w:tcPr>
          <w:p>
            <w:pPr>
              <w:ind w:left="380"/>
              <w:spacing w:after="0"/>
              <w:rPr>
                <w:sz w:val="20"/>
                <w:szCs w:val="20"/>
                <w:color w:val="auto"/>
              </w:rPr>
            </w:pPr>
            <w:r>
              <w:rPr>
                <w:rFonts w:ascii="Arial" w:cs="Arial" w:eastAsia="Arial" w:hAnsi="Arial"/>
                <w:sz w:val="13"/>
                <w:szCs w:val="13"/>
                <w:color w:val="auto"/>
              </w:rPr>
              <w:t>7,658</w:t>
            </w:r>
          </w:p>
        </w:tc>
      </w:tr>
      <w:tr>
        <w:trPr>
          <w:trHeight w:val="20"/>
        </w:trPr>
        <w:tc>
          <w:tcPr>
            <w:tcW w:w="5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The following table reflects the calculation of basic and diluted earnings per common share class for the three months ended March 31, 2026 and 2025 (in thousands, except share amounts):</w:t>
      </w:r>
    </w:p>
    <w:p>
      <w:pPr>
        <w:spacing w:after="0" w:line="382"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4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4"/>
          </w:tcPr>
          <w:p>
            <w:pPr>
              <w:jc w:val="right"/>
              <w:ind w:right="123"/>
              <w:spacing w:after="0"/>
              <w:rPr>
                <w:sz w:val="20"/>
                <w:szCs w:val="20"/>
                <w:color w:val="auto"/>
              </w:rPr>
            </w:pPr>
            <w:r>
              <w:rPr>
                <w:rFonts w:ascii="Arial" w:cs="Arial" w:eastAsia="Arial" w:hAnsi="Arial"/>
                <w:sz w:val="11"/>
                <w:szCs w:val="11"/>
                <w:b w:val="1"/>
                <w:bCs w:val="1"/>
                <w:color w:val="auto"/>
              </w:rPr>
              <w:t>Three Months Ended March 31,</w:t>
            </w:r>
          </w:p>
        </w:tc>
      </w:tr>
      <w:tr>
        <w:trPr>
          <w:trHeight w:val="161"/>
        </w:trPr>
        <w:tc>
          <w:tcPr>
            <w:tcW w:w="4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2026</w:t>
            </w:r>
          </w:p>
        </w:tc>
        <w:tc>
          <w:tcPr>
            <w:tcW w:w="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2025</w:t>
            </w:r>
          </w:p>
        </w:tc>
      </w:tr>
      <w:tr>
        <w:trPr>
          <w:trHeight w:val="161"/>
        </w:trPr>
        <w:tc>
          <w:tcPr>
            <w:tcW w:w="452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1"/>
                <w:szCs w:val="11"/>
                <w:b w:val="1"/>
                <w:bCs w:val="1"/>
                <w:color w:val="auto"/>
              </w:rPr>
              <w:t>Class A</w:t>
            </w:r>
          </w:p>
        </w:tc>
        <w:tc>
          <w:tcPr>
            <w:tcW w:w="720" w:type="dxa"/>
            <w:vAlign w:val="bottom"/>
            <w:tcBorders>
              <w:bottom w:val="single" w:sz="8" w:color="auto"/>
            </w:tcBorders>
          </w:tcPr>
          <w:p>
            <w:pPr>
              <w:spacing w:after="0"/>
              <w:rPr>
                <w:sz w:val="14"/>
                <w:szCs w:val="14"/>
                <w:color w:val="auto"/>
              </w:rPr>
            </w:pPr>
          </w:p>
        </w:tc>
      </w:tr>
      <w:tr>
        <w:trPr>
          <w:trHeight w:val="161"/>
        </w:trPr>
        <w:tc>
          <w:tcPr>
            <w:tcW w:w="45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Basic EPS</w:t>
            </w: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71"/>
        </w:trPr>
        <w:tc>
          <w:tcPr>
            <w:tcW w:w="4520" w:type="dxa"/>
            <w:vAlign w:val="bottom"/>
          </w:tcPr>
          <w:p>
            <w:pPr>
              <w:spacing w:after="0"/>
              <w:rPr>
                <w:sz w:val="20"/>
                <w:szCs w:val="20"/>
                <w:color w:val="auto"/>
              </w:rPr>
            </w:pPr>
            <w:r>
              <w:rPr>
                <w:rFonts w:ascii="Arial" w:cs="Arial" w:eastAsia="Arial" w:hAnsi="Arial"/>
                <w:sz w:val="11"/>
                <w:szCs w:val="11"/>
                <w:color w:val="auto"/>
              </w:rPr>
              <w:t>Numerator:</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4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income available to common shares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9,351</w:t>
            </w: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7,658</w:t>
            </w:r>
          </w:p>
        </w:tc>
      </w:tr>
      <w:tr>
        <w:trPr>
          <w:trHeight w:val="171"/>
        </w:trPr>
        <w:tc>
          <w:tcPr>
            <w:tcW w:w="4520" w:type="dxa"/>
            <w:vAlign w:val="bottom"/>
          </w:tcPr>
          <w:p>
            <w:pPr>
              <w:spacing w:after="0"/>
              <w:rPr>
                <w:sz w:val="20"/>
                <w:szCs w:val="20"/>
                <w:color w:val="auto"/>
              </w:rPr>
            </w:pPr>
            <w:r>
              <w:rPr>
                <w:rFonts w:ascii="Arial" w:cs="Arial" w:eastAsia="Arial" w:hAnsi="Arial"/>
                <w:sz w:val="11"/>
                <w:szCs w:val="11"/>
                <w:color w:val="auto"/>
              </w:rPr>
              <w:t>Denominator:</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4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Weighted average shares outstanding</w:t>
            </w:r>
          </w:p>
        </w:tc>
        <w:tc>
          <w:tcPr>
            <w:tcW w:w="1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18,214,041</w:t>
            </w:r>
          </w:p>
        </w:tc>
        <w:tc>
          <w:tcPr>
            <w:tcW w:w="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20,020,933</w:t>
            </w:r>
          </w:p>
        </w:tc>
      </w:tr>
      <w:tr>
        <w:trPr>
          <w:trHeight w:val="201"/>
        </w:trPr>
        <w:tc>
          <w:tcPr>
            <w:tcW w:w="4520" w:type="dxa"/>
            <w:vAlign w:val="bottom"/>
          </w:tcPr>
          <w:p>
            <w:pPr>
              <w:spacing w:after="0"/>
              <w:rPr>
                <w:sz w:val="20"/>
                <w:szCs w:val="20"/>
                <w:color w:val="auto"/>
              </w:rPr>
            </w:pPr>
            <w:r>
              <w:rPr>
                <w:rFonts w:ascii="Arial" w:cs="Arial" w:eastAsia="Arial" w:hAnsi="Arial"/>
                <w:sz w:val="11"/>
                <w:szCs w:val="11"/>
                <w:b w:val="1"/>
                <w:bCs w:val="1"/>
                <w:color w:val="auto"/>
              </w:rPr>
              <w:t>Earnings per share, basic</w:t>
            </w:r>
          </w:p>
        </w:tc>
        <w:tc>
          <w:tcPr>
            <w:tcW w:w="12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3"/>
              <w:spacing w:after="0"/>
              <w:rPr>
                <w:sz w:val="20"/>
                <w:szCs w:val="20"/>
                <w:color w:val="auto"/>
              </w:rPr>
            </w:pPr>
            <w:r>
              <w:rPr>
                <w:rFonts w:ascii="Arial" w:cs="Arial" w:eastAsia="Arial" w:hAnsi="Arial"/>
                <w:sz w:val="11"/>
                <w:szCs w:val="11"/>
                <w:color w:val="auto"/>
              </w:rPr>
              <w:t>0.51</w:t>
            </w:r>
          </w:p>
        </w:tc>
        <w:tc>
          <w:tcPr>
            <w:tcW w:w="320" w:type="dxa"/>
            <w:vAlign w:val="bottom"/>
            <w:gridSpan w:val="2"/>
          </w:tcPr>
          <w:p>
            <w:pPr>
              <w:jc w:val="right"/>
              <w:ind w:right="169"/>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0.38</w:t>
            </w:r>
          </w:p>
        </w:tc>
      </w:tr>
      <w:tr>
        <w:trPr>
          <w:trHeight w:val="153"/>
        </w:trPr>
        <w:tc>
          <w:tcPr>
            <w:tcW w:w="45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r>
      <w:tr>
        <w:trPr>
          <w:trHeight w:val="171"/>
        </w:trPr>
        <w:tc>
          <w:tcPr>
            <w:tcW w:w="4520" w:type="dxa"/>
            <w:vAlign w:val="bottom"/>
          </w:tcPr>
          <w:p>
            <w:pPr>
              <w:spacing w:after="0"/>
              <w:rPr>
                <w:sz w:val="20"/>
                <w:szCs w:val="20"/>
                <w:color w:val="auto"/>
              </w:rPr>
            </w:pPr>
            <w:r>
              <w:rPr>
                <w:rFonts w:ascii="Arial" w:cs="Arial" w:eastAsia="Arial" w:hAnsi="Arial"/>
                <w:sz w:val="11"/>
                <w:szCs w:val="11"/>
                <w:b w:val="1"/>
                <w:bCs w:val="1"/>
                <w:color w:val="auto"/>
              </w:rPr>
              <w:t>Diluted EPS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4520" w:type="dxa"/>
            <w:vAlign w:val="bottom"/>
            <w:shd w:val="clear" w:color="auto" w:fill="CCEEFF"/>
          </w:tcPr>
          <w:p>
            <w:pPr>
              <w:spacing w:after="0"/>
              <w:rPr>
                <w:sz w:val="20"/>
                <w:szCs w:val="20"/>
                <w:color w:val="auto"/>
              </w:rPr>
            </w:pPr>
            <w:r>
              <w:rPr>
                <w:rFonts w:ascii="Arial" w:cs="Arial" w:eastAsia="Arial" w:hAnsi="Arial"/>
                <w:sz w:val="11"/>
                <w:szCs w:val="11"/>
                <w:color w:val="auto"/>
              </w:rPr>
              <w:t>Numerator:</w:t>
            </w: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71"/>
        </w:trPr>
        <w:tc>
          <w:tcPr>
            <w:tcW w:w="4520" w:type="dxa"/>
            <w:vAlign w:val="bottom"/>
          </w:tcPr>
          <w:p>
            <w:pPr>
              <w:ind w:left="100"/>
              <w:spacing w:after="0"/>
              <w:rPr>
                <w:sz w:val="20"/>
                <w:szCs w:val="20"/>
                <w:color w:val="auto"/>
              </w:rPr>
            </w:pPr>
            <w:r>
              <w:rPr>
                <w:rFonts w:ascii="Arial" w:cs="Arial" w:eastAsia="Arial" w:hAnsi="Arial"/>
                <w:sz w:val="11"/>
                <w:szCs w:val="11"/>
                <w:color w:val="auto"/>
              </w:rPr>
              <w:t>Net income available to common shares</w:t>
            </w:r>
          </w:p>
        </w:tc>
        <w:tc>
          <w:tcPr>
            <w:tcW w:w="12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3"/>
              <w:spacing w:after="0"/>
              <w:rPr>
                <w:sz w:val="20"/>
                <w:szCs w:val="20"/>
                <w:color w:val="auto"/>
              </w:rPr>
            </w:pPr>
            <w:r>
              <w:rPr>
                <w:rFonts w:ascii="Arial" w:cs="Arial" w:eastAsia="Arial" w:hAnsi="Arial"/>
                <w:sz w:val="11"/>
                <w:szCs w:val="11"/>
                <w:color w:val="auto"/>
              </w:rPr>
              <w:t>9,351</w:t>
            </w:r>
          </w:p>
        </w:tc>
        <w:tc>
          <w:tcPr>
            <w:tcW w:w="320" w:type="dxa"/>
            <w:vAlign w:val="bottom"/>
            <w:gridSpan w:val="2"/>
          </w:tcPr>
          <w:p>
            <w:pPr>
              <w:jc w:val="right"/>
              <w:ind w:right="169"/>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7,658</w:t>
            </w:r>
          </w:p>
        </w:tc>
      </w:tr>
      <w:tr>
        <w:trPr>
          <w:trHeight w:val="171"/>
        </w:trPr>
        <w:tc>
          <w:tcPr>
            <w:tcW w:w="4520" w:type="dxa"/>
            <w:vAlign w:val="bottom"/>
            <w:shd w:val="clear" w:color="auto" w:fill="CCEEFF"/>
          </w:tcPr>
          <w:p>
            <w:pPr>
              <w:spacing w:after="0"/>
              <w:rPr>
                <w:sz w:val="20"/>
                <w:szCs w:val="20"/>
                <w:color w:val="auto"/>
              </w:rPr>
            </w:pPr>
            <w:r>
              <w:rPr>
                <w:rFonts w:ascii="Arial" w:cs="Arial" w:eastAsia="Arial" w:hAnsi="Arial"/>
                <w:sz w:val="11"/>
                <w:szCs w:val="11"/>
                <w:color w:val="auto"/>
              </w:rPr>
              <w:t>Denominator:</w:t>
            </w: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71"/>
        </w:trPr>
        <w:tc>
          <w:tcPr>
            <w:tcW w:w="4520" w:type="dxa"/>
            <w:vAlign w:val="bottom"/>
          </w:tcPr>
          <w:p>
            <w:pPr>
              <w:ind w:left="100"/>
              <w:spacing w:after="0"/>
              <w:rPr>
                <w:sz w:val="20"/>
                <w:szCs w:val="20"/>
                <w:color w:val="auto"/>
              </w:rPr>
            </w:pPr>
            <w:r>
              <w:rPr>
                <w:rFonts w:ascii="Arial" w:cs="Arial" w:eastAsia="Arial" w:hAnsi="Arial"/>
                <w:sz w:val="11"/>
                <w:szCs w:val="11"/>
                <w:color w:val="auto"/>
              </w:rPr>
              <w:t>Weighted average shares outstanding for basic EPS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18,214,041</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20,020,933</w:t>
            </w:r>
          </w:p>
        </w:tc>
      </w:tr>
      <w:tr>
        <w:trPr>
          <w:trHeight w:val="171"/>
        </w:trPr>
        <w:tc>
          <w:tcPr>
            <w:tcW w:w="4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Add: Dilutive effects of assumed exercises of stock options</w:t>
            </w:r>
          </w:p>
        </w:tc>
        <w:tc>
          <w:tcPr>
            <w:tcW w:w="1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239,965</w:t>
            </w:r>
          </w:p>
        </w:tc>
        <w:tc>
          <w:tcPr>
            <w:tcW w:w="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298,602</w:t>
            </w:r>
          </w:p>
        </w:tc>
      </w:tr>
      <w:tr>
        <w:trPr>
          <w:trHeight w:val="161"/>
        </w:trPr>
        <w:tc>
          <w:tcPr>
            <w:tcW w:w="45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Weighted avg. shares including dilutive potential common shares</w:t>
            </w:r>
          </w:p>
        </w:tc>
        <w:tc>
          <w:tcPr>
            <w:tcW w:w="1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18,454,006</w:t>
            </w:r>
          </w:p>
        </w:tc>
        <w:tc>
          <w:tcPr>
            <w:tcW w:w="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20,319,535</w:t>
            </w:r>
          </w:p>
        </w:tc>
      </w:tr>
      <w:tr>
        <w:trPr>
          <w:trHeight w:val="172"/>
        </w:trPr>
        <w:tc>
          <w:tcPr>
            <w:tcW w:w="45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Earnings per share, diluted</w:t>
            </w:r>
          </w:p>
        </w:tc>
        <w:tc>
          <w:tcPr>
            <w:tcW w:w="1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0.51</w:t>
            </w:r>
          </w:p>
        </w:tc>
        <w:tc>
          <w:tcPr>
            <w:tcW w:w="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0.38</w:t>
            </w:r>
          </w:p>
        </w:tc>
      </w:tr>
      <w:tr>
        <w:trPr>
          <w:trHeight w:val="20"/>
        </w:trPr>
        <w:tc>
          <w:tcPr>
            <w:tcW w:w="4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53"/>
        </w:trPr>
        <w:tc>
          <w:tcPr>
            <w:tcW w:w="45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71"/>
        </w:trPr>
        <w:tc>
          <w:tcPr>
            <w:tcW w:w="45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Anti-dilutive stock options excluded from diluted EPS</w:t>
            </w: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r>
    </w:tbl>
    <w:p>
      <w:pPr>
        <w:spacing w:after="0" w:line="164" w:lineRule="exact"/>
        <w:rPr>
          <w:sz w:val="20"/>
          <w:szCs w:val="20"/>
          <w:color w:val="auto"/>
        </w:rPr>
      </w:pPr>
    </w:p>
    <w:p>
      <w:pPr>
        <w:jc w:val="both"/>
        <w:ind w:left="660" w:right="679"/>
        <w:spacing w:after="0" w:line="274" w:lineRule="auto"/>
        <w:rPr>
          <w:sz w:val="20"/>
          <w:szCs w:val="20"/>
          <w:color w:val="auto"/>
        </w:rPr>
      </w:pPr>
      <w:r>
        <w:rPr>
          <w:rFonts w:ascii="Arial" w:cs="Arial" w:eastAsia="Arial" w:hAnsi="Arial"/>
          <w:sz w:val="11"/>
          <w:szCs w:val="11"/>
          <w:color w:val="auto"/>
        </w:rPr>
        <w:t>Net income has not been allocated to unvested restricted stock awards that are participating securities because the amounts that would be allocated are not material to earnings per share of common stock. Unvested restricted stock awards that are participating securities represent less than one percent of all of the outstanding shares of common stock for each of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28</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28" w:name="page29"/>
    <w:bookmarkEnd w:id="2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1060" w:hanging="397"/>
        <w:spacing w:after="0"/>
        <w:tabs>
          <w:tab w:leader="none" w:pos="1060" w:val="left"/>
        </w:tabs>
        <w:numPr>
          <w:ilvl w:val="0"/>
          <w:numId w:val="14"/>
        </w:numPr>
        <w:rPr>
          <w:rFonts w:ascii="Arial" w:cs="Arial" w:eastAsia="Arial" w:hAnsi="Arial"/>
          <w:sz w:val="14"/>
          <w:szCs w:val="14"/>
          <w:b w:val="1"/>
          <w:bCs w:val="1"/>
          <w:color w:val="auto"/>
        </w:rPr>
      </w:pPr>
      <w:r>
        <w:rPr>
          <w:rFonts w:ascii="Arial" w:cs="Arial" w:eastAsia="Arial" w:hAnsi="Arial"/>
          <w:sz w:val="14"/>
          <w:szCs w:val="14"/>
          <w:b w:val="1"/>
          <w:bCs w:val="1"/>
          <w:color w:val="auto"/>
        </w:rPr>
        <w:t>LOSS CONTINGENCIES</w:t>
      </w:r>
    </w:p>
    <w:p>
      <w:pPr>
        <w:spacing w:after="0" w:line="202"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Loss contingencies, including claims and legal actions may arise in the ordinary course of business. In the opinion of management, none of these actions, either individually or in the aggregate, is expected to have a material adverse effect on the Company’s Consolidated Financial Statements .</w:t>
      </w:r>
    </w:p>
    <w:p>
      <w:pPr>
        <w:spacing w:after="0" w:line="118" w:lineRule="exact"/>
        <w:rPr>
          <w:sz w:val="20"/>
          <w:szCs w:val="20"/>
          <w:color w:val="auto"/>
        </w:rPr>
      </w:pPr>
    </w:p>
    <w:p>
      <w:pPr>
        <w:ind w:left="1180" w:hanging="517"/>
        <w:spacing w:after="0"/>
        <w:tabs>
          <w:tab w:leader="none" w:pos="1180"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auto"/>
        </w:rPr>
        <w:t>SUBSEQUENT EVENTS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Dividends</w:t>
      </w:r>
    </w:p>
    <w:p>
      <w:pPr>
        <w:spacing w:after="0" w:line="17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On April 20, 2026, the Company announced that its Board of Directors declared its quarterly cash dividend. The dividend is in the amount of $ 0.125 per share of Class A common stock and will be paid on June 5, 2026, to stockholders of record as of the close of business on May 15,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29</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29" w:name="page30"/>
    <w:bookmarkEnd w:id="2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172"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i w:val="1"/>
          <w:iCs w:val="1"/>
          <w:color w:val="auto"/>
        </w:rPr>
        <w:t>The following discussion and analysis is designed to provide a better understanding of the consolidated financial condition and results of operations of the Company and the Bank, its wholly owned subsidiary, as of and for the three months ended March 31, 2026. This discussion and analysis is best read in conjunction with the unaudited consolidated financial statements and related notes included in this Quarterly Report on Form 10-Q (“Form 10-Q”) and the audited consolidated financial statements and related notes included in the Annual Report on Form 10-K (“2025 Form 10-K”) filed with the Securities and Exchange Commission (“SEC”) for the year ended December 31, 2025.</w:t>
      </w:r>
    </w:p>
    <w:p>
      <w:pPr>
        <w:spacing w:after="0" w:line="143"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i w:val="1"/>
          <w:iCs w:val="1"/>
          <w:color w:val="auto"/>
        </w:rPr>
        <w:t>This discussion contains forward-looking statements that involve risks, uncertainties and assumptions that could cause actual results to differ materially from management's expectations. Factors that could cause such differences are discussed in the sections entitled "Forward-Looking Statements" and Item 1A “Risk Factors" below in Part II hereof and in the 2025 Form 10-K filed with the SEC which is available at the SEC’s website www.sec.gov.</w:t>
      </w:r>
    </w:p>
    <w:p>
      <w:pPr>
        <w:spacing w:after="0" w:line="137" w:lineRule="exact"/>
        <w:rPr>
          <w:sz w:val="20"/>
          <w:szCs w:val="20"/>
          <w:color w:val="auto"/>
        </w:rPr>
      </w:pPr>
    </w:p>
    <w:p>
      <w:pPr>
        <w:ind w:left="660" w:right="719" w:firstLine="256"/>
        <w:spacing w:after="0" w:line="273" w:lineRule="auto"/>
        <w:rPr>
          <w:sz w:val="20"/>
          <w:szCs w:val="20"/>
          <w:color w:val="auto"/>
        </w:rPr>
      </w:pPr>
      <w:r>
        <w:rPr>
          <w:rFonts w:ascii="Arial" w:cs="Arial" w:eastAsia="Arial" w:hAnsi="Arial"/>
          <w:sz w:val="14"/>
          <w:szCs w:val="14"/>
          <w:i w:val="1"/>
          <w:iCs w:val="1"/>
          <w:color w:val="auto"/>
        </w:rPr>
        <w:t>Throughout this document, references to “we,” “us,” “our,” and “the Company” generally refer to USCB Financial Holdings, Inc.</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Forward-Looking Statements</w:t>
      </w:r>
    </w:p>
    <w:p>
      <w:pPr>
        <w:spacing w:after="0" w:line="170" w:lineRule="exact"/>
        <w:rPr>
          <w:sz w:val="20"/>
          <w:szCs w:val="20"/>
          <w:color w:val="auto"/>
        </w:rPr>
      </w:pPr>
    </w:p>
    <w:p>
      <w:pPr>
        <w:jc w:val="both"/>
        <w:ind w:left="660" w:right="679" w:firstLine="256"/>
        <w:spacing w:after="0" w:line="272" w:lineRule="auto"/>
        <w:rPr>
          <w:sz w:val="20"/>
          <w:szCs w:val="20"/>
          <w:color w:val="auto"/>
        </w:rPr>
      </w:pPr>
      <w:r>
        <w:rPr>
          <w:rFonts w:ascii="Arial" w:cs="Arial" w:eastAsia="Arial" w:hAnsi="Arial"/>
          <w:sz w:val="13"/>
          <w:szCs w:val="13"/>
          <w:color w:val="auto"/>
        </w:rPr>
        <w:t>This Form 10-Q contains statements that are not historical in nature are intended to be, and are hereby identified as, forward-looking statements for purposes of the safe harbor provided by Section 21E of the Securities Exchange Act of 1934, as amended. The words “may,” “will,” “anticipate,” “could,” “should,” “would,” “believe,” “contemplate,” “expect,” “aim,” “plan,” “estimate,” “seek,” “continue,” and “intend,” as well as other similar words and expressions of the future, are intended to identify forward-looking statements. These forward-looking statements include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 and potential future additional balance sheet restructuring.</w:t>
      </w:r>
    </w:p>
    <w:p>
      <w:pPr>
        <w:spacing w:after="0" w:line="117"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These forward-looking statements involve significant risks and uncertainties that could cause our actual results to differ materially from those anticipated in such statements. Potential risks and uncertainties include, but are not limited to:</w:t>
      </w:r>
    </w:p>
    <w:p>
      <w:pPr>
        <w:spacing w:after="0" w:line="120" w:lineRule="exact"/>
        <w:rPr>
          <w:sz w:val="20"/>
          <w:szCs w:val="20"/>
          <w:color w:val="auto"/>
        </w:rPr>
      </w:pPr>
    </w:p>
    <w:p>
      <w:pPr>
        <w:ind w:left="1180" w:hanging="261"/>
        <w:spacing w:after="0"/>
        <w:tabs>
          <w:tab w:leader="none" w:pos="11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strength of the United States economy in general and the strength of the local economies in which we conduct</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operations;</w:t>
      </w:r>
    </w:p>
    <w:p>
      <w:pPr>
        <w:ind w:left="920"/>
        <w:spacing w:after="0"/>
        <w:tabs>
          <w:tab w:leader="none" w:pos="1160" w:val="left"/>
        </w:tabs>
        <w:rPr>
          <w:sz w:val="20"/>
          <w:szCs w:val="20"/>
          <w:color w:val="auto"/>
        </w:rPr>
      </w:pPr>
      <w:r>
        <w:rPr>
          <w:rFonts w:ascii="Arial" w:cs="Arial" w:eastAsia="Arial" w:hAnsi="Arial"/>
          <w:sz w:val="14"/>
          <w:szCs w:val="14"/>
          <w:color w:val="auto"/>
        </w:rPr>
        <w:t>•</w:t>
        <w:tab/>
        <w:t>our ability to successfully manage interest rate risk, credit risk, liquidity risk, and other risks inherent to our industry;</w:t>
      </w:r>
    </w:p>
    <w:p>
      <w:pPr>
        <w:ind w:left="1180" w:right="679" w:hanging="261"/>
        <w:spacing w:after="0" w:line="246" w:lineRule="auto"/>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accuracy of our financial statement estimates and assumptions, including the estimates used for our allowance for credit losses and deferred tax asset valuation allowance;</w:t>
      </w: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efficiency and effectiveness of our internal control procedures and processes;</w:t>
      </w:r>
    </w:p>
    <w:p>
      <w:pPr>
        <w:ind w:left="1180" w:right="719" w:hanging="261"/>
        <w:spacing w:after="0" w:line="246" w:lineRule="auto"/>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ability to comply with the extensive laws and regulations to which we are subject, including the laws for each jurisdiction where we operate;</w:t>
      </w:r>
    </w:p>
    <w:p>
      <w:pPr>
        <w:ind w:left="1180" w:right="679" w:hanging="261"/>
        <w:spacing w:after="0" w:line="238" w:lineRule="auto"/>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adverse changes or conditions in capital and financial markets, including actual or potential stresses in the banking industry;</w:t>
      </w: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deposit attrition and the level of our uninsured deposits;</w:t>
      </w:r>
    </w:p>
    <w:p>
      <w:pPr>
        <w:spacing w:after="0" w:line="9" w:lineRule="exact"/>
        <w:rPr>
          <w:rFonts w:ascii="Arial" w:cs="Arial" w:eastAsia="Arial" w:hAnsi="Arial"/>
          <w:sz w:val="14"/>
          <w:szCs w:val="14"/>
          <w:color w:val="auto"/>
        </w:rPr>
      </w:pPr>
    </w:p>
    <w:p>
      <w:pPr>
        <w:jc w:val="both"/>
        <w:ind w:left="1180" w:right="679" w:hanging="261"/>
        <w:spacing w:after="0" w:line="243" w:lineRule="auto"/>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legislative or regulatory changes, including the enactment of the One Big Beautiful Bill, and changes in accounting principles, policies, practices or guidelines, including the on-going effects of the Current Expected Credit Losses (“CECL”) standard;</w:t>
      </w:r>
    </w:p>
    <w:p>
      <w:pPr>
        <w:spacing w:after="0" w:line="1" w:lineRule="exact"/>
        <w:rPr>
          <w:rFonts w:ascii="Arial" w:cs="Arial" w:eastAsia="Arial" w:hAnsi="Arial"/>
          <w:sz w:val="14"/>
          <w:szCs w:val="14"/>
          <w:color w:val="auto"/>
        </w:rPr>
      </w:pPr>
    </w:p>
    <w:p>
      <w:pPr>
        <w:jc w:val="both"/>
        <w:ind w:left="1180" w:right="699" w:hanging="261"/>
        <w:spacing w:after="0" w:line="243" w:lineRule="auto"/>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lack of a significantly diversified loan portfolio and our concentration in the South Florida market, including the risks of geographic, depositor, and industry concentrations, including our concentration in loans secured by real estate, in particular, commercial real estate;</w:t>
      </w:r>
    </w:p>
    <w:p>
      <w:pPr>
        <w:spacing w:after="0" w:line="1" w:lineRule="exact"/>
        <w:rPr>
          <w:rFonts w:ascii="Arial" w:cs="Arial" w:eastAsia="Arial" w:hAnsi="Arial"/>
          <w:sz w:val="14"/>
          <w:szCs w:val="14"/>
          <w:color w:val="auto"/>
        </w:rPr>
      </w:pP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effects of climate change;</w:t>
      </w: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concentration of ownership of our common stock;</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fluctuations in the price of our common stock;</w:t>
      </w:r>
    </w:p>
    <w:p>
      <w:pPr>
        <w:ind w:left="1180" w:right="699" w:hanging="261"/>
        <w:spacing w:after="0" w:line="246" w:lineRule="auto"/>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ability to fund or access the capital markets at attractive rates and terms and manage our growth, both organic growth as well as growth through other means, such as future acquisitions;</w:t>
      </w: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inflation, interest rate, unemployment rate, market and monetary fluctuations;</w:t>
      </w: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effects of potential new or increased tariffs , retaliatory tariffs, and trade restrictions;</w:t>
      </w: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impacts of international hostilities and geopolitical events;</w:t>
      </w:r>
    </w:p>
    <w:p>
      <w:pPr>
        <w:spacing w:after="0" w:line="9" w:lineRule="exact"/>
        <w:rPr>
          <w:rFonts w:ascii="Arial" w:cs="Arial" w:eastAsia="Arial" w:hAnsi="Arial"/>
          <w:sz w:val="14"/>
          <w:szCs w:val="14"/>
          <w:color w:val="auto"/>
        </w:rPr>
      </w:pPr>
    </w:p>
    <w:p>
      <w:pPr>
        <w:ind w:left="1180" w:right="699" w:hanging="261"/>
        <w:spacing w:after="0" w:line="238" w:lineRule="auto"/>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increased competition and its effect on the pricing of our products and services as well as our interest rate spread and net interest margin;</w:t>
      </w: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loss of key employees;</w:t>
      </w:r>
    </w:p>
    <w:p>
      <w:pPr>
        <w:spacing w:after="0" w:line="9" w:lineRule="exact"/>
        <w:rPr>
          <w:rFonts w:ascii="Arial" w:cs="Arial" w:eastAsia="Arial" w:hAnsi="Arial"/>
          <w:sz w:val="14"/>
          <w:szCs w:val="14"/>
          <w:color w:val="auto"/>
        </w:rPr>
      </w:pPr>
    </w:p>
    <w:p>
      <w:pPr>
        <w:ind w:left="1180" w:right="699" w:hanging="261"/>
        <w:spacing w:after="0" w:line="255" w:lineRule="auto"/>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effectiveness of our risk management strategies, including operational risks, including, but not limited to, client, employee, or third-party fraud and security breaches; and</w:t>
      </w:r>
    </w:p>
    <w:p>
      <w:pPr>
        <w:spacing w:after="0" w:line="231"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30</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30" w:name="page31"/>
    <w:bookmarkEnd w:id="3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other risks described in this Form 10-Q, the 2025 Form 10-K and other filings we make with the SEC.</w:t>
      </w:r>
    </w:p>
    <w:p>
      <w:pPr>
        <w:spacing w:after="0" w:line="170"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All forward-looking statements are necessarily only estimates of future results, and there can be no assurance that actual results will not differ materially from expectations. Therefore, you are cautioned not to place undue reliance on any forward-looking statements. Further, forward-looking statements included in this Form 10-Q are made only as of the date hereof, and we undertake no obligation to update or revise any forward-looking statement to reflect events or circumstances after the date on which the statement is made or to reflect the occurrence of unanticipated events, unless required to do so under the federal securities laws. You should also review the risk factors described in the 2025 Form 10-K and in the reports the Company has filed or will file with the SEC.</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Overview</w:t>
      </w:r>
    </w:p>
    <w:p>
      <w:pPr>
        <w:spacing w:after="0" w:line="170"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The Company reported net income of $9.4 million or $0.51 per diluted share of common stock for the three months ended March 31, 2026 compared to $7.7 million or $0.38 per diluted share of common stock for the three months ended March 31, 2025.</w:t>
      </w:r>
    </w:p>
    <w:p>
      <w:pPr>
        <w:spacing w:after="0" w:line="118"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In evaluating our financial performance, the Company considers the level of and trends in net interest income, the net interest margin, the cost of deposits and borrowings, the level and composition of non-interest income and non-interest expense, performance ratios, asset quality ratios, regulatory capital ratios, and any significant event or transaction.</w:t>
      </w:r>
    </w:p>
    <w:p>
      <w:pPr>
        <w:spacing w:after="0" w:line="128"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Unless otherwise stated, all period comparisons in the bullet points below are calculated at or for the quarter ended March 31, 2026 compared to at or for the quarter ended March 31, 2025 and as of December 31, 2025 and annualized where appropriate:</w:t>
      </w:r>
    </w:p>
    <w:p>
      <w:pPr>
        <w:spacing w:after="0" w:line="134" w:lineRule="exact"/>
        <w:rPr>
          <w:sz w:val="20"/>
          <w:szCs w:val="20"/>
          <w:color w:val="auto"/>
        </w:rPr>
      </w:pPr>
    </w:p>
    <w:p>
      <w:pPr>
        <w:ind w:left="1180" w:right="719" w:hanging="261"/>
        <w:spacing w:after="0" w:line="276" w:lineRule="auto"/>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Net interest income before provision for credit losses for the three months ended March 31, 2026 increased $2.9 million or 15.3% to $22.0 million from $19.1 million for the quarter ended March 31, 2025.</w:t>
      </w:r>
    </w:p>
    <w:p>
      <w:pPr>
        <w:spacing w:after="0" w:line="120" w:lineRule="exact"/>
        <w:rPr>
          <w:rFonts w:ascii="Arial" w:cs="Arial" w:eastAsia="Arial" w:hAnsi="Arial"/>
          <w:sz w:val="14"/>
          <w:szCs w:val="14"/>
          <w:color w:val="auto"/>
        </w:rPr>
      </w:pPr>
    </w:p>
    <w:p>
      <w:pPr>
        <w:ind w:left="1180" w:right="659" w:hanging="261"/>
        <w:spacing w:after="0" w:line="276" w:lineRule="auto"/>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Net interest margin (“NIM”) expanded to 3.27% for the three months ended March 31, 2026 compared to 3.10% for the three months ended March 31, 2025.</w:t>
      </w:r>
    </w:p>
    <w:p>
      <w:pPr>
        <w:spacing w:after="0" w:line="120" w:lineRule="exact"/>
        <w:rPr>
          <w:rFonts w:ascii="Arial" w:cs="Arial" w:eastAsia="Arial" w:hAnsi="Arial"/>
          <w:sz w:val="14"/>
          <w:szCs w:val="14"/>
          <w:color w:val="auto"/>
        </w:rPr>
      </w:pPr>
    </w:p>
    <w:p>
      <w:pPr>
        <w:ind w:left="1180" w:right="699" w:hanging="261"/>
        <w:spacing w:after="0" w:line="276" w:lineRule="auto"/>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Total assets were $2.85 billion at March 31, 2026, representing an increase of $168.4 million or 6.3% from March 31, 2025 and an increase of $54.2 million or 7.9% annualized from December 31, 2025.</w:t>
      </w:r>
    </w:p>
    <w:p>
      <w:pPr>
        <w:spacing w:after="0" w:line="120" w:lineRule="exact"/>
        <w:rPr>
          <w:rFonts w:ascii="Arial" w:cs="Arial" w:eastAsia="Arial" w:hAnsi="Arial"/>
          <w:sz w:val="14"/>
          <w:szCs w:val="14"/>
          <w:color w:val="auto"/>
        </w:rPr>
      </w:pPr>
    </w:p>
    <w:p>
      <w:pPr>
        <w:jc w:val="both"/>
        <w:ind w:left="1180" w:right="679" w:hanging="261"/>
        <w:spacing w:after="0" w:line="257" w:lineRule="auto"/>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Total loans held for investment (net of deferred cost/fees) were $2.24 billion at March 31, 2026, representing an increase of $204.8 million or 10.1% from March 31, 2025 and an increase of $51.8 million or 9.6% annualized from December 31, 2025.</w:t>
      </w:r>
    </w:p>
    <w:p>
      <w:pPr>
        <w:spacing w:after="0" w:line="133" w:lineRule="exact"/>
        <w:rPr>
          <w:rFonts w:ascii="Arial" w:cs="Arial" w:eastAsia="Arial" w:hAnsi="Arial"/>
          <w:sz w:val="14"/>
          <w:szCs w:val="14"/>
          <w:color w:val="auto"/>
        </w:rPr>
      </w:pPr>
    </w:p>
    <w:p>
      <w:pPr>
        <w:ind w:left="1180" w:right="699" w:hanging="261"/>
        <w:spacing w:after="0" w:line="292" w:lineRule="auto"/>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Total deposits were $2.49 billion at March 31, 2026, representing an increase of $184.0 million or 8.0% from March 31, 2025 and an increase of $148.5 million or 25.7% annualized from December 31, 2025.</w:t>
      </w:r>
    </w:p>
    <w:p>
      <w:pPr>
        <w:spacing w:after="0" w:line="99" w:lineRule="exact"/>
        <w:rPr>
          <w:rFonts w:ascii="Arial" w:cs="Arial" w:eastAsia="Arial" w:hAnsi="Arial"/>
          <w:sz w:val="14"/>
          <w:szCs w:val="14"/>
          <w:color w:val="auto"/>
        </w:rPr>
      </w:pPr>
    </w:p>
    <w:p>
      <w:pPr>
        <w:ind w:left="1180" w:right="679" w:hanging="261"/>
        <w:spacing w:after="0" w:line="276" w:lineRule="auto"/>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Annualized return on average assets for the quarter ended March 31, 2026 was 1.34% compared to 1.19% for the quarter ended March 31, 2025.</w:t>
      </w:r>
    </w:p>
    <w:p>
      <w:pPr>
        <w:spacing w:after="0" w:line="120" w:lineRule="exact"/>
        <w:rPr>
          <w:rFonts w:ascii="Arial" w:cs="Arial" w:eastAsia="Arial" w:hAnsi="Arial"/>
          <w:sz w:val="14"/>
          <w:szCs w:val="14"/>
          <w:color w:val="auto"/>
        </w:rPr>
      </w:pPr>
    </w:p>
    <w:p>
      <w:pPr>
        <w:ind w:left="1180" w:right="679" w:hanging="261"/>
        <w:spacing w:after="0" w:line="292" w:lineRule="auto"/>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Annualized return on average stockholders’ equity for the quarter ended March 31, 2026 was 17.07% compared to 14.15% for quarter ended March 31, 2025.</w:t>
      </w:r>
    </w:p>
    <w:p>
      <w:pPr>
        <w:spacing w:after="0" w:line="99" w:lineRule="exact"/>
        <w:rPr>
          <w:rFonts w:ascii="Arial" w:cs="Arial" w:eastAsia="Arial" w:hAnsi="Arial"/>
          <w:sz w:val="14"/>
          <w:szCs w:val="14"/>
          <w:color w:val="auto"/>
        </w:rPr>
      </w:pPr>
    </w:p>
    <w:p>
      <w:pPr>
        <w:ind w:left="1180" w:hanging="261"/>
        <w:spacing w:after="0"/>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ACL to total loans was 1.16% at March 31, 2026 and at December 31, 2025.</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Non-performing loans to total loans was 0.16% at March 31, 2026 and 0.14% at December 31, 2025.</w:t>
      </w:r>
    </w:p>
    <w:p>
      <w:pPr>
        <w:spacing w:after="0" w:line="169" w:lineRule="exact"/>
        <w:rPr>
          <w:rFonts w:ascii="Arial" w:cs="Arial" w:eastAsia="Arial" w:hAnsi="Arial"/>
          <w:sz w:val="14"/>
          <w:szCs w:val="14"/>
          <w:color w:val="auto"/>
        </w:rPr>
      </w:pPr>
    </w:p>
    <w:p>
      <w:pPr>
        <w:ind w:left="1180" w:right="699" w:hanging="261"/>
        <w:spacing w:after="0" w:line="276" w:lineRule="auto"/>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At March 31, 2026, the total risk -based capital ratios for the Company and the Bank were 14.09% and 13. 96%, respectively.</w:t>
      </w:r>
    </w:p>
    <w:p>
      <w:pPr>
        <w:spacing w:after="0" w:line="120" w:lineRule="exact"/>
        <w:rPr>
          <w:rFonts w:ascii="Arial" w:cs="Arial" w:eastAsia="Arial" w:hAnsi="Arial"/>
          <w:sz w:val="14"/>
          <w:szCs w:val="14"/>
          <w:color w:val="auto"/>
        </w:rPr>
      </w:pPr>
    </w:p>
    <w:p>
      <w:pPr>
        <w:jc w:val="both"/>
        <w:ind w:left="1180" w:right="679" w:hanging="261"/>
        <w:spacing w:after="0" w:line="249" w:lineRule="auto"/>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Tangible book value per common share (a non-GAAP measure) was $12.23 at March 31, 2026, representing an increase of $1.00 or 8.9% annualized from $11.23 at March 31, 2025. At March 31, 2026, tangible book value per common share was negatively affected by ($1.72) due to an accumulated comprehensive loss of $31.4 million. At March 31, 2025, tangible book value per common share was negatively affected by ($2.05) due to an accumulated comprehensive loss of $41.1 million. See “Reconciliation and Management Explanation for Non-GAAP Financial Measures” included in this Form 10-Q for a reconciliation of this non-GAAP financial measure.</w:t>
      </w:r>
    </w:p>
    <w:p>
      <w:pPr>
        <w:spacing w:after="0" w:line="200" w:lineRule="exact"/>
        <w:rPr>
          <w:sz w:val="20"/>
          <w:szCs w:val="20"/>
          <w:color w:val="auto"/>
        </w:rPr>
      </w:pPr>
    </w:p>
    <w:p>
      <w:pPr>
        <w:spacing w:after="0" w:line="366"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31" w:name="page32"/>
    <w:bookmarkEnd w:id="3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70"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The consolidated financial statements are prepared based on the application of U.S. Generally Accepted Accounting Practices (“GAAP”), the most significant of which are described in Note 1 “Summary of Significant Accounting Policies” in the Company’s 2025 Form 10-K and “Summary of Significant Accounting Policies” in Part I in this Form 10-Q. To prepare consolidated financial statements in conformity with US GAAP, management makes estimates, assumptions, and judgments based on available information. These estimates, assumptions, and judgments affect the amounts reported in the consolidated financial statements and accompanying notes. These estimates, assumptions, and judgments are based on information available as of the date of the financial statements and, as this information changes, actual results could differ from the estimates, assumptions and judgments reflected in the consolidated financial statements. In particular, management has identified accounting policies that, due to the estimates, assumptions and judgments inherent in those policies, are critical to an understanding of our consolidated financial statements. Management has presented the application of these policies to the Audit and Risk Committee of our Board of Directors.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Non-GAAP Financial Measures</w:t>
      </w:r>
    </w:p>
    <w:p>
      <w:pPr>
        <w:spacing w:after="0" w:line="159"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This Form 10-Q includes financial information determined by methods other than in accordance with GAAP. This financial information includes certain operating performance measures. Management has included these non-GAAP measures because it believes these measures may provide useful supplemental information for evaluating the Company’s underlying performance trends. Further, management uses these measures in managing and evaluating the Company’s business and intends to refer to them in discussions about our operations and performance. Operating performance measures should be viewed in addition to, and not as an alternative to or substitute for, measures determined in accordance with GAAP, and are not necessarily comparable to non-GAAP measures that may be presented by other companies. To the extent applicable, reconciliations of these non-GAAP measures to the most directly comparable GAAP measures can be found in the section “Reconciliation and Management Explanation of Non-GAAP Financial Measures” included in this Form 10-Q.</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Segment Reporting</w:t>
      </w:r>
    </w:p>
    <w:p>
      <w:pPr>
        <w:spacing w:after="0" w:line="159" w:lineRule="exact"/>
        <w:rPr>
          <w:sz w:val="20"/>
          <w:szCs w:val="20"/>
          <w:color w:val="auto"/>
        </w:rPr>
      </w:pPr>
    </w:p>
    <w:p>
      <w:pPr>
        <w:jc w:val="both"/>
        <w:ind w:left="660" w:right="659" w:firstLine="256"/>
        <w:spacing w:after="0" w:line="261" w:lineRule="auto"/>
        <w:rPr>
          <w:sz w:val="20"/>
          <w:szCs w:val="20"/>
          <w:color w:val="auto"/>
        </w:rPr>
      </w:pPr>
      <w:r>
        <w:rPr>
          <w:rFonts w:ascii="Arial" w:cs="Arial" w:eastAsia="Arial" w:hAnsi="Arial"/>
          <w:sz w:val="14"/>
          <w:szCs w:val="14"/>
          <w:color w:val="auto"/>
        </w:rPr>
        <w:t>Management monitors the revenue streams for all its various products and services. The identifiable segments are not material and operations are managed and financial performance is evaluated on an overall Company-wide basis. Accordingly, all the financial service operations are considered by management to be aggregated in one reportable operating segment.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Results of Operations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General</w:t>
      </w:r>
    </w:p>
    <w:p>
      <w:pPr>
        <w:spacing w:after="0" w:line="168" w:lineRule="exact"/>
        <w:rPr>
          <w:sz w:val="20"/>
          <w:szCs w:val="20"/>
          <w:color w:val="auto"/>
        </w:rPr>
      </w:pPr>
    </w:p>
    <w:p>
      <w:pPr>
        <w:ind w:left="660" w:right="679" w:firstLine="256"/>
        <w:spacing w:after="0" w:line="276" w:lineRule="auto"/>
        <w:rPr>
          <w:sz w:val="20"/>
          <w:szCs w:val="20"/>
          <w:color w:val="auto"/>
        </w:rPr>
      </w:pPr>
      <w:r>
        <w:rPr>
          <w:rFonts w:ascii="Arial" w:cs="Arial" w:eastAsia="Arial" w:hAnsi="Arial"/>
          <w:sz w:val="14"/>
          <w:szCs w:val="14"/>
          <w:color w:val="auto"/>
        </w:rPr>
        <w:t>The following tables present selected balance sheet, income statement, and profitability ratios for the dates and periods indicated (in thousands, except ratios):</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4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right"/>
              <w:ind w:right="156"/>
              <w:spacing w:after="0"/>
              <w:rPr>
                <w:sz w:val="20"/>
                <w:szCs w:val="20"/>
                <w:color w:val="auto"/>
              </w:rPr>
            </w:pPr>
            <w:r>
              <w:rPr>
                <w:rFonts w:ascii="Arial" w:cs="Arial" w:eastAsia="Arial" w:hAnsi="Arial"/>
                <w:sz w:val="13"/>
                <w:szCs w:val="13"/>
                <w:b w:val="1"/>
                <w:bCs w:val="1"/>
                <w:color w:val="auto"/>
              </w:rPr>
              <w:t>March 31, 2026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2025</w:t>
            </w:r>
          </w:p>
        </w:tc>
      </w:tr>
      <w:tr>
        <w:trPr>
          <w:trHeight w:val="161"/>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Consolidated Balance Sheets:</w:t>
            </w:r>
          </w:p>
        </w:tc>
        <w:tc>
          <w:tcPr>
            <w:tcW w:w="14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171"/>
        </w:trPr>
        <w:tc>
          <w:tcPr>
            <w:tcW w:w="4920" w:type="dxa"/>
            <w:vAlign w:val="bottom"/>
          </w:tcPr>
          <w:p>
            <w:pPr>
              <w:ind w:left="100"/>
              <w:spacing w:after="0"/>
              <w:rPr>
                <w:sz w:val="20"/>
                <w:szCs w:val="20"/>
                <w:color w:val="auto"/>
              </w:rPr>
            </w:pPr>
            <w:r>
              <w:rPr>
                <w:rFonts w:ascii="Arial" w:cs="Arial" w:eastAsia="Arial" w:hAnsi="Arial"/>
                <w:sz w:val="13"/>
                <w:szCs w:val="13"/>
                <w:color w:val="auto"/>
              </w:rPr>
              <w:t>Total assets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2,845,735</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2,791,540</w:t>
            </w:r>
          </w:p>
        </w:tc>
        <w:tc>
          <w:tcPr>
            <w:tcW w:w="20" w:type="dxa"/>
            <w:vAlign w:val="bottom"/>
          </w:tcPr>
          <w:p>
            <w:pPr>
              <w:spacing w:after="0"/>
              <w:rPr>
                <w:sz w:val="14"/>
                <w:szCs w:val="14"/>
                <w:color w:val="auto"/>
              </w:rPr>
            </w:pPr>
          </w:p>
        </w:tc>
      </w:tr>
      <w:tr>
        <w:trPr>
          <w:trHeight w:val="171"/>
        </w:trPr>
        <w:tc>
          <w:tcPr>
            <w:tcW w:w="4920" w:type="dxa"/>
            <w:vAlign w:val="bottom"/>
            <w:shd w:val="clear" w:color="auto" w:fill="CCEEFF"/>
          </w:tcPr>
          <w:p>
            <w:pPr>
              <w:ind w:left="100"/>
              <w:spacing w:after="0" w:line="160" w:lineRule="exact"/>
              <w:rPr>
                <w:sz w:val="20"/>
                <w:szCs w:val="20"/>
                <w:color w:val="auto"/>
              </w:rPr>
            </w:pPr>
            <w:r>
              <w:rPr>
                <w:rFonts w:ascii="Arial" w:cs="Arial" w:eastAsia="Arial" w:hAnsi="Arial"/>
                <w:sz w:val="13"/>
                <w:szCs w:val="13"/>
                <w:color w:val="auto"/>
              </w:rPr>
              <w:t xml:space="preserve">Total loans </w:t>
            </w:r>
            <w:r>
              <w:rPr>
                <w:rFonts w:ascii="Arial" w:cs="Arial" w:eastAsia="Arial" w:hAnsi="Arial"/>
                <w:sz w:val="17"/>
                <w:szCs w:val="17"/>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2,241,051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2,189,257</w:t>
            </w:r>
          </w:p>
        </w:tc>
        <w:tc>
          <w:tcPr>
            <w:tcW w:w="20" w:type="dxa"/>
            <w:vAlign w:val="bottom"/>
            <w:shd w:val="clear" w:color="auto" w:fill="CCEEFF"/>
          </w:tcPr>
          <w:p>
            <w:pPr>
              <w:spacing w:after="0"/>
              <w:rPr>
                <w:sz w:val="14"/>
                <w:szCs w:val="14"/>
                <w:color w:val="auto"/>
              </w:rPr>
            </w:pPr>
          </w:p>
        </w:tc>
      </w:tr>
      <w:tr>
        <w:trPr>
          <w:trHeight w:val="171"/>
        </w:trPr>
        <w:tc>
          <w:tcPr>
            <w:tcW w:w="4920" w:type="dxa"/>
            <w:vAlign w:val="bottom"/>
          </w:tcPr>
          <w:p>
            <w:pPr>
              <w:ind w:left="100"/>
              <w:spacing w:after="0"/>
              <w:rPr>
                <w:sz w:val="20"/>
                <w:szCs w:val="20"/>
                <w:color w:val="auto"/>
              </w:rPr>
            </w:pPr>
            <w:r>
              <w:rPr>
                <w:rFonts w:ascii="Arial" w:cs="Arial" w:eastAsia="Arial" w:hAnsi="Arial"/>
                <w:sz w:val="13"/>
                <w:szCs w:val="13"/>
                <w:color w:val="auto"/>
              </w:rPr>
              <w:t>Total deposits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2,493,580</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2,345,080</w:t>
            </w:r>
          </w:p>
        </w:tc>
        <w:tc>
          <w:tcPr>
            <w:tcW w:w="20" w:type="dxa"/>
            <w:vAlign w:val="bottom"/>
          </w:tcPr>
          <w:p>
            <w:pPr>
              <w:spacing w:after="0"/>
              <w:rPr>
                <w:sz w:val="14"/>
                <w:szCs w:val="14"/>
                <w:color w:val="auto"/>
              </w:rPr>
            </w:pPr>
          </w:p>
        </w:tc>
      </w:tr>
      <w:tr>
        <w:trPr>
          <w:trHeight w:val="171"/>
        </w:trPr>
        <w:tc>
          <w:tcPr>
            <w:tcW w:w="49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stockholders'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223,246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217,183</w:t>
            </w:r>
          </w:p>
        </w:tc>
        <w:tc>
          <w:tcPr>
            <w:tcW w:w="20" w:type="dxa"/>
            <w:vAlign w:val="bottom"/>
            <w:shd w:val="clear" w:color="auto" w:fill="CCEEFF"/>
          </w:tcPr>
          <w:p>
            <w:pPr>
              <w:spacing w:after="0"/>
              <w:rPr>
                <w:sz w:val="14"/>
                <w:szCs w:val="14"/>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1"/>
          <w:szCs w:val="11"/>
          <w:color w:val="auto"/>
        </w:rPr>
        <w:t>(1) Loan amounts include deferred fees/costs.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32" w:name="page33"/>
    <w:bookmarkEnd w:id="3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5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55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3"/>
                <w:szCs w:val="13"/>
                <w:b w:val="1"/>
                <w:bCs w:val="1"/>
                <w:color w:val="auto"/>
                <w:w w:val="97"/>
              </w:rPr>
              <w:t>Three Months Ended March 31,</w:t>
            </w:r>
          </w:p>
        </w:tc>
        <w:tc>
          <w:tcPr>
            <w:tcW w:w="20" w:type="dxa"/>
            <w:vAlign w:val="bottom"/>
          </w:tcPr>
          <w:p>
            <w:pPr>
              <w:spacing w:after="0"/>
              <w:rPr>
                <w:sz w:val="13"/>
                <w:szCs w:val="13"/>
                <w:color w:val="auto"/>
              </w:rPr>
            </w:pPr>
          </w:p>
        </w:tc>
      </w:tr>
      <w:tr>
        <w:trPr>
          <w:trHeight w:val="161"/>
        </w:trPr>
        <w:tc>
          <w:tcPr>
            <w:tcW w:w="55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2026</w:t>
            </w: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2025</w:t>
            </w:r>
          </w:p>
        </w:tc>
        <w:tc>
          <w:tcPr>
            <w:tcW w:w="20" w:type="dxa"/>
            <w:vAlign w:val="bottom"/>
            <w:tcBorders>
              <w:bottom w:val="single" w:sz="8" w:color="CCEEFF"/>
            </w:tcBorders>
          </w:tcPr>
          <w:p>
            <w:pPr>
              <w:spacing w:after="0"/>
              <w:rPr>
                <w:sz w:val="14"/>
                <w:szCs w:val="14"/>
                <w:color w:val="auto"/>
              </w:rPr>
            </w:pPr>
          </w:p>
        </w:tc>
      </w:tr>
      <w:tr>
        <w:trPr>
          <w:trHeight w:val="161"/>
        </w:trPr>
        <w:tc>
          <w:tcPr>
            <w:tcW w:w="55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Consolidated Statements of Operations:</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5520" w:type="dxa"/>
            <w:vAlign w:val="bottom"/>
          </w:tcPr>
          <w:p>
            <w:pPr>
              <w:ind w:left="100"/>
              <w:spacing w:after="0"/>
              <w:rPr>
                <w:sz w:val="20"/>
                <w:szCs w:val="20"/>
                <w:color w:val="auto"/>
              </w:rPr>
            </w:pPr>
            <w:r>
              <w:rPr>
                <w:rFonts w:ascii="Arial" w:cs="Arial" w:eastAsia="Arial" w:hAnsi="Arial"/>
                <w:sz w:val="13"/>
                <w:szCs w:val="13"/>
                <w:color w:val="auto"/>
              </w:rPr>
              <w:t>Net interest income before provision for credit losses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22,048</w:t>
            </w:r>
          </w:p>
        </w:tc>
        <w:tc>
          <w:tcPr>
            <w:tcW w:w="300" w:type="dxa"/>
            <w:vAlign w:val="bottom"/>
            <w:gridSpan w:val="2"/>
          </w:tcPr>
          <w:p>
            <w:pPr>
              <w:jc w:val="right"/>
              <w:ind w:right="9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19,115</w:t>
            </w:r>
          </w:p>
        </w:tc>
        <w:tc>
          <w:tcPr>
            <w:tcW w:w="20" w:type="dxa"/>
            <w:vAlign w:val="bottom"/>
          </w:tcPr>
          <w:p>
            <w:pPr>
              <w:spacing w:after="0"/>
              <w:rPr>
                <w:sz w:val="14"/>
                <w:szCs w:val="14"/>
                <w:color w:val="auto"/>
              </w:rPr>
            </w:pPr>
          </w:p>
        </w:tc>
      </w:tr>
      <w:tr>
        <w:trPr>
          <w:trHeight w:val="171"/>
        </w:trPr>
        <w:tc>
          <w:tcPr>
            <w:tcW w:w="5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non-interest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4,150</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3,716</w:t>
            </w:r>
          </w:p>
        </w:tc>
        <w:tc>
          <w:tcPr>
            <w:tcW w:w="20" w:type="dxa"/>
            <w:vAlign w:val="bottom"/>
            <w:shd w:val="clear" w:color="auto" w:fill="CCEEFF"/>
          </w:tcPr>
          <w:p>
            <w:pPr>
              <w:spacing w:after="0"/>
              <w:rPr>
                <w:sz w:val="14"/>
                <w:szCs w:val="14"/>
                <w:color w:val="auto"/>
              </w:rPr>
            </w:pPr>
          </w:p>
        </w:tc>
      </w:tr>
      <w:tr>
        <w:trPr>
          <w:trHeight w:val="171"/>
        </w:trPr>
        <w:tc>
          <w:tcPr>
            <w:tcW w:w="5520" w:type="dxa"/>
            <w:vAlign w:val="bottom"/>
          </w:tcPr>
          <w:p>
            <w:pPr>
              <w:ind w:left="100"/>
              <w:spacing w:after="0"/>
              <w:rPr>
                <w:sz w:val="20"/>
                <w:szCs w:val="20"/>
                <w:color w:val="auto"/>
              </w:rPr>
            </w:pPr>
            <w:r>
              <w:rPr>
                <w:rFonts w:ascii="Arial" w:cs="Arial" w:eastAsia="Arial" w:hAnsi="Arial"/>
                <w:sz w:val="13"/>
                <w:szCs w:val="13"/>
                <w:color w:val="auto"/>
              </w:rPr>
              <w:t>Total non-interest expense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13,711</w:t>
            </w:r>
          </w:p>
        </w:tc>
        <w:tc>
          <w:tcPr>
            <w:tcW w:w="300" w:type="dxa"/>
            <w:vAlign w:val="bottom"/>
            <w:gridSpan w:val="2"/>
          </w:tcPr>
          <w:p>
            <w:pPr>
              <w:jc w:val="right"/>
              <w:ind w:right="9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12,052</w:t>
            </w:r>
          </w:p>
        </w:tc>
        <w:tc>
          <w:tcPr>
            <w:tcW w:w="20" w:type="dxa"/>
            <w:vAlign w:val="bottom"/>
          </w:tcPr>
          <w:p>
            <w:pPr>
              <w:spacing w:after="0"/>
              <w:rPr>
                <w:sz w:val="14"/>
                <w:szCs w:val="14"/>
                <w:color w:val="auto"/>
              </w:rPr>
            </w:pPr>
          </w:p>
        </w:tc>
      </w:tr>
      <w:tr>
        <w:trPr>
          <w:trHeight w:val="171"/>
        </w:trPr>
        <w:tc>
          <w:tcPr>
            <w:tcW w:w="5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9,351</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7,658</w:t>
            </w:r>
          </w:p>
        </w:tc>
        <w:tc>
          <w:tcPr>
            <w:tcW w:w="20" w:type="dxa"/>
            <w:vAlign w:val="bottom"/>
            <w:shd w:val="clear" w:color="auto" w:fill="CCEEFF"/>
          </w:tcPr>
          <w:p>
            <w:pPr>
              <w:spacing w:after="0"/>
              <w:rPr>
                <w:sz w:val="14"/>
                <w:szCs w:val="14"/>
                <w:color w:val="auto"/>
              </w:rPr>
            </w:pPr>
          </w:p>
        </w:tc>
      </w:tr>
      <w:tr>
        <w:trPr>
          <w:trHeight w:val="171"/>
        </w:trPr>
        <w:tc>
          <w:tcPr>
            <w:tcW w:w="5520" w:type="dxa"/>
            <w:vAlign w:val="bottom"/>
          </w:tcPr>
          <w:p>
            <w:pPr>
              <w:spacing w:after="0"/>
              <w:rPr>
                <w:sz w:val="20"/>
                <w:szCs w:val="20"/>
                <w:color w:val="auto"/>
              </w:rPr>
            </w:pPr>
            <w:r>
              <w:rPr>
                <w:rFonts w:ascii="Arial" w:cs="Arial" w:eastAsia="Arial" w:hAnsi="Arial"/>
                <w:sz w:val="13"/>
                <w:szCs w:val="13"/>
                <w:b w:val="1"/>
                <w:bCs w:val="1"/>
                <w:color w:val="auto"/>
              </w:rPr>
              <w:t>Profitability:</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5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Efficiency ratio</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52.34%</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52.79%</w:t>
            </w:r>
          </w:p>
        </w:tc>
        <w:tc>
          <w:tcPr>
            <w:tcW w:w="20" w:type="dxa"/>
            <w:vAlign w:val="bottom"/>
            <w:shd w:val="clear" w:color="auto" w:fill="CCEEFF"/>
          </w:tcPr>
          <w:p>
            <w:pPr>
              <w:spacing w:after="0"/>
              <w:rPr>
                <w:sz w:val="14"/>
                <w:szCs w:val="14"/>
                <w:color w:val="auto"/>
              </w:rPr>
            </w:pPr>
          </w:p>
        </w:tc>
      </w:tr>
      <w:tr>
        <w:trPr>
          <w:trHeight w:val="179"/>
        </w:trPr>
        <w:tc>
          <w:tcPr>
            <w:tcW w:w="5520" w:type="dxa"/>
            <w:vAlign w:val="bottom"/>
          </w:tcPr>
          <w:p>
            <w:pPr>
              <w:ind w:left="100"/>
              <w:spacing w:after="0"/>
              <w:rPr>
                <w:sz w:val="20"/>
                <w:szCs w:val="20"/>
                <w:color w:val="auto"/>
              </w:rPr>
            </w:pPr>
            <w:r>
              <w:rPr>
                <w:rFonts w:ascii="Arial" w:cs="Arial" w:eastAsia="Arial" w:hAnsi="Arial"/>
                <w:sz w:val="13"/>
                <w:szCs w:val="13"/>
                <w:color w:val="auto"/>
              </w:rPr>
              <w:t>Net interest margin</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3.27%</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3.10%</w:t>
            </w:r>
          </w:p>
        </w:tc>
        <w:tc>
          <w:tcPr>
            <w:tcW w:w="20" w:type="dxa"/>
            <w:vAlign w:val="bottom"/>
          </w:tcPr>
          <w:p>
            <w:pPr>
              <w:spacing w:after="0"/>
              <w:rPr>
                <w:sz w:val="15"/>
                <w:szCs w:val="15"/>
                <w:color w:val="auto"/>
              </w:rPr>
            </w:pPr>
          </w:p>
        </w:tc>
      </w:tr>
    </w:tbl>
    <w:p>
      <w:pPr>
        <w:spacing w:after="0" w:line="138"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Company’s results of operations depend substantially on the levels of our net interest income and non-interest income. Other factors contributing to the results of operations include our provision for credit losses, the level of non-interest expense, and the provision for income taxes.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March 31, 2026 compared to the three months ended March 31, 2025</w:t>
      </w:r>
    </w:p>
    <w:p>
      <w:pPr>
        <w:spacing w:after="0" w:line="16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Net income increased $1.7 million to $9.4 million for the three months ended March 31, 2026 from $7.7 million for the same period in 2025. The $1.7 million or 22.1% increase in the net income was primarily driven by higher income from a larger loan portfolio combined with a reduction on rates paid of interest-bearing liabilities between periods. The increase in net interest income was partially offset by an increase in non-interest expense between periods.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Net Interest Income</w:t>
      </w:r>
    </w:p>
    <w:p>
      <w:pPr>
        <w:spacing w:after="0" w:line="16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Net interest income is the difference between interest earned on interest-earning assets and interest paid on interest-bearing liabilities and is the primary driver of core earnings. Interest income is generated from interest and dividends on interest-earning assets, including loans, investment securities and other short-term investments. Interest expense is incurred from interest paid on interest-bearing liabilities, including interest -bearing deposits, FHLB advances, subordinated debt, and other borrowings.</w:t>
      </w:r>
    </w:p>
    <w:p>
      <w:pPr>
        <w:spacing w:after="0" w:line="140"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To evaluate net interest income, we measure and monitor (i) yields on loans and other interest-earning assets, (ii) the costs of deposits and other funding sources, (iii) net interest spread, and (iv) net interest margin. Net interest spread is equal to the difference between yields earned on interest-earning assets and rates paid on interest-bearing liabilities. Net interest margin is equal to the annualized net interest income divided by average interest -earning assets. Because non-interest-bearing sources of funds, such as non-interest-bearing deposits and stockholders’ equity, also fund interest-earning assets, net interest margin includes the indirect benefit of these non-interest-bearing funding sources.</w:t>
      </w:r>
    </w:p>
    <w:p>
      <w:pPr>
        <w:spacing w:after="0" w:line="127" w:lineRule="exact"/>
        <w:rPr>
          <w:sz w:val="20"/>
          <w:szCs w:val="20"/>
          <w:color w:val="auto"/>
        </w:rPr>
      </w:pPr>
    </w:p>
    <w:p>
      <w:pPr>
        <w:jc w:val="both"/>
        <w:ind w:left="660" w:right="659" w:firstLine="256"/>
        <w:spacing w:after="0" w:line="255" w:lineRule="auto"/>
        <w:rPr>
          <w:sz w:val="20"/>
          <w:szCs w:val="20"/>
          <w:color w:val="auto"/>
        </w:rPr>
      </w:pPr>
      <w:r>
        <w:rPr>
          <w:rFonts w:ascii="Arial" w:cs="Arial" w:eastAsia="Arial" w:hAnsi="Arial"/>
          <w:sz w:val="14"/>
          <w:szCs w:val="14"/>
          <w:color w:val="auto"/>
        </w:rPr>
        <w:t>Changes in market interest rates and interest rates we earn on interest-earning assets or pay on interest-bearing liabilities, as well as the volume and types of interest-earning assets and interest-bearing and non-interest-bearing liabilities, are usually the largest drivers of periodic changes in net interest spread, net interest margin and net interest income. Our asset liability committee (“ALCO”) has in place asset-liability management techniques to manage major factors that affect net interest income and net interest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33</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33" w:name="page34"/>
    <w:bookmarkEnd w:id="3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79" w:firstLine="256"/>
        <w:spacing w:after="0" w:line="276" w:lineRule="auto"/>
        <w:rPr>
          <w:sz w:val="20"/>
          <w:szCs w:val="20"/>
          <w:color w:val="auto"/>
        </w:rPr>
      </w:pPr>
      <w:r>
        <w:rPr>
          <w:rFonts w:ascii="Arial" w:cs="Arial" w:eastAsia="Arial" w:hAnsi="Arial"/>
          <w:sz w:val="14"/>
          <w:szCs w:val="14"/>
          <w:color w:val="auto"/>
        </w:rPr>
        <w:t>The following table contains information related to average balances, average yields earned on assets, and average costs of liabilities for the periods indicated (dollars in thousands):</w:t>
      </w:r>
    </w:p>
    <w:p>
      <w:pPr>
        <w:spacing w:after="0" w:line="339"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2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gridSpan w:val="8"/>
          </w:tcPr>
          <w:p>
            <w:pPr>
              <w:ind w:left="660"/>
              <w:spacing w:after="0"/>
              <w:rPr>
                <w:sz w:val="20"/>
                <w:szCs w:val="20"/>
                <w:color w:val="auto"/>
              </w:rPr>
            </w:pPr>
            <w:r>
              <w:rPr>
                <w:rFonts w:ascii="Arial" w:cs="Arial" w:eastAsia="Arial" w:hAnsi="Arial"/>
                <w:sz w:val="11"/>
                <w:szCs w:val="11"/>
                <w:b w:val="1"/>
                <w:bCs w:val="1"/>
                <w:color w:val="auto"/>
              </w:rPr>
              <w:t>Three Months Ended March 31,</w:t>
            </w: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6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2026</w:t>
            </w:r>
          </w:p>
        </w:tc>
        <w:tc>
          <w:tcPr>
            <w:tcW w:w="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 xml:space="preserve">Average </w:t>
            </w:r>
            <w:r>
              <w:rPr>
                <w:rFonts w:ascii="Arial" w:cs="Arial" w:eastAsia="Arial" w:hAnsi="Arial"/>
                <w:sz w:val="14"/>
                <w:szCs w:val="14"/>
                <w:b w:val="1"/>
                <w:bCs w:val="1"/>
                <w:color w:val="auto"/>
                <w:w w:val="96"/>
                <w:vertAlign w:val="superscript"/>
              </w:rPr>
              <w:t>(1)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 xml:space="preserve">Average </w:t>
            </w:r>
            <w:r>
              <w:rPr>
                <w:rFonts w:ascii="Arial" w:cs="Arial" w:eastAsia="Arial" w:hAnsi="Arial"/>
                <w:sz w:val="14"/>
                <w:szCs w:val="14"/>
                <w:b w:val="1"/>
                <w:bCs w:val="1"/>
                <w:color w:val="auto"/>
                <w:w w:val="96"/>
                <w:vertAlign w:val="superscript"/>
              </w:rPr>
              <w:t>(1)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9"/>
              </w:rPr>
              <w:t>Balance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Interest</w:t>
            </w:r>
          </w:p>
        </w:tc>
        <w:tc>
          <w:tcPr>
            <w:tcW w:w="40" w:type="dxa"/>
            <w:vAlign w:val="bottom"/>
          </w:tcPr>
          <w:p>
            <w:pPr>
              <w:spacing w:after="0"/>
              <w:rPr>
                <w:sz w:val="12"/>
                <w:szCs w:val="12"/>
                <w:color w:val="auto"/>
              </w:rPr>
            </w:pPr>
          </w:p>
        </w:tc>
        <w:tc>
          <w:tcPr>
            <w:tcW w:w="700" w:type="dxa"/>
            <w:vAlign w:val="bottom"/>
          </w:tcPr>
          <w:p>
            <w:pPr>
              <w:ind w:left="20"/>
              <w:spacing w:after="0" w:line="137" w:lineRule="exact"/>
              <w:rPr>
                <w:sz w:val="20"/>
                <w:szCs w:val="20"/>
                <w:color w:val="auto"/>
              </w:rPr>
            </w:pPr>
            <w:r>
              <w:rPr>
                <w:rFonts w:ascii="Arial" w:cs="Arial" w:eastAsia="Arial" w:hAnsi="Arial"/>
                <w:sz w:val="11"/>
                <w:szCs w:val="11"/>
                <w:b w:val="1"/>
                <w:bCs w:val="1"/>
                <w:color w:val="auto"/>
                <w:w w:val="97"/>
              </w:rPr>
              <w:t xml:space="preserve">Yield/Rate </w:t>
            </w:r>
            <w:r>
              <w:rPr>
                <w:rFonts w:ascii="Arial" w:cs="Arial" w:eastAsia="Arial" w:hAnsi="Arial"/>
                <w:sz w:val="14"/>
                <w:szCs w:val="14"/>
                <w:color w:val="auto"/>
                <w:w w:val="97"/>
                <w:vertAlign w:val="superscript"/>
              </w:rPr>
              <w:t>(2)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9"/>
              </w:rPr>
              <w:t>Balance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63"/>
              <w:spacing w:after="0"/>
              <w:rPr>
                <w:sz w:val="20"/>
                <w:szCs w:val="20"/>
                <w:color w:val="auto"/>
              </w:rPr>
            </w:pPr>
            <w:r>
              <w:rPr>
                <w:rFonts w:ascii="Arial" w:cs="Arial" w:eastAsia="Arial" w:hAnsi="Arial"/>
                <w:sz w:val="11"/>
                <w:szCs w:val="11"/>
                <w:b w:val="1"/>
                <w:bCs w:val="1"/>
                <w:color w:val="auto"/>
              </w:rPr>
              <w:t>Interest</w:t>
            </w:r>
          </w:p>
        </w:tc>
        <w:tc>
          <w:tcPr>
            <w:tcW w:w="40" w:type="dxa"/>
            <w:vAlign w:val="bottom"/>
          </w:tcPr>
          <w:p>
            <w:pPr>
              <w:spacing w:after="0"/>
              <w:rPr>
                <w:sz w:val="12"/>
                <w:szCs w:val="12"/>
                <w:color w:val="auto"/>
              </w:rPr>
            </w:pPr>
          </w:p>
        </w:tc>
        <w:tc>
          <w:tcPr>
            <w:tcW w:w="700" w:type="dxa"/>
            <w:vAlign w:val="bottom"/>
          </w:tcPr>
          <w:p>
            <w:pPr>
              <w:jc w:val="right"/>
              <w:spacing w:after="0" w:line="137" w:lineRule="exact"/>
              <w:rPr>
                <w:sz w:val="20"/>
                <w:szCs w:val="20"/>
                <w:color w:val="auto"/>
              </w:rPr>
            </w:pPr>
            <w:r>
              <w:rPr>
                <w:rFonts w:ascii="Arial" w:cs="Arial" w:eastAsia="Arial" w:hAnsi="Arial"/>
                <w:sz w:val="11"/>
                <w:szCs w:val="11"/>
                <w:b w:val="1"/>
                <w:bCs w:val="1"/>
                <w:color w:val="auto"/>
              </w:rPr>
              <w:t xml:space="preserve">Yield/Rate </w:t>
            </w:r>
            <w:r>
              <w:rPr>
                <w:rFonts w:ascii="Arial" w:cs="Arial" w:eastAsia="Arial" w:hAnsi="Arial"/>
                <w:sz w:val="14"/>
                <w:szCs w:val="14"/>
                <w:color w:val="auto"/>
                <w:vertAlign w:val="superscript"/>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20" w:type="dxa"/>
            <w:vAlign w:val="bottom"/>
          </w:tcPr>
          <w:p>
            <w:pPr>
              <w:spacing w:after="0"/>
              <w:rPr>
                <w:sz w:val="20"/>
                <w:szCs w:val="20"/>
                <w:color w:val="auto"/>
              </w:rPr>
            </w:pPr>
            <w:r>
              <w:rPr>
                <w:rFonts w:ascii="Arial" w:cs="Arial" w:eastAsia="Arial" w:hAnsi="Arial"/>
                <w:sz w:val="11"/>
                <w:szCs w:val="11"/>
                <w:b w:val="1"/>
                <w:bCs w:val="1"/>
                <w:color w:val="auto"/>
              </w:rPr>
              <w:t>Interest-earning assets: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 xml:space="preserve">Loans </w:t>
            </w:r>
            <w:r>
              <w:rPr>
                <w:rFonts w:ascii="Arial" w:cs="Arial" w:eastAsia="Arial" w:hAnsi="Arial"/>
                <w:sz w:val="14"/>
                <w:szCs w:val="14"/>
                <w:color w:val="auto"/>
                <w:vertAlign w:val="superscript"/>
              </w:rPr>
              <w:t>(3)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2,177,734</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32,789</w:t>
            </w: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ind w:left="340"/>
              <w:spacing w:after="0"/>
              <w:rPr>
                <w:sz w:val="20"/>
                <w:szCs w:val="20"/>
                <w:color w:val="auto"/>
              </w:rPr>
            </w:pPr>
            <w:r>
              <w:rPr>
                <w:rFonts w:ascii="Arial" w:cs="Arial" w:eastAsia="Arial" w:hAnsi="Arial"/>
                <w:sz w:val="11"/>
                <w:szCs w:val="11"/>
                <w:color w:val="auto"/>
              </w:rPr>
              <w:t>6.11%</w:t>
            </w:r>
          </w:p>
        </w:tc>
        <w:tc>
          <w:tcPr>
            <w:tcW w:w="80" w:type="dxa"/>
            <w:vAlign w:val="bottom"/>
            <w:gridSpan w:val="2"/>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1,986,856</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30,245</w:t>
            </w: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6.17%</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tcPr>
          <w:p>
            <w:pPr>
              <w:ind w:left="100"/>
              <w:spacing w:after="0"/>
              <w:rPr>
                <w:sz w:val="20"/>
                <w:szCs w:val="20"/>
                <w:color w:val="auto"/>
              </w:rPr>
            </w:pPr>
            <w:r>
              <w:rPr>
                <w:rFonts w:ascii="Arial" w:cs="Arial" w:eastAsia="Arial" w:hAnsi="Arial"/>
                <w:sz w:val="11"/>
                <w:szCs w:val="11"/>
                <w:color w:val="auto"/>
              </w:rPr>
              <w:t xml:space="preserve">Investment securities </w:t>
            </w:r>
            <w:r>
              <w:rPr>
                <w:rFonts w:ascii="Arial" w:cs="Arial" w:eastAsia="Arial" w:hAnsi="Arial"/>
                <w:sz w:val="14"/>
                <w:szCs w:val="14"/>
                <w:color w:val="auto"/>
                <w:vertAlign w:val="superscript"/>
              </w:rPr>
              <w:t>(4)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454,262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3,411</w:t>
            </w:r>
          </w:p>
        </w:tc>
        <w:tc>
          <w:tcPr>
            <w:tcW w:w="740" w:type="dxa"/>
            <w:vAlign w:val="bottom"/>
            <w:gridSpan w:val="2"/>
          </w:tcPr>
          <w:p>
            <w:pPr>
              <w:ind w:left="380"/>
              <w:spacing w:after="0"/>
              <w:rPr>
                <w:sz w:val="20"/>
                <w:szCs w:val="20"/>
                <w:color w:val="auto"/>
              </w:rPr>
            </w:pPr>
            <w:r>
              <w:rPr>
                <w:rFonts w:ascii="Arial" w:cs="Arial" w:eastAsia="Arial" w:hAnsi="Arial"/>
                <w:sz w:val="11"/>
                <w:szCs w:val="11"/>
                <w:color w:val="auto"/>
              </w:rPr>
              <w:t>3.05%</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436,935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3,024</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2.81%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interest-earnings assets</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105,457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832</w:t>
            </w: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ind w:left="340"/>
              <w:spacing w:after="0"/>
              <w:rPr>
                <w:sz w:val="20"/>
                <w:szCs w:val="20"/>
                <w:color w:val="auto"/>
              </w:rPr>
            </w:pPr>
            <w:r>
              <w:rPr>
                <w:rFonts w:ascii="Arial" w:cs="Arial" w:eastAsia="Arial" w:hAnsi="Arial"/>
                <w:sz w:val="11"/>
                <w:szCs w:val="11"/>
                <w:color w:val="auto"/>
              </w:rPr>
              <w:t>3.20%</w:t>
            </w: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1"/>
                <w:szCs w:val="11"/>
                <w:color w:val="auto"/>
              </w:rPr>
              <w:t>75,182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709</w:t>
            </w: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620" w:type="dxa"/>
            <w:vAlign w:val="bottom"/>
          </w:tcPr>
          <w:p>
            <w:pPr>
              <w:ind w:left="200"/>
              <w:spacing w:after="0"/>
              <w:rPr>
                <w:sz w:val="20"/>
                <w:szCs w:val="20"/>
                <w:color w:val="auto"/>
              </w:rPr>
            </w:pPr>
            <w:r>
              <w:rPr>
                <w:rFonts w:ascii="Arial" w:cs="Arial" w:eastAsia="Arial" w:hAnsi="Arial"/>
                <w:sz w:val="11"/>
                <w:szCs w:val="11"/>
                <w:color w:val="auto"/>
              </w:rPr>
              <w:t>Total interest-earning assets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2,737,453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37,032</w:t>
            </w:r>
          </w:p>
        </w:tc>
        <w:tc>
          <w:tcPr>
            <w:tcW w:w="740" w:type="dxa"/>
            <w:vAlign w:val="bottom"/>
            <w:gridSpan w:val="2"/>
          </w:tcPr>
          <w:p>
            <w:pPr>
              <w:ind w:left="380"/>
              <w:spacing w:after="0"/>
              <w:rPr>
                <w:sz w:val="20"/>
                <w:szCs w:val="20"/>
                <w:color w:val="auto"/>
              </w:rPr>
            </w:pPr>
            <w:r>
              <w:rPr>
                <w:rFonts w:ascii="Arial" w:cs="Arial" w:eastAsia="Arial" w:hAnsi="Arial"/>
                <w:sz w:val="11"/>
                <w:szCs w:val="11"/>
                <w:color w:val="auto"/>
              </w:rPr>
              <w:t>5.49%</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2,498,973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33,978</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5.51%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Non-interest-earning assets</w:t>
            </w: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97,264</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107,620</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620" w:type="dxa"/>
            <w:vAlign w:val="bottom"/>
          </w:tcPr>
          <w:p>
            <w:pPr>
              <w:ind w:left="200"/>
              <w:spacing w:after="0"/>
              <w:rPr>
                <w:sz w:val="20"/>
                <w:szCs w:val="20"/>
                <w:color w:val="auto"/>
              </w:rPr>
            </w:pPr>
            <w:r>
              <w:rPr>
                <w:rFonts w:ascii="Arial" w:cs="Arial" w:eastAsia="Arial" w:hAnsi="Arial"/>
                <w:sz w:val="11"/>
                <w:szCs w:val="11"/>
                <w:color w:val="auto"/>
              </w:rPr>
              <w:t>Total assets</w:t>
            </w:r>
          </w:p>
        </w:tc>
        <w:tc>
          <w:tcPr>
            <w:tcW w:w="100" w:type="dxa"/>
            <w:vAlign w:val="bottom"/>
            <w:gridSpan w:val="2"/>
          </w:tcPr>
          <w:p>
            <w:pPr>
              <w:jc w:val="right"/>
              <w:ind w:right="17"/>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2,834,717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gridSpan w:val="3"/>
          </w:tcPr>
          <w:p>
            <w:pPr>
              <w:jc w:val="right"/>
              <w:ind w:right="17"/>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2,606,593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Liabilities and stockholders' equity</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20" w:type="dxa"/>
            <w:vAlign w:val="bottom"/>
          </w:tcPr>
          <w:p>
            <w:pPr>
              <w:spacing w:after="0"/>
              <w:rPr>
                <w:sz w:val="20"/>
                <w:szCs w:val="20"/>
                <w:color w:val="auto"/>
              </w:rPr>
            </w:pPr>
            <w:r>
              <w:rPr>
                <w:rFonts w:ascii="Arial" w:cs="Arial" w:eastAsia="Arial" w:hAnsi="Arial"/>
                <w:sz w:val="11"/>
                <w:szCs w:val="11"/>
                <w:b w:val="1"/>
                <w:bCs w:val="1"/>
                <w:color w:val="auto"/>
              </w:rPr>
              <w:t>Interest-bearing liabilities: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Interest-bearing demand deposits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52,099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310</w:t>
            </w: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ind w:left="340"/>
              <w:spacing w:after="0"/>
              <w:rPr>
                <w:sz w:val="20"/>
                <w:szCs w:val="20"/>
                <w:color w:val="auto"/>
              </w:rPr>
            </w:pPr>
            <w:r>
              <w:rPr>
                <w:rFonts w:ascii="Arial" w:cs="Arial" w:eastAsia="Arial" w:hAnsi="Arial"/>
                <w:sz w:val="11"/>
                <w:szCs w:val="11"/>
                <w:color w:val="auto"/>
              </w:rPr>
              <w:t>2.41%</w:t>
            </w:r>
          </w:p>
        </w:tc>
        <w:tc>
          <w:tcPr>
            <w:tcW w:w="80" w:type="dxa"/>
            <w:vAlign w:val="bottom"/>
            <w:gridSpan w:val="2"/>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ind w:left="360"/>
              <w:spacing w:after="0"/>
              <w:rPr>
                <w:sz w:val="20"/>
                <w:szCs w:val="20"/>
                <w:color w:val="auto"/>
              </w:rPr>
            </w:pPr>
            <w:r>
              <w:rPr>
                <w:rFonts w:ascii="Arial" w:cs="Arial" w:eastAsia="Arial" w:hAnsi="Arial"/>
                <w:sz w:val="11"/>
                <w:szCs w:val="11"/>
                <w:color w:val="auto"/>
              </w:rPr>
              <w:t>53,611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338</w:t>
            </w: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2.56%</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620" w:type="dxa"/>
            <w:vAlign w:val="bottom"/>
          </w:tcPr>
          <w:p>
            <w:pPr>
              <w:ind w:left="100"/>
              <w:spacing w:after="0"/>
              <w:rPr>
                <w:sz w:val="20"/>
                <w:szCs w:val="20"/>
                <w:color w:val="auto"/>
              </w:rPr>
            </w:pPr>
            <w:r>
              <w:rPr>
                <w:rFonts w:ascii="Arial" w:cs="Arial" w:eastAsia="Arial" w:hAnsi="Arial"/>
                <w:sz w:val="11"/>
                <w:szCs w:val="11"/>
                <w:color w:val="auto"/>
              </w:rPr>
              <w:t>Saving and money market deposits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1,256,418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8,133</w:t>
            </w:r>
          </w:p>
        </w:tc>
        <w:tc>
          <w:tcPr>
            <w:tcW w:w="740" w:type="dxa"/>
            <w:vAlign w:val="bottom"/>
            <w:gridSpan w:val="2"/>
          </w:tcPr>
          <w:p>
            <w:pPr>
              <w:ind w:left="380"/>
              <w:spacing w:after="0"/>
              <w:rPr>
                <w:sz w:val="20"/>
                <w:szCs w:val="20"/>
                <w:color w:val="auto"/>
              </w:rPr>
            </w:pPr>
            <w:r>
              <w:rPr>
                <w:rFonts w:ascii="Arial" w:cs="Arial" w:eastAsia="Arial" w:hAnsi="Arial"/>
                <w:sz w:val="11"/>
                <w:szCs w:val="11"/>
                <w:color w:val="auto"/>
              </w:rPr>
              <w:t>2.63%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1,199,027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9,335</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3.16%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Time deposits</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533,766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4,700</w:t>
            </w: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ind w:left="340"/>
              <w:spacing w:after="0"/>
              <w:rPr>
                <w:sz w:val="20"/>
                <w:szCs w:val="20"/>
                <w:color w:val="auto"/>
              </w:rPr>
            </w:pPr>
            <w:r>
              <w:rPr>
                <w:rFonts w:ascii="Arial" w:cs="Arial" w:eastAsia="Arial" w:hAnsi="Arial"/>
                <w:sz w:val="11"/>
                <w:szCs w:val="11"/>
                <w:color w:val="auto"/>
              </w:rPr>
              <w:t>3.57%</w:t>
            </w: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399,509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3,918</w:t>
            </w: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3.98%</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620" w:type="dxa"/>
            <w:vAlign w:val="bottom"/>
          </w:tcPr>
          <w:p>
            <w:pPr>
              <w:ind w:left="200"/>
              <w:spacing w:after="0"/>
              <w:rPr>
                <w:sz w:val="20"/>
                <w:szCs w:val="20"/>
                <w:color w:val="auto"/>
              </w:rPr>
            </w:pPr>
            <w:r>
              <w:rPr>
                <w:rFonts w:ascii="Arial" w:cs="Arial" w:eastAsia="Arial" w:hAnsi="Arial"/>
                <w:sz w:val="11"/>
                <w:szCs w:val="11"/>
                <w:color w:val="auto"/>
              </w:rPr>
              <w:t>Total interest-bearing deposits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1,842,283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13,143</w:t>
            </w:r>
          </w:p>
        </w:tc>
        <w:tc>
          <w:tcPr>
            <w:tcW w:w="740" w:type="dxa"/>
            <w:vAlign w:val="bottom"/>
            <w:gridSpan w:val="2"/>
          </w:tcPr>
          <w:p>
            <w:pPr>
              <w:ind w:left="380"/>
              <w:spacing w:after="0"/>
              <w:rPr>
                <w:sz w:val="20"/>
                <w:szCs w:val="20"/>
                <w:color w:val="auto"/>
              </w:rPr>
            </w:pPr>
            <w:r>
              <w:rPr>
                <w:rFonts w:ascii="Arial" w:cs="Arial" w:eastAsia="Arial" w:hAnsi="Arial"/>
                <w:sz w:val="11"/>
                <w:szCs w:val="11"/>
                <w:color w:val="auto"/>
              </w:rPr>
              <w:t>2.89%</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1,652,147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13,591</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3.34%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FHLB advances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110,045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1,040</w:t>
            </w: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ind w:left="340"/>
              <w:spacing w:after="0"/>
              <w:rPr>
                <w:sz w:val="20"/>
                <w:szCs w:val="20"/>
                <w:color w:val="auto"/>
              </w:rPr>
            </w:pPr>
            <w:r>
              <w:rPr>
                <w:rFonts w:ascii="Arial" w:cs="Arial" w:eastAsia="Arial" w:hAnsi="Arial"/>
                <w:sz w:val="11"/>
                <w:szCs w:val="11"/>
                <w:color w:val="auto"/>
              </w:rPr>
              <w:t>3.83%</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138,944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1,272</w:t>
            </w: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3.71%</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620" w:type="dxa"/>
            <w:vAlign w:val="bottom"/>
          </w:tcPr>
          <w:p>
            <w:pPr>
              <w:ind w:left="100"/>
              <w:spacing w:after="0"/>
              <w:rPr>
                <w:sz w:val="20"/>
                <w:szCs w:val="20"/>
                <w:color w:val="auto"/>
              </w:rPr>
            </w:pPr>
            <w:r>
              <w:rPr>
                <w:rFonts w:ascii="Arial" w:cs="Arial" w:eastAsia="Arial" w:hAnsi="Arial"/>
                <w:sz w:val="11"/>
                <w:szCs w:val="11"/>
                <w:color w:val="auto"/>
              </w:rPr>
              <w:t>Subordinated notes</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39,313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801</w:t>
            </w:r>
          </w:p>
        </w:tc>
        <w:tc>
          <w:tcPr>
            <w:tcW w:w="740" w:type="dxa"/>
            <w:vAlign w:val="bottom"/>
            <w:tcBorders>
              <w:bottom w:val="single" w:sz="8" w:color="CCEEFF"/>
            </w:tcBorders>
            <w:gridSpan w:val="2"/>
          </w:tcPr>
          <w:p>
            <w:pPr>
              <w:ind w:left="380"/>
              <w:spacing w:after="0"/>
              <w:rPr>
                <w:sz w:val="20"/>
                <w:szCs w:val="20"/>
                <w:color w:val="auto"/>
              </w:rPr>
            </w:pPr>
            <w:r>
              <w:rPr>
                <w:rFonts w:ascii="Arial" w:cs="Arial" w:eastAsia="Arial" w:hAnsi="Arial"/>
                <w:sz w:val="11"/>
                <w:szCs w:val="11"/>
                <w:color w:val="auto"/>
              </w:rPr>
              <w:t>8.26%</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6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interest-bearing liabilities</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1,991,641</w:t>
            </w: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14,984</w:t>
            </w:r>
          </w:p>
        </w:tc>
        <w:tc>
          <w:tcPr>
            <w:tcW w:w="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1"/>
                <w:szCs w:val="11"/>
                <w:color w:val="auto"/>
              </w:rPr>
              <w:t>3.05%</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1,791,091</w:t>
            </w: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14,863</w:t>
            </w:r>
          </w:p>
        </w:tc>
        <w:tc>
          <w:tcPr>
            <w:tcW w:w="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3.37%</w:t>
            </w: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20" w:type="dxa"/>
            <w:vAlign w:val="bottom"/>
          </w:tcPr>
          <w:p>
            <w:pPr>
              <w:ind w:left="100"/>
              <w:spacing w:after="0"/>
              <w:rPr>
                <w:sz w:val="20"/>
                <w:szCs w:val="20"/>
                <w:color w:val="auto"/>
              </w:rPr>
            </w:pPr>
            <w:r>
              <w:rPr>
                <w:rFonts w:ascii="Arial" w:cs="Arial" w:eastAsia="Arial" w:hAnsi="Arial"/>
                <w:sz w:val="11"/>
                <w:szCs w:val="11"/>
                <w:color w:val="auto"/>
              </w:rPr>
              <w:t>Non-interest-bearing demand deposits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584,784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563,040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non-interest-bearing liabilities</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36,066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1"/>
                <w:szCs w:val="11"/>
                <w:color w:val="auto"/>
              </w:rPr>
              <w:t>32,957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620" w:type="dxa"/>
            <w:vAlign w:val="bottom"/>
          </w:tcPr>
          <w:p>
            <w:pPr>
              <w:ind w:left="200"/>
              <w:spacing w:after="0"/>
              <w:rPr>
                <w:sz w:val="20"/>
                <w:szCs w:val="20"/>
                <w:color w:val="auto"/>
              </w:rPr>
            </w:pPr>
            <w:r>
              <w:rPr>
                <w:rFonts w:ascii="Arial" w:cs="Arial" w:eastAsia="Arial" w:hAnsi="Arial"/>
                <w:sz w:val="11"/>
                <w:szCs w:val="11"/>
                <w:color w:val="auto"/>
              </w:rPr>
              <w:t>Total liabilities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2,612,491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2,387,088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Stockholders' equity</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222,226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219,505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620" w:type="dxa"/>
            <w:vAlign w:val="bottom"/>
          </w:tcPr>
          <w:p>
            <w:pPr>
              <w:ind w:left="200"/>
              <w:spacing w:after="0"/>
              <w:rPr>
                <w:sz w:val="20"/>
                <w:szCs w:val="20"/>
                <w:color w:val="auto"/>
              </w:rPr>
            </w:pPr>
            <w:r>
              <w:rPr>
                <w:rFonts w:ascii="Arial" w:cs="Arial" w:eastAsia="Arial" w:hAnsi="Arial"/>
                <w:sz w:val="11"/>
                <w:szCs w:val="11"/>
                <w:color w:val="auto"/>
              </w:rPr>
              <w:t>Total liabilities and stockholders' equity</w:t>
            </w:r>
          </w:p>
        </w:tc>
        <w:tc>
          <w:tcPr>
            <w:tcW w:w="100" w:type="dxa"/>
            <w:vAlign w:val="bottom"/>
            <w:gridSpan w:val="2"/>
          </w:tcPr>
          <w:p>
            <w:pPr>
              <w:jc w:val="right"/>
              <w:ind w:right="17"/>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2,834,717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gridSpan w:val="3"/>
          </w:tcPr>
          <w:p>
            <w:pPr>
              <w:jc w:val="right"/>
              <w:ind w:right="17"/>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2,606,593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2620" w:type="dxa"/>
            <w:vAlign w:val="bottom"/>
            <w:tcBorders>
              <w:top w:val="single" w:sz="8" w:color="CCEEFF"/>
            </w:tcBorders>
            <w:shd w:val="clear" w:color="auto" w:fill="CCEEFF"/>
          </w:tcPr>
          <w:p>
            <w:pPr>
              <w:spacing w:after="0" w:line="112" w:lineRule="exact"/>
              <w:rPr>
                <w:sz w:val="20"/>
                <w:szCs w:val="20"/>
                <w:color w:val="auto"/>
              </w:rPr>
            </w:pPr>
            <w:r>
              <w:rPr>
                <w:rFonts w:ascii="Arial" w:cs="Arial" w:eastAsia="Arial" w:hAnsi="Arial"/>
                <w:sz w:val="11"/>
                <w:szCs w:val="11"/>
                <w:color w:val="auto"/>
              </w:rPr>
              <w:t>Net interest income</w:t>
            </w: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gridSpan w:val="3"/>
            <w:shd w:val="clear" w:color="auto" w:fill="CCEEFF"/>
          </w:tcPr>
          <w:p>
            <w:pPr>
              <w:jc w:val="right"/>
              <w:ind w:right="57"/>
              <w:spacing w:after="0" w:line="112" w:lineRule="exact"/>
              <w:rPr>
                <w:sz w:val="20"/>
                <w:szCs w:val="20"/>
                <w:color w:val="auto"/>
              </w:rPr>
            </w:pPr>
            <w:r>
              <w:rPr>
                <w:rFonts w:ascii="Arial" w:cs="Arial" w:eastAsia="Arial" w:hAnsi="Arial"/>
                <w:sz w:val="11"/>
                <w:szCs w:val="11"/>
                <w:color w:val="auto"/>
              </w:rPr>
              <w:t>$</w:t>
            </w:r>
          </w:p>
        </w:tc>
        <w:tc>
          <w:tcPr>
            <w:tcW w:w="720" w:type="dxa"/>
            <w:vAlign w:val="bottom"/>
            <w:tcBorders>
              <w:top w:val="single" w:sz="8" w:color="CCEEFF"/>
            </w:tcBorders>
            <w:shd w:val="clear" w:color="auto" w:fill="CCEEFF"/>
          </w:tcPr>
          <w:p>
            <w:pPr>
              <w:jc w:val="right"/>
              <w:spacing w:after="0" w:line="112" w:lineRule="exact"/>
              <w:rPr>
                <w:sz w:val="20"/>
                <w:szCs w:val="20"/>
                <w:color w:val="auto"/>
              </w:rPr>
            </w:pPr>
            <w:r>
              <w:rPr>
                <w:rFonts w:ascii="Arial" w:cs="Arial" w:eastAsia="Arial" w:hAnsi="Arial"/>
                <w:sz w:val="11"/>
                <w:szCs w:val="11"/>
                <w:color w:val="auto"/>
              </w:rPr>
              <w:t>22,048</w:t>
            </w:r>
          </w:p>
        </w:tc>
        <w:tc>
          <w:tcPr>
            <w:tcW w:w="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gridSpan w:val="3"/>
            <w:shd w:val="clear" w:color="auto" w:fill="CCEEFF"/>
          </w:tcPr>
          <w:p>
            <w:pPr>
              <w:jc w:val="right"/>
              <w:ind w:right="57"/>
              <w:spacing w:after="0" w:line="112" w:lineRule="exact"/>
              <w:rPr>
                <w:sz w:val="20"/>
                <w:szCs w:val="20"/>
                <w:color w:val="auto"/>
              </w:rPr>
            </w:pPr>
            <w:r>
              <w:rPr>
                <w:rFonts w:ascii="Arial" w:cs="Arial" w:eastAsia="Arial" w:hAnsi="Arial"/>
                <w:sz w:val="11"/>
                <w:szCs w:val="11"/>
                <w:color w:val="auto"/>
              </w:rPr>
              <w:t>$</w:t>
            </w:r>
          </w:p>
        </w:tc>
        <w:tc>
          <w:tcPr>
            <w:tcW w:w="720" w:type="dxa"/>
            <w:vAlign w:val="bottom"/>
            <w:tcBorders>
              <w:top w:val="single" w:sz="8" w:color="CCEEFF"/>
            </w:tcBorders>
            <w:shd w:val="clear" w:color="auto" w:fill="CCEEFF"/>
          </w:tcPr>
          <w:p>
            <w:pPr>
              <w:jc w:val="right"/>
              <w:ind w:right="3"/>
              <w:spacing w:after="0" w:line="112" w:lineRule="exact"/>
              <w:rPr>
                <w:sz w:val="20"/>
                <w:szCs w:val="20"/>
                <w:color w:val="auto"/>
              </w:rPr>
            </w:pPr>
            <w:r>
              <w:rPr>
                <w:rFonts w:ascii="Arial" w:cs="Arial" w:eastAsia="Arial" w:hAnsi="Arial"/>
                <w:sz w:val="11"/>
                <w:szCs w:val="11"/>
                <w:color w:val="auto"/>
              </w:rPr>
              <w:t>19,115</w:t>
            </w:r>
          </w:p>
        </w:tc>
        <w:tc>
          <w:tcPr>
            <w:tcW w:w="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Arial" w:cs="Arial" w:eastAsia="Arial" w:hAnsi="Arial"/>
                <w:sz w:val="11"/>
                <w:szCs w:val="11"/>
                <w:color w:val="auto"/>
              </w:rPr>
              <w:t xml:space="preserve">Net interest spread </w:t>
            </w:r>
            <w:r>
              <w:rPr>
                <w:rFonts w:ascii="Arial" w:cs="Arial" w:eastAsia="Arial" w:hAnsi="Arial"/>
                <w:sz w:val="14"/>
                <w:szCs w:val="14"/>
                <w:color w:val="auto"/>
                <w:vertAlign w:val="superscript"/>
              </w:rPr>
              <w:t>(5)</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gridSpan w:val="2"/>
            <w:vMerge w:val="restart"/>
          </w:tcPr>
          <w:p>
            <w:pPr>
              <w:ind w:left="380"/>
              <w:spacing w:after="0"/>
              <w:rPr>
                <w:sz w:val="20"/>
                <w:szCs w:val="20"/>
                <w:color w:val="auto"/>
              </w:rPr>
            </w:pPr>
            <w:r>
              <w:rPr>
                <w:rFonts w:ascii="Arial" w:cs="Arial" w:eastAsia="Arial" w:hAnsi="Arial"/>
                <w:sz w:val="11"/>
                <w:szCs w:val="11"/>
                <w:color w:val="auto"/>
              </w:rPr>
              <w:t>2.44%</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1"/>
                <w:szCs w:val="11"/>
                <w:color w:val="auto"/>
              </w:rPr>
              <w:t>2.14%</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spacing w:after="0"/>
              <w:rPr>
                <w:sz w:val="20"/>
                <w:szCs w:val="20"/>
                <w:color w:val="auto"/>
              </w:rPr>
            </w:pPr>
            <w:r>
              <w:rPr>
                <w:rFonts w:ascii="Arial" w:cs="Arial" w:eastAsia="Arial" w:hAnsi="Arial"/>
                <w:sz w:val="11"/>
                <w:szCs w:val="11"/>
                <w:color w:val="auto"/>
              </w:rPr>
              <w:t xml:space="preserve">Net interest margin </w:t>
            </w:r>
            <w:r>
              <w:rPr>
                <w:rFonts w:ascii="Arial" w:cs="Arial" w:eastAsia="Arial" w:hAnsi="Arial"/>
                <w:sz w:val="14"/>
                <w:szCs w:val="14"/>
                <w:color w:val="auto"/>
                <w:vertAlign w:val="superscript"/>
              </w:rPr>
              <w:t>(6)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3.27%</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3.10%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860" w:hanging="197"/>
        <w:spacing w:after="0"/>
        <w:tabs>
          <w:tab w:leader="none" w:pos="8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Average balances - Daily average balances are used to calculate yields/rates.</w:t>
      </w:r>
    </w:p>
    <w:p>
      <w:pPr>
        <w:spacing w:after="0" w:line="33" w:lineRule="exact"/>
        <w:rPr>
          <w:rFonts w:ascii="Arial" w:cs="Arial" w:eastAsia="Arial" w:hAnsi="Arial"/>
          <w:sz w:val="11"/>
          <w:szCs w:val="11"/>
          <w:color w:val="auto"/>
        </w:rPr>
      </w:pPr>
    </w:p>
    <w:p>
      <w:pPr>
        <w:ind w:left="860" w:hanging="197"/>
        <w:spacing w:after="0"/>
        <w:tabs>
          <w:tab w:leader="none" w:pos="8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Annualized.</w:t>
      </w:r>
    </w:p>
    <w:p>
      <w:pPr>
        <w:spacing w:after="0" w:line="33" w:lineRule="exact"/>
        <w:rPr>
          <w:rFonts w:ascii="Arial" w:cs="Arial" w:eastAsia="Arial" w:hAnsi="Arial"/>
          <w:sz w:val="11"/>
          <w:szCs w:val="11"/>
          <w:color w:val="auto"/>
        </w:rPr>
      </w:pPr>
    </w:p>
    <w:p>
      <w:pPr>
        <w:ind w:left="660" w:right="739" w:firstLine="3"/>
        <w:spacing w:after="0" w:line="286" w:lineRule="auto"/>
        <w:tabs>
          <w:tab w:leader="none" w:pos="864" w:val="left"/>
        </w:tabs>
        <w:numPr>
          <w:ilvl w:val="0"/>
          <w:numId w:val="20"/>
        </w:numPr>
        <w:rPr>
          <w:rFonts w:ascii="Arial" w:cs="Arial" w:eastAsia="Arial" w:hAnsi="Arial"/>
          <w:sz w:val="11"/>
          <w:szCs w:val="11"/>
          <w:color w:val="auto"/>
        </w:rPr>
      </w:pPr>
      <w:r>
        <w:rPr>
          <w:rFonts w:ascii="Arial" w:cs="Arial" w:eastAsia="Arial" w:hAnsi="Arial"/>
          <w:sz w:val="11"/>
          <w:szCs w:val="11"/>
          <w:color w:val="auto"/>
        </w:rPr>
        <w:t>Average loan balances include deferred fees/costs and non-accrual loans. Interest income on loans includes accretion of deferred loan fees, net of deferred loan costs.</w:t>
      </w:r>
    </w:p>
    <w:p>
      <w:pPr>
        <w:spacing w:after="0" w:line="7" w:lineRule="exact"/>
        <w:rPr>
          <w:rFonts w:ascii="Arial" w:cs="Arial" w:eastAsia="Arial" w:hAnsi="Arial"/>
          <w:sz w:val="11"/>
          <w:szCs w:val="11"/>
          <w:color w:val="auto"/>
        </w:rPr>
      </w:pPr>
    </w:p>
    <w:p>
      <w:pPr>
        <w:ind w:left="860" w:hanging="197"/>
        <w:spacing w:after="0"/>
        <w:tabs>
          <w:tab w:leader="none" w:pos="8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At fair value except for securities held to maturity. This amount includes FHLB stock.</w:t>
      </w:r>
    </w:p>
    <w:p>
      <w:pPr>
        <w:spacing w:after="0" w:line="33" w:lineRule="exact"/>
        <w:rPr>
          <w:rFonts w:ascii="Arial" w:cs="Arial" w:eastAsia="Arial" w:hAnsi="Arial"/>
          <w:sz w:val="11"/>
          <w:szCs w:val="11"/>
          <w:color w:val="auto"/>
        </w:rPr>
      </w:pPr>
    </w:p>
    <w:p>
      <w:pPr>
        <w:ind w:left="860" w:hanging="197"/>
        <w:spacing w:after="0"/>
        <w:tabs>
          <w:tab w:leader="none" w:pos="8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Net interest spread is the weighted average yield on total interest-earning assets minus the weighted average rate on total interest-bearing liabilities.</w:t>
      </w:r>
    </w:p>
    <w:p>
      <w:pPr>
        <w:spacing w:after="0" w:line="54" w:lineRule="exact"/>
        <w:rPr>
          <w:rFonts w:ascii="Arial" w:cs="Arial" w:eastAsia="Arial" w:hAnsi="Arial"/>
          <w:sz w:val="11"/>
          <w:szCs w:val="11"/>
          <w:color w:val="auto"/>
        </w:rPr>
      </w:pPr>
    </w:p>
    <w:p>
      <w:pPr>
        <w:ind w:left="860" w:hanging="197"/>
        <w:spacing w:after="0"/>
        <w:tabs>
          <w:tab w:leader="none" w:pos="8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Net interest margin is the ratio of net interest income to average total interest-earning assets.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March 31, 2026 compared to the three months ended March 31, 2025</w:t>
      </w:r>
    </w:p>
    <w:p>
      <w:pPr>
        <w:spacing w:after="0" w:line="157"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Net interest income before the provision for credit losses was $22.0 million for the three months ended March 31, 2026, an increase of $2.9 million or 15.3%, from $19.1 million for the same period in 2025. This growth was primarily driven by higher income from a larger loan portfolio and a reduction in the weighted average rates paid on interest-bearing liabilities between periods.</w:t>
      </w:r>
    </w:p>
    <w:p>
      <w:pPr>
        <w:spacing w:after="0" w:line="135"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The NIM was 3.27% for the three months ended March 31, 2026 and 3.10% for the same period in 2025. The NIM expansion of 17 basis points reflects primarily the increase in the loan portfolio average balance , along with a decrease in the weighted average interest rate paid on interest-bearing liabilities, particularly in savings and money market deposits.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Provision for Credit Losses</w:t>
      </w:r>
    </w:p>
    <w:p>
      <w:pPr>
        <w:spacing w:after="0" w:line="168" w:lineRule="exact"/>
        <w:rPr>
          <w:sz w:val="20"/>
          <w:szCs w:val="20"/>
          <w:color w:val="auto"/>
        </w:rPr>
      </w:pPr>
    </w:p>
    <w:p>
      <w:pPr>
        <w:jc w:val="both"/>
        <w:ind w:left="660" w:right="619" w:firstLine="256"/>
        <w:spacing w:after="0" w:line="251" w:lineRule="auto"/>
        <w:rPr>
          <w:sz w:val="20"/>
          <w:szCs w:val="20"/>
          <w:color w:val="auto"/>
        </w:rPr>
      </w:pPr>
      <w:r>
        <w:rPr>
          <w:rFonts w:ascii="Arial" w:cs="Arial" w:eastAsia="Arial" w:hAnsi="Arial"/>
          <w:sz w:val="14"/>
          <w:szCs w:val="14"/>
          <w:color w:val="auto"/>
        </w:rPr>
        <w:t>The provision for credit losses represents a charge to earnings necessary to maintain an allowance for credit losses at a level that, in management's evaluation, is adequate to provide coverage for all expected credit losses. The provision for credit losses is impacted by variations in the size and composition of our loan and debt securities portfolio, recent historical and projected future economic conditions, our internal assessment of the credit quality of the loan and debt securities portfolios and net charge-offs.</w:t>
      </w:r>
    </w:p>
    <w:p>
      <w:pPr>
        <w:spacing w:after="0" w:line="172"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34" w:name="page35"/>
    <w:bookmarkEnd w:id="3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32"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March 31, 2026 compared to the three months ended March 31, 2025</w:t>
      </w:r>
    </w:p>
    <w:p>
      <w:pPr>
        <w:spacing w:after="0" w:line="168"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The provision for credit losses was $801 thousand for the three months ended March 31, 2026 compared to $681 thousand for the same period in 2025. The increase in the provision for credit losses was due to loan portfolio growth.</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Non-Interest Income</w:t>
      </w:r>
    </w:p>
    <w:p>
      <w:pPr>
        <w:spacing w:after="0" w:line="16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Our services and products generate service charges and fees, mainly from our depository accounts. We also generate income from gain on sale of loans though the SBA 7a loan program and the monetization of fees earned through our loan swap program. In addition, we own and are beneficiaries of the life insurance policies covering certain of our key employees, which policies generate income from the increase in the cash surrender values.</w:t>
      </w:r>
    </w:p>
    <w:p>
      <w:pPr>
        <w:spacing w:after="0" w:line="13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components of non-interest income for the periods indicated (in thousands):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5"/>
          </w:tcPr>
          <w:p>
            <w:pPr>
              <w:jc w:val="right"/>
              <w:ind w:right="96"/>
              <w:spacing w:after="0"/>
              <w:rPr>
                <w:sz w:val="20"/>
                <w:szCs w:val="20"/>
                <w:color w:val="auto"/>
              </w:rPr>
            </w:pPr>
            <w:r>
              <w:rPr>
                <w:rFonts w:ascii="Arial" w:cs="Arial" w:eastAsia="Arial" w:hAnsi="Arial"/>
                <w:sz w:val="13"/>
                <w:szCs w:val="13"/>
                <w:b w:val="1"/>
                <w:bCs w:val="1"/>
                <w:color w:val="auto"/>
                <w:w w:val="99"/>
              </w:rPr>
              <w:t>Three Months Ended March 31,</w:t>
            </w:r>
          </w:p>
        </w:tc>
        <w:tc>
          <w:tcPr>
            <w:tcW w:w="20" w:type="dxa"/>
            <w:vAlign w:val="bottom"/>
          </w:tcPr>
          <w:p>
            <w:pPr>
              <w:spacing w:after="0"/>
              <w:rPr>
                <w:sz w:val="13"/>
                <w:szCs w:val="13"/>
                <w:color w:val="auto"/>
              </w:rPr>
            </w:pPr>
          </w:p>
        </w:tc>
      </w:tr>
      <w:tr>
        <w:trPr>
          <w:trHeight w:val="161"/>
        </w:trPr>
        <w:tc>
          <w:tcPr>
            <w:tcW w:w="100" w:type="dxa"/>
            <w:vAlign w:val="bottom"/>
            <w:tcBorders>
              <w:bottom w:val="single" w:sz="8" w:color="CCEEFF"/>
            </w:tcBorders>
          </w:tcPr>
          <w:p>
            <w:pPr>
              <w:spacing w:after="0"/>
              <w:rPr>
                <w:sz w:val="14"/>
                <w:szCs w:val="14"/>
                <w:color w:val="auto"/>
              </w:rPr>
            </w:pPr>
          </w:p>
        </w:tc>
        <w:tc>
          <w:tcPr>
            <w:tcW w:w="53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2026</w:t>
            </w: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2025</w:t>
            </w:r>
          </w:p>
        </w:tc>
        <w:tc>
          <w:tcPr>
            <w:tcW w:w="20" w:type="dxa"/>
            <w:vAlign w:val="bottom"/>
          </w:tcPr>
          <w:p>
            <w:pPr>
              <w:spacing w:after="0"/>
              <w:rPr>
                <w:sz w:val="14"/>
                <w:szCs w:val="14"/>
                <w:color w:val="auto"/>
              </w:rPr>
            </w:pPr>
          </w:p>
        </w:tc>
      </w:tr>
      <w:tr>
        <w:trPr>
          <w:trHeight w:val="161"/>
        </w:trPr>
        <w:tc>
          <w:tcPr>
            <w:tcW w:w="5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Service fees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3,100</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2,331</w:t>
            </w:r>
          </w:p>
        </w:tc>
        <w:tc>
          <w:tcPr>
            <w:tcW w:w="20" w:type="dxa"/>
            <w:vAlign w:val="bottom"/>
            <w:shd w:val="clear" w:color="auto" w:fill="CCEEFF"/>
          </w:tcPr>
          <w:p>
            <w:pPr>
              <w:spacing w:after="0"/>
              <w:rPr>
                <w:sz w:val="14"/>
                <w:szCs w:val="14"/>
                <w:color w:val="auto"/>
              </w:rPr>
            </w:pPr>
          </w:p>
        </w:tc>
      </w:tr>
      <w:tr>
        <w:trPr>
          <w:trHeight w:val="171"/>
        </w:trPr>
        <w:tc>
          <w:tcPr>
            <w:tcW w:w="5440" w:type="dxa"/>
            <w:vAlign w:val="bottom"/>
            <w:gridSpan w:val="2"/>
          </w:tcPr>
          <w:p>
            <w:pPr>
              <w:spacing w:after="0"/>
              <w:rPr>
                <w:sz w:val="20"/>
                <w:szCs w:val="20"/>
                <w:color w:val="auto"/>
              </w:rPr>
            </w:pPr>
            <w:r>
              <w:rPr>
                <w:rFonts w:ascii="Arial" w:cs="Arial" w:eastAsia="Arial" w:hAnsi="Arial"/>
                <w:sz w:val="13"/>
                <w:szCs w:val="13"/>
                <w:color w:val="auto"/>
              </w:rPr>
              <w:t>Gain on sale of securities available for sale, net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14</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1"/>
        </w:trPr>
        <w:tc>
          <w:tcPr>
            <w:tcW w:w="5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Gain on sale of loans held for sale, net</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w:t>
            </w:r>
          </w:p>
        </w:tc>
        <w:tc>
          <w:tcPr>
            <w:tcW w:w="20" w:type="dxa"/>
            <w:vAlign w:val="bottom"/>
            <w:shd w:val="clear" w:color="auto" w:fill="CCEEFF"/>
          </w:tcPr>
          <w:p>
            <w:pPr>
              <w:spacing w:after="0"/>
              <w:rPr>
                <w:sz w:val="14"/>
                <w:szCs w:val="14"/>
                <w:color w:val="auto"/>
              </w:rPr>
            </w:pPr>
          </w:p>
        </w:tc>
      </w:tr>
      <w:tr>
        <w:trPr>
          <w:trHeight w:val="171"/>
        </w:trPr>
        <w:tc>
          <w:tcPr>
            <w:tcW w:w="544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Other non-interest income</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930</w:t>
            </w: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860</w:t>
            </w:r>
          </w:p>
        </w:tc>
        <w:tc>
          <w:tcPr>
            <w:tcW w:w="20" w:type="dxa"/>
            <w:vAlign w:val="bottom"/>
          </w:tcPr>
          <w:p>
            <w:pPr>
              <w:spacing w:after="0"/>
              <w:rPr>
                <w:sz w:val="14"/>
                <w:szCs w:val="14"/>
                <w:color w:val="auto"/>
              </w:rPr>
            </w:pPr>
          </w:p>
        </w:tc>
      </w:tr>
      <w:tr>
        <w:trPr>
          <w:trHeight w:val="151"/>
        </w:trPr>
        <w:tc>
          <w:tcPr>
            <w:tcW w:w="100" w:type="dxa"/>
            <w:vAlign w:val="bottom"/>
            <w:shd w:val="clear" w:color="auto" w:fill="CCEEFF"/>
          </w:tcPr>
          <w:p>
            <w:pPr>
              <w:spacing w:after="0"/>
              <w:rPr>
                <w:sz w:val="13"/>
                <w:szCs w:val="13"/>
                <w:color w:val="auto"/>
              </w:rPr>
            </w:pPr>
          </w:p>
        </w:tc>
        <w:tc>
          <w:tcPr>
            <w:tcW w:w="534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Total non-interest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4,150</w:t>
            </w:r>
          </w:p>
        </w:tc>
        <w:tc>
          <w:tcPr>
            <w:tcW w:w="6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3,716</w:t>
            </w:r>
          </w:p>
        </w:tc>
        <w:tc>
          <w:tcPr>
            <w:tcW w:w="20" w:type="dxa"/>
            <w:vAlign w:val="bottom"/>
            <w:tcBorders>
              <w:bottom w:val="single" w:sz="8" w:color="auto"/>
            </w:tcBorders>
            <w:shd w:val="clear" w:color="auto" w:fill="CCEEFF"/>
          </w:tcPr>
          <w:p>
            <w:pPr>
              <w:spacing w:after="0"/>
              <w:rPr>
                <w:sz w:val="13"/>
                <w:szCs w:val="13"/>
                <w:color w:val="auto"/>
              </w:rPr>
            </w:pPr>
          </w:p>
        </w:tc>
      </w:tr>
      <w:tr>
        <w:trPr>
          <w:trHeight w:val="20"/>
        </w:trPr>
        <w:tc>
          <w:tcPr>
            <w:tcW w:w="1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March 31, 2026 compared to the three months ended March 31, 2025</w:t>
      </w:r>
    </w:p>
    <w:p>
      <w:pPr>
        <w:spacing w:after="0" w:line="168"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Non-interest income for the three months ended March 31, 2026 increased $434 thousand or 11.7%, compared to the same period in 2025. This increase was primarily driven by $1.5 million increase in income generated by the Company loan swap program reported under service fees in the Consolidated Statements of Operations.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Non-Interest Expense</w:t>
      </w:r>
    </w:p>
    <w:p>
      <w:pPr>
        <w:spacing w:after="0" w:line="16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components of non-interest expense for the dates indicated (in thousands):</w:t>
      </w:r>
    </w:p>
    <w:p>
      <w:pPr>
        <w:sectPr>
          <w:pgSz w:w="11900" w:h="16838" w:orient="portrait"/>
          <w:cols w:equalWidth="0" w:num="1">
            <w:col w:w="9019"/>
          </w:cols>
          <w:pgMar w:left="1440" w:top="477" w:right="1440"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660"/>
        <w:spacing w:after="0"/>
        <w:rPr>
          <w:sz w:val="20"/>
          <w:szCs w:val="20"/>
          <w:color w:val="auto"/>
        </w:rPr>
      </w:pPr>
      <w:r>
        <w:rPr>
          <w:rFonts w:ascii="Arial" w:cs="Arial" w:eastAsia="Arial" w:hAnsi="Arial"/>
          <w:sz w:val="13"/>
          <w:szCs w:val="13"/>
          <w:color w:val="auto"/>
        </w:rPr>
        <w:t>Salaries and employee benefits</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3"/>
          <w:szCs w:val="13"/>
          <w:color w:val="auto"/>
        </w:rPr>
        <w:t>Occupancy</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3"/>
          <w:szCs w:val="13"/>
          <w:color w:val="auto"/>
        </w:rPr>
        <w:t>Regulatory assessment and fees</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3"/>
          <w:szCs w:val="13"/>
          <w:color w:val="auto"/>
        </w:rPr>
        <w:t>Consulting and legal fees</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2"/>
          <w:szCs w:val="12"/>
          <w:color w:val="auto"/>
        </w:rPr>
        <w:t>Network and information technology services</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3"/>
          <w:szCs w:val="13"/>
          <w:color w:val="auto"/>
        </w:rPr>
        <w:t>Other operating</w:t>
      </w:r>
    </w:p>
    <w:p>
      <w:pPr>
        <w:spacing w:after="0" w:line="32" w:lineRule="exact"/>
        <w:rPr>
          <w:sz w:val="20"/>
          <w:szCs w:val="20"/>
          <w:color w:val="auto"/>
        </w:rPr>
      </w:pPr>
    </w:p>
    <w:p>
      <w:pPr>
        <w:ind w:left="760"/>
        <w:spacing w:after="0"/>
        <w:rPr>
          <w:sz w:val="20"/>
          <w:szCs w:val="20"/>
          <w:color w:val="auto"/>
        </w:rPr>
      </w:pPr>
      <w:r>
        <w:rPr>
          <w:rFonts w:ascii="Arial" w:cs="Arial" w:eastAsia="Arial" w:hAnsi="Arial"/>
          <w:sz w:val="13"/>
          <w:szCs w:val="13"/>
          <w:color w:val="auto"/>
        </w:rPr>
        <w:t>Total non-interest expense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2026</w:t>
            </w: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CEEFF"/>
            </w:tcBorders>
          </w:tcPr>
          <w:p>
            <w:pPr>
              <w:jc w:val="right"/>
              <w:ind w:right="56"/>
              <w:spacing w:after="0"/>
              <w:rPr>
                <w:sz w:val="20"/>
                <w:szCs w:val="20"/>
                <w:color w:val="auto"/>
              </w:rPr>
            </w:pPr>
            <w:r>
              <w:rPr>
                <w:rFonts w:ascii="Arial" w:cs="Arial" w:eastAsia="Arial" w:hAnsi="Arial"/>
                <w:sz w:val="13"/>
                <w:szCs w:val="13"/>
                <w:color w:val="auto"/>
              </w:rPr>
              <w:t>8,570</w:t>
            </w:r>
          </w:p>
        </w:tc>
        <w:tc>
          <w:tcPr>
            <w:tcW w:w="220" w:type="dxa"/>
            <w:vAlign w:val="bottom"/>
          </w:tcPr>
          <w:p>
            <w:pPr>
              <w:jc w:val="right"/>
              <w:ind w:right="153"/>
              <w:spacing w:after="0"/>
              <w:rPr>
                <w:sz w:val="20"/>
                <w:szCs w:val="20"/>
                <w:color w:val="auto"/>
              </w:rPr>
            </w:pPr>
            <w:r>
              <w:rPr>
                <w:rFonts w:ascii="Arial" w:cs="Arial" w:eastAsia="Arial" w:hAnsi="Arial"/>
                <w:sz w:val="5"/>
                <w:szCs w:val="5"/>
                <w:color w:val="auto"/>
                <w:w w:val="70"/>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7,636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56"/>
              <w:spacing w:after="0"/>
              <w:rPr>
                <w:sz w:val="20"/>
                <w:szCs w:val="20"/>
                <w:color w:val="auto"/>
              </w:rPr>
            </w:pPr>
            <w:r>
              <w:rPr>
                <w:rFonts w:ascii="Arial" w:cs="Arial" w:eastAsia="Arial" w:hAnsi="Arial"/>
                <w:sz w:val="13"/>
                <w:szCs w:val="13"/>
                <w:color w:val="auto"/>
              </w:rPr>
              <w:t>1,316</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tcBorders>
              <w:right w:val="single" w:sz="8" w:color="CCEEFF"/>
            </w:tcBorders>
          </w:tcPr>
          <w:p>
            <w:pPr>
              <w:jc w:val="right"/>
              <w:ind w:right="56"/>
              <w:spacing w:after="0"/>
              <w:rPr>
                <w:sz w:val="20"/>
                <w:szCs w:val="20"/>
                <w:color w:val="auto"/>
              </w:rPr>
            </w:pPr>
            <w:r>
              <w:rPr>
                <w:rFonts w:ascii="Arial" w:cs="Arial" w:eastAsia="Arial" w:hAnsi="Arial"/>
                <w:sz w:val="13"/>
                <w:szCs w:val="13"/>
                <w:color w:val="auto"/>
              </w:rPr>
              <w:t>484</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56"/>
              <w:spacing w:after="0"/>
              <w:rPr>
                <w:sz w:val="20"/>
                <w:szCs w:val="20"/>
                <w:color w:val="auto"/>
              </w:rPr>
            </w:pPr>
            <w:r>
              <w:rPr>
                <w:rFonts w:ascii="Arial" w:cs="Arial" w:eastAsia="Arial" w:hAnsi="Arial"/>
                <w:sz w:val="13"/>
                <w:szCs w:val="13"/>
                <w:color w:val="auto"/>
              </w:rPr>
              <w:t>561</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tcBorders>
              <w:right w:val="single" w:sz="8" w:color="CCEEFF"/>
            </w:tcBorders>
          </w:tcPr>
          <w:p>
            <w:pPr>
              <w:jc w:val="right"/>
              <w:ind w:right="56"/>
              <w:spacing w:after="0"/>
              <w:rPr>
                <w:sz w:val="20"/>
                <w:szCs w:val="20"/>
                <w:color w:val="auto"/>
              </w:rPr>
            </w:pPr>
            <w:r>
              <w:rPr>
                <w:rFonts w:ascii="Arial" w:cs="Arial" w:eastAsia="Arial" w:hAnsi="Arial"/>
                <w:sz w:val="13"/>
                <w:szCs w:val="13"/>
                <w:color w:val="auto"/>
              </w:rPr>
              <w:t>560</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2,220</w:t>
            </w: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right w:val="single" w:sz="8" w:color="CCEEFF"/>
            </w:tcBorders>
            <w:vMerge w:val="restart"/>
          </w:tcPr>
          <w:p>
            <w:pPr>
              <w:jc w:val="right"/>
              <w:ind w:right="56"/>
              <w:spacing w:after="0"/>
              <w:rPr>
                <w:sz w:val="20"/>
                <w:szCs w:val="20"/>
                <w:color w:val="auto"/>
              </w:rPr>
            </w:pPr>
            <w:r>
              <w:rPr>
                <w:rFonts w:ascii="Arial" w:cs="Arial" w:eastAsia="Arial" w:hAnsi="Arial"/>
                <w:sz w:val="13"/>
                <w:szCs w:val="13"/>
                <w:color w:val="auto"/>
              </w:rPr>
              <w:t>13,711</w:t>
            </w:r>
          </w:p>
        </w:tc>
        <w:tc>
          <w:tcPr>
            <w:tcW w:w="220" w:type="dxa"/>
            <w:vAlign w:val="bottom"/>
            <w:vMerge w:val="restart"/>
          </w:tcPr>
          <w:p>
            <w:pPr>
              <w:jc w:val="right"/>
              <w:ind w:right="153"/>
              <w:spacing w:after="0"/>
              <w:rPr>
                <w:sz w:val="20"/>
                <w:szCs w:val="20"/>
                <w:color w:val="auto"/>
              </w:rPr>
            </w:pPr>
            <w:r>
              <w:rPr>
                <w:rFonts w:ascii="Arial" w:cs="Arial" w:eastAsia="Arial" w:hAnsi="Arial"/>
                <w:sz w:val="5"/>
                <w:szCs w:val="5"/>
                <w:color w:val="auto"/>
                <w:w w:val="70"/>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12,052</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vMerge w:val="continue"/>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CEEFF"/>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ectPr>
          <w:pgSz w:w="11900" w:h="16838" w:orient="portrait"/>
          <w:cols w:equalWidth="0" w:num="2">
            <w:col w:w="5380" w:space="720"/>
            <w:col w:w="2919"/>
          </w:cols>
          <w:pgMar w:left="1440" w:top="477" w:right="1440" w:bottom="1440" w:gutter="0" w:footer="0" w:header="0"/>
          <w:type w:val="continuous"/>
        </w:sectPr>
      </w:pPr>
    </w:p>
    <w:p>
      <w:pPr>
        <w:ind w:left="660"/>
        <w:spacing w:after="0"/>
        <w:rPr>
          <w:sz w:val="20"/>
          <w:szCs w:val="20"/>
          <w:color w:val="auto"/>
        </w:rPr>
      </w:pPr>
      <w:r>
        <w:rPr>
          <w:rFonts w:ascii="Arial" w:cs="Arial" w:eastAsia="Arial" w:hAnsi="Arial"/>
          <w:sz w:val="14"/>
          <w:szCs w:val="14"/>
          <w:i w:val="1"/>
          <w:iCs w:val="1"/>
          <w:color w:val="auto"/>
        </w:rPr>
        <w:t>Three months ended March 31, 2026 compared to the three months ended March 31, 2025</w:t>
      </w:r>
    </w:p>
    <w:p>
      <w:pPr>
        <w:spacing w:after="0" w:line="168"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Non-interest expense for the three months ended March 31, 2026 increased $1.7 million or 13.8%, compared to the same period in 2025. The increase was primarily driven by an increase of $934 thousand in salaries and employee benefits, consisting of $412 thousand related to merit increases and new full-time employee salaries, $342 thousand increase in payroll taxes, and $181 thousand increase in additional stock-based compensation expense. In addition, consulting and legal fees increased $368 thousand, primarily due to model validation-related consulting expenses and human resources consulting costs. Other non-interest expenses increased by $207 thousand, driven by a $60 thousand increase in FDIC insurance expense and $183 thousand increase in promotional expenses between periods.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Provision for Income Tax</w:t>
      </w:r>
    </w:p>
    <w:p>
      <w:pPr>
        <w:spacing w:after="0" w:line="16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Fluctuations in the effective tax rate reflect the effect of the differences in the inclusion or deductibility of certain income and expenses for income tax purposes. Therefore, future decisions on the investments we choose will affect our effective tax rate. The cash surrender value of bank-owned life insurance policies covering key employees, purchasing municipal bonds, and overall levels of taxable income will be important elements in determining our effective tax rate.</w:t>
      </w:r>
    </w:p>
    <w:p>
      <w:pPr>
        <w:spacing w:after="0" w:line="337"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35</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type w:val="continuous"/>
        </w:sectPr>
      </w:pPr>
    </w:p>
    <w:bookmarkStart w:id="35" w:name="page36"/>
    <w:bookmarkEnd w:id="3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32"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March 31, 2026 compared to the three months ended March 31, 2025</w:t>
      </w:r>
    </w:p>
    <w:p>
      <w:pPr>
        <w:spacing w:after="0" w:line="16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Income tax expense for the three months ended March 31, 2026 was $2.3 million as compared to $2.4 million for the same period in 2025. The Company recognized a non-recurring $619 thousand income tax benefit in the first quarter of 2026 due to an adjustment to the deferred tax asset calculation from December 31, 2025. The effective tax rate for the three months ended March 31, 2026 was 19.98% compared to 24.16% for the same period in 2025.</w:t>
      </w:r>
    </w:p>
    <w:p>
      <w:pPr>
        <w:spacing w:after="0" w:line="135" w:lineRule="exact"/>
        <w:rPr>
          <w:sz w:val="20"/>
          <w:szCs w:val="20"/>
          <w:color w:val="auto"/>
        </w:rPr>
      </w:pPr>
    </w:p>
    <w:p>
      <w:pPr>
        <w:ind w:left="660" w:right="719" w:firstLine="256"/>
        <w:spacing w:after="0" w:line="276" w:lineRule="auto"/>
        <w:rPr>
          <w:sz w:val="20"/>
          <w:szCs w:val="20"/>
          <w:color w:val="auto"/>
        </w:rPr>
      </w:pPr>
      <w:r>
        <w:rPr>
          <w:rFonts w:ascii="Arial" w:cs="Arial" w:eastAsia="Arial" w:hAnsi="Arial"/>
          <w:sz w:val="14"/>
          <w:szCs w:val="14"/>
          <w:color w:val="auto"/>
        </w:rPr>
        <w:t>For a further discussion of income taxes, see Note 4 “Income Taxes” to the unaudited Consolidated Financial Statements in Item 1 of Part I of this Form 10-Q.</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Analysis of Financial Condition</w:t>
      </w:r>
    </w:p>
    <w:p>
      <w:pPr>
        <w:spacing w:after="0" w:line="170"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Total assets at March 31, 2026 were $2.85 billion, an increase of $54.2 million, or 7.9% annualized, over total assets of $2.79 billion at December 31, 2025. Total loans, net of deferred fees/costs, increased $51.8 million, or 9.6% annualized, to $2.24 billion at March 31, 2026 compared to $2.19 billion at December 31, 2025. Total deposits increased by $148.5 million, or 25.7% annualized, to $2.49 billion at March 31, 2026 compared to $2.35 billion at December 31, 2025.</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Investment Securities</w:t>
      </w:r>
    </w:p>
    <w:p>
      <w:pPr>
        <w:spacing w:after="0" w:line="16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The investment portfolio is used and managed to provide liquidity through cash flows, marketability and, if necessary, collateral for borrowings. The investment portfolio is also used as a tool to manage interest rate risk and the Company’s capital market risk exposure. The philosophy of the portfolio is to maximize the Company’s profitability taking into consideration the Company’s risk appetite and tolerance, manage its asset composition and diversification, and maintain adequate risk-based capital ratios.</w:t>
      </w:r>
    </w:p>
    <w:p>
      <w:pPr>
        <w:spacing w:after="0" w:line="140" w:lineRule="exact"/>
        <w:rPr>
          <w:sz w:val="20"/>
          <w:szCs w:val="20"/>
          <w:color w:val="auto"/>
        </w:rPr>
      </w:pPr>
    </w:p>
    <w:p>
      <w:pPr>
        <w:jc w:val="both"/>
        <w:ind w:left="660" w:right="699" w:firstLine="256"/>
        <w:spacing w:after="0" w:line="250" w:lineRule="auto"/>
        <w:rPr>
          <w:sz w:val="20"/>
          <w:szCs w:val="20"/>
          <w:color w:val="auto"/>
        </w:rPr>
      </w:pPr>
      <w:r>
        <w:rPr>
          <w:rFonts w:ascii="Arial" w:cs="Arial" w:eastAsia="Arial" w:hAnsi="Arial"/>
          <w:sz w:val="14"/>
          <w:szCs w:val="14"/>
          <w:color w:val="auto"/>
        </w:rPr>
        <w:t>The investment portfolio is managed in accordance with the Board approved Asset and Liability Management (“ALM”) policy, which includes investment guidelines. Such policy is reviewed at least annually or more frequently if deemed necessary, depending on market conditions and/or unexpected events. The investment portfolio composition is subject to change depending on the funding and liquidity needs of the Company, and the interest risk management objective directed by the Asset-Liability Committee (“ALCO”). The portfolio of investments also can be used to modify the duration of the balance sheet. The allocation of cash into securities takes into consideration anticipated future cash flows (uses and sources) and all available sources of credit.</w:t>
      </w:r>
    </w:p>
    <w:p>
      <w:pPr>
        <w:spacing w:after="0" w:line="128"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Our investment portfolio consists primarily of securities issued by the U.S. Government and U.S. Government Agencies and mortgage-backed securities, collateralized mortgage obligations, corporate bonds, municipal securities, other debt securities all with varying contractual maturities and coupons. Due to the optionality embedded in these securities, the contractual maturities do not necessarily represent the expected life of the portfolio. Some of these securities will be called or paid down prior to maturity depending on capital market conditions and expectations. The investment portfolio is regularly reviewed by the Chief Financial Officer, Treasurer, and the ALCO of the Company to ensure an appropriate risk and return profile as well as for adherence to the Company’s investment policies.</w:t>
      </w:r>
    </w:p>
    <w:p>
      <w:pPr>
        <w:spacing w:after="0" w:line="138" w:lineRule="exact"/>
        <w:rPr>
          <w:sz w:val="20"/>
          <w:szCs w:val="20"/>
          <w:color w:val="auto"/>
        </w:rPr>
      </w:pPr>
    </w:p>
    <w:p>
      <w:pPr>
        <w:jc w:val="both"/>
        <w:ind w:left="660" w:right="639" w:firstLine="256"/>
        <w:spacing w:after="0" w:line="251" w:lineRule="auto"/>
        <w:rPr>
          <w:sz w:val="20"/>
          <w:szCs w:val="20"/>
          <w:color w:val="auto"/>
        </w:rPr>
      </w:pPr>
      <w:r>
        <w:rPr>
          <w:rFonts w:ascii="Arial" w:cs="Arial" w:eastAsia="Arial" w:hAnsi="Arial"/>
          <w:sz w:val="14"/>
          <w:szCs w:val="14"/>
          <w:color w:val="auto"/>
        </w:rPr>
        <w:t>When evaluating AFS debt securities under ASC Topic 326, the Company evaluates whether the decline in fair value is attributable to credit losses or other factors like interest rate risk, using both quantitative and qualitative analyses, including company performance analysis, review of credit ratings, vintage bonds, remaining payment terms, prepayment speeds and analysis of macro-economic conditions. As a result of this evaluation, the Company concluded that no allowance was required on AFS securities as of March 31, 2026.</w:t>
      </w:r>
    </w:p>
    <w:p>
      <w:pPr>
        <w:spacing w:after="0" w:line="140" w:lineRule="exact"/>
        <w:rPr>
          <w:sz w:val="20"/>
          <w:szCs w:val="20"/>
          <w:color w:val="auto"/>
        </w:rPr>
      </w:pPr>
    </w:p>
    <w:p>
      <w:pPr>
        <w:jc w:val="both"/>
        <w:ind w:left="660" w:right="679" w:firstLine="256"/>
        <w:spacing w:after="0" w:line="167" w:lineRule="exact"/>
        <w:rPr>
          <w:sz w:val="20"/>
          <w:szCs w:val="20"/>
          <w:color w:val="auto"/>
        </w:rPr>
      </w:pPr>
      <w:r>
        <w:rPr>
          <w:rFonts w:ascii="Arial" w:cs="Arial" w:eastAsia="Arial" w:hAnsi="Arial"/>
          <w:sz w:val="14"/>
          <w:szCs w:val="14"/>
          <w:color w:val="auto"/>
        </w:rPr>
        <w:t>At quarter end, HTM securities included $141.9 million of U.S. Government and U.S. Government Agencies issued bonds and mortgage-backed securities. Because of the explicit and/or implicit guarantee on these bonds, the Company holds no reserves on these holdings. The remaining portion of the HTM portfolio is made up of $8.0 million in investment grade corporate bonds that mature in May of 2026. Using the PD/LGD methodology and considering the short remaining maturity of the HTM securities exposed to non</w:t>
      </w:r>
      <w:r>
        <w:rPr>
          <w:rFonts w:ascii="MS PGothic" w:cs="MS PGothic" w:eastAsia="MS PGothic" w:hAnsi="MS PGothic"/>
          <w:sz w:val="14"/>
          <w:szCs w:val="14"/>
          <w:color w:val="auto"/>
        </w:rPr>
        <w:t>‑</w:t>
      </w:r>
      <w:r>
        <w:rPr>
          <w:rFonts w:ascii="Arial" w:cs="Arial" w:eastAsia="Arial" w:hAnsi="Arial"/>
          <w:sz w:val="14"/>
          <w:szCs w:val="14"/>
          <w:color w:val="auto"/>
        </w:rPr>
        <w:t>government credit risk, the Company estimated an allowance for credit losses (“ACL”) of $0 as of March 31, 2026. The book value for debt securities classified as HTM represents amortized cost less ACL.</w:t>
      </w:r>
    </w:p>
    <w:p>
      <w:pPr>
        <w:spacing w:after="0" w:line="148"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Aggregate AFS and HTM investment securities decreased $34.3 million to $427.1 million at March 31, 2026 from $461.4 million at December 31, 2025. The decrease was primarily attributable to $38.2 million of AFS securities sold during the quarter ended March 31, 2026.</w:t>
      </w:r>
    </w:p>
    <w:p>
      <w:pPr>
        <w:spacing w:after="0" w:line="200" w:lineRule="exact"/>
        <w:rPr>
          <w:sz w:val="20"/>
          <w:szCs w:val="20"/>
          <w:color w:val="auto"/>
        </w:rPr>
      </w:pPr>
    </w:p>
    <w:p>
      <w:pPr>
        <w:spacing w:after="0" w:line="34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36</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36" w:name="page37"/>
    <w:bookmarkEnd w:id="3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As of March 31, 2026, investment securities with a market value of $55.1 million were pledged to secure public deposits.</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 investment portfolio does not contain any tax-exempt securities.</w:t>
      </w:r>
    </w:p>
    <w:p>
      <w:pPr>
        <w:spacing w:after="0" w:line="156" w:lineRule="exact"/>
        <w:rPr>
          <w:sz w:val="20"/>
          <w:szCs w:val="20"/>
          <w:color w:val="auto"/>
        </w:rPr>
      </w:pPr>
    </w:p>
    <w:p>
      <w:pPr>
        <w:ind w:left="660" w:right="659" w:firstLine="256"/>
        <w:spacing w:after="0" w:line="276" w:lineRule="auto"/>
        <w:rPr>
          <w:sz w:val="20"/>
          <w:szCs w:val="20"/>
          <w:color w:val="auto"/>
        </w:rPr>
      </w:pPr>
      <w:r>
        <w:rPr>
          <w:rFonts w:ascii="Arial" w:cs="Arial" w:eastAsia="Arial" w:hAnsi="Arial"/>
          <w:sz w:val="14"/>
          <w:szCs w:val="14"/>
          <w:color w:val="auto"/>
        </w:rPr>
        <w:t>The following table presents the amortized cost and fair value of investment securities for the dates indicated (dollars in thousands):</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8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5"/>
          </w:tcPr>
          <w:p>
            <w:pPr>
              <w:jc w:val="right"/>
              <w:ind w:right="436"/>
              <w:spacing w:after="0"/>
              <w:rPr>
                <w:sz w:val="20"/>
                <w:szCs w:val="20"/>
                <w:color w:val="auto"/>
              </w:rPr>
            </w:pPr>
            <w:r>
              <w:rPr>
                <w:rFonts w:ascii="Arial" w:cs="Arial" w:eastAsia="Arial" w:hAnsi="Arial"/>
                <w:sz w:val="13"/>
                <w:szCs w:val="13"/>
                <w:b w:val="1"/>
                <w:bCs w:val="1"/>
                <w:color w:val="auto"/>
              </w:rPr>
              <w:t>March 31, 2026</w:t>
            </w: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5"/>
          </w:tcPr>
          <w:p>
            <w:pPr>
              <w:jc w:val="right"/>
              <w:ind w:right="316"/>
              <w:spacing w:after="0"/>
              <w:rPr>
                <w:sz w:val="20"/>
                <w:szCs w:val="20"/>
                <w:color w:val="auto"/>
              </w:rPr>
            </w:pPr>
            <w:r>
              <w:rPr>
                <w:rFonts w:ascii="Arial" w:cs="Arial" w:eastAsia="Arial" w:hAnsi="Arial"/>
                <w:sz w:val="13"/>
                <w:szCs w:val="13"/>
                <w:b w:val="1"/>
                <w:bCs w:val="1"/>
                <w:color w:val="auto"/>
              </w:rPr>
              <w:t>December 31, 2025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96"/>
              <w:spacing w:after="0"/>
              <w:rPr>
                <w:sz w:val="20"/>
                <w:szCs w:val="20"/>
                <w:color w:val="auto"/>
              </w:rPr>
            </w:pPr>
            <w:r>
              <w:rPr>
                <w:rFonts w:ascii="Arial" w:cs="Arial" w:eastAsia="Arial" w:hAnsi="Arial"/>
                <w:sz w:val="13"/>
                <w:szCs w:val="13"/>
                <w:b w:val="1"/>
                <w:bCs w:val="1"/>
                <w:color w:val="auto"/>
                <w:w w:val="97"/>
              </w:rPr>
              <w:t>Amortized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76"/>
              <w:spacing w:after="0"/>
              <w:rPr>
                <w:sz w:val="20"/>
                <w:szCs w:val="20"/>
                <w:color w:val="auto"/>
              </w:rPr>
            </w:pPr>
            <w:r>
              <w:rPr>
                <w:rFonts w:ascii="Arial" w:cs="Arial" w:eastAsia="Arial" w:hAnsi="Arial"/>
                <w:sz w:val="13"/>
                <w:szCs w:val="13"/>
                <w:b w:val="1"/>
                <w:bCs w:val="1"/>
                <w:color w:val="auto"/>
              </w:rPr>
              <w:t>Amortized</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80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Available-for-sale:</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9"/>
              </w:rPr>
              <w:t>Fair Value</w:t>
            </w:r>
          </w:p>
        </w:tc>
        <w:tc>
          <w:tcPr>
            <w:tcW w:w="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Cost</w:t>
            </w: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12,568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11,598</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15,169</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14,144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800" w:type="dxa"/>
            <w:vAlign w:val="bottom"/>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86,307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68,580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92,871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ind w:left="360"/>
              <w:spacing w:after="0"/>
              <w:rPr>
                <w:sz w:val="20"/>
                <w:szCs w:val="20"/>
                <w:color w:val="auto"/>
              </w:rPr>
            </w:pPr>
            <w:r>
              <w:rPr>
                <w:rFonts w:ascii="Arial" w:cs="Arial" w:eastAsia="Arial" w:hAnsi="Arial"/>
                <w:sz w:val="13"/>
                <w:szCs w:val="13"/>
                <w:color w:val="auto"/>
              </w:rPr>
              <w:t>75,828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35,364</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29,272</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35,865</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29,917</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156,895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149,035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174,622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168,108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Municipal securities</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5,194</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4,199</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5,196</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4,263</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800" w:type="dxa"/>
            <w:vAlign w:val="bottom"/>
          </w:tcPr>
          <w:p>
            <w:pPr>
              <w:spacing w:after="0"/>
              <w:rPr>
                <w:sz w:val="20"/>
                <w:szCs w:val="20"/>
                <w:color w:val="auto"/>
              </w:rPr>
            </w:pPr>
            <w:r>
              <w:rPr>
                <w:rFonts w:ascii="Arial" w:cs="Arial" w:eastAsia="Arial" w:hAnsi="Arial"/>
                <w:sz w:val="13"/>
                <w:szCs w:val="13"/>
                <w:color w:val="auto"/>
              </w:rPr>
              <w:t>Bank subordinated debt securities</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14,570</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14,476</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15,284</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rPr>
              <w:t>15,230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8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310,898</w:t>
            </w:r>
          </w:p>
        </w:tc>
        <w:tc>
          <w:tcPr>
            <w:tcW w:w="6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277,160</w:t>
            </w:r>
          </w:p>
        </w:tc>
        <w:tc>
          <w:tcPr>
            <w:tcW w:w="6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339,007</w:t>
            </w:r>
          </w:p>
        </w:tc>
        <w:tc>
          <w:tcPr>
            <w:tcW w:w="8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307,490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3"/>
                <w:szCs w:val="13"/>
                <w:b w:val="1"/>
                <w:bCs w:val="1"/>
                <w:color w:val="auto"/>
              </w:rPr>
              <w:t>Held-to-maturity:</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8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40,748</w:t>
            </w:r>
          </w:p>
        </w:tc>
        <w:tc>
          <w:tcPr>
            <w:tcW w:w="60" w:type="dxa"/>
            <w:vAlign w:val="bottom"/>
            <w:gridSpan w:val="2"/>
            <w:shd w:val="clear" w:color="auto" w:fill="CCEEFF"/>
          </w:tcPr>
          <w:p>
            <w:pPr>
              <w:spacing w:after="0"/>
              <w:rPr>
                <w:sz w:val="15"/>
                <w:szCs w:val="15"/>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37,507</w:t>
            </w:r>
          </w:p>
        </w:tc>
        <w:tc>
          <w:tcPr>
            <w:tcW w:w="60" w:type="dxa"/>
            <w:vAlign w:val="bottom"/>
            <w:gridSpan w:val="2"/>
            <w:shd w:val="clear" w:color="auto" w:fill="CCEEFF"/>
          </w:tcPr>
          <w:p>
            <w:pPr>
              <w:spacing w:after="0"/>
              <w:rPr>
                <w:sz w:val="15"/>
                <w:szCs w:val="15"/>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41,158</w:t>
            </w:r>
          </w:p>
        </w:tc>
        <w:tc>
          <w:tcPr>
            <w:tcW w:w="80" w:type="dxa"/>
            <w:vAlign w:val="bottom"/>
            <w:gridSpan w:val="2"/>
            <w:shd w:val="clear" w:color="auto" w:fill="CCEEFF"/>
          </w:tcPr>
          <w:p>
            <w:pPr>
              <w:spacing w:after="0"/>
              <w:rPr>
                <w:sz w:val="15"/>
                <w:szCs w:val="15"/>
                <w:color w:val="auto"/>
              </w:rPr>
            </w:pPr>
          </w:p>
        </w:tc>
        <w:tc>
          <w:tcPr>
            <w:tcW w:w="120" w:type="dxa"/>
            <w:vAlign w:val="bottom"/>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37,970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50,175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45,071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51,431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ind w:left="360"/>
              <w:spacing w:after="0"/>
              <w:rPr>
                <w:sz w:val="20"/>
                <w:szCs w:val="20"/>
                <w:color w:val="auto"/>
              </w:rPr>
            </w:pPr>
            <w:r>
              <w:rPr>
                <w:rFonts w:ascii="Arial" w:cs="Arial" w:eastAsia="Arial" w:hAnsi="Arial"/>
                <w:sz w:val="13"/>
                <w:szCs w:val="13"/>
                <w:color w:val="auto"/>
              </w:rPr>
              <w:t>46,786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35,963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33,263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37,221</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34,718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15,041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13,878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15,088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ind w:left="360"/>
              <w:spacing w:after="0"/>
              <w:rPr>
                <w:sz w:val="20"/>
                <w:szCs w:val="20"/>
                <w:color w:val="auto"/>
              </w:rPr>
            </w:pPr>
            <w:r>
              <w:rPr>
                <w:rFonts w:ascii="Arial" w:cs="Arial" w:eastAsia="Arial" w:hAnsi="Arial"/>
                <w:sz w:val="13"/>
                <w:szCs w:val="13"/>
                <w:color w:val="auto"/>
              </w:rPr>
              <w:t>14,051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8,004</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7,995</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9,045</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8,983</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800" w:type="dxa"/>
            <w:vAlign w:val="bottom"/>
          </w:tcPr>
          <w:p>
            <w:pPr>
              <w:spacing w:after="0"/>
              <w:rPr>
                <w:sz w:val="18"/>
                <w:szCs w:val="18"/>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149,931</w:t>
            </w:r>
          </w:p>
        </w:tc>
        <w:tc>
          <w:tcPr>
            <w:tcW w:w="180" w:type="dxa"/>
            <w:vAlign w:val="bottom"/>
            <w:gridSpan w:val="3"/>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137,714</w:t>
            </w:r>
          </w:p>
        </w:tc>
        <w:tc>
          <w:tcPr>
            <w:tcW w:w="180" w:type="dxa"/>
            <w:vAlign w:val="bottom"/>
            <w:gridSpan w:val="3"/>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153,943</w:t>
            </w:r>
          </w:p>
        </w:tc>
        <w:tc>
          <w:tcPr>
            <w:tcW w:w="200" w:type="dxa"/>
            <w:vAlign w:val="bottom"/>
            <w:gridSpan w:val="3"/>
          </w:tcPr>
          <w:p>
            <w:pPr>
              <w:jc w:val="right"/>
              <w:ind w:right="5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142,508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Allowance for credit losses - securities held-to-maturity</w:t>
            </w: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6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800" w:type="dxa"/>
            <w:vAlign w:val="bottom"/>
          </w:tcPr>
          <w:p>
            <w:pPr>
              <w:spacing w:after="0"/>
              <w:rPr>
                <w:sz w:val="20"/>
                <w:szCs w:val="20"/>
                <w:color w:val="auto"/>
              </w:rPr>
            </w:pPr>
            <w:r>
              <w:rPr>
                <w:rFonts w:ascii="Arial" w:cs="Arial" w:eastAsia="Arial" w:hAnsi="Arial"/>
                <w:sz w:val="13"/>
                <w:szCs w:val="13"/>
                <w:color w:val="auto"/>
              </w:rPr>
              <w:t>Securities held-to maturity, net of allowance for credit losses</w:t>
            </w: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149,931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gridSpan w:val="3"/>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153,941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both"/>
        <w:ind w:left="660" w:right="699" w:firstLine="256"/>
        <w:spacing w:after="0" w:line="292" w:lineRule="auto"/>
        <w:rPr>
          <w:sz w:val="20"/>
          <w:szCs w:val="20"/>
          <w:color w:val="auto"/>
        </w:rPr>
      </w:pPr>
      <w:r>
        <w:rPr>
          <w:rFonts w:ascii="Arial" w:cs="Arial" w:eastAsia="Arial" w:hAnsi="Arial"/>
          <w:sz w:val="14"/>
          <w:szCs w:val="14"/>
          <w:color w:val="auto"/>
        </w:rPr>
        <w:t>The following table shows the weighted average yields, categorized by contractual maturity, for investment securities as of March 31, 2026 (in thousands, except yields):</w:t>
      </w:r>
    </w:p>
    <w:p>
      <w:pPr>
        <w:spacing w:after="0" w:line="190" w:lineRule="exact"/>
        <w:rPr>
          <w:sz w:val="20"/>
          <w:szCs w:val="20"/>
          <w:color w:val="auto"/>
        </w:rPr>
      </w:pPr>
    </w:p>
    <w:tbl>
      <w:tblPr>
        <w:tblLayout w:type="fixed"/>
        <w:tblInd w:w="660" w:type="dxa"/>
        <w:tblCellMar>
          <w:top w:w="0" w:type="dxa"/>
          <w:left w:w="0" w:type="dxa"/>
          <w:bottom w:w="0" w:type="dxa"/>
          <w:right w:w="0" w:type="dxa"/>
        </w:tblCellMar>
      </w:tblPr>
      <w:tr>
        <w:trPr>
          <w:trHeight w:val="128"/>
        </w:trPr>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tcPr>
          <w:p>
            <w:pPr>
              <w:jc w:val="right"/>
              <w:ind w:right="183"/>
              <w:spacing w:after="0"/>
              <w:rPr>
                <w:sz w:val="20"/>
                <w:szCs w:val="20"/>
                <w:color w:val="auto"/>
              </w:rPr>
            </w:pPr>
            <w:r>
              <w:rPr>
                <w:rFonts w:ascii="Arial" w:cs="Arial" w:eastAsia="Arial" w:hAnsi="Arial"/>
                <w:sz w:val="11"/>
                <w:szCs w:val="11"/>
                <w:b w:val="1"/>
                <w:bCs w:val="1"/>
                <w:color w:val="auto"/>
              </w:rPr>
              <w:t>After 1 year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jc w:val="right"/>
              <w:ind w:right="163"/>
              <w:spacing w:after="0"/>
              <w:rPr>
                <w:sz w:val="20"/>
                <w:szCs w:val="20"/>
                <w:color w:val="auto"/>
              </w:rPr>
            </w:pPr>
            <w:r>
              <w:rPr>
                <w:rFonts w:ascii="Arial" w:cs="Arial" w:eastAsia="Arial" w:hAnsi="Arial"/>
                <w:sz w:val="11"/>
                <w:szCs w:val="11"/>
                <w:b w:val="1"/>
                <w:bCs w:val="1"/>
                <w:color w:val="auto"/>
              </w:rPr>
              <w:t>After 5 years</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137"/>
        </w:trPr>
        <w:tc>
          <w:tcPr>
            <w:tcW w:w="1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jc w:val="right"/>
              <w:ind w:right="223"/>
              <w:spacing w:after="0"/>
              <w:rPr>
                <w:sz w:val="20"/>
                <w:szCs w:val="20"/>
                <w:color w:val="auto"/>
              </w:rPr>
            </w:pPr>
            <w:r>
              <w:rPr>
                <w:rFonts w:ascii="Arial" w:cs="Arial" w:eastAsia="Arial" w:hAnsi="Arial"/>
                <w:sz w:val="11"/>
                <w:szCs w:val="11"/>
                <w:b w:val="1"/>
                <w:bCs w:val="1"/>
                <w:color w:val="auto"/>
              </w:rPr>
              <w:t>Within 1 year</w:t>
            </w: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3"/>
          </w:tcPr>
          <w:p>
            <w:pPr>
              <w:jc w:val="right"/>
              <w:ind w:right="83"/>
              <w:spacing w:after="0"/>
              <w:rPr>
                <w:sz w:val="20"/>
                <w:szCs w:val="20"/>
                <w:color w:val="auto"/>
              </w:rPr>
            </w:pPr>
            <w:r>
              <w:rPr>
                <w:rFonts w:ascii="Arial" w:cs="Arial" w:eastAsia="Arial" w:hAnsi="Arial"/>
                <w:sz w:val="11"/>
                <w:szCs w:val="11"/>
                <w:b w:val="1"/>
                <w:bCs w:val="1"/>
                <w:color w:val="auto"/>
              </w:rPr>
              <w:t>through 5 years</w:t>
            </w: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1"/>
                <w:szCs w:val="11"/>
                <w:b w:val="1"/>
                <w:bCs w:val="1"/>
                <w:color w:val="auto"/>
              </w:rPr>
              <w:t>through 10 years</w:t>
            </w:r>
          </w:p>
        </w:tc>
        <w:tc>
          <w:tcPr>
            <w:tcW w:w="80" w:type="dxa"/>
            <w:vAlign w:val="bottom"/>
          </w:tcPr>
          <w:p>
            <w:pPr>
              <w:spacing w:after="0"/>
              <w:rPr>
                <w:sz w:val="11"/>
                <w:szCs w:val="11"/>
                <w:color w:val="auto"/>
              </w:rPr>
            </w:pPr>
          </w:p>
        </w:tc>
        <w:tc>
          <w:tcPr>
            <w:tcW w:w="1180" w:type="dxa"/>
            <w:vAlign w:val="bottom"/>
            <w:tcBorders>
              <w:bottom w:val="single" w:sz="8" w:color="auto"/>
            </w:tcBorders>
            <w:gridSpan w:val="3"/>
          </w:tcPr>
          <w:p>
            <w:pPr>
              <w:ind w:left="220"/>
              <w:spacing w:after="0"/>
              <w:rPr>
                <w:sz w:val="20"/>
                <w:szCs w:val="20"/>
                <w:color w:val="auto"/>
              </w:rPr>
            </w:pPr>
            <w:r>
              <w:rPr>
                <w:rFonts w:ascii="Arial" w:cs="Arial" w:eastAsia="Arial" w:hAnsi="Arial"/>
                <w:sz w:val="11"/>
                <w:szCs w:val="11"/>
                <w:b w:val="1"/>
                <w:bCs w:val="1"/>
                <w:color w:val="auto"/>
              </w:rPr>
              <w:t>After 10 years</w:t>
            </w:r>
          </w:p>
        </w:tc>
        <w:tc>
          <w:tcPr>
            <w:tcW w:w="20" w:type="dxa"/>
            <w:vAlign w:val="bottom"/>
          </w:tcPr>
          <w:p>
            <w:pPr>
              <w:spacing w:after="0"/>
              <w:rPr>
                <w:sz w:val="11"/>
                <w:szCs w:val="11"/>
                <w:color w:val="auto"/>
              </w:rPr>
            </w:pPr>
          </w:p>
        </w:tc>
        <w:tc>
          <w:tcPr>
            <w:tcW w:w="760" w:type="dxa"/>
            <w:vAlign w:val="bottom"/>
            <w:tcBorders>
              <w:bottom w:val="single" w:sz="8" w:color="auto"/>
            </w:tcBorders>
            <w:gridSpan w:val="3"/>
          </w:tcPr>
          <w:p>
            <w:pPr>
              <w:ind w:left="460"/>
              <w:spacing w:after="0"/>
              <w:rPr>
                <w:sz w:val="20"/>
                <w:szCs w:val="20"/>
                <w:color w:val="auto"/>
              </w:rPr>
            </w:pPr>
            <w:r>
              <w:rPr>
                <w:rFonts w:ascii="Arial" w:cs="Arial" w:eastAsia="Arial" w:hAnsi="Arial"/>
                <w:sz w:val="11"/>
                <w:szCs w:val="11"/>
                <w:b w:val="1"/>
                <w:bCs w:val="1"/>
                <w:color w:val="auto"/>
              </w:rPr>
              <w:t>Total</w:t>
            </w:r>
          </w:p>
        </w:tc>
        <w:tc>
          <w:tcPr>
            <w:tcW w:w="440" w:type="dxa"/>
            <w:vAlign w:val="bottom"/>
            <w:tcBorders>
              <w:bottom w:val="single" w:sz="8" w:color="auto"/>
            </w:tcBorders>
          </w:tcPr>
          <w:p>
            <w:pPr>
              <w:spacing w:after="0"/>
              <w:rPr>
                <w:sz w:val="11"/>
                <w:szCs w:val="11"/>
                <w:color w:val="auto"/>
              </w:rPr>
            </w:pPr>
          </w:p>
        </w:tc>
      </w:tr>
      <w:tr>
        <w:trPr>
          <w:trHeight w:val="185"/>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Amortized</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Amortized</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1"/>
                <w:szCs w:val="11"/>
                <w:b w:val="1"/>
                <w:bCs w:val="1"/>
                <w:color w:val="auto"/>
              </w:rPr>
              <w:t>Amortized</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ind w:right="3"/>
              <w:spacing w:after="0"/>
              <w:rPr>
                <w:sz w:val="20"/>
                <w:szCs w:val="20"/>
                <w:color w:val="auto"/>
              </w:rPr>
            </w:pPr>
            <w:r>
              <w:rPr>
                <w:rFonts w:ascii="Arial" w:cs="Arial" w:eastAsia="Arial" w:hAnsi="Arial"/>
                <w:sz w:val="11"/>
                <w:szCs w:val="11"/>
                <w:b w:val="1"/>
                <w:bCs w:val="1"/>
                <w:color w:val="auto"/>
              </w:rPr>
              <w:t>Amortized</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rPr>
              <w:t>Amortized</w:t>
            </w:r>
          </w:p>
        </w:tc>
        <w:tc>
          <w:tcPr>
            <w:tcW w:w="440" w:type="dxa"/>
            <w:vAlign w:val="bottom"/>
          </w:tcPr>
          <w:p>
            <w:pPr>
              <w:spacing w:after="0"/>
              <w:rPr>
                <w:sz w:val="16"/>
                <w:szCs w:val="16"/>
                <w:color w:val="auto"/>
              </w:rPr>
            </w:pPr>
          </w:p>
        </w:tc>
      </w:tr>
      <w:tr>
        <w:trPr>
          <w:trHeight w:val="137"/>
        </w:trPr>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7"/>
              </w:rPr>
              <w:t>Cost</w:t>
            </w:r>
          </w:p>
        </w:tc>
        <w:tc>
          <w:tcPr>
            <w:tcW w:w="480" w:type="dxa"/>
            <w:vAlign w:val="bottom"/>
          </w:tcPr>
          <w:p>
            <w:pPr>
              <w:jc w:val="right"/>
              <w:ind w:right="43"/>
              <w:spacing w:after="0"/>
              <w:rPr>
                <w:sz w:val="20"/>
                <w:szCs w:val="20"/>
                <w:color w:val="auto"/>
              </w:rPr>
            </w:pPr>
            <w:r>
              <w:rPr>
                <w:rFonts w:ascii="Arial" w:cs="Arial" w:eastAsia="Arial" w:hAnsi="Arial"/>
                <w:sz w:val="11"/>
                <w:szCs w:val="11"/>
                <w:b w:val="1"/>
                <w:bCs w:val="1"/>
                <w:color w:val="auto"/>
              </w:rPr>
              <w:t>Yield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Cost</w:t>
            </w:r>
          </w:p>
        </w:tc>
        <w:tc>
          <w:tcPr>
            <w:tcW w:w="20" w:type="dxa"/>
            <w:vAlign w:val="bottom"/>
          </w:tcPr>
          <w:p>
            <w:pPr>
              <w:spacing w:after="0"/>
              <w:rPr>
                <w:sz w:val="11"/>
                <w:szCs w:val="11"/>
                <w:color w:val="auto"/>
              </w:rPr>
            </w:pPr>
          </w:p>
        </w:tc>
        <w:tc>
          <w:tcPr>
            <w:tcW w:w="480" w:type="dxa"/>
            <w:vAlign w:val="bottom"/>
          </w:tcPr>
          <w:p>
            <w:pPr>
              <w:jc w:val="right"/>
              <w:ind w:right="43"/>
              <w:spacing w:after="0"/>
              <w:rPr>
                <w:sz w:val="20"/>
                <w:szCs w:val="20"/>
                <w:color w:val="auto"/>
              </w:rPr>
            </w:pPr>
            <w:r>
              <w:rPr>
                <w:rFonts w:ascii="Arial" w:cs="Arial" w:eastAsia="Arial" w:hAnsi="Arial"/>
                <w:sz w:val="11"/>
                <w:szCs w:val="11"/>
                <w:b w:val="1"/>
                <w:bCs w:val="1"/>
                <w:color w:val="auto"/>
              </w:rPr>
              <w:t>Yield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143"/>
              <w:spacing w:after="0"/>
              <w:rPr>
                <w:sz w:val="20"/>
                <w:szCs w:val="20"/>
                <w:color w:val="auto"/>
              </w:rPr>
            </w:pPr>
            <w:r>
              <w:rPr>
                <w:rFonts w:ascii="Arial" w:cs="Arial" w:eastAsia="Arial" w:hAnsi="Arial"/>
                <w:sz w:val="11"/>
                <w:szCs w:val="11"/>
                <w:b w:val="1"/>
                <w:bCs w:val="1"/>
                <w:color w:val="auto"/>
              </w:rPr>
              <w:t>Cost</w:t>
            </w:r>
          </w:p>
        </w:tc>
        <w:tc>
          <w:tcPr>
            <w:tcW w:w="20" w:type="dxa"/>
            <w:vAlign w:val="bottom"/>
          </w:tcPr>
          <w:p>
            <w:pPr>
              <w:spacing w:after="0"/>
              <w:rPr>
                <w:sz w:val="11"/>
                <w:szCs w:val="11"/>
                <w:color w:val="auto"/>
              </w:rPr>
            </w:pPr>
          </w:p>
        </w:tc>
        <w:tc>
          <w:tcPr>
            <w:tcW w:w="480" w:type="dxa"/>
            <w:vAlign w:val="bottom"/>
          </w:tcPr>
          <w:p>
            <w:pPr>
              <w:jc w:val="right"/>
              <w:ind w:right="43"/>
              <w:spacing w:after="0"/>
              <w:rPr>
                <w:sz w:val="20"/>
                <w:szCs w:val="20"/>
                <w:color w:val="auto"/>
              </w:rPr>
            </w:pPr>
            <w:r>
              <w:rPr>
                <w:rFonts w:ascii="Arial" w:cs="Arial" w:eastAsia="Arial" w:hAnsi="Arial"/>
                <w:sz w:val="11"/>
                <w:szCs w:val="11"/>
                <w:b w:val="1"/>
                <w:bCs w:val="1"/>
                <w:color w:val="auto"/>
              </w:rPr>
              <w:t>Yield</w:t>
            </w:r>
          </w:p>
        </w:tc>
        <w:tc>
          <w:tcPr>
            <w:tcW w:w="80" w:type="dxa"/>
            <w:vAlign w:val="bottom"/>
          </w:tcPr>
          <w:p>
            <w:pPr>
              <w:spacing w:after="0"/>
              <w:rPr>
                <w:sz w:val="11"/>
                <w:szCs w:val="11"/>
                <w:color w:val="auto"/>
              </w:rPr>
            </w:pPr>
          </w:p>
        </w:tc>
        <w:tc>
          <w:tcPr>
            <w:tcW w:w="680" w:type="dxa"/>
            <w:vAlign w:val="bottom"/>
          </w:tcPr>
          <w:p>
            <w:pPr>
              <w:ind w:left="220"/>
              <w:spacing w:after="0"/>
              <w:rPr>
                <w:sz w:val="20"/>
                <w:szCs w:val="20"/>
                <w:color w:val="auto"/>
              </w:rPr>
            </w:pPr>
            <w:r>
              <w:rPr>
                <w:rFonts w:ascii="Arial" w:cs="Arial" w:eastAsia="Arial" w:hAnsi="Arial"/>
                <w:sz w:val="11"/>
                <w:szCs w:val="11"/>
                <w:b w:val="1"/>
                <w:bCs w:val="1"/>
                <w:color w:val="auto"/>
              </w:rPr>
              <w:t>Cost</w:t>
            </w:r>
          </w:p>
        </w:tc>
        <w:tc>
          <w:tcPr>
            <w:tcW w:w="20" w:type="dxa"/>
            <w:vAlign w:val="bottom"/>
          </w:tcPr>
          <w:p>
            <w:pPr>
              <w:spacing w:after="0"/>
              <w:rPr>
                <w:sz w:val="11"/>
                <w:szCs w:val="11"/>
                <w:color w:val="auto"/>
              </w:rPr>
            </w:pPr>
          </w:p>
        </w:tc>
        <w:tc>
          <w:tcPr>
            <w:tcW w:w="480" w:type="dxa"/>
            <w:vAlign w:val="bottom"/>
          </w:tcPr>
          <w:p>
            <w:pPr>
              <w:jc w:val="right"/>
              <w:ind w:right="43"/>
              <w:spacing w:after="0"/>
              <w:rPr>
                <w:sz w:val="20"/>
                <w:szCs w:val="20"/>
                <w:color w:val="auto"/>
              </w:rPr>
            </w:pPr>
            <w:r>
              <w:rPr>
                <w:rFonts w:ascii="Arial" w:cs="Arial" w:eastAsia="Arial" w:hAnsi="Arial"/>
                <w:sz w:val="11"/>
                <w:szCs w:val="11"/>
                <w:b w:val="1"/>
                <w:bCs w:val="1"/>
                <w:color w:val="auto"/>
              </w:rPr>
              <w:t>Yield</w:t>
            </w:r>
          </w:p>
        </w:tc>
        <w:tc>
          <w:tcPr>
            <w:tcW w:w="20" w:type="dxa"/>
            <w:vAlign w:val="bottom"/>
          </w:tcPr>
          <w:p>
            <w:pPr>
              <w:spacing w:after="0"/>
              <w:rPr>
                <w:sz w:val="11"/>
                <w:szCs w:val="11"/>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rPr>
              <w:t>Cost</w:t>
            </w:r>
          </w:p>
        </w:tc>
        <w:tc>
          <w:tcPr>
            <w:tcW w:w="440" w:type="dxa"/>
            <w:vAlign w:val="bottom"/>
          </w:tcPr>
          <w:p>
            <w:pPr>
              <w:jc w:val="right"/>
              <w:ind w:right="43"/>
              <w:spacing w:after="0"/>
              <w:rPr>
                <w:sz w:val="20"/>
                <w:szCs w:val="20"/>
                <w:color w:val="auto"/>
              </w:rPr>
            </w:pPr>
            <w:r>
              <w:rPr>
                <w:rFonts w:ascii="Arial" w:cs="Arial" w:eastAsia="Arial" w:hAnsi="Arial"/>
                <w:sz w:val="11"/>
                <w:szCs w:val="11"/>
                <w:b w:val="1"/>
                <w:bCs w:val="1"/>
                <w:color w:val="auto"/>
              </w:rPr>
              <w:t>Yield</w:t>
            </w:r>
          </w:p>
        </w:tc>
      </w:tr>
      <w:tr>
        <w:trPr>
          <w:trHeight w:val="131"/>
        </w:trPr>
        <w:tc>
          <w:tcPr>
            <w:tcW w:w="1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Available-for-sale:</w:t>
            </w: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CCEEFF"/>
            </w:tcBorders>
            <w:shd w:val="clear" w:color="auto" w:fill="CCEEFF"/>
          </w:tcPr>
          <w:p>
            <w:pPr>
              <w:spacing w:after="0"/>
              <w:rPr>
                <w:sz w:val="11"/>
                <w:szCs w:val="11"/>
                <w:color w:val="auto"/>
              </w:rPr>
            </w:pPr>
          </w:p>
        </w:tc>
      </w:tr>
      <w:tr>
        <w:trPr>
          <w:trHeight w:val="160"/>
        </w:trPr>
        <w:tc>
          <w:tcPr>
            <w:tcW w:w="1840" w:type="dxa"/>
            <w:vAlign w:val="bottom"/>
          </w:tcPr>
          <w:p>
            <w:pPr>
              <w:ind w:left="40"/>
              <w:spacing w:after="0"/>
              <w:rPr>
                <w:sz w:val="20"/>
                <w:szCs w:val="20"/>
                <w:color w:val="auto"/>
              </w:rPr>
            </w:pPr>
            <w:r>
              <w:rPr>
                <w:rFonts w:ascii="Arial" w:cs="Arial" w:eastAsia="Arial" w:hAnsi="Arial"/>
                <w:sz w:val="11"/>
                <w:szCs w:val="11"/>
                <w:color w:val="auto"/>
              </w:rPr>
              <w:t>U.S. Government Agency</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6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500" w:type="dxa"/>
            <w:vAlign w:val="bottom"/>
          </w:tcPr>
          <w:p>
            <w:pPr>
              <w:ind w:left="40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3"/>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3"/>
              <w:spacing w:after="0"/>
              <w:rPr>
                <w:sz w:val="20"/>
                <w:szCs w:val="20"/>
                <w:color w:val="auto"/>
              </w:rPr>
            </w:pPr>
            <w:r>
              <w:rPr>
                <w:rFonts w:ascii="Arial" w:cs="Arial" w:eastAsia="Arial" w:hAnsi="Arial"/>
                <w:sz w:val="11"/>
                <w:szCs w:val="11"/>
                <w:color w:val="auto"/>
              </w:rPr>
              <w:t>$   12,568</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2.73%</w:t>
            </w:r>
          </w:p>
        </w:tc>
        <w:tc>
          <w:tcPr>
            <w:tcW w:w="720" w:type="dxa"/>
            <w:vAlign w:val="bottom"/>
            <w:gridSpan w:val="2"/>
          </w:tcPr>
          <w:p>
            <w:pPr>
              <w:jc w:val="right"/>
              <w:ind w:right="3"/>
              <w:spacing w:after="0"/>
              <w:rPr>
                <w:sz w:val="20"/>
                <w:szCs w:val="20"/>
                <w:color w:val="auto"/>
              </w:rPr>
            </w:pPr>
            <w:r>
              <w:rPr>
                <w:rFonts w:ascii="Arial" w:cs="Arial" w:eastAsia="Arial" w:hAnsi="Arial"/>
                <w:sz w:val="11"/>
                <w:szCs w:val="11"/>
                <w:color w:val="auto"/>
              </w:rPr>
              <w:t>$   12,568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2.73%</w:t>
            </w:r>
          </w:p>
        </w:tc>
      </w:tr>
      <w:tr>
        <w:trPr>
          <w:trHeight w:val="14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shd w:val="clear" w:color="auto" w:fill="CCEEFF"/>
              </w:rPr>
              <w:t>Collateralized mortgage obligations</w:t>
            </w: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86,307</w:t>
            </w:r>
          </w:p>
        </w:tc>
        <w:tc>
          <w:tcPr>
            <w:tcW w:w="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1.58%</w:t>
            </w:r>
          </w:p>
        </w:tc>
        <w:tc>
          <w:tcPr>
            <w:tcW w:w="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86,307</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1.58%</w:t>
            </w:r>
          </w:p>
        </w:tc>
      </w:tr>
      <w:tr>
        <w:trPr>
          <w:trHeight w:val="160"/>
        </w:trPr>
        <w:tc>
          <w:tcPr>
            <w:tcW w:w="1840" w:type="dxa"/>
            <w:vAlign w:val="bottom"/>
          </w:tcPr>
          <w:p>
            <w:pPr>
              <w:ind w:left="40"/>
              <w:spacing w:after="0"/>
              <w:rPr>
                <w:sz w:val="20"/>
                <w:szCs w:val="20"/>
                <w:color w:val="auto"/>
              </w:rPr>
            </w:pPr>
            <w:r>
              <w:rPr>
                <w:rFonts w:ascii="Arial" w:cs="Arial" w:eastAsia="Arial" w:hAnsi="Arial"/>
                <w:sz w:val="11"/>
                <w:szCs w:val="11"/>
                <w:color w:val="auto"/>
              </w:rPr>
              <w:t>MBS - residential</w:t>
            </w:r>
          </w:p>
        </w:tc>
        <w:tc>
          <w:tcPr>
            <w:tcW w:w="10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ind w:left="40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3"/>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3"/>
              <w:spacing w:after="0"/>
              <w:rPr>
                <w:sz w:val="20"/>
                <w:szCs w:val="20"/>
                <w:color w:val="auto"/>
              </w:rPr>
            </w:pPr>
            <w:r>
              <w:rPr>
                <w:rFonts w:ascii="Arial" w:cs="Arial" w:eastAsia="Arial" w:hAnsi="Arial"/>
                <w:sz w:val="11"/>
                <w:szCs w:val="11"/>
                <w:color w:val="auto"/>
              </w:rPr>
              <w:t>35,365</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2.43%</w:t>
            </w:r>
          </w:p>
        </w:tc>
        <w:tc>
          <w:tcPr>
            <w:tcW w:w="720" w:type="dxa"/>
            <w:vAlign w:val="bottom"/>
            <w:gridSpan w:val="2"/>
          </w:tcPr>
          <w:p>
            <w:pPr>
              <w:jc w:val="right"/>
              <w:ind w:right="3"/>
              <w:spacing w:after="0"/>
              <w:rPr>
                <w:sz w:val="20"/>
                <w:szCs w:val="20"/>
                <w:color w:val="auto"/>
              </w:rPr>
            </w:pPr>
            <w:r>
              <w:rPr>
                <w:rFonts w:ascii="Arial" w:cs="Arial" w:eastAsia="Arial" w:hAnsi="Arial"/>
                <w:sz w:val="11"/>
                <w:szCs w:val="11"/>
                <w:color w:val="auto"/>
              </w:rPr>
              <w:t>35,364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2.43%</w:t>
            </w:r>
          </w:p>
        </w:tc>
      </w:tr>
      <w:tr>
        <w:trPr>
          <w:trHeight w:val="14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MBS - commercial</w:t>
            </w: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shd w:val="clear" w:color="auto" w:fill="CCEEFF"/>
              </w:rPr>
              <w:t>156,895</w:t>
            </w:r>
          </w:p>
        </w:tc>
        <w:tc>
          <w:tcPr>
            <w:tcW w:w="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4.08%</w:t>
            </w:r>
          </w:p>
        </w:tc>
        <w:tc>
          <w:tcPr>
            <w:tcW w:w="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156,895</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4.08%</w:t>
            </w:r>
          </w:p>
        </w:tc>
      </w:tr>
      <w:tr>
        <w:trPr>
          <w:trHeight w:val="160"/>
        </w:trPr>
        <w:tc>
          <w:tcPr>
            <w:tcW w:w="1840" w:type="dxa"/>
            <w:vAlign w:val="bottom"/>
          </w:tcPr>
          <w:p>
            <w:pPr>
              <w:ind w:left="40"/>
              <w:spacing w:after="0"/>
              <w:rPr>
                <w:sz w:val="20"/>
                <w:szCs w:val="20"/>
                <w:color w:val="auto"/>
              </w:rPr>
            </w:pPr>
            <w:r>
              <w:rPr>
                <w:rFonts w:ascii="Arial" w:cs="Arial" w:eastAsia="Arial" w:hAnsi="Arial"/>
                <w:sz w:val="11"/>
                <w:szCs w:val="11"/>
                <w:color w:val="auto"/>
              </w:rPr>
              <w:t>Municipal securities</w:t>
            </w:r>
          </w:p>
        </w:tc>
        <w:tc>
          <w:tcPr>
            <w:tcW w:w="10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ind w:left="40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5,194</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1.87%</w:t>
            </w:r>
          </w:p>
        </w:tc>
        <w:tc>
          <w:tcPr>
            <w:tcW w:w="760" w:type="dxa"/>
            <w:vAlign w:val="bottom"/>
            <w:gridSpan w:val="2"/>
          </w:tcPr>
          <w:p>
            <w:pPr>
              <w:jc w:val="right"/>
              <w:ind w:right="3"/>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3"/>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3"/>
              <w:spacing w:after="0"/>
              <w:rPr>
                <w:sz w:val="20"/>
                <w:szCs w:val="20"/>
                <w:color w:val="auto"/>
              </w:rPr>
            </w:pPr>
            <w:r>
              <w:rPr>
                <w:rFonts w:ascii="Arial" w:cs="Arial" w:eastAsia="Arial" w:hAnsi="Arial"/>
                <w:sz w:val="11"/>
                <w:szCs w:val="11"/>
                <w:color w:val="auto"/>
              </w:rPr>
              <w:t>5,194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1.87%</w:t>
            </w:r>
          </w:p>
        </w:tc>
      </w:tr>
      <w:tr>
        <w:trPr>
          <w:trHeight w:val="144"/>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Bank subordinated debt securities</w:t>
            </w: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1"/>
                <w:szCs w:val="11"/>
                <w:color w:val="auto"/>
              </w:rPr>
              <w:t>2,000</w:t>
            </w:r>
          </w:p>
        </w:tc>
        <w:tc>
          <w:tcPr>
            <w:tcW w:w="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7.86%</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12,570</w:t>
            </w:r>
          </w:p>
        </w:tc>
        <w:tc>
          <w:tcPr>
            <w:tcW w:w="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5.74%</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14,570</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6.03%</w:t>
            </w:r>
          </w:p>
        </w:tc>
      </w:tr>
    </w:tbl>
    <w:p>
      <w:pPr>
        <w:spacing w:after="0" w:line="36" w:lineRule="exact"/>
        <w:rPr>
          <w:sz w:val="20"/>
          <w:szCs w:val="20"/>
          <w:color w:val="auto"/>
        </w:rPr>
      </w:pPr>
    </w:p>
    <w:p>
      <w:pPr>
        <w:ind w:left="3160" w:hanging="630"/>
        <w:spacing w:after="0"/>
        <w:tabs>
          <w:tab w:leader="none" w:pos="3160" w:val="left"/>
        </w:tabs>
        <w:numPr>
          <w:ilvl w:val="0"/>
          <w:numId w:val="21"/>
        </w:numPr>
        <w:rPr>
          <w:rFonts w:ascii="Arial" w:cs="Arial" w:eastAsia="Arial" w:hAnsi="Arial"/>
          <w:sz w:val="11"/>
          <w:szCs w:val="11"/>
          <w:color w:val="auto"/>
        </w:rPr>
      </w:pPr>
      <w:r>
        <w:rPr>
          <w:rFonts w:ascii="Arial" w:cs="Arial" w:eastAsia="Arial" w:hAnsi="Arial"/>
          <w:sz w:val="11"/>
          <w:szCs w:val="11"/>
          <w:color w:val="auto"/>
        </w:rPr>
        <w:t>--  $   2,0007.86%  $   17,7644.61%  $  291,1353.08% $  310,8983.20%</w:t>
      </w:r>
    </w:p>
    <w:p>
      <w:pPr>
        <w:spacing w:after="0" w:line="8" w:lineRule="exact"/>
        <w:rPr>
          <w:sz w:val="20"/>
          <w:szCs w:val="20"/>
          <w:color w:val="auto"/>
        </w:rPr>
      </w:pPr>
    </w:p>
    <w:tbl>
      <w:tblPr>
        <w:tblLayout w:type="fixed"/>
        <w:tblInd w:w="660" w:type="dxa"/>
        <w:tblCellMar>
          <w:top w:w="0" w:type="dxa"/>
          <w:left w:w="0" w:type="dxa"/>
          <w:bottom w:w="0" w:type="dxa"/>
          <w:right w:w="0" w:type="dxa"/>
        </w:tblCellMar>
      </w:tblPr>
      <w:tr>
        <w:trPr>
          <w:trHeight w:val="163"/>
        </w:trPr>
        <w:tc>
          <w:tcPr>
            <w:tcW w:w="1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Held-to-maturity:</w:t>
            </w: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CCEEFF"/>
            </w:tcBorders>
            <w:shd w:val="clear" w:color="auto" w:fill="CCEEFF"/>
          </w:tcPr>
          <w:p>
            <w:pPr>
              <w:spacing w:after="0"/>
              <w:rPr>
                <w:sz w:val="14"/>
                <w:szCs w:val="14"/>
                <w:color w:val="auto"/>
              </w:rPr>
            </w:pPr>
          </w:p>
        </w:tc>
        <w:tc>
          <w:tcPr>
            <w:tcW w:w="5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CCEEFF"/>
            </w:tcBorders>
            <w:shd w:val="clear" w:color="auto" w:fill="CCEEFF"/>
          </w:tcPr>
          <w:p>
            <w:pPr>
              <w:spacing w:after="0"/>
              <w:rPr>
                <w:sz w:val="14"/>
                <w:szCs w:val="14"/>
                <w:color w:val="auto"/>
              </w:rPr>
            </w:pPr>
          </w:p>
        </w:tc>
        <w:tc>
          <w:tcPr>
            <w:tcW w:w="490" w:type="dxa"/>
            <w:vAlign w:val="bottom"/>
            <w:tcBorders>
              <w:top w:val="single" w:sz="8" w:color="CCEEFF"/>
              <w:bottom w:val="single" w:sz="8" w:color="CCEEFF"/>
            </w:tcBorders>
            <w:shd w:val="clear" w:color="auto" w:fill="CCEEFF"/>
          </w:tcPr>
          <w:p>
            <w:pPr>
              <w:spacing w:after="0"/>
              <w:rPr>
                <w:sz w:val="14"/>
                <w:szCs w:val="14"/>
                <w:color w:val="auto"/>
              </w:rPr>
            </w:pPr>
          </w:p>
        </w:tc>
        <w:tc>
          <w:tcPr>
            <w:tcW w:w="3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CCEEFF"/>
            </w:tcBorders>
            <w:shd w:val="clear" w:color="auto" w:fill="CCEEFF"/>
          </w:tcPr>
          <w:p>
            <w:pPr>
              <w:spacing w:after="0"/>
              <w:rPr>
                <w:sz w:val="14"/>
                <w:szCs w:val="14"/>
                <w:color w:val="auto"/>
              </w:rPr>
            </w:pPr>
          </w:p>
        </w:tc>
        <w:tc>
          <w:tcPr>
            <w:tcW w:w="5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CCEEFF"/>
            </w:tcBorders>
            <w:shd w:val="clear" w:color="auto" w:fill="CCEEFF"/>
          </w:tcPr>
          <w:p>
            <w:pPr>
              <w:spacing w:after="0"/>
              <w:rPr>
                <w:sz w:val="14"/>
                <w:szCs w:val="14"/>
                <w:color w:val="auto"/>
              </w:rPr>
            </w:pPr>
          </w:p>
        </w:tc>
        <w:tc>
          <w:tcPr>
            <w:tcW w:w="5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60"/>
        </w:trPr>
        <w:tc>
          <w:tcPr>
            <w:tcW w:w="1840" w:type="dxa"/>
            <w:vAlign w:val="bottom"/>
          </w:tcPr>
          <w:p>
            <w:pPr>
              <w:ind w:left="40"/>
              <w:spacing w:after="0"/>
              <w:rPr>
                <w:sz w:val="20"/>
                <w:szCs w:val="20"/>
                <w:color w:val="auto"/>
              </w:rPr>
            </w:pPr>
            <w:r>
              <w:rPr>
                <w:rFonts w:ascii="Arial" w:cs="Arial" w:eastAsia="Arial" w:hAnsi="Arial"/>
                <w:sz w:val="11"/>
                <w:szCs w:val="11"/>
                <w:color w:val="auto"/>
              </w:rPr>
              <w:t>U.S. Government Agency</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7,982</w:t>
            </w:r>
          </w:p>
        </w:tc>
        <w:tc>
          <w:tcPr>
            <w:tcW w:w="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1.02%</w:t>
            </w:r>
          </w:p>
        </w:tc>
        <w:tc>
          <w:tcPr>
            <w:tcW w:w="140" w:type="dxa"/>
            <w:vAlign w:val="bottom"/>
          </w:tcPr>
          <w:p>
            <w:pPr>
              <w:ind w:left="4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18,034</w:t>
            </w:r>
          </w:p>
        </w:tc>
        <w:tc>
          <w:tcPr>
            <w:tcW w:w="490" w:type="dxa"/>
            <w:vAlign w:val="bottom"/>
          </w:tcPr>
          <w:p>
            <w:pPr>
              <w:jc w:val="right"/>
              <w:spacing w:after="0"/>
              <w:rPr>
                <w:sz w:val="20"/>
                <w:szCs w:val="20"/>
                <w:color w:val="auto"/>
              </w:rPr>
            </w:pPr>
            <w:r>
              <w:rPr>
                <w:rFonts w:ascii="Arial" w:cs="Arial" w:eastAsia="Arial" w:hAnsi="Arial"/>
                <w:sz w:val="11"/>
                <w:szCs w:val="11"/>
                <w:color w:val="auto"/>
              </w:rPr>
              <w:t>1.27%</w:t>
            </w:r>
          </w:p>
        </w:tc>
        <w:tc>
          <w:tcPr>
            <w:tcW w:w="170" w:type="dxa"/>
            <w:vAlign w:val="bottom"/>
            <w:gridSpan w:val="2"/>
          </w:tcPr>
          <w:p>
            <w:pPr>
              <w:ind w:left="7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1,478</w:t>
            </w: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2.39%</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13,254</w:t>
            </w:r>
          </w:p>
        </w:tc>
        <w:tc>
          <w:tcPr>
            <w:tcW w:w="500" w:type="dxa"/>
            <w:vAlign w:val="bottom"/>
          </w:tcPr>
          <w:p>
            <w:pPr>
              <w:jc w:val="right"/>
              <w:spacing w:after="0"/>
              <w:rPr>
                <w:sz w:val="20"/>
                <w:szCs w:val="20"/>
                <w:color w:val="auto"/>
              </w:rPr>
            </w:pPr>
            <w:r>
              <w:rPr>
                <w:rFonts w:ascii="Arial" w:cs="Arial" w:eastAsia="Arial" w:hAnsi="Arial"/>
                <w:sz w:val="11"/>
                <w:szCs w:val="11"/>
                <w:color w:val="auto"/>
              </w:rPr>
              <w:t>2.10%</w:t>
            </w:r>
          </w:p>
        </w:tc>
        <w:tc>
          <w:tcPr>
            <w:tcW w:w="2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560" w:type="dxa"/>
            <w:vAlign w:val="bottom"/>
          </w:tcPr>
          <w:p>
            <w:pPr>
              <w:ind w:left="140"/>
              <w:spacing w:after="0"/>
              <w:rPr>
                <w:sz w:val="20"/>
                <w:szCs w:val="20"/>
                <w:color w:val="auto"/>
              </w:rPr>
            </w:pPr>
            <w:r>
              <w:rPr>
                <w:rFonts w:ascii="Arial" w:cs="Arial" w:eastAsia="Arial" w:hAnsi="Arial"/>
                <w:sz w:val="11"/>
                <w:szCs w:val="11"/>
                <w:color w:val="auto"/>
              </w:rPr>
              <w:t>40,748</w:t>
            </w:r>
          </w:p>
        </w:tc>
        <w:tc>
          <w:tcPr>
            <w:tcW w:w="500" w:type="dxa"/>
            <w:vAlign w:val="bottom"/>
          </w:tcPr>
          <w:p>
            <w:pPr>
              <w:jc w:val="right"/>
              <w:spacing w:after="0"/>
              <w:rPr>
                <w:sz w:val="20"/>
                <w:szCs w:val="20"/>
                <w:color w:val="auto"/>
              </w:rPr>
            </w:pPr>
            <w:r>
              <w:rPr>
                <w:rFonts w:ascii="Arial" w:cs="Arial" w:eastAsia="Arial" w:hAnsi="Arial"/>
                <w:sz w:val="11"/>
                <w:szCs w:val="11"/>
                <w:color w:val="auto"/>
              </w:rPr>
              <w:t>1.53%</w:t>
            </w:r>
          </w:p>
        </w:tc>
      </w:tr>
      <w:tr>
        <w:trPr>
          <w:trHeight w:val="160"/>
        </w:trPr>
        <w:tc>
          <w:tcPr>
            <w:tcW w:w="1840" w:type="dxa"/>
            <w:vAlign w:val="bottom"/>
            <w:shd w:val="clear" w:color="auto" w:fill="CCEEFF"/>
          </w:tcPr>
          <w:p>
            <w:pPr>
              <w:ind w:left="40"/>
              <w:spacing w:after="0"/>
              <w:rPr>
                <w:sz w:val="20"/>
                <w:szCs w:val="20"/>
                <w:color w:val="auto"/>
              </w:rPr>
            </w:pPr>
            <w:r>
              <w:rPr>
                <w:rFonts w:ascii="Arial" w:cs="Arial" w:eastAsia="Arial" w:hAnsi="Arial"/>
                <w:sz w:val="11"/>
                <w:szCs w:val="11"/>
                <w:color w:val="auto"/>
                <w:shd w:val="clear" w:color="auto" w:fill="CCEEFF"/>
              </w:rPr>
              <w:t>Collateralized mortgage obligations</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50,175</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50,175</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w:t>
            </w:r>
          </w:p>
        </w:tc>
      </w:tr>
      <w:tr>
        <w:trPr>
          <w:trHeight w:val="160"/>
        </w:trPr>
        <w:tc>
          <w:tcPr>
            <w:tcW w:w="1840" w:type="dxa"/>
            <w:vAlign w:val="bottom"/>
          </w:tcPr>
          <w:p>
            <w:pPr>
              <w:ind w:left="40"/>
              <w:spacing w:after="0"/>
              <w:rPr>
                <w:sz w:val="20"/>
                <w:szCs w:val="20"/>
                <w:color w:val="auto"/>
              </w:rPr>
            </w:pPr>
            <w:r>
              <w:rPr>
                <w:rFonts w:ascii="Arial" w:cs="Arial" w:eastAsia="Arial" w:hAnsi="Arial"/>
                <w:sz w:val="11"/>
                <w:szCs w:val="11"/>
                <w:color w:val="auto"/>
              </w:rPr>
              <w:t>MBS - residential</w:t>
            </w:r>
          </w:p>
        </w:tc>
        <w:tc>
          <w:tcPr>
            <w:tcW w:w="12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30</w:t>
            </w:r>
          </w:p>
        </w:tc>
        <w:tc>
          <w:tcPr>
            <w:tcW w:w="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2.96%</w:t>
            </w:r>
          </w:p>
        </w:tc>
        <w:tc>
          <w:tcPr>
            <w:tcW w:w="14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8,918</w:t>
            </w:r>
          </w:p>
        </w:tc>
        <w:tc>
          <w:tcPr>
            <w:tcW w:w="490" w:type="dxa"/>
            <w:vAlign w:val="bottom"/>
          </w:tcPr>
          <w:p>
            <w:pPr>
              <w:jc w:val="right"/>
              <w:spacing w:after="0"/>
              <w:rPr>
                <w:sz w:val="20"/>
                <w:szCs w:val="20"/>
                <w:color w:val="auto"/>
              </w:rPr>
            </w:pPr>
            <w:r>
              <w:rPr>
                <w:rFonts w:ascii="Arial" w:cs="Arial" w:eastAsia="Arial" w:hAnsi="Arial"/>
                <w:sz w:val="11"/>
                <w:szCs w:val="11"/>
                <w:color w:val="auto"/>
              </w:rPr>
              <w:t>1.64%</w:t>
            </w:r>
          </w:p>
        </w:tc>
        <w:tc>
          <w:tcPr>
            <w:tcW w:w="3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27,015</w:t>
            </w:r>
          </w:p>
        </w:tc>
        <w:tc>
          <w:tcPr>
            <w:tcW w:w="500" w:type="dxa"/>
            <w:vAlign w:val="bottom"/>
          </w:tcPr>
          <w:p>
            <w:pPr>
              <w:jc w:val="right"/>
              <w:spacing w:after="0"/>
              <w:rPr>
                <w:sz w:val="20"/>
                <w:szCs w:val="20"/>
                <w:color w:val="auto"/>
              </w:rPr>
            </w:pPr>
            <w:r>
              <w:rPr>
                <w:rFonts w:ascii="Arial" w:cs="Arial" w:eastAsia="Arial" w:hAnsi="Arial"/>
                <w:sz w:val="11"/>
                <w:szCs w:val="11"/>
                <w:color w:val="auto"/>
              </w:rPr>
              <w:t>2.32%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auto"/>
              </w:rPr>
              <w:t>35,963</w:t>
            </w:r>
          </w:p>
        </w:tc>
        <w:tc>
          <w:tcPr>
            <w:tcW w:w="500" w:type="dxa"/>
            <w:vAlign w:val="bottom"/>
          </w:tcPr>
          <w:p>
            <w:pPr>
              <w:jc w:val="right"/>
              <w:spacing w:after="0"/>
              <w:rPr>
                <w:sz w:val="20"/>
                <w:szCs w:val="20"/>
                <w:color w:val="auto"/>
              </w:rPr>
            </w:pPr>
            <w:r>
              <w:rPr>
                <w:rFonts w:ascii="Arial" w:cs="Arial" w:eastAsia="Arial" w:hAnsi="Arial"/>
                <w:sz w:val="11"/>
                <w:szCs w:val="11"/>
                <w:color w:val="auto"/>
              </w:rPr>
              <w:t>2.15%</w:t>
            </w:r>
          </w:p>
        </w:tc>
      </w:tr>
      <w:tr>
        <w:trPr>
          <w:trHeight w:val="160"/>
        </w:trPr>
        <w:tc>
          <w:tcPr>
            <w:tcW w:w="1840" w:type="dxa"/>
            <w:vAlign w:val="bottom"/>
            <w:shd w:val="clear" w:color="auto" w:fill="CCEEFF"/>
          </w:tcPr>
          <w:p>
            <w:pPr>
              <w:ind w:left="40"/>
              <w:spacing w:after="0"/>
              <w:rPr>
                <w:sz w:val="20"/>
                <w:szCs w:val="20"/>
                <w:color w:val="auto"/>
              </w:rPr>
            </w:pPr>
            <w:r>
              <w:rPr>
                <w:rFonts w:ascii="Arial" w:cs="Arial" w:eastAsia="Arial" w:hAnsi="Arial"/>
                <w:sz w:val="11"/>
                <w:szCs w:val="11"/>
                <w:color w:val="auto"/>
              </w:rPr>
              <w:t>MBS - commercial</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3,038</w:t>
            </w:r>
          </w:p>
        </w:tc>
        <w:tc>
          <w:tcPr>
            <w:tcW w:w="49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w:t>
            </w:r>
          </w:p>
        </w:tc>
        <w:tc>
          <w:tcPr>
            <w:tcW w:w="3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12,003</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2.56%</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15,041</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2.37%</w:t>
            </w:r>
          </w:p>
        </w:tc>
      </w:tr>
      <w:tr>
        <w:trPr>
          <w:trHeight w:val="160"/>
        </w:trPr>
        <w:tc>
          <w:tcPr>
            <w:tcW w:w="184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Corporate bonds</w:t>
            </w: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8,004</w:t>
            </w:r>
          </w:p>
        </w:tc>
        <w:tc>
          <w:tcPr>
            <w:tcW w:w="2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2.97%</w:t>
            </w: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49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w:t>
            </w:r>
          </w:p>
        </w:tc>
        <w:tc>
          <w:tcPr>
            <w:tcW w:w="3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tcPr>
          <w:p>
            <w:pPr>
              <w:jc w:val="right"/>
              <w:ind w:right="83"/>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ind w:left="200"/>
              <w:spacing w:after="0"/>
              <w:rPr>
                <w:sz w:val="20"/>
                <w:szCs w:val="20"/>
                <w:color w:val="auto"/>
              </w:rPr>
            </w:pPr>
            <w:r>
              <w:rPr>
                <w:rFonts w:ascii="Arial" w:cs="Arial" w:eastAsia="Arial" w:hAnsi="Arial"/>
                <w:sz w:val="11"/>
                <w:szCs w:val="11"/>
                <w:color w:val="auto"/>
              </w:rPr>
              <w:t>8,004</w:t>
            </w: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2.97%</w:t>
            </w:r>
          </w:p>
        </w:tc>
      </w:tr>
      <w:tr>
        <w:trPr>
          <w:trHeight w:val="161"/>
        </w:trPr>
        <w:tc>
          <w:tcPr>
            <w:tcW w:w="18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16,016</w:t>
            </w:r>
          </w:p>
        </w:tc>
        <w:tc>
          <w:tcPr>
            <w:tcW w:w="20" w:type="dxa"/>
            <w:vAlign w:val="bottom"/>
            <w:tcBorders>
              <w:bottom w:val="single" w:sz="8" w:color="auto"/>
            </w:tcBorders>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w:t>
            </w: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1"/>
                <w:szCs w:val="11"/>
                <w:color w:val="auto"/>
                <w:shd w:val="clear" w:color="auto" w:fill="CCEEFF"/>
              </w:rPr>
              <w:t>$</w:t>
            </w:r>
          </w:p>
        </w:tc>
        <w:tc>
          <w:tcPr>
            <w:tcW w:w="5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29,990</w:t>
            </w:r>
          </w:p>
        </w:tc>
        <w:tc>
          <w:tcPr>
            <w:tcW w:w="49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w:t>
            </w:r>
          </w:p>
        </w:tc>
        <w:tc>
          <w:tcPr>
            <w:tcW w:w="3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1"/>
                <w:szCs w:val="11"/>
                <w:color w:val="auto"/>
                <w:shd w:val="clear" w:color="auto" w:fill="CCEEFF"/>
              </w:rPr>
              <w:t>$</w:t>
            </w: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1,478</w:t>
            </w: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2.39%</w:t>
            </w: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shd w:val="clear" w:color="auto" w:fill="CCEEFF"/>
              </w:rPr>
              <w:t>$</w:t>
            </w: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shd w:val="clear" w:color="auto" w:fill="CCEEFF"/>
              </w:rPr>
              <w:t>102,447</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w:t>
            </w:r>
          </w:p>
        </w:tc>
        <w:tc>
          <w:tcPr>
            <w:tcW w:w="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shd w:val="clear" w:color="auto" w:fill="CCEEFF"/>
              </w:rPr>
              <w:t>$</w:t>
            </w:r>
          </w:p>
        </w:tc>
        <w:tc>
          <w:tcPr>
            <w:tcW w:w="5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1"/>
                <w:szCs w:val="11"/>
                <w:color w:val="auto"/>
              </w:rPr>
              <w:t>149,931</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w:t>
            </w:r>
          </w:p>
        </w:tc>
      </w:tr>
      <w:tr>
        <w:trPr>
          <w:trHeight w:val="20"/>
        </w:trPr>
        <w:tc>
          <w:tcPr>
            <w:tcW w:w="1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90" w:type="dxa"/>
            <w:vAlign w:val="bottom"/>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Loans</w:t>
      </w:r>
    </w:p>
    <w:p>
      <w:pPr>
        <w:spacing w:after="0" w:line="168"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Loans are the largest category of interest-earning assets on the unaudited Consolidated Balance Sheets, and usually provide higher yields than the remainder of the interest -earning assets. Higher yields typically carry greater inherent credit and liquidity risks in comparison to lower yield assets. The Company manages and mitigates such risks in accordance with the credit and ALM policies, risk tolerance and balance sheet composition.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37</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37" w:name="page38"/>
    <w:bookmarkEnd w:id="3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shows the loan portfolio composition as of the dates indicated (in thousands):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3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7"/>
          </w:tcPr>
          <w:p>
            <w:pPr>
              <w:jc w:val="right"/>
              <w:ind w:right="560"/>
              <w:spacing w:after="0"/>
              <w:rPr>
                <w:sz w:val="20"/>
                <w:szCs w:val="20"/>
                <w:color w:val="auto"/>
              </w:rPr>
            </w:pPr>
            <w:r>
              <w:rPr>
                <w:rFonts w:ascii="Arial" w:cs="Arial" w:eastAsia="Arial" w:hAnsi="Arial"/>
                <w:sz w:val="13"/>
                <w:szCs w:val="13"/>
                <w:b w:val="1"/>
                <w:bCs w:val="1"/>
                <w:color w:val="auto"/>
              </w:rPr>
              <w:t>March 31, 2026</w:t>
            </w: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8"/>
          </w:tcPr>
          <w:p>
            <w:pPr>
              <w:jc w:val="right"/>
              <w:ind w:right="460"/>
              <w:spacing w:after="0"/>
              <w:rPr>
                <w:sz w:val="20"/>
                <w:szCs w:val="20"/>
                <w:color w:val="auto"/>
              </w:rPr>
            </w:pPr>
            <w:r>
              <w:rPr>
                <w:rFonts w:ascii="Arial" w:cs="Arial" w:eastAsia="Arial" w:hAnsi="Arial"/>
                <w:sz w:val="13"/>
                <w:szCs w:val="13"/>
                <w:b w:val="1"/>
                <w:bCs w:val="1"/>
                <w:color w:val="auto"/>
              </w:rPr>
              <w:t>December 31, 2025</w:t>
            </w: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Percent of</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Total</w:t>
            </w:r>
          </w:p>
        </w:tc>
        <w:tc>
          <w:tcPr>
            <w:tcW w:w="20" w:type="dxa"/>
            <w:vAlign w:val="bottom"/>
            <w:vMerge w:val="restart"/>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Percent of</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96"/>
              </w:rPr>
              <w:t>Total</w:t>
            </w: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96"/>
              </w:rPr>
              <w:t>Total</w:t>
            </w: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Residential real estate</w:t>
            </w:r>
          </w:p>
        </w:tc>
        <w:tc>
          <w:tcPr>
            <w:tcW w:w="20" w:type="dxa"/>
            <w:vAlign w:val="bottom"/>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0" w:type="dxa"/>
            <w:vAlign w:val="bottom"/>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346,917</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w w:val="74"/>
                <w:shd w:val="clear" w:color="auto" w:fill="CCEEFF"/>
              </w:rPr>
              <w:t>%</w:t>
            </w:r>
          </w:p>
        </w:tc>
        <w:tc>
          <w:tcPr>
            <w:tcW w:w="40" w:type="dxa"/>
            <w:vAlign w:val="bottom"/>
            <w:gridSpan w:val="2"/>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0" w:type="dxa"/>
            <w:vAlign w:val="bottom"/>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307,692</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w w:val="74"/>
                <w:shd w:val="clear" w:color="auto" w:fill="CCEEFF"/>
              </w:rPr>
              <w:t>%</w:t>
            </w:r>
          </w:p>
        </w:tc>
        <w:tc>
          <w:tcPr>
            <w:tcW w:w="4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340" w:type="dxa"/>
            <w:vAlign w:val="bottom"/>
          </w:tcPr>
          <w:p>
            <w:pPr>
              <w:ind w:left="40"/>
              <w:spacing w:after="0"/>
              <w:rPr>
                <w:sz w:val="20"/>
                <w:szCs w:val="20"/>
                <w:color w:val="auto"/>
              </w:rPr>
            </w:pPr>
            <w:r>
              <w:rPr>
                <w:rFonts w:ascii="Arial" w:cs="Arial" w:eastAsia="Arial" w:hAnsi="Arial"/>
                <w:sz w:val="13"/>
                <w:szCs w:val="13"/>
                <w:color w:val="auto"/>
              </w:rPr>
              <w:t>Commercial real estate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1,259,642</w:t>
            </w:r>
          </w:p>
        </w:tc>
        <w:tc>
          <w:tcPr>
            <w:tcW w:w="80" w:type="dxa"/>
            <w:vAlign w:val="bottom"/>
          </w:tcPr>
          <w:p>
            <w:pPr>
              <w:spacing w:after="0"/>
              <w:rPr>
                <w:sz w:val="14"/>
                <w:szCs w:val="14"/>
                <w:color w:val="auto"/>
              </w:rPr>
            </w:pPr>
          </w:p>
        </w:tc>
        <w:tc>
          <w:tcPr>
            <w:tcW w:w="880" w:type="dxa"/>
            <w:vAlign w:val="bottom"/>
            <w:gridSpan w:val="4"/>
          </w:tcPr>
          <w:p>
            <w:pPr>
              <w:jc w:val="right"/>
              <w:spacing w:after="0"/>
              <w:rPr>
                <w:sz w:val="20"/>
                <w:szCs w:val="20"/>
                <w:color w:val="auto"/>
              </w:rPr>
            </w:pPr>
            <w:r>
              <w:rPr>
                <w:rFonts w:ascii="Arial" w:cs="Arial" w:eastAsia="Arial" w:hAnsi="Arial"/>
                <w:sz w:val="13"/>
                <w:szCs w:val="13"/>
                <w:color w:val="auto"/>
              </w:rPr>
              <w:t>56.4</w:t>
            </w:r>
          </w:p>
        </w:tc>
        <w:tc>
          <w:tcPr>
            <w:tcW w:w="100" w:type="dxa"/>
            <w:vAlign w:val="bottom"/>
          </w:tcPr>
          <w:p>
            <w:pPr>
              <w:spacing w:after="0"/>
              <w:rPr>
                <w:sz w:val="14"/>
                <w:szCs w:val="14"/>
                <w:color w:val="auto"/>
              </w:rPr>
            </w:pPr>
          </w:p>
        </w:tc>
        <w:tc>
          <w:tcPr>
            <w:tcW w:w="140" w:type="dxa"/>
            <w:vAlign w:val="bottom"/>
            <w:gridSpan w:val="3"/>
          </w:tcPr>
          <w:p>
            <w:pP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1,244,835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4"/>
          </w:tcPr>
          <w:p>
            <w:pPr>
              <w:jc w:val="right"/>
              <w:spacing w:after="0"/>
              <w:rPr>
                <w:sz w:val="20"/>
                <w:szCs w:val="20"/>
                <w:color w:val="auto"/>
              </w:rPr>
            </w:pPr>
            <w:r>
              <w:rPr>
                <w:rFonts w:ascii="Arial" w:cs="Arial" w:eastAsia="Arial" w:hAnsi="Arial"/>
                <w:sz w:val="13"/>
                <w:szCs w:val="13"/>
                <w:color w:val="auto"/>
              </w:rPr>
              <w:t>57.0</w:t>
            </w:r>
          </w:p>
        </w:tc>
        <w:tc>
          <w:tcPr>
            <w:tcW w:w="100" w:type="dxa"/>
            <w:vAlign w:val="bottom"/>
          </w:tcPr>
          <w:p>
            <w:pPr>
              <w:spacing w:after="0"/>
              <w:rPr>
                <w:sz w:val="14"/>
                <w:szCs w:val="14"/>
                <w:color w:val="auto"/>
              </w:rPr>
            </w:pPr>
          </w:p>
        </w:tc>
        <w:tc>
          <w:tcPr>
            <w:tcW w:w="140" w:type="dxa"/>
            <w:vAlign w:val="bottom"/>
            <w:gridSpan w:val="3"/>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Commercial and industrial</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291,333</w:t>
            </w:r>
          </w:p>
        </w:tc>
        <w:tc>
          <w:tcPr>
            <w:tcW w:w="80" w:type="dxa"/>
            <w:vAlign w:val="bottom"/>
            <w:shd w:val="clear" w:color="auto" w:fill="CCEEFF"/>
          </w:tcPr>
          <w:p>
            <w:pPr>
              <w:spacing w:after="0"/>
              <w:rPr>
                <w:sz w:val="14"/>
                <w:szCs w:val="14"/>
                <w:color w:val="auto"/>
              </w:rPr>
            </w:pPr>
          </w:p>
        </w:tc>
        <w:tc>
          <w:tcPr>
            <w:tcW w:w="80" w:type="dxa"/>
            <w:vAlign w:val="bottom"/>
            <w:gridSpan w:val="3"/>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w w:val="74"/>
                <w:shd w:val="clear" w:color="auto" w:fill="CCEEFF"/>
              </w:rPr>
              <w:t>%</w:t>
            </w:r>
          </w:p>
        </w:tc>
        <w:tc>
          <w:tcPr>
            <w:tcW w:w="40" w:type="dxa"/>
            <w:vAlign w:val="bottom"/>
            <w:gridSpan w:val="2"/>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295,548</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gridSpan w:val="3"/>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w w:val="74"/>
                <w:shd w:val="clear" w:color="auto" w:fill="CCEEFF"/>
              </w:rPr>
              <w:t>%</w:t>
            </w:r>
          </w:p>
        </w:tc>
        <w:tc>
          <w:tcPr>
            <w:tcW w:w="4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40" w:type="dxa"/>
            <w:vAlign w:val="bottom"/>
          </w:tcPr>
          <w:p>
            <w:pPr>
              <w:ind w:left="40"/>
              <w:spacing w:after="0"/>
              <w:rPr>
                <w:sz w:val="20"/>
                <w:szCs w:val="20"/>
                <w:color w:val="auto"/>
              </w:rPr>
            </w:pPr>
            <w:r>
              <w:rPr>
                <w:rFonts w:ascii="Arial" w:cs="Arial" w:eastAsia="Arial" w:hAnsi="Arial"/>
                <w:sz w:val="13"/>
                <w:szCs w:val="13"/>
                <w:color w:val="auto"/>
              </w:rPr>
              <w:t>Correspondent banks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128,722</w:t>
            </w:r>
          </w:p>
        </w:tc>
        <w:tc>
          <w:tcPr>
            <w:tcW w:w="80" w:type="dxa"/>
            <w:vAlign w:val="bottom"/>
          </w:tcPr>
          <w:p>
            <w:pPr>
              <w:spacing w:after="0"/>
              <w:rPr>
                <w:sz w:val="14"/>
                <w:szCs w:val="14"/>
                <w:color w:val="auto"/>
              </w:rPr>
            </w:pPr>
          </w:p>
        </w:tc>
        <w:tc>
          <w:tcPr>
            <w:tcW w:w="980" w:type="dxa"/>
            <w:vAlign w:val="bottom"/>
            <w:gridSpan w:val="5"/>
          </w:tcPr>
          <w:p>
            <w:pPr>
              <w:jc w:val="right"/>
              <w:ind w:right="80"/>
              <w:spacing w:after="0"/>
              <w:rPr>
                <w:sz w:val="20"/>
                <w:szCs w:val="20"/>
                <w:color w:val="auto"/>
              </w:rPr>
            </w:pPr>
            <w:r>
              <w:rPr>
                <w:rFonts w:ascii="Arial" w:cs="Arial" w:eastAsia="Arial" w:hAnsi="Arial"/>
                <w:sz w:val="13"/>
                <w:szCs w:val="13"/>
                <w:color w:val="auto"/>
              </w:rPr>
              <w:t>5.8</w:t>
            </w:r>
          </w:p>
        </w:tc>
        <w:tc>
          <w:tcPr>
            <w:tcW w:w="140" w:type="dxa"/>
            <w:vAlign w:val="bottom"/>
            <w:gridSpan w:val="3"/>
          </w:tcPr>
          <w:p>
            <w:pP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127,968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5"/>
          </w:tcPr>
          <w:p>
            <w:pPr>
              <w:jc w:val="right"/>
              <w:ind w:right="100"/>
              <w:spacing w:after="0"/>
              <w:rPr>
                <w:sz w:val="20"/>
                <w:szCs w:val="20"/>
                <w:color w:val="auto"/>
              </w:rPr>
            </w:pPr>
            <w:r>
              <w:rPr>
                <w:rFonts w:ascii="Arial" w:cs="Arial" w:eastAsia="Arial" w:hAnsi="Arial"/>
                <w:sz w:val="13"/>
                <w:szCs w:val="13"/>
                <w:color w:val="auto"/>
              </w:rPr>
              <w:t>5.9</w:t>
            </w:r>
          </w:p>
        </w:tc>
        <w:tc>
          <w:tcPr>
            <w:tcW w:w="140" w:type="dxa"/>
            <w:vAlign w:val="bottom"/>
            <w:gridSpan w:val="3"/>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Consumer and other</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207,794</w:t>
            </w:r>
          </w:p>
        </w:tc>
        <w:tc>
          <w:tcPr>
            <w:tcW w:w="8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auto"/>
            </w:tcBorders>
            <w:gridSpan w:val="2"/>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0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207,215</w:t>
            </w:r>
          </w:p>
        </w:tc>
        <w:tc>
          <w:tcPr>
            <w:tcW w:w="6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auto"/>
            </w:tcBorders>
            <w:gridSpan w:val="2"/>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10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3340" w:type="dxa"/>
            <w:vAlign w:val="bottom"/>
          </w:tcPr>
          <w:p>
            <w:pPr>
              <w:ind w:left="140"/>
              <w:spacing w:after="0"/>
              <w:rPr>
                <w:sz w:val="20"/>
                <w:szCs w:val="20"/>
                <w:color w:val="auto"/>
              </w:rPr>
            </w:pPr>
            <w:r>
              <w:rPr>
                <w:rFonts w:ascii="Arial" w:cs="Arial" w:eastAsia="Arial" w:hAnsi="Arial"/>
                <w:sz w:val="13"/>
                <w:szCs w:val="13"/>
                <w:color w:val="auto"/>
              </w:rPr>
              <w:t>Total gross loans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2,234,408</w:t>
            </w:r>
          </w:p>
        </w:tc>
        <w:tc>
          <w:tcPr>
            <w:tcW w:w="80" w:type="dxa"/>
            <w:vAlign w:val="bottom"/>
          </w:tcPr>
          <w:p>
            <w:pPr>
              <w:spacing w:after="0"/>
              <w:rPr>
                <w:sz w:val="20"/>
                <w:szCs w:val="20"/>
                <w:color w:val="auto"/>
              </w:rPr>
            </w:pPr>
          </w:p>
        </w:tc>
        <w:tc>
          <w:tcPr>
            <w:tcW w:w="880" w:type="dxa"/>
            <w:vAlign w:val="bottom"/>
            <w:gridSpan w:val="4"/>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20"/>
                <w:szCs w:val="20"/>
                <w:color w:val="auto"/>
              </w:rPr>
            </w:pPr>
          </w:p>
        </w:tc>
        <w:tc>
          <w:tcPr>
            <w:tcW w:w="140" w:type="dxa"/>
            <w:vAlign w:val="bottom"/>
            <w:gridSpan w:val="3"/>
          </w:tcPr>
          <w:p>
            <w:pP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2,183,258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4"/>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20"/>
                <w:szCs w:val="20"/>
                <w:color w:val="auto"/>
              </w:rPr>
            </w:pPr>
          </w:p>
        </w:tc>
        <w:tc>
          <w:tcPr>
            <w:tcW w:w="140" w:type="dxa"/>
            <w:vAlign w:val="bottom"/>
            <w:gridSpan w:val="3"/>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3340" w:type="dxa"/>
            <w:vAlign w:val="bottom"/>
            <w:tcBorders>
              <w:top w:val="single" w:sz="8" w:color="CCEEFF"/>
            </w:tcBorders>
            <w:shd w:val="clear" w:color="auto" w:fill="CCEEFF"/>
          </w:tcPr>
          <w:p>
            <w:pPr>
              <w:ind w:left="40"/>
              <w:spacing w:after="0" w:line="123" w:lineRule="exact"/>
              <w:rPr>
                <w:sz w:val="20"/>
                <w:szCs w:val="20"/>
                <w:color w:val="auto"/>
              </w:rPr>
            </w:pPr>
            <w:r>
              <w:rPr>
                <w:rFonts w:ascii="Arial" w:cs="Arial" w:eastAsia="Arial" w:hAnsi="Arial"/>
                <w:sz w:val="13"/>
                <w:szCs w:val="13"/>
                <w:color w:val="auto"/>
              </w:rPr>
              <w:t>Plus: Deferred fees/costs</w:t>
            </w: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80" w:type="dxa"/>
            <w:vAlign w:val="bottom"/>
            <w:tcBorders>
              <w:top w:val="single" w:sz="8" w:color="CCEEFF"/>
              <w:bottom w:val="single" w:sz="8" w:color="auto"/>
            </w:tcBorders>
            <w:shd w:val="clear" w:color="auto" w:fill="CCEEFF"/>
          </w:tcPr>
          <w:p>
            <w:pPr>
              <w:spacing w:after="0"/>
              <w:rPr>
                <w:sz w:val="11"/>
                <w:szCs w:val="11"/>
                <w:color w:val="auto"/>
              </w:rPr>
            </w:pPr>
          </w:p>
        </w:tc>
        <w:tc>
          <w:tcPr>
            <w:tcW w:w="60" w:type="dxa"/>
            <w:vAlign w:val="bottom"/>
            <w:tcBorders>
              <w:top w:val="single" w:sz="8" w:color="CCEEFF"/>
              <w:bottom w:val="single" w:sz="8" w:color="auto"/>
            </w:tcBorders>
            <w:shd w:val="clear" w:color="auto" w:fill="CCEEFF"/>
          </w:tcPr>
          <w:p>
            <w:pPr>
              <w:spacing w:after="0"/>
              <w:rPr>
                <w:sz w:val="11"/>
                <w:szCs w:val="11"/>
                <w:color w:val="auto"/>
              </w:rPr>
            </w:pPr>
          </w:p>
        </w:tc>
        <w:tc>
          <w:tcPr>
            <w:tcW w:w="800" w:type="dxa"/>
            <w:vAlign w:val="bottom"/>
            <w:tcBorders>
              <w:top w:val="single" w:sz="8" w:color="CCEEFF"/>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6,643</w:t>
            </w:r>
          </w:p>
        </w:tc>
        <w:tc>
          <w:tcPr>
            <w:tcW w:w="80" w:type="dxa"/>
            <w:vAlign w:val="bottom"/>
            <w:tcBorders>
              <w:top w:val="single" w:sz="8" w:color="CCEEFF"/>
              <w:bottom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80" w:type="dxa"/>
            <w:vAlign w:val="bottom"/>
            <w:tcBorders>
              <w:top w:val="single" w:sz="8" w:color="CCEEFF"/>
              <w:bottom w:val="single" w:sz="8" w:color="auto"/>
            </w:tcBorders>
            <w:shd w:val="clear" w:color="auto" w:fill="CCEEFF"/>
          </w:tcPr>
          <w:p>
            <w:pPr>
              <w:spacing w:after="0"/>
              <w:rPr>
                <w:sz w:val="11"/>
                <w:szCs w:val="11"/>
                <w:color w:val="auto"/>
              </w:rPr>
            </w:pPr>
          </w:p>
        </w:tc>
        <w:tc>
          <w:tcPr>
            <w:tcW w:w="60" w:type="dxa"/>
            <w:vAlign w:val="bottom"/>
            <w:tcBorders>
              <w:top w:val="single" w:sz="8" w:color="CCEEFF"/>
              <w:bottom w:val="single" w:sz="8" w:color="auto"/>
            </w:tcBorders>
            <w:shd w:val="clear" w:color="auto" w:fill="CCEEFF"/>
          </w:tcPr>
          <w:p>
            <w:pPr>
              <w:spacing w:after="0"/>
              <w:rPr>
                <w:sz w:val="11"/>
                <w:szCs w:val="11"/>
                <w:color w:val="auto"/>
              </w:rPr>
            </w:pPr>
          </w:p>
        </w:tc>
        <w:tc>
          <w:tcPr>
            <w:tcW w:w="800" w:type="dxa"/>
            <w:vAlign w:val="bottom"/>
            <w:tcBorders>
              <w:top w:val="single" w:sz="8" w:color="CCEEFF"/>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3"/>
                <w:szCs w:val="13"/>
                <w:color w:val="auto"/>
              </w:rPr>
              <w:t>5,999</w:t>
            </w:r>
          </w:p>
        </w:tc>
        <w:tc>
          <w:tcPr>
            <w:tcW w:w="60" w:type="dxa"/>
            <w:vAlign w:val="bottom"/>
            <w:tcBorders>
              <w:top w:val="single" w:sz="8" w:color="CCEEFF"/>
              <w:bottom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340" w:type="dxa"/>
            <w:vAlign w:val="bottom"/>
          </w:tcPr>
          <w:p>
            <w:pPr>
              <w:ind w:left="140"/>
              <w:spacing w:after="0"/>
              <w:rPr>
                <w:sz w:val="20"/>
                <w:szCs w:val="20"/>
                <w:color w:val="auto"/>
              </w:rPr>
            </w:pPr>
            <w:r>
              <w:rPr>
                <w:rFonts w:ascii="Arial" w:cs="Arial" w:eastAsia="Arial" w:hAnsi="Arial"/>
                <w:sz w:val="13"/>
                <w:szCs w:val="13"/>
                <w:color w:val="auto"/>
              </w:rPr>
              <w:t>Total loans net of deferred fees/costs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2,241,051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2,189,257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Less: Allowance for credit losses</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26,102</w:t>
            </w:r>
          </w:p>
        </w:tc>
        <w:tc>
          <w:tcPr>
            <w:tcW w:w="8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25,500</w:t>
            </w: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40" w:type="dxa"/>
            <w:vAlign w:val="bottom"/>
          </w:tcPr>
          <w:p>
            <w:pPr>
              <w:ind w:left="140"/>
              <w:spacing w:after="0"/>
              <w:rPr>
                <w:sz w:val="20"/>
                <w:szCs w:val="20"/>
                <w:color w:val="auto"/>
              </w:rPr>
            </w:pPr>
            <w:r>
              <w:rPr>
                <w:rFonts w:ascii="Arial" w:cs="Arial" w:eastAsia="Arial" w:hAnsi="Arial"/>
                <w:sz w:val="13"/>
                <w:szCs w:val="13"/>
                <w:color w:val="auto"/>
              </w:rPr>
              <w:t>Total net loans</w:t>
            </w:r>
          </w:p>
        </w:tc>
        <w:tc>
          <w:tcPr>
            <w:tcW w:w="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2,214,949</w:t>
            </w: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2,163,757</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Total loans, net of deferred fees/costs, increased by $51.8 million, or 9.6% annualized to $2.24 billion, at March 31, 2026 compared to December 31, 2025. The residential real estate loan segment had the most significant balance increase compared to December 31, 2025.</w:t>
      </w:r>
    </w:p>
    <w:p>
      <w:pPr>
        <w:spacing w:after="0" w:line="128" w:lineRule="exact"/>
        <w:rPr>
          <w:sz w:val="20"/>
          <w:szCs w:val="20"/>
          <w:color w:val="auto"/>
        </w:rPr>
      </w:pPr>
    </w:p>
    <w:p>
      <w:pPr>
        <w:jc w:val="both"/>
        <w:ind w:left="660" w:right="659" w:firstLine="256"/>
        <w:spacing w:after="0" w:line="257" w:lineRule="auto"/>
        <w:rPr>
          <w:sz w:val="20"/>
          <w:szCs w:val="20"/>
          <w:color w:val="auto"/>
        </w:rPr>
      </w:pPr>
      <w:r>
        <w:rPr>
          <w:rFonts w:ascii="Arial" w:cs="Arial" w:eastAsia="Arial" w:hAnsi="Arial"/>
          <w:sz w:val="14"/>
          <w:szCs w:val="14"/>
          <w:color w:val="auto"/>
        </w:rPr>
        <w:t>Our loan portfolio continues to grow, with commercial real estate lending being the primary focus which represented approximately 56.4% of the total gross loan portfolio as of March 31, 2026. Our loan growth strategy since inception has been reflective of the market in which we operate and of our strategic plan as approved by the Board.</w:t>
      </w:r>
    </w:p>
    <w:p>
      <w:pPr>
        <w:spacing w:after="0" w:line="134"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The growth experienced in recent years is primarily due to implementation of our relationship-based banking model and the success of our relationship managers in competing for new business in a highly competitive metropolitan area. Many of our larger loan clients have long-term relationships with members of our senior management team or our relationship managers that date back to former institutions.</w:t>
      </w:r>
    </w:p>
    <w:p>
      <w:pPr>
        <w:spacing w:after="0" w:line="135"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From a liquidity perspective, our loan portfolio provides us with additional liquidity due to repayments or unexpected prepayments. The following table shows maturities and sensitivity to interest rate changes of the loan portfolio at March 31, 2026 (in thousands):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auto"/>
              </w:rPr>
              <w:t>Due in 1 year or</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96"/>
              <w:spacing w:after="0"/>
              <w:rPr>
                <w:sz w:val="20"/>
                <w:szCs w:val="20"/>
                <w:color w:val="auto"/>
              </w:rPr>
            </w:pPr>
            <w:r>
              <w:rPr>
                <w:rFonts w:ascii="Arial" w:cs="Arial" w:eastAsia="Arial" w:hAnsi="Arial"/>
                <w:sz w:val="13"/>
                <w:szCs w:val="13"/>
                <w:b w:val="1"/>
                <w:bCs w:val="1"/>
                <w:color w:val="auto"/>
              </w:rPr>
              <w:t>Due in 1 to 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auto"/>
              </w:rPr>
              <w:t>Due after 5 to 15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116"/>
              <w:spacing w:after="0"/>
              <w:rPr>
                <w:sz w:val="20"/>
                <w:szCs w:val="20"/>
                <w:color w:val="auto"/>
              </w:rPr>
            </w:pPr>
            <w:r>
              <w:rPr>
                <w:rFonts w:ascii="Arial" w:cs="Arial" w:eastAsia="Arial" w:hAnsi="Arial"/>
                <w:sz w:val="13"/>
                <w:szCs w:val="13"/>
                <w:b w:val="1"/>
                <w:bCs w:val="1"/>
                <w:color w:val="auto"/>
              </w:rPr>
              <w:t>Due after 15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9"/>
        </w:trPr>
        <w:tc>
          <w:tcPr>
            <w:tcW w:w="2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56"/>
              <w:spacing w:after="0"/>
              <w:rPr>
                <w:sz w:val="20"/>
                <w:szCs w:val="20"/>
                <w:color w:val="auto"/>
              </w:rPr>
            </w:pPr>
            <w:r>
              <w:rPr>
                <w:rFonts w:ascii="Arial" w:cs="Arial" w:eastAsia="Arial" w:hAnsi="Arial"/>
                <w:sz w:val="13"/>
                <w:szCs w:val="13"/>
                <w:b w:val="1"/>
                <w:bCs w:val="1"/>
                <w:color w:val="auto"/>
              </w:rPr>
              <w:t>less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16"/>
              <w:spacing w:after="0"/>
              <w:rPr>
                <w:sz w:val="20"/>
                <w:szCs w:val="20"/>
                <w:color w:val="auto"/>
              </w:rPr>
            </w:pPr>
            <w:r>
              <w:rPr>
                <w:rFonts w:ascii="Arial" w:cs="Arial" w:eastAsia="Arial" w:hAnsi="Arial"/>
                <w:sz w:val="13"/>
                <w:szCs w:val="13"/>
                <w:b w:val="1"/>
                <w:bCs w:val="1"/>
                <w:color w:val="auto"/>
              </w:rPr>
              <w:t>years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16"/>
              <w:spacing w:after="0"/>
              <w:rPr>
                <w:sz w:val="20"/>
                <w:szCs w:val="20"/>
                <w:color w:val="auto"/>
              </w:rPr>
            </w:pPr>
            <w:r>
              <w:rPr>
                <w:rFonts w:ascii="Arial" w:cs="Arial" w:eastAsia="Arial" w:hAnsi="Arial"/>
                <w:sz w:val="13"/>
                <w:szCs w:val="13"/>
                <w:b w:val="1"/>
                <w:bCs w:val="1"/>
                <w:color w:val="auto"/>
              </w:rPr>
              <w:t>years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296"/>
              <w:spacing w:after="0"/>
              <w:rPr>
                <w:sz w:val="20"/>
                <w:szCs w:val="20"/>
                <w:color w:val="auto"/>
              </w:rPr>
            </w:pPr>
            <w:r>
              <w:rPr>
                <w:rFonts w:ascii="Arial" w:cs="Arial" w:eastAsia="Arial" w:hAnsi="Arial"/>
                <w:sz w:val="13"/>
                <w:szCs w:val="13"/>
                <w:b w:val="1"/>
                <w:bCs w:val="1"/>
                <w:color w:val="auto"/>
              </w:rPr>
              <w:t>years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ind w:left="180"/>
              <w:spacing w:after="0"/>
              <w:rPr>
                <w:sz w:val="20"/>
                <w:szCs w:val="20"/>
                <w:color w:val="auto"/>
              </w:rPr>
            </w:pPr>
            <w:r>
              <w:rPr>
                <w:rFonts w:ascii="Arial" w:cs="Arial" w:eastAsia="Arial" w:hAnsi="Arial"/>
                <w:sz w:val="13"/>
                <w:szCs w:val="13"/>
                <w:b w:val="1"/>
                <w:bCs w:val="1"/>
                <w:color w:val="auto"/>
              </w:rPr>
              <w:t>Total</w:t>
            </w:r>
          </w:p>
        </w:tc>
      </w:tr>
      <w:tr>
        <w:trPr>
          <w:trHeight w:val="141"/>
        </w:trPr>
        <w:tc>
          <w:tcPr>
            <w:tcW w:w="2020" w:type="dxa"/>
            <w:vAlign w:val="bottom"/>
            <w:tcBorders>
              <w:top w:val="single" w:sz="8" w:color="CCEEFF"/>
            </w:tcBorders>
            <w:gridSpan w:val="2"/>
            <w:shd w:val="clear" w:color="auto" w:fill="CCEEFF"/>
          </w:tcPr>
          <w:p>
            <w:pPr>
              <w:spacing w:after="0" w:line="141" w:lineRule="exact"/>
              <w:rPr>
                <w:sz w:val="20"/>
                <w:szCs w:val="20"/>
                <w:color w:val="auto"/>
              </w:rPr>
            </w:pPr>
            <w:r>
              <w:rPr>
                <w:rFonts w:ascii="Arial" w:cs="Arial" w:eastAsia="Arial" w:hAnsi="Arial"/>
                <w:sz w:val="13"/>
                <w:szCs w:val="13"/>
                <w:color w:val="auto"/>
              </w:rPr>
              <w:t>Residential real estate</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7,403</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69,792</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61,936</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207,786</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5"/>
                <w:szCs w:val="5"/>
                <w:color w:val="auto"/>
                <w:w w:val="70"/>
              </w:rPr>
              <w:t>$</w:t>
            </w:r>
          </w:p>
        </w:tc>
        <w:tc>
          <w:tcPr>
            <w:tcW w:w="8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346,917</w:t>
            </w:r>
          </w:p>
        </w:tc>
        <w:tc>
          <w:tcPr>
            <w:tcW w:w="20" w:type="dxa"/>
            <w:vAlign w:val="bottom"/>
            <w:shd w:val="clear" w:color="auto" w:fill="CCEEFF"/>
          </w:tcPr>
          <w:p>
            <w:pPr>
              <w:spacing w:after="0"/>
              <w:rPr>
                <w:sz w:val="12"/>
                <w:szCs w:val="12"/>
                <w:color w:val="auto"/>
              </w:rPr>
            </w:pPr>
          </w:p>
        </w:tc>
      </w:tr>
      <w:tr>
        <w:trPr>
          <w:trHeight w:val="171"/>
        </w:trPr>
        <w:tc>
          <w:tcPr>
            <w:tcW w:w="202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62,790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573,987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617,411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5,454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1,259,642</w:t>
            </w:r>
          </w:p>
        </w:tc>
        <w:tc>
          <w:tcPr>
            <w:tcW w:w="20" w:type="dxa"/>
            <w:vAlign w:val="bottom"/>
          </w:tcPr>
          <w:p>
            <w:pPr>
              <w:spacing w:after="0"/>
              <w:rPr>
                <w:sz w:val="14"/>
                <w:szCs w:val="14"/>
                <w:color w:val="auto"/>
              </w:rPr>
            </w:pPr>
          </w:p>
        </w:tc>
      </w:tr>
      <w:tr>
        <w:trPr>
          <w:trHeight w:val="171"/>
        </w:trPr>
        <w:tc>
          <w:tcPr>
            <w:tcW w:w="2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11,107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117,619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119,110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43,497</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291,333</w:t>
            </w:r>
          </w:p>
        </w:tc>
        <w:tc>
          <w:tcPr>
            <w:tcW w:w="20" w:type="dxa"/>
            <w:vAlign w:val="bottom"/>
            <w:shd w:val="clear" w:color="auto" w:fill="CCEEFF"/>
          </w:tcPr>
          <w:p>
            <w:pPr>
              <w:spacing w:after="0"/>
              <w:rPr>
                <w:sz w:val="14"/>
                <w:szCs w:val="14"/>
                <w:color w:val="auto"/>
              </w:rPr>
            </w:pPr>
          </w:p>
        </w:tc>
      </w:tr>
      <w:tr>
        <w:trPr>
          <w:trHeight w:val="171"/>
        </w:trPr>
        <w:tc>
          <w:tcPr>
            <w:tcW w:w="2020" w:type="dxa"/>
            <w:vAlign w:val="bottom"/>
            <w:gridSpan w:val="2"/>
          </w:tcPr>
          <w:p>
            <w:pPr>
              <w:spacing w:after="0"/>
              <w:rPr>
                <w:sz w:val="20"/>
                <w:szCs w:val="20"/>
                <w:color w:val="auto"/>
              </w:rPr>
            </w:pPr>
            <w:r>
              <w:rPr>
                <w:rFonts w:ascii="Arial" w:cs="Arial" w:eastAsia="Arial" w:hAnsi="Arial"/>
                <w:sz w:val="13"/>
                <w:szCs w:val="13"/>
                <w:color w:val="auto"/>
              </w:rPr>
              <w:t>Correspondent banks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128,722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128,722</w:t>
            </w:r>
          </w:p>
        </w:tc>
        <w:tc>
          <w:tcPr>
            <w:tcW w:w="20" w:type="dxa"/>
            <w:vAlign w:val="bottom"/>
          </w:tcPr>
          <w:p>
            <w:pPr>
              <w:spacing w:after="0"/>
              <w:rPr>
                <w:sz w:val="14"/>
                <w:szCs w:val="14"/>
                <w:color w:val="auto"/>
              </w:rPr>
            </w:pPr>
          </w:p>
        </w:tc>
      </w:tr>
      <w:tr>
        <w:trPr>
          <w:trHeight w:val="171"/>
        </w:trPr>
        <w:tc>
          <w:tcPr>
            <w:tcW w:w="2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4,096</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1,267</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22,625</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179,806</w:t>
            </w: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207,794</w:t>
            </w:r>
          </w:p>
        </w:tc>
        <w:tc>
          <w:tcPr>
            <w:tcW w:w="20" w:type="dxa"/>
            <w:vAlign w:val="bottom"/>
            <w:shd w:val="clear" w:color="auto" w:fill="CCEEFF"/>
          </w:tcPr>
          <w:p>
            <w:pPr>
              <w:spacing w:after="0"/>
              <w:rPr>
                <w:sz w:val="14"/>
                <w:szCs w:val="14"/>
                <w:color w:val="auto"/>
              </w:rPr>
            </w:pPr>
          </w:p>
        </w:tc>
      </w:tr>
      <w:tr>
        <w:trPr>
          <w:trHeight w:val="212"/>
        </w:trPr>
        <w:tc>
          <w:tcPr>
            <w:tcW w:w="2020" w:type="dxa"/>
            <w:vAlign w:val="bottom"/>
            <w:gridSpan w:val="2"/>
          </w:tcPr>
          <w:p>
            <w:pPr>
              <w:ind w:left="100"/>
              <w:spacing w:after="0"/>
              <w:rPr>
                <w:sz w:val="20"/>
                <w:szCs w:val="20"/>
                <w:color w:val="auto"/>
              </w:rPr>
            </w:pPr>
            <w:r>
              <w:rPr>
                <w:rFonts w:ascii="Arial" w:cs="Arial" w:eastAsia="Arial" w:hAnsi="Arial"/>
                <w:sz w:val="13"/>
                <w:szCs w:val="13"/>
                <w:color w:val="auto"/>
              </w:rPr>
              <w:t>Total gross loans</w:t>
            </w:r>
          </w:p>
        </w:tc>
        <w:tc>
          <w:tcPr>
            <w:tcW w:w="140" w:type="dxa"/>
            <w:vAlign w:val="bottom"/>
            <w:gridSpan w:val="2"/>
          </w:tcPr>
          <w:p>
            <w:pPr>
              <w:jc w:val="right"/>
              <w:ind w:right="8"/>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214,118</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762,665</w:t>
            </w:r>
          </w:p>
        </w:tc>
        <w:tc>
          <w:tcPr>
            <w:tcW w:w="280" w:type="dxa"/>
            <w:vAlign w:val="bottom"/>
            <w:gridSpan w:val="3"/>
          </w:tcPr>
          <w:p>
            <w:pPr>
              <w:jc w:val="right"/>
              <w:ind w:right="108"/>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821,082</w:t>
            </w:r>
          </w:p>
        </w:tc>
        <w:tc>
          <w:tcPr>
            <w:tcW w:w="180" w:type="dxa"/>
            <w:vAlign w:val="bottom"/>
            <w:gridSpan w:val="3"/>
          </w:tcPr>
          <w:p>
            <w:pPr>
              <w:jc w:val="right"/>
              <w:ind w:right="12"/>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436,543</w:t>
            </w:r>
          </w:p>
        </w:tc>
        <w:tc>
          <w:tcPr>
            <w:tcW w:w="280" w:type="dxa"/>
            <w:vAlign w:val="bottom"/>
            <w:gridSpan w:val="3"/>
          </w:tcPr>
          <w:p>
            <w:pPr>
              <w:jc w:val="right"/>
              <w:ind w:right="13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2,234,408</w:t>
            </w:r>
          </w:p>
        </w:tc>
        <w:tc>
          <w:tcPr>
            <w:tcW w:w="20" w:type="dxa"/>
            <w:vAlign w:val="bottom"/>
          </w:tcPr>
          <w:p>
            <w:pPr>
              <w:spacing w:after="0"/>
              <w:rPr>
                <w:sz w:val="18"/>
                <w:szCs w:val="18"/>
                <w:color w:val="auto"/>
              </w:rPr>
            </w:pPr>
          </w:p>
        </w:tc>
      </w:tr>
      <w:tr>
        <w:trPr>
          <w:trHeight w:val="153"/>
        </w:trPr>
        <w:tc>
          <w:tcPr>
            <w:tcW w:w="200" w:type="dxa"/>
            <w:vAlign w:val="bottom"/>
            <w:tcBorders>
              <w:top w:val="single" w:sz="8" w:color="CCEEFF"/>
            </w:tcBorders>
            <w:shd w:val="clear" w:color="auto" w:fill="CCEEFF"/>
          </w:tcPr>
          <w:p>
            <w:pPr>
              <w:spacing w:after="0"/>
              <w:rPr>
                <w:sz w:val="13"/>
                <w:szCs w:val="13"/>
                <w:color w:val="auto"/>
              </w:rPr>
            </w:pPr>
          </w:p>
        </w:tc>
        <w:tc>
          <w:tcPr>
            <w:tcW w:w="18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r>
      <w:tr>
        <w:trPr>
          <w:trHeight w:val="171"/>
        </w:trPr>
        <w:tc>
          <w:tcPr>
            <w:tcW w:w="2020" w:type="dxa"/>
            <w:vAlign w:val="bottom"/>
            <w:gridSpan w:val="2"/>
          </w:tcPr>
          <w:p>
            <w:pPr>
              <w:spacing w:after="0"/>
              <w:rPr>
                <w:sz w:val="20"/>
                <w:szCs w:val="20"/>
                <w:color w:val="auto"/>
              </w:rPr>
            </w:pPr>
            <w:r>
              <w:rPr>
                <w:rFonts w:ascii="Arial" w:cs="Arial" w:eastAsia="Arial" w:hAnsi="Arial"/>
                <w:sz w:val="13"/>
                <w:szCs w:val="13"/>
                <w:b w:val="1"/>
                <w:bCs w:val="1"/>
                <w:color w:val="auto"/>
              </w:rPr>
              <w:t>Interest rate sensitivity: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0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Fixed interest rates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175,825</w:t>
            </w:r>
          </w:p>
        </w:tc>
        <w:tc>
          <w:tcPr>
            <w:tcW w:w="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197,208</w:t>
            </w:r>
          </w:p>
        </w:tc>
        <w:tc>
          <w:tcPr>
            <w:tcW w:w="60" w:type="dxa"/>
            <w:vAlign w:val="bottom"/>
            <w:gridSpan w:val="2"/>
            <w:shd w:val="clear" w:color="auto" w:fill="CCEEFF"/>
          </w:tcPr>
          <w:p>
            <w:pPr>
              <w:spacing w:after="0"/>
              <w:rPr>
                <w:sz w:val="14"/>
                <w:szCs w:val="14"/>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145,518</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306,009</w:t>
            </w:r>
          </w:p>
        </w:tc>
        <w:tc>
          <w:tcPr>
            <w:tcW w:w="80" w:type="dxa"/>
            <w:vAlign w:val="bottom"/>
            <w:gridSpan w:val="2"/>
            <w:shd w:val="clear" w:color="auto" w:fill="CCEEFF"/>
          </w:tcPr>
          <w:p>
            <w:pPr>
              <w:spacing w:after="0"/>
              <w:rPr>
                <w:sz w:val="14"/>
                <w:szCs w:val="14"/>
                <w:color w:val="auto"/>
              </w:rPr>
            </w:pPr>
          </w:p>
        </w:tc>
        <w:tc>
          <w:tcPr>
            <w:tcW w:w="200" w:type="dxa"/>
            <w:vAlign w:val="bottom"/>
            <w:shd w:val="clear" w:color="auto" w:fill="CCEEFF"/>
          </w:tcPr>
          <w:p>
            <w:pPr>
              <w:jc w:val="right"/>
              <w:ind w:right="133"/>
              <w:spacing w:after="0"/>
              <w:rPr>
                <w:sz w:val="20"/>
                <w:szCs w:val="20"/>
                <w:color w:val="auto"/>
              </w:rPr>
            </w:pPr>
            <w:r>
              <w:rPr>
                <w:rFonts w:ascii="Arial" w:cs="Arial" w:eastAsia="Arial" w:hAnsi="Arial"/>
                <w:sz w:val="5"/>
                <w:szCs w:val="5"/>
                <w:color w:val="auto"/>
                <w:w w:val="70"/>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824,560</w:t>
            </w:r>
          </w:p>
        </w:tc>
        <w:tc>
          <w:tcPr>
            <w:tcW w:w="20" w:type="dxa"/>
            <w:vAlign w:val="bottom"/>
            <w:shd w:val="clear" w:color="auto" w:fill="CCEEFF"/>
          </w:tcPr>
          <w:p>
            <w:pPr>
              <w:spacing w:after="0"/>
              <w:rPr>
                <w:sz w:val="14"/>
                <w:szCs w:val="14"/>
                <w:color w:val="auto"/>
              </w:rPr>
            </w:pPr>
          </w:p>
        </w:tc>
      </w:tr>
      <w:tr>
        <w:trPr>
          <w:trHeight w:val="171"/>
        </w:trPr>
        <w:tc>
          <w:tcPr>
            <w:tcW w:w="202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Floating or adjustable rates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38,293</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565,457</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675,564</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130,534</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1,409,848</w:t>
            </w:r>
          </w:p>
        </w:tc>
        <w:tc>
          <w:tcPr>
            <w:tcW w:w="20" w:type="dxa"/>
            <w:vAlign w:val="bottom"/>
          </w:tcPr>
          <w:p>
            <w:pPr>
              <w:spacing w:after="0"/>
              <w:rPr>
                <w:sz w:val="14"/>
                <w:szCs w:val="14"/>
                <w:color w:val="auto"/>
              </w:rPr>
            </w:pPr>
          </w:p>
        </w:tc>
      </w:tr>
      <w:tr>
        <w:trPr>
          <w:trHeight w:val="172"/>
        </w:trPr>
        <w:tc>
          <w:tcPr>
            <w:tcW w:w="20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 gross loans</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214,118</w:t>
            </w:r>
          </w:p>
        </w:tc>
        <w:tc>
          <w:tcPr>
            <w:tcW w:w="60" w:type="dxa"/>
            <w:vAlign w:val="bottom"/>
            <w:tcBorders>
              <w:bottom w:val="single" w:sz="8" w:color="CCEEFF"/>
            </w:tcBorders>
            <w:gridSpan w:val="2"/>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762,665</w:t>
            </w:r>
          </w:p>
        </w:tc>
        <w:tc>
          <w:tcPr>
            <w:tcW w:w="60" w:type="dxa"/>
            <w:vAlign w:val="bottom"/>
            <w:tcBorders>
              <w:bottom w:val="single" w:sz="8" w:color="CCEEFF"/>
            </w:tcBorders>
            <w:gridSpan w:val="2"/>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821,082</w:t>
            </w:r>
          </w:p>
        </w:tc>
        <w:tc>
          <w:tcPr>
            <w:tcW w:w="60" w:type="dxa"/>
            <w:vAlign w:val="bottom"/>
            <w:tcBorders>
              <w:bottom w:val="single" w:sz="8" w:color="CCEEFF"/>
            </w:tcBorders>
            <w:gridSpan w:val="2"/>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436,543</w:t>
            </w:r>
          </w:p>
        </w:tc>
        <w:tc>
          <w:tcPr>
            <w:tcW w:w="80" w:type="dxa"/>
            <w:vAlign w:val="bottom"/>
            <w:tcBorders>
              <w:bottom w:val="single" w:sz="8" w:color="CCEEFF"/>
            </w:tcBorders>
            <w:gridSpan w:val="2"/>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5"/>
                <w:szCs w:val="5"/>
                <w:color w:val="auto"/>
                <w:w w:val="70"/>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2,234,408</w:t>
            </w:r>
          </w:p>
        </w:tc>
        <w:tc>
          <w:tcPr>
            <w:tcW w:w="20" w:type="dxa"/>
            <w:vAlign w:val="bottom"/>
            <w:tcBorders>
              <w:bottom w:val="single" w:sz="8" w:color="CCEEFF"/>
            </w:tcBorders>
            <w:shd w:val="clear" w:color="auto" w:fill="CCEEFF"/>
          </w:tcPr>
          <w:p>
            <w:pPr>
              <w:spacing w:after="0"/>
              <w:rPr>
                <w:sz w:val="14"/>
                <w:szCs w:val="14"/>
                <w:color w:val="auto"/>
              </w:rPr>
            </w:pPr>
          </w:p>
        </w:tc>
      </w:tr>
      <w:tr>
        <w:trPr>
          <w:trHeight w:val="20"/>
        </w:trPr>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660" w:right="659" w:firstLine="256"/>
        <w:spacing w:after="0" w:line="255" w:lineRule="auto"/>
        <w:rPr>
          <w:sz w:val="20"/>
          <w:szCs w:val="20"/>
          <w:color w:val="auto"/>
        </w:rPr>
      </w:pPr>
      <w:r>
        <w:rPr>
          <w:rFonts w:ascii="Arial" w:cs="Arial" w:eastAsia="Arial" w:hAnsi="Arial"/>
          <w:sz w:val="14"/>
          <w:szCs w:val="14"/>
          <w:color w:val="auto"/>
        </w:rPr>
        <w:t>The information presented in the table above is based upon the contractual maturities of the individual loans, which may be subject to renewal at their contractual maturity. Renewals will depend on approval by our credit department and balance sheet composition at the time of the analysis, as well as any modification of terms at the loan’s maturity. Additionally, maturity concentrations, loan duration, prepayment speeds and other interest rate sensitivity measures are discussed, reviewed, and analyzed by the ALCO. Decisions on term /rate modifications are discussed as well.</w:t>
      </w:r>
    </w:p>
    <w:p>
      <w:pPr>
        <w:spacing w:after="0" w:line="126"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As of March 31, 2026, approximately 63.1% of the loan portfolio has adjustable/variable rates and 36.9% of the loan portfolio has fixed rates. The adjustable/variable rate loans re-price to different benchmarks and tenors and in different periods of time. By contractual characteristics, there are no material concentrations on anniversary repricing.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38</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38" w:name="page39"/>
    <w:bookmarkEnd w:id="3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Asset Quality</w:t>
      </w:r>
    </w:p>
    <w:p>
      <w:pPr>
        <w:spacing w:after="0" w:line="170"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Our asset quality grading analysis estimates the capability of the borrower to repay the contractual obligation of the loan agreement as scheduled or at all. The Company’s internal credit risk grading system is based on experiences with similarly graded loans. Internal credit risk grades are reviewed at least once a year, and more frequently as needed. Internal credit risk ratings may change based on management’s assessment of the results from the annual review, portfolio monitoring, and other developments observed with borrowers.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internal credit risk grades used by the Company to assess the credit worthiness of a loan are shown below:</w:t>
      </w:r>
    </w:p>
    <w:p>
      <w:pPr>
        <w:spacing w:after="0" w:line="159"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Pass </w:t>
      </w:r>
      <w:r>
        <w:rPr>
          <w:rFonts w:ascii="Arial" w:cs="Arial" w:eastAsia="Arial" w:hAnsi="Arial"/>
          <w:sz w:val="14"/>
          <w:szCs w:val="14"/>
          <w:color w:val="auto"/>
        </w:rPr>
        <w:t>– Loans indicate different levels of satisfactory financial condition and performance.</w:t>
      </w:r>
    </w:p>
    <w:p>
      <w:pPr>
        <w:spacing w:after="0" w:line="170" w:lineRule="exact"/>
        <w:rPr>
          <w:sz w:val="20"/>
          <w:szCs w:val="20"/>
          <w:color w:val="auto"/>
        </w:rPr>
      </w:pPr>
    </w:p>
    <w:p>
      <w:pPr>
        <w:ind w:left="1180" w:right="819"/>
        <w:spacing w:after="0" w:line="265" w:lineRule="auto"/>
        <w:rPr>
          <w:sz w:val="20"/>
          <w:szCs w:val="20"/>
          <w:color w:val="auto"/>
        </w:rPr>
      </w:pPr>
      <w:r>
        <w:rPr>
          <w:rFonts w:ascii="Arial" w:cs="Arial" w:eastAsia="Arial" w:hAnsi="Arial"/>
          <w:sz w:val="14"/>
          <w:szCs w:val="14"/>
          <w:b w:val="1"/>
          <w:bCs w:val="1"/>
          <w:color w:val="auto"/>
        </w:rPr>
        <w:t xml:space="preserve">Special Mention </w:t>
      </w:r>
      <w:r>
        <w:rPr>
          <w:rFonts w:ascii="Arial" w:cs="Arial" w:eastAsia="Arial" w:hAnsi="Arial"/>
          <w:sz w:val="14"/>
          <w:szCs w:val="14"/>
          <w:color w:val="auto"/>
        </w:rPr>
        <w:t>– Loans classified as special mention have a potential weakness that deserves management’s</w:t>
      </w:r>
      <w:r>
        <w:rPr>
          <w:rFonts w:ascii="Arial" w:cs="Arial" w:eastAsia="Arial" w:hAnsi="Arial"/>
          <w:sz w:val="14"/>
          <w:szCs w:val="14"/>
          <w:b w:val="1"/>
          <w:bCs w:val="1"/>
          <w:color w:val="auto"/>
        </w:rPr>
        <w:t xml:space="preserve"> </w:t>
      </w:r>
      <w:r>
        <w:rPr>
          <w:rFonts w:ascii="Arial" w:cs="Arial" w:eastAsia="Arial" w:hAnsi="Arial"/>
          <w:sz w:val="14"/>
          <w:szCs w:val="14"/>
          <w:color w:val="auto"/>
        </w:rPr>
        <w:t>close attention. If left uncorrected, these potential weaknesses may result in deterioration of the repayment prospects for the loan or of the institution’s credit position at some future date.</w:t>
      </w:r>
    </w:p>
    <w:p>
      <w:pPr>
        <w:spacing w:after="0" w:line="118" w:lineRule="exact"/>
        <w:rPr>
          <w:sz w:val="20"/>
          <w:szCs w:val="20"/>
          <w:color w:val="auto"/>
        </w:rPr>
      </w:pPr>
    </w:p>
    <w:p>
      <w:pPr>
        <w:jc w:val="both"/>
        <w:ind w:left="1180" w:right="819"/>
        <w:spacing w:after="0" w:line="256" w:lineRule="auto"/>
        <w:rPr>
          <w:sz w:val="20"/>
          <w:szCs w:val="20"/>
          <w:color w:val="auto"/>
        </w:rPr>
      </w:pPr>
      <w:r>
        <w:rPr>
          <w:rFonts w:ascii="Arial" w:cs="Arial" w:eastAsia="Arial" w:hAnsi="Arial"/>
          <w:sz w:val="14"/>
          <w:szCs w:val="14"/>
          <w:b w:val="1"/>
          <w:bCs w:val="1"/>
          <w:color w:val="auto"/>
        </w:rPr>
        <w:t xml:space="preserve">Substandard </w:t>
      </w:r>
      <w:r>
        <w:rPr>
          <w:rFonts w:ascii="Arial" w:cs="Arial" w:eastAsia="Arial" w:hAnsi="Arial"/>
          <w:sz w:val="14"/>
          <w:szCs w:val="14"/>
          <w:color w:val="auto"/>
        </w:rPr>
        <w:t>– Loans classified as substandard are inadequately protected by the current net worth and paying</w:t>
      </w:r>
      <w:r>
        <w:rPr>
          <w:rFonts w:ascii="Arial" w:cs="Arial" w:eastAsia="Arial" w:hAnsi="Arial"/>
          <w:sz w:val="14"/>
          <w:szCs w:val="14"/>
          <w:b w:val="1"/>
          <w:bCs w:val="1"/>
          <w:color w:val="auto"/>
        </w:rPr>
        <w:t xml:space="preserve"> </w:t>
      </w:r>
      <w:r>
        <w:rPr>
          <w:rFonts w:ascii="Arial" w:cs="Arial" w:eastAsia="Arial" w:hAnsi="Arial"/>
          <w:sz w:val="14"/>
          <w:szCs w:val="14"/>
          <w:color w:val="auto"/>
        </w:rPr>
        <w:t>capacity of the obligator or of the collateral 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135" w:lineRule="exact"/>
        <w:rPr>
          <w:sz w:val="20"/>
          <w:szCs w:val="20"/>
          <w:color w:val="auto"/>
        </w:rPr>
      </w:pPr>
    </w:p>
    <w:p>
      <w:pPr>
        <w:jc w:val="both"/>
        <w:ind w:left="1180" w:right="719"/>
        <w:spacing w:after="0" w:line="257" w:lineRule="auto"/>
        <w:rPr>
          <w:sz w:val="20"/>
          <w:szCs w:val="20"/>
          <w:color w:val="auto"/>
        </w:rPr>
      </w:pPr>
      <w:r>
        <w:rPr>
          <w:rFonts w:ascii="Arial" w:cs="Arial" w:eastAsia="Arial" w:hAnsi="Arial"/>
          <w:sz w:val="14"/>
          <w:szCs w:val="14"/>
          <w:b w:val="1"/>
          <w:bCs w:val="1"/>
          <w:color w:val="auto"/>
        </w:rPr>
        <w:t xml:space="preserve">Doubtful </w:t>
      </w:r>
      <w:r>
        <w:rPr>
          <w:rFonts w:ascii="Arial" w:cs="Arial" w:eastAsia="Arial" w:hAnsi="Arial"/>
          <w:sz w:val="14"/>
          <w:szCs w:val="14"/>
          <w:color w:val="auto"/>
        </w:rPr>
        <w:t>– Loans classified as doubtful have all the weaknesses inherent in those classified at substandard, with</w:t>
      </w:r>
      <w:r>
        <w:rPr>
          <w:rFonts w:ascii="Arial" w:cs="Arial" w:eastAsia="Arial" w:hAnsi="Arial"/>
          <w:sz w:val="14"/>
          <w:szCs w:val="14"/>
          <w:b w:val="1"/>
          <w:bCs w:val="1"/>
          <w:color w:val="auto"/>
        </w:rPr>
        <w:t xml:space="preserve"> </w:t>
      </w:r>
      <w:r>
        <w:rPr>
          <w:rFonts w:ascii="Arial" w:cs="Arial" w:eastAsia="Arial" w:hAnsi="Arial"/>
          <w:sz w:val="14"/>
          <w:szCs w:val="14"/>
          <w:color w:val="auto"/>
        </w:rPr>
        <w:t>the added characteristic that the weaknesses make collection or liquidation in full on the basis of currently existing facts, conditions, and values, highly questionable and improbable.</w:t>
      </w:r>
    </w:p>
    <w:p>
      <w:pPr>
        <w:spacing w:after="0" w:line="134"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Loss </w:t>
      </w:r>
      <w:r>
        <w:rPr>
          <w:rFonts w:ascii="Arial" w:cs="Arial" w:eastAsia="Arial" w:hAnsi="Arial"/>
          <w:sz w:val="14"/>
          <w:szCs w:val="14"/>
          <w:color w:val="auto"/>
        </w:rPr>
        <w:t>– Loans classified as loss are considered uncollectible.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Loan credit exposures by internally assigned grades are as follows for the dates indicated (in thousands):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March 31, 2026</w:t>
            </w:r>
          </w:p>
        </w:tc>
        <w:tc>
          <w:tcPr>
            <w:tcW w:w="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240"/>
              <w:spacing w:after="0"/>
              <w:rPr>
                <w:sz w:val="20"/>
                <w:szCs w:val="20"/>
                <w:color w:val="auto"/>
              </w:rPr>
            </w:pPr>
            <w:r>
              <w:rPr>
                <w:rFonts w:ascii="Arial" w:cs="Arial" w:eastAsia="Arial" w:hAnsi="Arial"/>
                <w:sz w:val="13"/>
                <w:szCs w:val="13"/>
                <w:b w:val="1"/>
                <w:bCs w:val="1"/>
                <w:color w:val="auto"/>
              </w:rPr>
              <w:t>Pass</w:t>
            </w:r>
          </w:p>
        </w:tc>
        <w:tc>
          <w:tcPr>
            <w:tcW w:w="4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Special Mention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Substandard</w:t>
            </w:r>
          </w:p>
        </w:tc>
        <w:tc>
          <w:tcPr>
            <w:tcW w:w="40" w:type="dxa"/>
            <w:vAlign w:val="bottom"/>
          </w:tcPr>
          <w:p>
            <w:pPr>
              <w:spacing w:after="0"/>
              <w:rPr>
                <w:sz w:val="14"/>
                <w:szCs w:val="14"/>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b w:val="1"/>
                <w:bCs w:val="1"/>
                <w:color w:val="auto"/>
              </w:rPr>
              <w:t>Doubtful</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r>
      <w:tr>
        <w:trPr>
          <w:trHeight w:val="161"/>
        </w:trPr>
        <w:tc>
          <w:tcPr>
            <w:tcW w:w="2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343,468</w:t>
            </w:r>
          </w:p>
        </w:tc>
        <w:tc>
          <w:tcPr>
            <w:tcW w:w="20" w:type="dxa"/>
            <w:vAlign w:val="bottom"/>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488</w:t>
            </w: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2,961</w:t>
            </w:r>
          </w:p>
        </w:tc>
        <w:tc>
          <w:tcPr>
            <w:tcW w:w="20" w:type="dxa"/>
            <w:vAlign w:val="bottom"/>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ind w:right="716"/>
              <w:spacing w:after="0"/>
              <w:rPr>
                <w:sz w:val="20"/>
                <w:szCs w:val="20"/>
                <w:color w:val="auto"/>
              </w:rPr>
            </w:pPr>
            <w:r>
              <w:rPr>
                <w:rFonts w:ascii="Arial" w:cs="Arial" w:eastAsia="Arial" w:hAnsi="Arial"/>
                <w:sz w:val="13"/>
                <w:szCs w:val="13"/>
                <w:color w:val="auto"/>
                <w:w w:val="82"/>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346,917</w:t>
            </w:r>
          </w:p>
        </w:tc>
        <w:tc>
          <w:tcPr>
            <w:tcW w:w="20" w:type="dxa"/>
            <w:vAlign w:val="bottom"/>
            <w:shd w:val="clear" w:color="auto" w:fill="CCEEFF"/>
          </w:tcPr>
          <w:p>
            <w:pPr>
              <w:spacing w:after="0"/>
              <w:rPr>
                <w:sz w:val="14"/>
                <w:szCs w:val="14"/>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1,241,104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16,153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2,385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1,259,642</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289,041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805</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291,333</w:t>
            </w:r>
          </w:p>
        </w:tc>
        <w:tc>
          <w:tcPr>
            <w:tcW w:w="20" w:type="dxa"/>
            <w:vAlign w:val="bottom"/>
            <w:shd w:val="clear" w:color="auto" w:fill="CCEEFF"/>
          </w:tcPr>
          <w:p>
            <w:pPr>
              <w:spacing w:after="0"/>
              <w:rPr>
                <w:sz w:val="14"/>
                <w:szCs w:val="14"/>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Correspondent banks</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128,722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128,722</w:t>
            </w:r>
          </w:p>
        </w:tc>
        <w:tc>
          <w:tcPr>
            <w:tcW w:w="20" w:type="dxa"/>
            <w:vAlign w:val="bottom"/>
          </w:tcPr>
          <w:p>
            <w:pPr>
              <w:spacing w:after="0"/>
              <w:rPr>
                <w:sz w:val="14"/>
                <w:szCs w:val="14"/>
                <w:color w:val="auto"/>
              </w:rPr>
            </w:pPr>
          </w:p>
        </w:tc>
      </w:tr>
      <w:tr>
        <w:trPr>
          <w:trHeight w:val="160"/>
        </w:trPr>
        <w:tc>
          <w:tcPr>
            <w:tcW w:w="2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207,794</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207,794</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84"/>
        </w:trPr>
        <w:tc>
          <w:tcPr>
            <w:tcW w:w="2300" w:type="dxa"/>
            <w:vAlign w:val="bottom"/>
          </w:tcPr>
          <w:p>
            <w:pPr>
              <w:spacing w:after="0"/>
              <w:rPr>
                <w:sz w:val="16"/>
                <w:szCs w:val="16"/>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2,210,129</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17,446</w:t>
            </w:r>
          </w:p>
        </w:tc>
        <w:tc>
          <w:tcPr>
            <w:tcW w:w="4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6,833</w:t>
            </w:r>
          </w:p>
        </w:tc>
        <w:tc>
          <w:tcPr>
            <w:tcW w:w="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color w:val="auto"/>
                <w:w w:val="82"/>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2,234,408</w:t>
            </w:r>
          </w:p>
        </w:tc>
        <w:tc>
          <w:tcPr>
            <w:tcW w:w="20" w:type="dxa"/>
            <w:vAlign w:val="bottom"/>
            <w:tcBorders>
              <w:bottom w:val="single" w:sz="8" w:color="auto"/>
            </w:tcBorders>
          </w:tcPr>
          <w:p>
            <w:pPr>
              <w:spacing w:after="0"/>
              <w:rPr>
                <w:sz w:val="16"/>
                <w:szCs w:val="16"/>
                <w:color w:val="auto"/>
              </w:rPr>
            </w:pPr>
          </w:p>
        </w:tc>
      </w:tr>
    </w:tbl>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7"/>
          </w:tcPr>
          <w:p>
            <w:pPr>
              <w:jc w:val="center"/>
              <w:ind w:right="776"/>
              <w:spacing w:after="0"/>
              <w:rPr>
                <w:sz w:val="20"/>
                <w:szCs w:val="20"/>
                <w:color w:val="auto"/>
              </w:rPr>
            </w:pPr>
            <w:r>
              <w:rPr>
                <w:rFonts w:ascii="Arial" w:cs="Arial" w:eastAsia="Arial" w:hAnsi="Arial"/>
                <w:sz w:val="13"/>
                <w:szCs w:val="13"/>
                <w:b w:val="1"/>
                <w:bCs w:val="1"/>
                <w:color w:val="auto"/>
                <w:w w:val="99"/>
              </w:rPr>
              <w:t>December 31, 2025</w:t>
            </w:r>
          </w:p>
        </w:tc>
        <w:tc>
          <w:tcPr>
            <w:tcW w:w="1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240"/>
              <w:spacing w:after="0"/>
              <w:rPr>
                <w:sz w:val="20"/>
                <w:szCs w:val="20"/>
                <w:color w:val="auto"/>
              </w:rPr>
            </w:pPr>
            <w:r>
              <w:rPr>
                <w:rFonts w:ascii="Arial" w:cs="Arial" w:eastAsia="Arial" w:hAnsi="Arial"/>
                <w:sz w:val="13"/>
                <w:szCs w:val="13"/>
                <w:b w:val="1"/>
                <w:bCs w:val="1"/>
                <w:color w:val="auto"/>
              </w:rPr>
              <w:t>Pass</w:t>
            </w:r>
          </w:p>
        </w:tc>
        <w:tc>
          <w:tcPr>
            <w:tcW w:w="4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Special Mention</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Substandard</w:t>
            </w:r>
          </w:p>
        </w:tc>
        <w:tc>
          <w:tcPr>
            <w:tcW w:w="40" w:type="dxa"/>
            <w:vAlign w:val="bottom"/>
          </w:tcPr>
          <w:p>
            <w:pPr>
              <w:spacing w:after="0"/>
              <w:rPr>
                <w:sz w:val="14"/>
                <w:szCs w:val="14"/>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b w:val="1"/>
                <w:bCs w:val="1"/>
                <w:color w:val="auto"/>
              </w:rPr>
              <w:t>Doubtful</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r>
      <w:tr>
        <w:trPr>
          <w:trHeight w:val="161"/>
        </w:trPr>
        <w:tc>
          <w:tcPr>
            <w:tcW w:w="2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304,276</w:t>
            </w:r>
          </w:p>
        </w:tc>
        <w:tc>
          <w:tcPr>
            <w:tcW w:w="20" w:type="dxa"/>
            <w:vAlign w:val="bottom"/>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916</w:t>
            </w:r>
          </w:p>
        </w:tc>
        <w:tc>
          <w:tcPr>
            <w:tcW w:w="20" w:type="dxa"/>
            <w:vAlign w:val="bottom"/>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2,500</w:t>
            </w:r>
          </w:p>
        </w:tc>
        <w:tc>
          <w:tcPr>
            <w:tcW w:w="20" w:type="dxa"/>
            <w:vAlign w:val="bottom"/>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ind w:right="716"/>
              <w:spacing w:after="0"/>
              <w:rPr>
                <w:sz w:val="20"/>
                <w:szCs w:val="20"/>
                <w:color w:val="auto"/>
              </w:rPr>
            </w:pPr>
            <w:r>
              <w:rPr>
                <w:rFonts w:ascii="Arial" w:cs="Arial" w:eastAsia="Arial" w:hAnsi="Arial"/>
                <w:sz w:val="13"/>
                <w:szCs w:val="13"/>
                <w:color w:val="auto"/>
                <w:w w:val="82"/>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307,692</w:t>
            </w:r>
          </w:p>
        </w:tc>
        <w:tc>
          <w:tcPr>
            <w:tcW w:w="20" w:type="dxa"/>
            <w:vAlign w:val="bottom"/>
            <w:shd w:val="clear" w:color="auto" w:fill="CCEEFF"/>
          </w:tcPr>
          <w:p>
            <w:pPr>
              <w:spacing w:after="0"/>
              <w:rPr>
                <w:sz w:val="14"/>
                <w:szCs w:val="14"/>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1,230,823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11,613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2,399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1,244,835</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293,169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907</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295,548</w:t>
            </w:r>
          </w:p>
        </w:tc>
        <w:tc>
          <w:tcPr>
            <w:tcW w:w="20" w:type="dxa"/>
            <w:vAlign w:val="bottom"/>
            <w:shd w:val="clear" w:color="auto" w:fill="CCEEFF"/>
          </w:tcPr>
          <w:p>
            <w:pPr>
              <w:spacing w:after="0"/>
              <w:rPr>
                <w:sz w:val="14"/>
                <w:szCs w:val="14"/>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Correspondent banks</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127,968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127,968</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207,215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207,215</w:t>
            </w:r>
          </w:p>
        </w:tc>
        <w:tc>
          <w:tcPr>
            <w:tcW w:w="20" w:type="dxa"/>
            <w:vAlign w:val="bottom"/>
            <w:shd w:val="clear" w:color="auto" w:fill="CCEEFF"/>
          </w:tcPr>
          <w:p>
            <w:pPr>
              <w:spacing w:after="0"/>
              <w:rPr>
                <w:sz w:val="14"/>
                <w:szCs w:val="14"/>
                <w:color w:val="auto"/>
              </w:rPr>
            </w:pPr>
          </w:p>
        </w:tc>
      </w:tr>
      <w:tr>
        <w:trPr>
          <w:trHeight w:val="172"/>
        </w:trPr>
        <w:tc>
          <w:tcPr>
            <w:tcW w:w="2300" w:type="dxa"/>
            <w:vAlign w:val="bottom"/>
          </w:tcPr>
          <w:p>
            <w:pPr>
              <w:spacing w:after="0"/>
              <w:rPr>
                <w:sz w:val="14"/>
                <w:szCs w:val="14"/>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2,163,451</w:t>
            </w:r>
          </w:p>
        </w:tc>
        <w:tc>
          <w:tcPr>
            <w:tcW w:w="20" w:type="dxa"/>
            <w:vAlign w:val="bottom"/>
          </w:tcPr>
          <w:p>
            <w:pPr>
              <w:spacing w:after="0"/>
              <w:rPr>
                <w:sz w:val="14"/>
                <w:szCs w:val="14"/>
                <w:color w:val="auto"/>
              </w:rPr>
            </w:pPr>
          </w:p>
        </w:tc>
        <w:tc>
          <w:tcPr>
            <w:tcW w:w="380" w:type="dxa"/>
            <w:vAlign w:val="bottom"/>
            <w:gridSpan w:val="2"/>
          </w:tcPr>
          <w:p>
            <w:pPr>
              <w:jc w:val="right"/>
              <w:ind w:right="19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13,436</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6,371</w:t>
            </w:r>
          </w:p>
        </w:tc>
        <w:tc>
          <w:tcPr>
            <w:tcW w:w="20" w:type="dxa"/>
            <w:vAlign w:val="bottom"/>
          </w:tcPr>
          <w:p>
            <w:pPr>
              <w:spacing w:after="0"/>
              <w:rPr>
                <w:sz w:val="14"/>
                <w:szCs w:val="14"/>
                <w:color w:val="auto"/>
              </w:rPr>
            </w:pPr>
          </w:p>
        </w:tc>
        <w:tc>
          <w:tcPr>
            <w:tcW w:w="900" w:type="dxa"/>
            <w:vAlign w:val="bottom"/>
            <w:gridSpan w:val="2"/>
          </w:tcPr>
          <w:p>
            <w:pPr>
              <w:jc w:val="right"/>
              <w:ind w:right="716"/>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2,183,258</w:t>
            </w:r>
          </w:p>
        </w:tc>
        <w:tc>
          <w:tcPr>
            <w:tcW w:w="20" w:type="dxa"/>
            <w:vAlign w:val="bottom"/>
          </w:tcPr>
          <w:p>
            <w:pPr>
              <w:spacing w:after="0"/>
              <w:rPr>
                <w:sz w:val="14"/>
                <w:szCs w:val="14"/>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39</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39" w:name="page40"/>
    <w:bookmarkEnd w:id="3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Non-Performing Assets</w:t>
      </w:r>
    </w:p>
    <w:p>
      <w:pPr>
        <w:spacing w:after="0" w:line="16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non-performing assets as of the dates shown (in thousands, except ratios):</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20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ind w:right="156"/>
              <w:spacing w:after="0"/>
              <w:rPr>
                <w:sz w:val="20"/>
                <w:szCs w:val="20"/>
                <w:color w:val="auto"/>
              </w:rPr>
            </w:pPr>
            <w:r>
              <w:rPr>
                <w:rFonts w:ascii="Arial" w:cs="Arial" w:eastAsia="Arial" w:hAnsi="Arial"/>
                <w:sz w:val="13"/>
                <w:szCs w:val="13"/>
                <w:b w:val="1"/>
                <w:bCs w:val="1"/>
                <w:color w:val="auto"/>
              </w:rPr>
              <w:t>March 31, 2026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2025</w:t>
            </w:r>
          </w:p>
        </w:tc>
      </w:tr>
      <w:tr>
        <w:trPr>
          <w:trHeight w:val="161"/>
        </w:trPr>
        <w:tc>
          <w:tcPr>
            <w:tcW w:w="4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Non-accrual loans</w:t>
            </w: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3,640</w:t>
            </w: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3,138</w:t>
            </w:r>
          </w:p>
        </w:tc>
        <w:tc>
          <w:tcPr>
            <w:tcW w:w="20" w:type="dxa"/>
            <w:vAlign w:val="bottom"/>
            <w:shd w:val="clear" w:color="auto" w:fill="CCEEFF"/>
          </w:tcPr>
          <w:p>
            <w:pPr>
              <w:spacing w:after="0"/>
              <w:rPr>
                <w:sz w:val="14"/>
                <w:szCs w:val="14"/>
                <w:color w:val="auto"/>
              </w:rPr>
            </w:pPr>
          </w:p>
        </w:tc>
      </w:tr>
      <w:tr>
        <w:trPr>
          <w:trHeight w:val="180"/>
        </w:trPr>
        <w:tc>
          <w:tcPr>
            <w:tcW w:w="4920" w:type="dxa"/>
            <w:vAlign w:val="bottom"/>
            <w:gridSpan w:val="2"/>
          </w:tcPr>
          <w:p>
            <w:pPr>
              <w:spacing w:after="0"/>
              <w:rPr>
                <w:sz w:val="20"/>
                <w:szCs w:val="20"/>
                <w:color w:val="auto"/>
              </w:rPr>
            </w:pPr>
            <w:r>
              <w:rPr>
                <w:rFonts w:ascii="Arial" w:cs="Arial" w:eastAsia="Arial" w:hAnsi="Arial"/>
                <w:sz w:val="13"/>
                <w:szCs w:val="13"/>
                <w:color w:val="auto"/>
              </w:rPr>
              <w:t>Loans past due over 90 days and still accruing</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r>
      <w:tr>
        <w:trPr>
          <w:trHeight w:val="141"/>
        </w:trPr>
        <w:tc>
          <w:tcPr>
            <w:tcW w:w="4920" w:type="dxa"/>
            <w:vAlign w:val="bottom"/>
            <w:tcBorders>
              <w:top w:val="single" w:sz="8" w:color="CCEEFF"/>
            </w:tcBorders>
            <w:gridSpan w:val="2"/>
            <w:shd w:val="clear" w:color="auto" w:fill="CCEEFF"/>
          </w:tcPr>
          <w:p>
            <w:pPr>
              <w:spacing w:after="0" w:line="141" w:lineRule="exact"/>
              <w:rPr>
                <w:sz w:val="20"/>
                <w:szCs w:val="20"/>
                <w:color w:val="auto"/>
              </w:rPr>
            </w:pPr>
            <w:r>
              <w:rPr>
                <w:rFonts w:ascii="Arial" w:cs="Arial" w:eastAsia="Arial" w:hAnsi="Arial"/>
                <w:sz w:val="13"/>
                <w:szCs w:val="13"/>
                <w:color w:val="auto"/>
              </w:rPr>
              <w:t>Total non-performing loans</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3,640</w:t>
            </w:r>
          </w:p>
        </w:tc>
        <w:tc>
          <w:tcPr>
            <w:tcW w:w="6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3,138</w:t>
            </w:r>
          </w:p>
        </w:tc>
        <w:tc>
          <w:tcPr>
            <w:tcW w:w="20" w:type="dxa"/>
            <w:vAlign w:val="bottom"/>
            <w:shd w:val="clear" w:color="auto" w:fill="CCEEFF"/>
          </w:tcPr>
          <w:p>
            <w:pPr>
              <w:spacing w:after="0"/>
              <w:rPr>
                <w:sz w:val="12"/>
                <w:szCs w:val="12"/>
                <w:color w:val="auto"/>
              </w:rPr>
            </w:pPr>
          </w:p>
        </w:tc>
      </w:tr>
      <w:tr>
        <w:trPr>
          <w:trHeight w:val="171"/>
        </w:trPr>
        <w:tc>
          <w:tcPr>
            <w:tcW w:w="49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Other real estate owned</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2"/>
        </w:trPr>
        <w:tc>
          <w:tcPr>
            <w:tcW w:w="200" w:type="dxa"/>
            <w:vAlign w:val="bottom"/>
            <w:tcBorders>
              <w:bottom w:val="single" w:sz="8" w:color="CCEEFF"/>
            </w:tcBorders>
            <w:shd w:val="clear" w:color="auto" w:fill="CCEEFF"/>
          </w:tcPr>
          <w:p>
            <w:pPr>
              <w:spacing w:after="0"/>
              <w:rPr>
                <w:sz w:val="14"/>
                <w:szCs w:val="14"/>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 non-performing assets</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3,640</w:t>
            </w:r>
          </w:p>
        </w:tc>
        <w:tc>
          <w:tcPr>
            <w:tcW w:w="60" w:type="dxa"/>
            <w:vAlign w:val="bottom"/>
            <w:tcBorders>
              <w:bottom w:val="single" w:sz="8" w:color="CCEEFF"/>
            </w:tcBorders>
            <w:gridSpan w:val="2"/>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3,138</w:t>
            </w:r>
          </w:p>
        </w:tc>
        <w:tc>
          <w:tcPr>
            <w:tcW w:w="20" w:type="dxa"/>
            <w:vAlign w:val="bottom"/>
            <w:tcBorders>
              <w:bottom w:val="single" w:sz="8" w:color="CCEEFF"/>
            </w:tcBorders>
            <w:shd w:val="clear" w:color="auto" w:fill="CCEEFF"/>
          </w:tcPr>
          <w:p>
            <w:pPr>
              <w:spacing w:after="0"/>
              <w:rPr>
                <w:sz w:val="14"/>
                <w:szCs w:val="14"/>
                <w:color w:val="auto"/>
              </w:rPr>
            </w:pPr>
          </w:p>
        </w:tc>
      </w:tr>
      <w:tr>
        <w:trPr>
          <w:trHeight w:val="20"/>
        </w:trPr>
        <w:tc>
          <w:tcPr>
            <w:tcW w:w="2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1" w:lineRule="exact"/>
        <w:rPr>
          <w:sz w:val="20"/>
          <w:szCs w:val="20"/>
          <w:color w:val="auto"/>
        </w:rPr>
      </w:pPr>
    </w:p>
    <w:p>
      <w:pPr>
        <w:sectPr>
          <w:pgSz w:w="11900" w:h="16838" w:orient="portrait"/>
          <w:cols w:equalWidth="0" w:num="1">
            <w:col w:w="9019"/>
          </w:cols>
          <w:pgMar w:left="1440" w:top="477" w:right="1440" w:bottom="1440" w:gutter="0" w:footer="0" w:header="0"/>
        </w:sectPr>
      </w:pPr>
    </w:p>
    <w:p>
      <w:pPr>
        <w:ind w:left="660"/>
        <w:spacing w:after="0"/>
        <w:rPr>
          <w:sz w:val="20"/>
          <w:szCs w:val="20"/>
          <w:color w:val="auto"/>
        </w:rPr>
      </w:pPr>
      <w:r>
        <w:rPr>
          <w:rFonts w:ascii="Arial" w:cs="Arial" w:eastAsia="Arial" w:hAnsi="Arial"/>
          <w:sz w:val="13"/>
          <w:szCs w:val="13"/>
          <w:b w:val="1"/>
          <w:bCs w:val="1"/>
          <w:color w:val="auto"/>
        </w:rPr>
        <w:t>Asset quality ratios:</w:t>
      </w:r>
    </w:p>
    <w:p>
      <w:pPr>
        <w:spacing w:after="0" w:line="26" w:lineRule="exact"/>
        <w:rPr>
          <w:sz w:val="20"/>
          <w:szCs w:val="20"/>
          <w:color w:val="auto"/>
        </w:rPr>
      </w:pPr>
    </w:p>
    <w:p>
      <w:pPr>
        <w:ind w:left="760"/>
        <w:spacing w:after="0"/>
        <w:rPr>
          <w:sz w:val="20"/>
          <w:szCs w:val="20"/>
          <w:color w:val="auto"/>
        </w:rPr>
      </w:pPr>
      <w:r>
        <w:rPr>
          <w:rFonts w:ascii="Arial" w:cs="Arial" w:eastAsia="Arial" w:hAnsi="Arial"/>
          <w:sz w:val="13"/>
          <w:szCs w:val="13"/>
          <w:color w:val="auto"/>
        </w:rPr>
        <w:t>Allowance for credit losses to total loans</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12"/>
          <w:szCs w:val="12"/>
          <w:color w:val="auto"/>
        </w:rPr>
        <w:t>Allowance for credit losses to non-performing loans</w:t>
      </w:r>
    </w:p>
    <w:p>
      <w:pPr>
        <w:spacing w:after="0" w:line="33" w:lineRule="exact"/>
        <w:rPr>
          <w:sz w:val="20"/>
          <w:szCs w:val="20"/>
          <w:color w:val="auto"/>
        </w:rPr>
      </w:pPr>
    </w:p>
    <w:p>
      <w:pPr>
        <w:ind w:left="760"/>
        <w:spacing w:after="0"/>
        <w:rPr>
          <w:sz w:val="20"/>
          <w:szCs w:val="20"/>
          <w:color w:val="auto"/>
        </w:rPr>
      </w:pPr>
      <w:r>
        <w:rPr>
          <w:rFonts w:ascii="Arial" w:cs="Arial" w:eastAsia="Arial" w:hAnsi="Arial"/>
          <w:sz w:val="13"/>
          <w:szCs w:val="13"/>
          <w:color w:val="auto"/>
        </w:rPr>
        <w:t>Non-performing loans to total loans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460" w:type="dxa"/>
            <w:vAlign w:val="bottom"/>
            <w:tcBorders>
              <w:right w:val="single" w:sz="8" w:color="CCEEFF"/>
            </w:tcBorders>
          </w:tcPr>
          <w:p>
            <w:pPr>
              <w:jc w:val="right"/>
              <w:ind w:right="36"/>
              <w:spacing w:after="0"/>
              <w:rPr>
                <w:sz w:val="20"/>
                <w:szCs w:val="20"/>
                <w:color w:val="auto"/>
              </w:rPr>
            </w:pPr>
            <w:r>
              <w:rPr>
                <w:rFonts w:ascii="Arial" w:cs="Arial" w:eastAsia="Arial" w:hAnsi="Arial"/>
                <w:sz w:val="13"/>
                <w:szCs w:val="13"/>
                <w:color w:val="auto"/>
                <w:w w:val="92"/>
              </w:rPr>
              <w:t>1.16%</w:t>
            </w:r>
          </w:p>
        </w:tc>
        <w:tc>
          <w:tcPr>
            <w:tcW w:w="1300" w:type="dxa"/>
            <w:vAlign w:val="bottom"/>
          </w:tcPr>
          <w:p>
            <w:pPr>
              <w:jc w:val="right"/>
              <w:spacing w:after="0"/>
              <w:rPr>
                <w:sz w:val="20"/>
                <w:szCs w:val="20"/>
                <w:color w:val="auto"/>
              </w:rPr>
            </w:pPr>
            <w:r>
              <w:rPr>
                <w:rFonts w:ascii="Arial" w:cs="Arial" w:eastAsia="Arial" w:hAnsi="Arial"/>
                <w:sz w:val="13"/>
                <w:szCs w:val="13"/>
                <w:color w:val="auto"/>
              </w:rPr>
              <w:t>1.16%</w:t>
            </w:r>
          </w:p>
        </w:tc>
      </w:tr>
      <w:tr>
        <w:trPr>
          <w:trHeight w:val="179"/>
        </w:trPr>
        <w:tc>
          <w:tcPr>
            <w:tcW w:w="460" w:type="dxa"/>
            <w:vAlign w:val="bottom"/>
          </w:tcPr>
          <w:p>
            <w:pPr>
              <w:jc w:val="right"/>
              <w:ind w:right="36"/>
              <w:spacing w:after="0"/>
              <w:rPr>
                <w:sz w:val="20"/>
                <w:szCs w:val="20"/>
                <w:color w:val="auto"/>
              </w:rPr>
            </w:pPr>
            <w:r>
              <w:rPr>
                <w:rFonts w:ascii="Arial" w:cs="Arial" w:eastAsia="Arial" w:hAnsi="Arial"/>
                <w:sz w:val="13"/>
                <w:szCs w:val="13"/>
                <w:color w:val="auto"/>
              </w:rPr>
              <w:t>717%</w:t>
            </w:r>
          </w:p>
        </w:tc>
        <w:tc>
          <w:tcPr>
            <w:tcW w:w="1300" w:type="dxa"/>
            <w:vAlign w:val="bottom"/>
          </w:tcPr>
          <w:p>
            <w:pPr>
              <w:jc w:val="right"/>
              <w:spacing w:after="0"/>
              <w:rPr>
                <w:sz w:val="20"/>
                <w:szCs w:val="20"/>
                <w:color w:val="auto"/>
              </w:rPr>
            </w:pPr>
            <w:r>
              <w:rPr>
                <w:rFonts w:ascii="Arial" w:cs="Arial" w:eastAsia="Arial" w:hAnsi="Arial"/>
                <w:sz w:val="13"/>
                <w:szCs w:val="13"/>
                <w:color w:val="auto"/>
              </w:rPr>
              <w:t>813%</w:t>
            </w:r>
          </w:p>
        </w:tc>
      </w:tr>
      <w:tr>
        <w:trPr>
          <w:trHeight w:val="163"/>
        </w:trPr>
        <w:tc>
          <w:tcPr>
            <w:tcW w:w="460" w:type="dxa"/>
            <w:vAlign w:val="bottom"/>
            <w:tcBorders>
              <w:right w:val="single" w:sz="8" w:color="CCEEFF"/>
            </w:tcBorders>
          </w:tcPr>
          <w:p>
            <w:pPr>
              <w:jc w:val="right"/>
              <w:ind w:right="36"/>
              <w:spacing w:after="0"/>
              <w:rPr>
                <w:sz w:val="20"/>
                <w:szCs w:val="20"/>
                <w:color w:val="auto"/>
              </w:rPr>
            </w:pPr>
            <w:r>
              <w:rPr>
                <w:rFonts w:ascii="Arial" w:cs="Arial" w:eastAsia="Arial" w:hAnsi="Arial"/>
                <w:sz w:val="13"/>
                <w:szCs w:val="13"/>
                <w:color w:val="auto"/>
                <w:w w:val="92"/>
              </w:rPr>
              <w:t>0.16%</w:t>
            </w:r>
          </w:p>
        </w:tc>
        <w:tc>
          <w:tcPr>
            <w:tcW w:w="1300" w:type="dxa"/>
            <w:vAlign w:val="bottom"/>
          </w:tcPr>
          <w:p>
            <w:pPr>
              <w:jc w:val="right"/>
              <w:spacing w:after="0"/>
              <w:rPr>
                <w:sz w:val="20"/>
                <w:szCs w:val="20"/>
                <w:color w:val="auto"/>
              </w:rPr>
            </w:pPr>
            <w:r>
              <w:rPr>
                <w:rFonts w:ascii="Arial" w:cs="Arial" w:eastAsia="Arial" w:hAnsi="Arial"/>
                <w:sz w:val="13"/>
                <w:szCs w:val="13"/>
                <w:color w:val="auto"/>
              </w:rPr>
              <w:t>0.14%</w:t>
            </w:r>
          </w:p>
        </w:tc>
      </w:tr>
    </w:tbl>
    <w:p>
      <w:pPr>
        <w:spacing w:after="0" w:line="157" w:lineRule="exact"/>
        <w:rPr>
          <w:sz w:val="20"/>
          <w:szCs w:val="20"/>
          <w:color w:val="auto"/>
        </w:rPr>
      </w:pPr>
    </w:p>
    <w:p>
      <w:pPr>
        <w:sectPr>
          <w:pgSz w:w="11900" w:h="16838" w:orient="portrait"/>
          <w:cols w:equalWidth="0" w:num="2">
            <w:col w:w="5820" w:space="720"/>
            <w:col w:w="2479"/>
          </w:cols>
          <w:pgMar w:left="1440" w:top="477" w:right="1440" w:bottom="1440" w:gutter="0" w:footer="0" w:header="0"/>
          <w:type w:val="continuous"/>
        </w:sectPr>
      </w:pPr>
    </w:p>
    <w:p>
      <w:pPr>
        <w:jc w:val="both"/>
        <w:ind w:left="660" w:right="679" w:firstLine="256"/>
        <w:spacing w:after="0" w:line="251" w:lineRule="auto"/>
        <w:rPr>
          <w:sz w:val="20"/>
          <w:szCs w:val="20"/>
          <w:color w:val="auto"/>
        </w:rPr>
      </w:pPr>
      <w:r>
        <w:rPr>
          <w:rFonts w:ascii="Arial" w:cs="Arial" w:eastAsia="Arial" w:hAnsi="Arial"/>
          <w:sz w:val="14"/>
          <w:szCs w:val="14"/>
          <w:color w:val="auto"/>
        </w:rPr>
        <w:t>Non-performing assets include all loans categorized as non-accrual, other real estate owned (“OREO”) and other repossessed assets. Problem loans for which the collection or liquidation in full is reasonably uncertain are placed on a non-accrual status. This determination is based on current existing facts concerning collateral values and the paying capacity of the borrower. When the collection of the full contractual balance is unlikely, the loan is placed on non-accrual to avoid overstating the Company’s income for a loan with increased credit risk.</w:t>
      </w:r>
    </w:p>
    <w:p>
      <w:pPr>
        <w:spacing w:after="0" w:line="140"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If the principal or interest on a commercial loan becomes due and unpaid for 90 days or more, the loan is placed on non-accrual status as of the date it becomes 90 days past due and remains in non-accrual status until it meets the criteria for restoration to accrual status. Residential loans, on the other hand, are placed on non-accrual status when the principal or interest becomes due and unpaid for 120 days or more and remains in non-accrual status until it meets the criteria for restoration to accrual status. Restoring a loan to accrual status is possible when the borrower resumes payment of all principal and interest payments for a period of six consecutive months and the Company has a documented expectation of repayment of the remaining contractual principal and interest or the loan becomes secured and in the process of collection.</w:t>
      </w:r>
    </w:p>
    <w:p>
      <w:pPr>
        <w:spacing w:after="0" w:line="128"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The Company may grant a loan concession to a borrower experiencing financial difficulties. This determination is performed during the annual review process or whenever problems surface regarding the borrower’s ability to repay in accordance with the original terms of the loan or line of credit. The concessions are given to the debtor in various forms, including interest rate reductions, principal forgiveness, extension of maturity date, waiver or deferral of payments and other concessions intended to minimize potential losses.</w:t>
      </w:r>
    </w:p>
    <w:p>
      <w:pPr>
        <w:spacing w:after="0" w:line="126" w:lineRule="exact"/>
        <w:rPr>
          <w:sz w:val="20"/>
          <w:szCs w:val="20"/>
          <w:color w:val="auto"/>
        </w:rPr>
      </w:pPr>
    </w:p>
    <w:p>
      <w:pPr>
        <w:ind w:left="660" w:right="699" w:firstLine="256"/>
        <w:spacing w:after="0" w:line="292" w:lineRule="auto"/>
        <w:rPr>
          <w:sz w:val="20"/>
          <w:szCs w:val="20"/>
          <w:color w:val="auto"/>
        </w:rPr>
      </w:pPr>
      <w:r>
        <w:rPr>
          <w:rFonts w:ascii="Arial" w:cs="Arial" w:eastAsia="Arial" w:hAnsi="Arial"/>
          <w:sz w:val="14"/>
          <w:szCs w:val="14"/>
          <w:color w:val="auto"/>
        </w:rPr>
        <w:t>For further discussion of non-performing loans and borrowers experiencing financial difficulties, see Note 3 “Loans” to the unaudited Consolidated Financial Statements in Item 1 of Part 1 of this Form 10-Q.</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Allowance for Credit Losses</w:t>
      </w:r>
    </w:p>
    <w:p>
      <w:pPr>
        <w:spacing w:after="0" w:line="16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ACL on loans represents an amount that, in management's evaluation, is adequate to provide coverage for all expected future credit losses on outstanding loans. Additionally, qualitative adjustments are made to the ACL when, based on management’s judgment, there are factors impacting the allowance estimate not considered by the quantitative calculations. See Note 3 “Loans” in Item 1 of Part 1 of this Form 10-Q for more information on the ACL.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40</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type w:val="continuous"/>
        </w:sectPr>
      </w:pPr>
    </w:p>
    <w:bookmarkStart w:id="40" w:name="page41"/>
    <w:bookmarkEnd w:id="4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The following table presents ACL on loans and net charge-offs to average loans by type for the periods indicated (in thousands):</w:t>
      </w:r>
    </w:p>
    <w:p>
      <w:pPr>
        <w:spacing w:after="0" w:line="23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3"/>
          </w:tcPr>
          <w:p>
            <w:pPr>
              <w:ind w:left="20"/>
              <w:spacing w:after="0"/>
              <w:rPr>
                <w:sz w:val="20"/>
                <w:szCs w:val="20"/>
                <w:color w:val="auto"/>
              </w:rPr>
            </w:pPr>
            <w:r>
              <w:rPr>
                <w:rFonts w:ascii="Arial" w:cs="Arial" w:eastAsia="Arial" w:hAnsi="Arial"/>
                <w:sz w:val="13"/>
                <w:szCs w:val="13"/>
                <w:b w:val="1"/>
                <w:bCs w:val="1"/>
                <w:color w:val="auto"/>
              </w:rPr>
              <w:t>Residential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65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3"/>
          </w:tcPr>
          <w:p>
            <w:pPr>
              <w:ind w:left="20"/>
              <w:spacing w:after="0"/>
              <w:rPr>
                <w:sz w:val="20"/>
                <w:szCs w:val="20"/>
                <w:color w:val="auto"/>
              </w:rPr>
            </w:pPr>
            <w:r>
              <w:rPr>
                <w:rFonts w:ascii="Arial" w:cs="Arial" w:eastAsia="Arial" w:hAnsi="Arial"/>
                <w:sz w:val="13"/>
                <w:szCs w:val="13"/>
                <w:b w:val="1"/>
                <w:bCs w:val="1"/>
                <w:color w:val="auto"/>
                <w:w w:val="96"/>
              </w:rPr>
              <w:t>Commercial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85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 w:type="dxa"/>
            <w:vAlign w:val="bottom"/>
          </w:tcPr>
          <w:p>
            <w:pPr>
              <w:spacing w:after="0"/>
              <w:rPr>
                <w:sz w:val="13"/>
                <w:szCs w:val="13"/>
                <w:color w:val="auto"/>
              </w:rPr>
            </w:pPr>
          </w:p>
        </w:tc>
        <w:tc>
          <w:tcPr>
            <w:tcW w:w="59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1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Real</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9"/>
              </w:rPr>
              <w:t>Commercial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and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Correspondent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99"/>
              </w:rPr>
              <w:t>Consumer</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Estate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9"/>
              </w:rPr>
              <w:t>Real Estate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Industrial</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890" w:type="dxa"/>
            <w:vAlign w:val="bottom"/>
            <w:gridSpan w:val="2"/>
          </w:tcPr>
          <w:p>
            <w:pPr>
              <w:jc w:val="center"/>
              <w:ind w:right="90"/>
              <w:spacing w:after="0"/>
              <w:rPr>
                <w:sz w:val="20"/>
                <w:szCs w:val="20"/>
                <w:color w:val="auto"/>
              </w:rPr>
            </w:pPr>
            <w:r>
              <w:rPr>
                <w:rFonts w:ascii="Arial" w:cs="Arial" w:eastAsia="Arial" w:hAnsi="Arial"/>
                <w:sz w:val="13"/>
                <w:szCs w:val="13"/>
                <w:b w:val="1"/>
                <w:bCs w:val="1"/>
                <w:color w:val="auto"/>
                <w:w w:val="97"/>
              </w:rPr>
              <w:t>Banks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97"/>
              </w:rPr>
              <w:t>and Other</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90" w:type="dxa"/>
            <w:vAlign w:val="bottom"/>
            <w:gridSpan w:val="3"/>
          </w:tcPr>
          <w:p>
            <w:pPr>
              <w:ind w:left="17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5"/>
        </w:trPr>
        <w:tc>
          <w:tcPr>
            <w:tcW w:w="2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shd w:val="clear" w:color="auto" w:fill="CCEEFF"/>
              </w:rPr>
              <w:t>Three Months Ended March 31, 2026</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10" w:type="dxa"/>
            <w:vAlign w:val="bottom"/>
            <w:tcBorders>
              <w:top w:val="single" w:sz="8" w:color="auto"/>
            </w:tcBorders>
            <w:shd w:val="clear" w:color="auto" w:fill="CCEEFF"/>
          </w:tcPr>
          <w:p>
            <w:pPr>
              <w:spacing w:after="0"/>
              <w:rPr>
                <w:sz w:val="17"/>
                <w:szCs w:val="17"/>
                <w:color w:val="auto"/>
              </w:rPr>
            </w:pPr>
          </w:p>
        </w:tc>
        <w:tc>
          <w:tcPr>
            <w:tcW w:w="65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10" w:type="dxa"/>
            <w:vAlign w:val="bottom"/>
            <w:tcBorders>
              <w:top w:val="single" w:sz="8" w:color="auto"/>
            </w:tcBorders>
            <w:shd w:val="clear" w:color="auto" w:fill="CCEEFF"/>
          </w:tcPr>
          <w:p>
            <w:pPr>
              <w:spacing w:after="0"/>
              <w:rPr>
                <w:sz w:val="17"/>
                <w:szCs w:val="17"/>
                <w:color w:val="auto"/>
              </w:rPr>
            </w:pPr>
          </w:p>
        </w:tc>
        <w:tc>
          <w:tcPr>
            <w:tcW w:w="85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90" w:type="dxa"/>
            <w:vAlign w:val="bottom"/>
            <w:tcBorders>
              <w:top w:val="single" w:sz="8" w:color="auto"/>
            </w:tcBorders>
            <w:shd w:val="clear" w:color="auto" w:fill="CCEEFF"/>
          </w:tcPr>
          <w:p>
            <w:pPr>
              <w:spacing w:after="0"/>
              <w:rPr>
                <w:sz w:val="17"/>
                <w:szCs w:val="17"/>
                <w:color w:val="auto"/>
              </w:rPr>
            </w:pPr>
          </w:p>
        </w:tc>
        <w:tc>
          <w:tcPr>
            <w:tcW w:w="59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10" w:type="dxa"/>
            <w:vAlign w:val="bottom"/>
            <w:tcBorders>
              <w:top w:val="single" w:sz="8" w:color="auto"/>
            </w:tcBorders>
            <w:shd w:val="clear" w:color="auto" w:fill="CCEEFF"/>
          </w:tcPr>
          <w:p>
            <w:pPr>
              <w:spacing w:after="0"/>
              <w:rPr>
                <w:sz w:val="17"/>
                <w:szCs w:val="17"/>
                <w:color w:val="auto"/>
              </w:rPr>
            </w:pPr>
          </w:p>
        </w:tc>
        <w:tc>
          <w:tcPr>
            <w:tcW w:w="71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3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10" w:type="dxa"/>
            <w:vAlign w:val="bottom"/>
            <w:shd w:val="clear" w:color="auto" w:fill="CCEEFF"/>
          </w:tcPr>
          <w:p>
            <w:pPr>
              <w:spacing w:after="0"/>
              <w:rPr>
                <w:sz w:val="6"/>
                <w:szCs w:val="6"/>
                <w:color w:val="auto"/>
              </w:rPr>
            </w:pPr>
          </w:p>
        </w:tc>
        <w:tc>
          <w:tcPr>
            <w:tcW w:w="65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10" w:type="dxa"/>
            <w:vAlign w:val="bottom"/>
            <w:shd w:val="clear" w:color="auto" w:fill="CCEEFF"/>
          </w:tcPr>
          <w:p>
            <w:pPr>
              <w:spacing w:after="0"/>
              <w:rPr>
                <w:sz w:val="6"/>
                <w:szCs w:val="6"/>
                <w:color w:val="auto"/>
              </w:rPr>
            </w:pPr>
          </w:p>
        </w:tc>
        <w:tc>
          <w:tcPr>
            <w:tcW w:w="85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90" w:type="dxa"/>
            <w:vAlign w:val="bottom"/>
            <w:shd w:val="clear" w:color="auto" w:fill="CCEEFF"/>
          </w:tcPr>
          <w:p>
            <w:pPr>
              <w:spacing w:after="0"/>
              <w:rPr>
                <w:sz w:val="6"/>
                <w:szCs w:val="6"/>
                <w:color w:val="auto"/>
              </w:rPr>
            </w:pPr>
          </w:p>
        </w:tc>
        <w:tc>
          <w:tcPr>
            <w:tcW w:w="59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10" w:type="dxa"/>
            <w:vAlign w:val="bottom"/>
            <w:shd w:val="clear" w:color="auto" w:fill="CCEEFF"/>
          </w:tcPr>
          <w:p>
            <w:pPr>
              <w:spacing w:after="0"/>
              <w:rPr>
                <w:sz w:val="6"/>
                <w:szCs w:val="6"/>
                <w:color w:val="auto"/>
              </w:rPr>
            </w:pPr>
          </w:p>
        </w:tc>
        <w:tc>
          <w:tcPr>
            <w:tcW w:w="71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340" w:type="dxa"/>
            <w:vAlign w:val="bottom"/>
            <w:gridSpan w:val="2"/>
          </w:tcPr>
          <w:p>
            <w:pPr>
              <w:ind w:left="40"/>
              <w:spacing w:after="0"/>
              <w:rPr>
                <w:sz w:val="20"/>
                <w:szCs w:val="20"/>
                <w:color w:val="auto"/>
              </w:rPr>
            </w:pPr>
            <w:r>
              <w:rPr>
                <w:rFonts w:ascii="Arial" w:cs="Arial" w:eastAsia="Arial" w:hAnsi="Arial"/>
                <w:sz w:val="13"/>
                <w:szCs w:val="13"/>
                <w:color w:val="auto"/>
              </w:rPr>
              <w:t>Beginning balance</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5,908</w:t>
            </w:r>
          </w:p>
        </w:tc>
        <w:tc>
          <w:tcPr>
            <w:tcW w:w="80" w:type="dxa"/>
            <w:vAlign w:val="bottom"/>
          </w:tcPr>
          <w:p>
            <w:pPr>
              <w:spacing w:after="0"/>
              <w:rPr>
                <w:sz w:val="13"/>
                <w:szCs w:val="13"/>
                <w:color w:val="auto"/>
              </w:rPr>
            </w:pPr>
          </w:p>
        </w:tc>
        <w:tc>
          <w:tcPr>
            <w:tcW w:w="17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50" w:type="dxa"/>
            <w:vAlign w:val="bottom"/>
          </w:tcPr>
          <w:p>
            <w:pPr>
              <w:jc w:val="right"/>
              <w:spacing w:after="0"/>
              <w:rPr>
                <w:sz w:val="20"/>
                <w:szCs w:val="20"/>
                <w:color w:val="auto"/>
              </w:rPr>
            </w:pPr>
            <w:r>
              <w:rPr>
                <w:rFonts w:ascii="Arial" w:cs="Arial" w:eastAsia="Arial" w:hAnsi="Arial"/>
                <w:sz w:val="13"/>
                <w:szCs w:val="13"/>
                <w:color w:val="auto"/>
              </w:rPr>
              <w:t>9,476</w:t>
            </w:r>
          </w:p>
        </w:tc>
        <w:tc>
          <w:tcPr>
            <w:tcW w:w="40" w:type="dxa"/>
            <w:vAlign w:val="bottom"/>
          </w:tcPr>
          <w:p>
            <w:pPr>
              <w:spacing w:after="0"/>
              <w:rPr>
                <w:sz w:val="13"/>
                <w:szCs w:val="13"/>
                <w:color w:val="auto"/>
              </w:rPr>
            </w:pPr>
          </w:p>
        </w:tc>
        <w:tc>
          <w:tcPr>
            <w:tcW w:w="180" w:type="dxa"/>
            <w:vAlign w:val="bottom"/>
            <w:gridSpan w:val="5"/>
          </w:tcPr>
          <w:p>
            <w:pPr>
              <w:ind w:left="100"/>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4,814</w:t>
            </w:r>
          </w:p>
        </w:tc>
        <w:tc>
          <w:tcPr>
            <w:tcW w:w="40" w:type="dxa"/>
            <w:vAlign w:val="bottom"/>
          </w:tcPr>
          <w:p>
            <w:pPr>
              <w:spacing w:after="0"/>
              <w:rPr>
                <w:sz w:val="13"/>
                <w:szCs w:val="13"/>
                <w:color w:val="auto"/>
              </w:rPr>
            </w:pPr>
          </w:p>
        </w:tc>
        <w:tc>
          <w:tcPr>
            <w:tcW w:w="21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850" w:type="dxa"/>
            <w:vAlign w:val="bottom"/>
          </w:tcPr>
          <w:p>
            <w:pPr>
              <w:jc w:val="right"/>
              <w:spacing w:after="0"/>
              <w:rPr>
                <w:sz w:val="20"/>
                <w:szCs w:val="20"/>
                <w:color w:val="auto"/>
              </w:rPr>
            </w:pPr>
            <w:r>
              <w:rPr>
                <w:rFonts w:ascii="Arial" w:cs="Arial" w:eastAsia="Arial" w:hAnsi="Arial"/>
                <w:sz w:val="13"/>
                <w:szCs w:val="13"/>
                <w:color w:val="auto"/>
              </w:rPr>
              <w:t>1,015</w:t>
            </w:r>
          </w:p>
        </w:tc>
        <w:tc>
          <w:tcPr>
            <w:tcW w:w="40" w:type="dxa"/>
            <w:vAlign w:val="bottom"/>
          </w:tcPr>
          <w:p>
            <w:pPr>
              <w:spacing w:after="0"/>
              <w:rPr>
                <w:sz w:val="13"/>
                <w:szCs w:val="13"/>
                <w:color w:val="auto"/>
              </w:rPr>
            </w:pPr>
          </w:p>
        </w:tc>
        <w:tc>
          <w:tcPr>
            <w:tcW w:w="19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590" w:type="dxa"/>
            <w:vAlign w:val="bottom"/>
          </w:tcPr>
          <w:p>
            <w:pPr>
              <w:jc w:val="right"/>
              <w:spacing w:after="0"/>
              <w:rPr>
                <w:sz w:val="20"/>
                <w:szCs w:val="20"/>
                <w:color w:val="auto"/>
              </w:rPr>
            </w:pPr>
            <w:r>
              <w:rPr>
                <w:rFonts w:ascii="Arial" w:cs="Arial" w:eastAsia="Arial" w:hAnsi="Arial"/>
                <w:sz w:val="13"/>
                <w:szCs w:val="13"/>
                <w:color w:val="auto"/>
              </w:rPr>
              <w:t>4,287</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 w:type="dxa"/>
            <w:vAlign w:val="bottom"/>
            <w:gridSpan w:val="3"/>
          </w:tcPr>
          <w:p>
            <w:pPr>
              <w:jc w:val="right"/>
              <w:ind w:right="30"/>
              <w:spacing w:after="0"/>
              <w:rPr>
                <w:sz w:val="20"/>
                <w:szCs w:val="20"/>
                <w:color w:val="auto"/>
              </w:rPr>
            </w:pPr>
            <w:r>
              <w:rPr>
                <w:rFonts w:ascii="Arial" w:cs="Arial" w:eastAsia="Arial" w:hAnsi="Arial"/>
                <w:sz w:val="13"/>
                <w:szCs w:val="13"/>
                <w:color w:val="auto"/>
              </w:rPr>
              <w:t>$</w:t>
            </w:r>
          </w:p>
        </w:tc>
        <w:tc>
          <w:tcPr>
            <w:tcW w:w="770" w:type="dxa"/>
            <w:vAlign w:val="bottom"/>
            <w:gridSpan w:val="2"/>
          </w:tcPr>
          <w:p>
            <w:pPr>
              <w:jc w:val="right"/>
              <w:ind w:right="60"/>
              <w:spacing w:after="0"/>
              <w:rPr>
                <w:sz w:val="20"/>
                <w:szCs w:val="20"/>
                <w:color w:val="auto"/>
              </w:rPr>
            </w:pPr>
            <w:r>
              <w:rPr>
                <w:rFonts w:ascii="Arial" w:cs="Arial" w:eastAsia="Arial" w:hAnsi="Arial"/>
                <w:sz w:val="13"/>
                <w:szCs w:val="13"/>
                <w:color w:val="auto"/>
              </w:rPr>
              <w:t>25,500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20" w:type="dxa"/>
            <w:vAlign w:val="bottom"/>
            <w:shd w:val="clear" w:color="auto" w:fill="CCEEFF"/>
          </w:tcPr>
          <w:p>
            <w:pPr>
              <w:ind w:left="40"/>
              <w:spacing w:after="0" w:line="160"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(1)</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(644)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 w:type="dxa"/>
            <w:vAlign w:val="bottom"/>
            <w:shd w:val="clear" w:color="auto" w:fill="CCEEFF"/>
          </w:tcPr>
          <w:p>
            <w:pPr>
              <w:spacing w:after="0"/>
              <w:rPr>
                <w:sz w:val="13"/>
                <w:szCs w:val="13"/>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598</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40" w:type="dxa"/>
            <w:vAlign w:val="bottom"/>
            <w:gridSpan w:val="2"/>
          </w:tcPr>
          <w:p>
            <w:pPr>
              <w:ind w:left="40"/>
              <w:spacing w:after="0"/>
              <w:rPr>
                <w:sz w:val="20"/>
                <w:szCs w:val="20"/>
                <w:color w:val="auto"/>
              </w:rPr>
            </w:pPr>
            <w:r>
              <w:rPr>
                <w:rFonts w:ascii="Arial" w:cs="Arial" w:eastAsia="Arial" w:hAnsi="Arial"/>
                <w:sz w:val="13"/>
                <w:szCs w:val="13"/>
                <w:color w:val="auto"/>
              </w:rPr>
              <w:t>Recoveries</w:t>
            </w:r>
          </w:p>
        </w:tc>
        <w:tc>
          <w:tcPr>
            <w:tcW w:w="12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65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85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 w:type="dxa"/>
            <w:vAlign w:val="bottom"/>
          </w:tcPr>
          <w:p>
            <w:pPr>
              <w:spacing w:after="0"/>
              <w:rPr>
                <w:sz w:val="13"/>
                <w:szCs w:val="13"/>
                <w:color w:val="auto"/>
              </w:rPr>
            </w:pPr>
          </w:p>
        </w:tc>
        <w:tc>
          <w:tcPr>
            <w:tcW w:w="59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10" w:type="dxa"/>
            <w:vAlign w:val="bottom"/>
          </w:tcPr>
          <w:p>
            <w:pPr>
              <w:jc w:val="right"/>
              <w:spacing w:after="0"/>
              <w:rPr>
                <w:sz w:val="20"/>
                <w:szCs w:val="20"/>
                <w:color w:val="auto"/>
              </w:rPr>
            </w:pPr>
            <w:r>
              <w:rPr>
                <w:rFonts w:ascii="Arial" w:cs="Arial" w:eastAsia="Arial" w:hAnsi="Arial"/>
                <w:sz w:val="13"/>
                <w:szCs w:val="13"/>
                <w:color w:val="auto"/>
              </w:rPr>
              <w:t>10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Charge-offs</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10" w:type="dxa"/>
            <w:vAlign w:val="bottom"/>
            <w:tcBorders>
              <w:bottom w:val="single" w:sz="8" w:color="auto"/>
            </w:tcBorders>
            <w:shd w:val="clear" w:color="auto" w:fill="CCEEFF"/>
          </w:tcPr>
          <w:p>
            <w:pPr>
              <w:spacing w:after="0"/>
              <w:rPr>
                <w:sz w:val="13"/>
                <w:szCs w:val="13"/>
                <w:color w:val="auto"/>
              </w:rPr>
            </w:pPr>
          </w:p>
        </w:tc>
        <w:tc>
          <w:tcPr>
            <w:tcW w:w="65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10" w:type="dxa"/>
            <w:vAlign w:val="bottom"/>
            <w:tcBorders>
              <w:bottom w:val="single" w:sz="8" w:color="auto"/>
            </w:tcBorders>
            <w:shd w:val="clear" w:color="auto" w:fill="CCEEFF"/>
          </w:tcPr>
          <w:p>
            <w:pPr>
              <w:spacing w:after="0"/>
              <w:rPr>
                <w:sz w:val="13"/>
                <w:szCs w:val="13"/>
                <w:color w:val="auto"/>
              </w:rPr>
            </w:pPr>
          </w:p>
        </w:tc>
        <w:tc>
          <w:tcPr>
            <w:tcW w:w="85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90" w:type="dxa"/>
            <w:vAlign w:val="bottom"/>
            <w:tcBorders>
              <w:bottom w:val="single" w:sz="8" w:color="auto"/>
            </w:tcBorders>
            <w:shd w:val="clear" w:color="auto" w:fill="CCEEFF"/>
          </w:tcPr>
          <w:p>
            <w:pPr>
              <w:spacing w:after="0"/>
              <w:rPr>
                <w:sz w:val="13"/>
                <w:szCs w:val="13"/>
                <w:color w:val="auto"/>
              </w:rPr>
            </w:pPr>
          </w:p>
        </w:tc>
        <w:tc>
          <w:tcPr>
            <w:tcW w:w="65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10" w:type="dxa"/>
            <w:vAlign w:val="bottom"/>
            <w:tcBorders>
              <w:bottom w:val="single" w:sz="8" w:color="auto"/>
            </w:tcBorders>
            <w:shd w:val="clear" w:color="auto" w:fill="CCEEFF"/>
          </w:tcPr>
          <w:p>
            <w:pPr>
              <w:spacing w:after="0"/>
              <w:rPr>
                <w:sz w:val="13"/>
                <w:szCs w:val="13"/>
                <w:color w:val="auto"/>
              </w:rPr>
            </w:pPr>
          </w:p>
        </w:tc>
        <w:tc>
          <w:tcPr>
            <w:tcW w:w="77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340" w:type="dxa"/>
            <w:vAlign w:val="bottom"/>
            <w:gridSpan w:val="2"/>
          </w:tcPr>
          <w:p>
            <w:pPr>
              <w:ind w:left="40"/>
              <w:spacing w:after="0"/>
              <w:rPr>
                <w:sz w:val="20"/>
                <w:szCs w:val="20"/>
                <w:color w:val="auto"/>
              </w:rPr>
            </w:pPr>
            <w:r>
              <w:rPr>
                <w:rFonts w:ascii="Arial" w:cs="Arial" w:eastAsia="Arial" w:hAnsi="Arial"/>
                <w:sz w:val="13"/>
                <w:szCs w:val="13"/>
                <w:color w:val="auto"/>
              </w:rPr>
              <w:t>Ending Balance</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5,270</w:t>
            </w:r>
          </w:p>
        </w:tc>
        <w:tc>
          <w:tcPr>
            <w:tcW w:w="80" w:type="dxa"/>
            <w:vAlign w:val="bottom"/>
          </w:tcPr>
          <w:p>
            <w:pPr>
              <w:spacing w:after="0"/>
              <w:rPr>
                <w:sz w:val="16"/>
                <w:szCs w:val="16"/>
                <w:color w:val="auto"/>
              </w:rPr>
            </w:pPr>
          </w:p>
        </w:tc>
        <w:tc>
          <w:tcPr>
            <w:tcW w:w="17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50" w:type="dxa"/>
            <w:vAlign w:val="bottom"/>
          </w:tcPr>
          <w:p>
            <w:pPr>
              <w:jc w:val="right"/>
              <w:spacing w:after="0"/>
              <w:rPr>
                <w:sz w:val="20"/>
                <w:szCs w:val="20"/>
                <w:color w:val="auto"/>
              </w:rPr>
            </w:pPr>
            <w:r>
              <w:rPr>
                <w:rFonts w:ascii="Arial" w:cs="Arial" w:eastAsia="Arial" w:hAnsi="Arial"/>
                <w:sz w:val="13"/>
                <w:szCs w:val="13"/>
                <w:color w:val="auto"/>
              </w:rPr>
              <w:t>9,932</w:t>
            </w:r>
          </w:p>
        </w:tc>
        <w:tc>
          <w:tcPr>
            <w:tcW w:w="40" w:type="dxa"/>
            <w:vAlign w:val="bottom"/>
          </w:tcPr>
          <w:p>
            <w:pPr>
              <w:spacing w:after="0"/>
              <w:rPr>
                <w:sz w:val="16"/>
                <w:szCs w:val="16"/>
                <w:color w:val="auto"/>
              </w:rPr>
            </w:pPr>
          </w:p>
        </w:tc>
        <w:tc>
          <w:tcPr>
            <w:tcW w:w="180" w:type="dxa"/>
            <w:vAlign w:val="bottom"/>
            <w:gridSpan w:val="5"/>
          </w:tcPr>
          <w:p>
            <w:pPr>
              <w:ind w:left="100"/>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5,330</w:t>
            </w:r>
          </w:p>
        </w:tc>
        <w:tc>
          <w:tcPr>
            <w:tcW w:w="40" w:type="dxa"/>
            <w:vAlign w:val="bottom"/>
          </w:tcPr>
          <w:p>
            <w:pPr>
              <w:spacing w:after="0"/>
              <w:rPr>
                <w:sz w:val="16"/>
                <w:szCs w:val="16"/>
                <w:color w:val="auto"/>
              </w:rPr>
            </w:pPr>
          </w:p>
        </w:tc>
        <w:tc>
          <w:tcPr>
            <w:tcW w:w="21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850" w:type="dxa"/>
            <w:vAlign w:val="bottom"/>
          </w:tcPr>
          <w:p>
            <w:pPr>
              <w:jc w:val="right"/>
              <w:spacing w:after="0"/>
              <w:rPr>
                <w:sz w:val="20"/>
                <w:szCs w:val="20"/>
                <w:color w:val="auto"/>
              </w:rPr>
            </w:pPr>
            <w:r>
              <w:rPr>
                <w:rFonts w:ascii="Arial" w:cs="Arial" w:eastAsia="Arial" w:hAnsi="Arial"/>
                <w:sz w:val="13"/>
                <w:szCs w:val="13"/>
                <w:color w:val="auto"/>
              </w:rPr>
              <w:t>1,018</w:t>
            </w:r>
          </w:p>
        </w:tc>
        <w:tc>
          <w:tcPr>
            <w:tcW w:w="40" w:type="dxa"/>
            <w:vAlign w:val="bottom"/>
          </w:tcPr>
          <w:p>
            <w:pPr>
              <w:spacing w:after="0"/>
              <w:rPr>
                <w:sz w:val="16"/>
                <w:szCs w:val="16"/>
                <w:color w:val="auto"/>
              </w:rPr>
            </w:pPr>
          </w:p>
        </w:tc>
        <w:tc>
          <w:tcPr>
            <w:tcW w:w="19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590" w:type="dxa"/>
            <w:vAlign w:val="bottom"/>
          </w:tcPr>
          <w:p>
            <w:pPr>
              <w:jc w:val="right"/>
              <w:spacing w:after="0"/>
              <w:rPr>
                <w:sz w:val="20"/>
                <w:szCs w:val="20"/>
                <w:color w:val="auto"/>
              </w:rPr>
            </w:pPr>
            <w:r>
              <w:rPr>
                <w:rFonts w:ascii="Arial" w:cs="Arial" w:eastAsia="Arial" w:hAnsi="Arial"/>
                <w:sz w:val="13"/>
                <w:szCs w:val="13"/>
                <w:color w:val="auto"/>
              </w:rPr>
              <w:t>4,552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 w:type="dxa"/>
            <w:vAlign w:val="bottom"/>
            <w:gridSpan w:val="3"/>
          </w:tcPr>
          <w:p>
            <w:pPr>
              <w:jc w:val="right"/>
              <w:ind w:right="30"/>
              <w:spacing w:after="0"/>
              <w:rPr>
                <w:sz w:val="20"/>
                <w:szCs w:val="20"/>
                <w:color w:val="auto"/>
              </w:rPr>
            </w:pPr>
            <w:r>
              <w:rPr>
                <w:rFonts w:ascii="Arial" w:cs="Arial" w:eastAsia="Arial" w:hAnsi="Arial"/>
                <w:sz w:val="13"/>
                <w:szCs w:val="13"/>
                <w:color w:val="auto"/>
              </w:rPr>
              <w:t>$</w:t>
            </w:r>
          </w:p>
        </w:tc>
        <w:tc>
          <w:tcPr>
            <w:tcW w:w="770" w:type="dxa"/>
            <w:vAlign w:val="bottom"/>
            <w:gridSpan w:val="2"/>
          </w:tcPr>
          <w:p>
            <w:pPr>
              <w:jc w:val="right"/>
              <w:ind w:right="60"/>
              <w:spacing w:after="0"/>
              <w:rPr>
                <w:sz w:val="20"/>
                <w:szCs w:val="20"/>
                <w:color w:val="auto"/>
              </w:rPr>
            </w:pPr>
            <w:r>
              <w:rPr>
                <w:rFonts w:ascii="Arial" w:cs="Arial" w:eastAsia="Arial" w:hAnsi="Arial"/>
                <w:sz w:val="13"/>
                <w:szCs w:val="13"/>
                <w:color w:val="auto"/>
              </w:rPr>
              <w:t>26,102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340" w:type="dxa"/>
            <w:vAlign w:val="bottom"/>
            <w:tcBorders>
              <w:top w:val="single" w:sz="8" w:color="CCEEFF"/>
            </w:tcBorders>
            <w:gridSpan w:val="2"/>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gridSpan w:val="2"/>
            <w:shd w:val="clear" w:color="auto" w:fill="CCEEFF"/>
          </w:tcPr>
          <w:p>
            <w:pPr>
              <w:spacing w:after="0"/>
              <w:rPr>
                <w:sz w:val="11"/>
                <w:szCs w:val="11"/>
                <w:color w:val="auto"/>
              </w:rPr>
            </w:pPr>
          </w:p>
        </w:tc>
        <w:tc>
          <w:tcPr>
            <w:tcW w:w="110" w:type="dxa"/>
            <w:vAlign w:val="bottom"/>
            <w:tcBorders>
              <w:top w:val="single" w:sz="8" w:color="auto"/>
            </w:tcBorders>
            <w:shd w:val="clear" w:color="auto" w:fill="CCEEFF"/>
          </w:tcPr>
          <w:p>
            <w:pPr>
              <w:spacing w:after="0"/>
              <w:rPr>
                <w:sz w:val="11"/>
                <w:szCs w:val="11"/>
                <w:color w:val="auto"/>
              </w:rPr>
            </w:pPr>
          </w:p>
        </w:tc>
        <w:tc>
          <w:tcPr>
            <w:tcW w:w="65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gridSpan w:val="2"/>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gridSpan w:val="2"/>
            <w:shd w:val="clear" w:color="auto" w:fill="CCEEFF"/>
          </w:tcPr>
          <w:p>
            <w:pPr>
              <w:spacing w:after="0"/>
              <w:rPr>
                <w:sz w:val="11"/>
                <w:szCs w:val="11"/>
                <w:color w:val="auto"/>
              </w:rPr>
            </w:pPr>
          </w:p>
        </w:tc>
        <w:tc>
          <w:tcPr>
            <w:tcW w:w="60" w:type="dxa"/>
            <w:vAlign w:val="bottom"/>
            <w:tcBorders>
              <w:top w:val="single" w:sz="8" w:color="CCEEFF"/>
            </w:tcBorders>
            <w:gridSpan w:val="2"/>
            <w:shd w:val="clear" w:color="auto" w:fill="CCEEFF"/>
          </w:tcPr>
          <w:p>
            <w:pPr>
              <w:spacing w:after="0"/>
              <w:rPr>
                <w:sz w:val="11"/>
                <w:szCs w:val="11"/>
                <w:color w:val="auto"/>
              </w:rPr>
            </w:pPr>
          </w:p>
        </w:tc>
        <w:tc>
          <w:tcPr>
            <w:tcW w:w="110" w:type="dxa"/>
            <w:vAlign w:val="bottom"/>
            <w:tcBorders>
              <w:top w:val="single" w:sz="8" w:color="auto"/>
            </w:tcBorders>
            <w:shd w:val="clear" w:color="auto" w:fill="CCEEFF"/>
          </w:tcPr>
          <w:p>
            <w:pPr>
              <w:spacing w:after="0"/>
              <w:rPr>
                <w:sz w:val="11"/>
                <w:szCs w:val="11"/>
                <w:color w:val="auto"/>
              </w:rPr>
            </w:pPr>
          </w:p>
        </w:tc>
        <w:tc>
          <w:tcPr>
            <w:tcW w:w="85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gridSpan w:val="2"/>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10" w:type="dxa"/>
            <w:vAlign w:val="bottom"/>
            <w:tcBorders>
              <w:top w:val="single" w:sz="8" w:color="auto"/>
            </w:tcBorders>
            <w:gridSpan w:val="2"/>
            <w:shd w:val="clear" w:color="auto" w:fill="CCEEFF"/>
          </w:tcPr>
          <w:p>
            <w:pPr>
              <w:spacing w:after="0"/>
              <w:rPr>
                <w:sz w:val="11"/>
                <w:szCs w:val="11"/>
                <w:color w:val="auto"/>
              </w:rPr>
            </w:pPr>
          </w:p>
        </w:tc>
        <w:tc>
          <w:tcPr>
            <w:tcW w:w="59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30" w:type="dxa"/>
            <w:vAlign w:val="bottom"/>
            <w:tcBorders>
              <w:top w:val="single" w:sz="8" w:color="auto"/>
            </w:tcBorders>
            <w:gridSpan w:val="2"/>
            <w:shd w:val="clear" w:color="auto" w:fill="CCEEFF"/>
          </w:tcPr>
          <w:p>
            <w:pPr>
              <w:spacing w:after="0"/>
              <w:rPr>
                <w:sz w:val="11"/>
                <w:szCs w:val="11"/>
                <w:color w:val="auto"/>
              </w:rPr>
            </w:pPr>
          </w:p>
        </w:tc>
        <w:tc>
          <w:tcPr>
            <w:tcW w:w="71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340" w:type="dxa"/>
            <w:vAlign w:val="bottom"/>
            <w:gridSpan w:val="2"/>
          </w:tcPr>
          <w:p>
            <w:pPr>
              <w:ind w:left="40"/>
              <w:spacing w:after="0"/>
              <w:rPr>
                <w:sz w:val="20"/>
                <w:szCs w:val="20"/>
                <w:color w:val="auto"/>
              </w:rPr>
            </w:pPr>
            <w:r>
              <w:rPr>
                <w:rFonts w:ascii="Arial" w:cs="Arial" w:eastAsia="Arial" w:hAnsi="Arial"/>
                <w:sz w:val="13"/>
                <w:szCs w:val="13"/>
                <w:color w:val="auto"/>
              </w:rPr>
              <w:t>Average loans</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304,162</w:t>
            </w:r>
          </w:p>
        </w:tc>
        <w:tc>
          <w:tcPr>
            <w:tcW w:w="80" w:type="dxa"/>
            <w:vAlign w:val="bottom"/>
          </w:tcPr>
          <w:p>
            <w:pPr>
              <w:spacing w:after="0"/>
              <w:rPr>
                <w:sz w:val="14"/>
                <w:szCs w:val="14"/>
                <w:color w:val="auto"/>
              </w:rPr>
            </w:pPr>
          </w:p>
        </w:tc>
        <w:tc>
          <w:tcPr>
            <w:tcW w:w="17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50" w:type="dxa"/>
            <w:vAlign w:val="bottom"/>
          </w:tcPr>
          <w:p>
            <w:pPr>
              <w:jc w:val="right"/>
              <w:spacing w:after="0"/>
              <w:rPr>
                <w:sz w:val="20"/>
                <w:szCs w:val="20"/>
                <w:color w:val="auto"/>
              </w:rPr>
            </w:pPr>
            <w:r>
              <w:rPr>
                <w:rFonts w:ascii="Arial" w:cs="Arial" w:eastAsia="Arial" w:hAnsi="Arial"/>
                <w:sz w:val="13"/>
                <w:szCs w:val="13"/>
                <w:color w:val="auto"/>
              </w:rPr>
              <w:t>1,267,713</w:t>
            </w:r>
          </w:p>
        </w:tc>
        <w:tc>
          <w:tcPr>
            <w:tcW w:w="40" w:type="dxa"/>
            <w:vAlign w:val="bottom"/>
          </w:tcPr>
          <w:p>
            <w:pPr>
              <w:spacing w:after="0"/>
              <w:rPr>
                <w:sz w:val="14"/>
                <w:szCs w:val="14"/>
                <w:color w:val="auto"/>
              </w:rPr>
            </w:pPr>
          </w:p>
        </w:tc>
        <w:tc>
          <w:tcPr>
            <w:tcW w:w="180" w:type="dxa"/>
            <w:vAlign w:val="bottom"/>
            <w:gridSpan w:val="5"/>
          </w:tcPr>
          <w:p>
            <w:pPr>
              <w:ind w:left="100"/>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235,352</w:t>
            </w:r>
          </w:p>
        </w:tc>
        <w:tc>
          <w:tcPr>
            <w:tcW w:w="40" w:type="dxa"/>
            <w:vAlign w:val="bottom"/>
          </w:tcPr>
          <w:p>
            <w:pPr>
              <w:spacing w:after="0"/>
              <w:rPr>
                <w:sz w:val="14"/>
                <w:szCs w:val="14"/>
                <w:color w:val="auto"/>
              </w:rPr>
            </w:pPr>
          </w:p>
        </w:tc>
        <w:tc>
          <w:tcPr>
            <w:tcW w:w="21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850" w:type="dxa"/>
            <w:vAlign w:val="bottom"/>
          </w:tcPr>
          <w:p>
            <w:pPr>
              <w:jc w:val="right"/>
              <w:spacing w:after="0"/>
              <w:rPr>
                <w:sz w:val="20"/>
                <w:szCs w:val="20"/>
                <w:color w:val="auto"/>
              </w:rPr>
            </w:pPr>
            <w:r>
              <w:rPr>
                <w:rFonts w:ascii="Arial" w:cs="Arial" w:eastAsia="Arial" w:hAnsi="Arial"/>
                <w:sz w:val="13"/>
                <w:szCs w:val="13"/>
                <w:color w:val="auto"/>
              </w:rPr>
              <w:t>128,849</w:t>
            </w:r>
          </w:p>
        </w:tc>
        <w:tc>
          <w:tcPr>
            <w:tcW w:w="40" w:type="dxa"/>
            <w:vAlign w:val="bottom"/>
          </w:tcPr>
          <w:p>
            <w:pPr>
              <w:spacing w:after="0"/>
              <w:rPr>
                <w:sz w:val="14"/>
                <w:szCs w:val="14"/>
                <w:color w:val="auto"/>
              </w:rPr>
            </w:pPr>
          </w:p>
        </w:tc>
        <w:tc>
          <w:tcPr>
            <w:tcW w:w="19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590" w:type="dxa"/>
            <w:vAlign w:val="bottom"/>
          </w:tcPr>
          <w:p>
            <w:pPr>
              <w:jc w:val="right"/>
              <w:spacing w:after="0"/>
              <w:rPr>
                <w:sz w:val="20"/>
                <w:szCs w:val="20"/>
                <w:color w:val="auto"/>
              </w:rPr>
            </w:pPr>
            <w:r>
              <w:rPr>
                <w:rFonts w:ascii="Arial" w:cs="Arial" w:eastAsia="Arial" w:hAnsi="Arial"/>
                <w:sz w:val="13"/>
                <w:szCs w:val="13"/>
                <w:color w:val="auto"/>
              </w:rPr>
              <w:t>241,658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 w:type="dxa"/>
            <w:vAlign w:val="bottom"/>
            <w:gridSpan w:val="3"/>
          </w:tcPr>
          <w:p>
            <w:pPr>
              <w:jc w:val="right"/>
              <w:ind w:right="30"/>
              <w:spacing w:after="0"/>
              <w:rPr>
                <w:sz w:val="20"/>
                <w:szCs w:val="20"/>
                <w:color w:val="auto"/>
              </w:rPr>
            </w:pPr>
            <w:r>
              <w:rPr>
                <w:rFonts w:ascii="Arial" w:cs="Arial" w:eastAsia="Arial" w:hAnsi="Arial"/>
                <w:sz w:val="13"/>
                <w:szCs w:val="13"/>
                <w:color w:val="auto"/>
              </w:rPr>
              <w:t>$</w:t>
            </w:r>
          </w:p>
        </w:tc>
        <w:tc>
          <w:tcPr>
            <w:tcW w:w="710" w:type="dxa"/>
            <w:vAlign w:val="bottom"/>
          </w:tcPr>
          <w:p>
            <w:pPr>
              <w:jc w:val="right"/>
              <w:spacing w:after="0"/>
              <w:rPr>
                <w:sz w:val="20"/>
                <w:szCs w:val="20"/>
                <w:color w:val="auto"/>
              </w:rPr>
            </w:pPr>
            <w:r>
              <w:rPr>
                <w:rFonts w:ascii="Arial" w:cs="Arial" w:eastAsia="Arial" w:hAnsi="Arial"/>
                <w:sz w:val="13"/>
                <w:szCs w:val="13"/>
                <w:color w:val="auto"/>
              </w:rPr>
              <w:t>2,177,734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3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9"/>
              </w:rPr>
              <w:t>Net charge-offs (recoveries) to average</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65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85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 w:type="dxa"/>
            <w:vAlign w:val="bottom"/>
            <w:shd w:val="clear" w:color="auto" w:fill="CCEEFF"/>
          </w:tcPr>
          <w:p>
            <w:pPr>
              <w:spacing w:after="0"/>
              <w:rPr>
                <w:sz w:val="15"/>
                <w:szCs w:val="15"/>
                <w:color w:val="auto"/>
              </w:rPr>
            </w:pPr>
          </w:p>
        </w:tc>
        <w:tc>
          <w:tcPr>
            <w:tcW w:w="59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1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320" w:type="dxa"/>
            <w:vAlign w:val="bottom"/>
            <w:shd w:val="clear" w:color="auto" w:fill="CCEEFF"/>
          </w:tcPr>
          <w:p>
            <w:pPr>
              <w:ind w:left="40"/>
              <w:spacing w:after="0" w:line="160" w:lineRule="exact"/>
              <w:rPr>
                <w:sz w:val="20"/>
                <w:szCs w:val="20"/>
                <w:color w:val="auto"/>
              </w:rPr>
            </w:pPr>
            <w:r>
              <w:rPr>
                <w:rFonts w:ascii="Arial" w:cs="Arial" w:eastAsia="Arial" w:hAnsi="Arial"/>
                <w:sz w:val="13"/>
                <w:szCs w:val="13"/>
                <w:color w:val="auto"/>
              </w:rPr>
              <w:t xml:space="preserve">loans </w:t>
            </w:r>
            <w:r>
              <w:rPr>
                <w:rFonts w:ascii="Arial" w:cs="Arial" w:eastAsia="Arial" w:hAnsi="Arial"/>
                <w:sz w:val="17"/>
                <w:szCs w:val="17"/>
                <w:color w:val="auto"/>
                <w:vertAlign w:val="superscript"/>
              </w:rPr>
              <w:t>(2)</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65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85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 w:type="dxa"/>
            <w:vAlign w:val="bottom"/>
            <w:shd w:val="clear" w:color="auto" w:fill="CCEEFF"/>
          </w:tcPr>
          <w:p>
            <w:pPr>
              <w:spacing w:after="0"/>
              <w:rPr>
                <w:sz w:val="13"/>
                <w:szCs w:val="13"/>
                <w:color w:val="auto"/>
              </w:rPr>
            </w:pPr>
          </w:p>
        </w:tc>
        <w:tc>
          <w:tcPr>
            <w:tcW w:w="59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71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3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40" w:type="dxa"/>
            <w:vAlign w:val="bottom"/>
            <w:vMerge w:val="continue"/>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10" w:type="dxa"/>
            <w:vAlign w:val="bottom"/>
            <w:shd w:val="clear" w:color="auto" w:fill="CCEEFF"/>
          </w:tcPr>
          <w:p>
            <w:pPr>
              <w:spacing w:after="0"/>
              <w:rPr>
                <w:sz w:val="3"/>
                <w:szCs w:val="3"/>
                <w:color w:val="auto"/>
              </w:rPr>
            </w:pPr>
          </w:p>
        </w:tc>
        <w:tc>
          <w:tcPr>
            <w:tcW w:w="65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2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10" w:type="dxa"/>
            <w:vAlign w:val="bottom"/>
            <w:shd w:val="clear" w:color="auto" w:fill="CCEEFF"/>
          </w:tcPr>
          <w:p>
            <w:pPr>
              <w:spacing w:after="0"/>
              <w:rPr>
                <w:sz w:val="3"/>
                <w:szCs w:val="3"/>
                <w:color w:val="auto"/>
              </w:rPr>
            </w:pPr>
          </w:p>
        </w:tc>
        <w:tc>
          <w:tcPr>
            <w:tcW w:w="85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90" w:type="dxa"/>
            <w:vAlign w:val="bottom"/>
            <w:shd w:val="clear" w:color="auto" w:fill="CCEEFF"/>
          </w:tcPr>
          <w:p>
            <w:pPr>
              <w:spacing w:after="0"/>
              <w:rPr>
                <w:sz w:val="3"/>
                <w:szCs w:val="3"/>
                <w:color w:val="auto"/>
              </w:rPr>
            </w:pPr>
          </w:p>
        </w:tc>
        <w:tc>
          <w:tcPr>
            <w:tcW w:w="590" w:type="dxa"/>
            <w:vAlign w:val="bottom"/>
            <w:vMerge w:val="continue"/>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10" w:type="dxa"/>
            <w:vAlign w:val="bottom"/>
            <w:shd w:val="clear" w:color="auto" w:fill="CCEEFF"/>
          </w:tcPr>
          <w:p>
            <w:pPr>
              <w:spacing w:after="0"/>
              <w:rPr>
                <w:sz w:val="3"/>
                <w:szCs w:val="3"/>
                <w:color w:val="auto"/>
              </w:rPr>
            </w:pPr>
          </w:p>
        </w:tc>
        <w:tc>
          <w:tcPr>
            <w:tcW w:w="710" w:type="dxa"/>
            <w:vAlign w:val="bottom"/>
            <w:vMerge w:val="continue"/>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700" w:right="999" w:hanging="5"/>
        <w:spacing w:after="0" w:line="254" w:lineRule="auto"/>
        <w:tabs>
          <w:tab w:leader="none" w:pos="892" w:val="left"/>
        </w:tabs>
        <w:numPr>
          <w:ilvl w:val="0"/>
          <w:numId w:val="22"/>
        </w:numPr>
        <w:rPr>
          <w:rFonts w:ascii="Arial" w:cs="Arial" w:eastAsia="Arial" w:hAnsi="Arial"/>
          <w:sz w:val="13"/>
          <w:szCs w:val="13"/>
          <w:color w:val="auto"/>
        </w:rPr>
      </w:pPr>
      <w:r>
        <w:rPr>
          <w:rFonts w:ascii="Arial" w:cs="Arial" w:eastAsia="Arial" w:hAnsi="Arial"/>
          <w:sz w:val="13"/>
          <w:szCs w:val="13"/>
          <w:color w:val="auto"/>
        </w:rPr>
        <w:t>Provision for credit losses excludes a $205 thousand provision due to unfunded commitments included in accrued interest and other liabilities and a $2 thousand release related to investment securities held to maturity.</w:t>
      </w:r>
    </w:p>
    <w:p>
      <w:pPr>
        <w:ind w:left="880" w:hanging="185"/>
        <w:spacing w:after="0"/>
        <w:tabs>
          <w:tab w:leader="none" w:pos="8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Annualized.</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Commercial</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340" w:type="dxa"/>
            <w:vAlign w:val="bottom"/>
          </w:tcPr>
          <w:p>
            <w:pPr>
              <w:spacing w:after="0"/>
              <w:rPr>
                <w:sz w:val="12"/>
                <w:szCs w:val="12"/>
                <w:color w:val="auto"/>
              </w:rPr>
            </w:pPr>
          </w:p>
        </w:tc>
        <w:tc>
          <w:tcPr>
            <w:tcW w:w="780" w:type="dxa"/>
            <w:vAlign w:val="bottom"/>
            <w:gridSpan w:val="2"/>
          </w:tcPr>
          <w:p>
            <w:pPr>
              <w:ind w:left="20"/>
              <w:spacing w:after="0" w:line="139" w:lineRule="exact"/>
              <w:rPr>
                <w:sz w:val="20"/>
                <w:szCs w:val="20"/>
                <w:color w:val="auto"/>
              </w:rPr>
            </w:pPr>
            <w:r>
              <w:rPr>
                <w:rFonts w:ascii="Arial" w:cs="Arial" w:eastAsia="Arial" w:hAnsi="Arial"/>
                <w:sz w:val="13"/>
                <w:szCs w:val="13"/>
                <w:b w:val="1"/>
                <w:bCs w:val="1"/>
                <w:color w:val="auto"/>
              </w:rPr>
              <w:t>Residential</w:t>
            </w:r>
          </w:p>
        </w:tc>
        <w:tc>
          <w:tcPr>
            <w:tcW w:w="20" w:type="dxa"/>
            <w:vAlign w:val="bottom"/>
          </w:tcPr>
          <w:p>
            <w:pPr>
              <w:spacing w:after="0"/>
              <w:rPr>
                <w:sz w:val="12"/>
                <w:szCs w:val="12"/>
                <w:color w:val="auto"/>
              </w:rPr>
            </w:pPr>
          </w:p>
        </w:tc>
        <w:tc>
          <w:tcPr>
            <w:tcW w:w="860" w:type="dxa"/>
            <w:vAlign w:val="bottom"/>
            <w:gridSpan w:val="2"/>
          </w:tcPr>
          <w:p>
            <w:pPr>
              <w:jc w:val="right"/>
              <w:ind w:right="16"/>
              <w:spacing w:after="0" w:line="139" w:lineRule="exact"/>
              <w:rPr>
                <w:sz w:val="20"/>
                <w:szCs w:val="20"/>
                <w:color w:val="auto"/>
              </w:rPr>
            </w:pPr>
            <w:r>
              <w:rPr>
                <w:rFonts w:ascii="Arial" w:cs="Arial" w:eastAsia="Arial" w:hAnsi="Arial"/>
                <w:sz w:val="13"/>
                <w:szCs w:val="13"/>
                <w:b w:val="1"/>
                <w:bCs w:val="1"/>
                <w:color w:val="auto"/>
              </w:rPr>
              <w:t>Commercial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56"/>
              <w:spacing w:after="0" w:line="139" w:lineRule="exact"/>
              <w:rPr>
                <w:sz w:val="20"/>
                <w:szCs w:val="20"/>
                <w:color w:val="auto"/>
              </w:rPr>
            </w:pPr>
            <w:r>
              <w:rPr>
                <w:rFonts w:ascii="Arial" w:cs="Arial" w:eastAsia="Arial" w:hAnsi="Arial"/>
                <w:sz w:val="13"/>
                <w:szCs w:val="13"/>
                <w:b w:val="1"/>
                <w:bCs w:val="1"/>
                <w:color w:val="auto"/>
              </w:rPr>
              <w:t>and</w:t>
            </w:r>
          </w:p>
        </w:tc>
        <w:tc>
          <w:tcPr>
            <w:tcW w:w="20" w:type="dxa"/>
            <w:vAlign w:val="bottom"/>
          </w:tcPr>
          <w:p>
            <w:pPr>
              <w:spacing w:after="0"/>
              <w:rPr>
                <w:sz w:val="12"/>
                <w:szCs w:val="12"/>
                <w:color w:val="auto"/>
              </w:rPr>
            </w:pPr>
          </w:p>
        </w:tc>
        <w:tc>
          <w:tcPr>
            <w:tcW w:w="1080" w:type="dxa"/>
            <w:vAlign w:val="bottom"/>
            <w:gridSpan w:val="2"/>
          </w:tcPr>
          <w:p>
            <w:pPr>
              <w:jc w:val="right"/>
              <w:ind w:right="56"/>
              <w:spacing w:after="0" w:line="139" w:lineRule="exact"/>
              <w:rPr>
                <w:sz w:val="20"/>
                <w:szCs w:val="20"/>
                <w:color w:val="auto"/>
              </w:rPr>
            </w:pPr>
            <w:r>
              <w:rPr>
                <w:rFonts w:ascii="Arial" w:cs="Arial" w:eastAsia="Arial" w:hAnsi="Arial"/>
                <w:sz w:val="13"/>
                <w:szCs w:val="13"/>
                <w:b w:val="1"/>
                <w:bCs w:val="1"/>
                <w:color w:val="auto"/>
              </w:rPr>
              <w:t>Correspondent</w:t>
            </w:r>
          </w:p>
        </w:tc>
        <w:tc>
          <w:tcPr>
            <w:tcW w:w="20" w:type="dxa"/>
            <w:vAlign w:val="bottom"/>
          </w:tcPr>
          <w:p>
            <w:pPr>
              <w:spacing w:after="0"/>
              <w:rPr>
                <w:sz w:val="12"/>
                <w:szCs w:val="12"/>
                <w:color w:val="auto"/>
              </w:rPr>
            </w:pPr>
          </w:p>
        </w:tc>
        <w:tc>
          <w:tcPr>
            <w:tcW w:w="800" w:type="dxa"/>
            <w:vAlign w:val="bottom"/>
            <w:gridSpan w:val="2"/>
          </w:tcPr>
          <w:p>
            <w:pPr>
              <w:jc w:val="right"/>
              <w:ind w:right="56"/>
              <w:spacing w:after="0" w:line="139" w:lineRule="exact"/>
              <w:rPr>
                <w:sz w:val="20"/>
                <w:szCs w:val="20"/>
                <w:color w:val="auto"/>
              </w:rPr>
            </w:pPr>
            <w:r>
              <w:rPr>
                <w:rFonts w:ascii="Arial" w:cs="Arial" w:eastAsia="Arial" w:hAnsi="Arial"/>
                <w:sz w:val="13"/>
                <w:szCs w:val="13"/>
                <w:b w:val="1"/>
                <w:bCs w:val="1"/>
                <w:color w:val="auto"/>
              </w:rPr>
              <w:t>Consumer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25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0"/>
        </w:trPr>
        <w:tc>
          <w:tcPr>
            <w:tcW w:w="234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Real Estate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b w:val="1"/>
                <w:bCs w:val="1"/>
                <w:color w:val="auto"/>
                <w:w w:val="96"/>
              </w:rPr>
              <w:t>Real Estate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ind w:right="76"/>
              <w:spacing w:after="0"/>
              <w:rPr>
                <w:sz w:val="20"/>
                <w:szCs w:val="20"/>
                <w:color w:val="auto"/>
              </w:rPr>
            </w:pPr>
            <w:r>
              <w:rPr>
                <w:rFonts w:ascii="Arial" w:cs="Arial" w:eastAsia="Arial" w:hAnsi="Arial"/>
                <w:sz w:val="13"/>
                <w:szCs w:val="13"/>
                <w:b w:val="1"/>
                <w:bCs w:val="1"/>
                <w:color w:val="auto"/>
                <w:w w:val="99"/>
              </w:rPr>
              <w:t>Industrial</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316"/>
              <w:spacing w:after="0"/>
              <w:rPr>
                <w:sz w:val="20"/>
                <w:szCs w:val="20"/>
                <w:color w:val="auto"/>
              </w:rPr>
            </w:pPr>
            <w:r>
              <w:rPr>
                <w:rFonts w:ascii="Arial" w:cs="Arial" w:eastAsia="Arial" w:hAnsi="Arial"/>
                <w:sz w:val="13"/>
                <w:szCs w:val="13"/>
                <w:b w:val="1"/>
                <w:bCs w:val="1"/>
                <w:color w:val="auto"/>
              </w:rPr>
              <w:t>Banks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b w:val="1"/>
                <w:bCs w:val="1"/>
                <w:color w:val="auto"/>
                <w:w w:val="94"/>
              </w:rPr>
              <w:t>and Other</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3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Three Months Ended March 31, 2025</w:t>
            </w:r>
          </w:p>
        </w:tc>
        <w:tc>
          <w:tcPr>
            <w:tcW w:w="1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right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right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right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right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right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rPr>
                <w:sz w:val="20"/>
                <w:szCs w:val="20"/>
                <w:color w:val="auto"/>
              </w:rPr>
            </w:pPr>
            <w:r>
              <w:rPr>
                <w:rFonts w:ascii="Arial" w:cs="Arial" w:eastAsia="Arial" w:hAnsi="Arial"/>
                <w:sz w:val="13"/>
                <w:szCs w:val="13"/>
                <w:color w:val="auto"/>
              </w:rPr>
              <w:t>Beginning balance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5,121</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8,788</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4,633</w:t>
            </w:r>
          </w:p>
        </w:tc>
        <w:tc>
          <w:tcPr>
            <w:tcW w:w="200" w:type="dxa"/>
            <w:vAlign w:val="bottom"/>
            <w:gridSpan w:val="2"/>
          </w:tcPr>
          <w:p>
            <w:pPr>
              <w:jc w:val="right"/>
              <w:ind w:right="5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654</w:t>
            </w: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4,874</w:t>
            </w:r>
          </w:p>
        </w:tc>
        <w:tc>
          <w:tcPr>
            <w:tcW w:w="180" w:type="dxa"/>
            <w:vAlign w:val="bottom"/>
            <w:gridSpan w:val="2"/>
          </w:tcPr>
          <w:p>
            <w:pPr>
              <w:jc w:val="right"/>
              <w:ind w:right="12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24,070</w:t>
            </w:r>
          </w:p>
        </w:tc>
        <w:tc>
          <w:tcPr>
            <w:tcW w:w="0" w:type="dxa"/>
            <w:vAlign w:val="bottom"/>
          </w:tcPr>
          <w:p>
            <w:pPr>
              <w:spacing w:after="0"/>
              <w:rPr>
                <w:sz w:val="1"/>
                <w:szCs w:val="1"/>
                <w:color w:val="auto"/>
              </w:rPr>
            </w:pPr>
          </w:p>
        </w:tc>
      </w:tr>
      <w:tr>
        <w:trPr>
          <w:trHeight w:val="192"/>
        </w:trPr>
        <w:tc>
          <w:tcPr>
            <w:tcW w:w="2340" w:type="dxa"/>
            <w:vAlign w:val="bottom"/>
            <w:tcBorders>
              <w:right w:val="single" w:sz="8" w:color="CCEEFF"/>
            </w:tcBorders>
            <w:shd w:val="clear" w:color="auto" w:fill="CCEEFF"/>
          </w:tcPr>
          <w:p>
            <w:pPr>
              <w:spacing w:after="0" w:line="192"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(1)</w:t>
            </w:r>
          </w:p>
        </w:tc>
        <w:tc>
          <w:tcPr>
            <w:tcW w:w="10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409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163</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316</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672</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20"/>
                <w:szCs w:val="20"/>
                <w:color w:val="auto"/>
              </w:rPr>
            </w:pPr>
            <w:r>
              <w:rPr>
                <w:rFonts w:ascii="Arial" w:cs="Arial" w:eastAsia="Arial" w:hAnsi="Arial"/>
                <w:sz w:val="13"/>
                <w:szCs w:val="13"/>
                <w:color w:val="auto"/>
              </w:rPr>
              <w:t>Recoveries</w:t>
            </w:r>
          </w:p>
        </w:tc>
        <w:tc>
          <w:tcPr>
            <w:tcW w:w="100" w:type="dxa"/>
            <w:vAlign w:val="bottom"/>
          </w:tcPr>
          <w:p>
            <w:pPr>
              <w:spacing w:after="0"/>
              <w:rPr>
                <w:sz w:val="14"/>
                <w:szCs w:val="14"/>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60"/>
        </w:trPr>
        <w:tc>
          <w:tcPr>
            <w:tcW w:w="2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Charge-offs</w:t>
            </w:r>
          </w:p>
        </w:tc>
        <w:tc>
          <w:tcPr>
            <w:tcW w:w="100" w:type="dxa"/>
            <w:vAlign w:val="bottom"/>
            <w:shd w:val="clear" w:color="auto" w:fill="CCEEFF"/>
          </w:tcPr>
          <w:p>
            <w:pPr>
              <w:spacing w:after="0"/>
              <w:rPr>
                <w:sz w:val="13"/>
                <w:szCs w:val="13"/>
                <w:color w:val="auto"/>
              </w:rPr>
            </w:pPr>
          </w:p>
        </w:tc>
        <w:tc>
          <w:tcPr>
            <w:tcW w:w="68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0"/>
        </w:trPr>
        <w:tc>
          <w:tcPr>
            <w:tcW w:w="23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340" w:type="dxa"/>
            <w:vAlign w:val="bottom"/>
          </w:tcPr>
          <w:p>
            <w:pPr>
              <w:spacing w:after="0"/>
              <w:rPr>
                <w:sz w:val="20"/>
                <w:szCs w:val="20"/>
                <w:color w:val="auto"/>
              </w:rPr>
            </w:pPr>
            <w:r>
              <w:rPr>
                <w:rFonts w:ascii="Arial" w:cs="Arial" w:eastAsia="Arial" w:hAnsi="Arial"/>
                <w:sz w:val="13"/>
                <w:szCs w:val="13"/>
                <w:color w:val="auto"/>
              </w:rPr>
              <w:t>Ending Balance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5,115</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9,197</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4,434</w:t>
            </w:r>
          </w:p>
        </w:tc>
        <w:tc>
          <w:tcPr>
            <w:tcW w:w="200" w:type="dxa"/>
            <w:vAlign w:val="bottom"/>
            <w:gridSpan w:val="2"/>
          </w:tcPr>
          <w:p>
            <w:pPr>
              <w:jc w:val="right"/>
              <w:ind w:right="5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817</w:t>
            </w: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5,177</w:t>
            </w:r>
          </w:p>
        </w:tc>
        <w:tc>
          <w:tcPr>
            <w:tcW w:w="180" w:type="dxa"/>
            <w:vAlign w:val="bottom"/>
            <w:gridSpan w:val="2"/>
          </w:tcPr>
          <w:p>
            <w:pPr>
              <w:jc w:val="right"/>
              <w:ind w:right="12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24,740</w:t>
            </w:r>
          </w:p>
        </w:tc>
        <w:tc>
          <w:tcPr>
            <w:tcW w:w="0" w:type="dxa"/>
            <w:vAlign w:val="bottom"/>
          </w:tcPr>
          <w:p>
            <w:pPr>
              <w:spacing w:after="0"/>
              <w:rPr>
                <w:sz w:val="1"/>
                <w:szCs w:val="1"/>
                <w:color w:val="auto"/>
              </w:rPr>
            </w:pPr>
          </w:p>
        </w:tc>
      </w:tr>
      <w:tr>
        <w:trPr>
          <w:trHeight w:val="153"/>
        </w:trPr>
        <w:tc>
          <w:tcPr>
            <w:tcW w:w="2340" w:type="dxa"/>
            <w:vAlign w:val="bottom"/>
            <w:tcBorders>
              <w:top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right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right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right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right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right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righ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rPr>
                <w:sz w:val="20"/>
                <w:szCs w:val="20"/>
                <w:color w:val="auto"/>
              </w:rPr>
            </w:pPr>
            <w:r>
              <w:rPr>
                <w:rFonts w:ascii="Arial" w:cs="Arial" w:eastAsia="Arial" w:hAnsi="Arial"/>
                <w:sz w:val="13"/>
                <w:szCs w:val="13"/>
                <w:color w:val="auto"/>
              </w:rPr>
              <w:t>Average loans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301,230</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1,142,985</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257,241</w:t>
            </w:r>
          </w:p>
        </w:tc>
        <w:tc>
          <w:tcPr>
            <w:tcW w:w="200" w:type="dxa"/>
            <w:vAlign w:val="bottom"/>
            <w:gridSpan w:val="2"/>
          </w:tcPr>
          <w:p>
            <w:pPr>
              <w:jc w:val="right"/>
              <w:ind w:right="5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87,214</w:t>
            </w: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198,186</w:t>
            </w:r>
          </w:p>
        </w:tc>
        <w:tc>
          <w:tcPr>
            <w:tcW w:w="180" w:type="dxa"/>
            <w:vAlign w:val="bottom"/>
            <w:gridSpan w:val="2"/>
          </w:tcPr>
          <w:p>
            <w:pPr>
              <w:jc w:val="right"/>
              <w:ind w:right="12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1,986,856</w:t>
            </w:r>
          </w:p>
        </w:tc>
        <w:tc>
          <w:tcPr>
            <w:tcW w:w="0" w:type="dxa"/>
            <w:vAlign w:val="bottom"/>
          </w:tcPr>
          <w:p>
            <w:pPr>
              <w:spacing w:after="0"/>
              <w:rPr>
                <w:sz w:val="1"/>
                <w:szCs w:val="1"/>
                <w:color w:val="auto"/>
              </w:rPr>
            </w:pPr>
          </w:p>
        </w:tc>
      </w:tr>
      <w:tr>
        <w:trPr>
          <w:trHeight w:val="171"/>
        </w:trPr>
        <w:tc>
          <w:tcPr>
            <w:tcW w:w="2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charge-offs (recoveries) to average</w:t>
            </w:r>
          </w:p>
        </w:tc>
        <w:tc>
          <w:tcPr>
            <w:tcW w:w="10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340" w:type="dxa"/>
            <w:vAlign w:val="bottom"/>
            <w:tcBorders>
              <w:right w:val="single" w:sz="8" w:color="CCEEFF"/>
            </w:tcBorders>
            <w:shd w:val="clear" w:color="auto" w:fill="CCEEFF"/>
          </w:tcPr>
          <w:p>
            <w:pPr>
              <w:spacing w:after="0" w:line="192" w:lineRule="exact"/>
              <w:rPr>
                <w:sz w:val="20"/>
                <w:szCs w:val="20"/>
                <w:color w:val="auto"/>
              </w:rPr>
            </w:pPr>
            <w:r>
              <w:rPr>
                <w:rFonts w:ascii="Arial" w:cs="Arial" w:eastAsia="Arial" w:hAnsi="Arial"/>
                <w:sz w:val="13"/>
                <w:szCs w:val="13"/>
                <w:color w:val="auto"/>
              </w:rPr>
              <w:t xml:space="preserve">loans </w:t>
            </w:r>
            <w:r>
              <w:rPr>
                <w:rFonts w:ascii="Arial" w:cs="Arial" w:eastAsia="Arial" w:hAnsi="Arial"/>
                <w:sz w:val="17"/>
                <w:szCs w:val="17"/>
                <w:color w:val="auto"/>
                <w:vertAlign w:val="superscript"/>
              </w:rPr>
              <w:t>(2)</w:t>
            </w:r>
          </w:p>
        </w:tc>
        <w:tc>
          <w:tcPr>
            <w:tcW w:w="10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(0.01)%</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(0.01)%</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660" w:right="779" w:firstLine="3"/>
        <w:spacing w:after="0" w:line="246" w:lineRule="auto"/>
        <w:tabs>
          <w:tab w:leader="none" w:pos="852" w:val="left"/>
        </w:tabs>
        <w:numPr>
          <w:ilvl w:val="0"/>
          <w:numId w:val="23"/>
        </w:numPr>
        <w:rPr>
          <w:rFonts w:ascii="Arial" w:cs="Arial" w:eastAsia="Arial" w:hAnsi="Arial"/>
          <w:sz w:val="13"/>
          <w:szCs w:val="13"/>
          <w:color w:val="auto"/>
        </w:rPr>
      </w:pPr>
      <w:r>
        <w:rPr>
          <w:rFonts w:ascii="Arial" w:cs="Arial" w:eastAsia="Arial" w:hAnsi="Arial"/>
          <w:sz w:val="13"/>
          <w:szCs w:val="13"/>
          <w:color w:val="auto"/>
        </w:rPr>
        <w:t>Provision for credit losses excludes a $10 thousand provision due to unfunded commitments included in accrued interest and other liabilities and a $1 thousand release related to investment securities held to maturity.</w:t>
      </w:r>
    </w:p>
    <w:p>
      <w:pPr>
        <w:ind w:left="860" w:hanging="197"/>
        <w:spacing w:after="0"/>
        <w:tabs>
          <w:tab w:leader="none" w:pos="8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Annualized.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41" w:name="page42"/>
    <w:bookmarkEnd w:id="4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The Federal Open Market Committee (“FOMC”) economic forecasts as of March 31, 2026, showed moderate improvement in the forecast for real GDP and a slight improvement in the unemployment rate. Fannie Mae House Price Index (“HPI”) forecast reflected an improvement in national housing prices. The Company continued to adjust the HPI index effect on the 1-4 Family loan portfolio with a qualitative factor because Florida housing prices are performing better than national levels. The Q-factor scorecard was updated based on the latest portfolio stress test and the resulting maximum loss calculation.</w:t>
      </w:r>
    </w:p>
    <w:p>
      <w:pPr>
        <w:spacing w:after="0" w:line="139" w:lineRule="exact"/>
        <w:rPr>
          <w:sz w:val="20"/>
          <w:szCs w:val="20"/>
          <w:color w:val="auto"/>
        </w:rPr>
      </w:pPr>
    </w:p>
    <w:p>
      <w:pPr>
        <w:jc w:val="both"/>
        <w:ind w:left="660" w:right="639" w:firstLine="256"/>
        <w:spacing w:after="0" w:line="170" w:lineRule="exact"/>
        <w:rPr>
          <w:sz w:val="20"/>
          <w:szCs w:val="20"/>
          <w:color w:val="auto"/>
        </w:rPr>
      </w:pPr>
      <w:r>
        <w:rPr>
          <w:rFonts w:ascii="Arial" w:cs="Arial" w:eastAsia="Arial" w:hAnsi="Arial"/>
          <w:sz w:val="14"/>
          <w:szCs w:val="14"/>
          <w:color w:val="auto"/>
        </w:rPr>
        <w:t>Our ACL included residential loans. To assess the potential impact of changes in qualitative factors related to these loans, management performed a sensitivity analysis. The Company evaluated the impact of the HPI used in calculating expected losses on the residential loan segment. As of March 31, 2026, for every 100 basis points increase in the HPI, the forecast reduces reserves by approximately $239 thousand and about 1 basis points to the reserve coverage ratio, everything else being constant. This sensitivity analysis provides a hypothetical result to assess the sensitivity of the ACL and does not represent a change in management’s judgement. For comparative purposes, in prior periods the Company stress tested the commercial real estate loan subcategory based on collateral code (1st lien, commercial property) rather than the non</w:t>
      </w:r>
      <w:r>
        <w:rPr>
          <w:rFonts w:ascii="MS PGothic" w:cs="MS PGothic" w:eastAsia="MS PGothic" w:hAnsi="MS PGothic"/>
          <w:sz w:val="14"/>
          <w:szCs w:val="14"/>
          <w:color w:val="auto"/>
        </w:rPr>
        <w:t>‑</w:t>
      </w:r>
      <w:r>
        <w:rPr>
          <w:rFonts w:ascii="Arial" w:cs="Arial" w:eastAsia="Arial" w:hAnsi="Arial"/>
          <w:sz w:val="14"/>
          <w:szCs w:val="14"/>
          <w:color w:val="auto"/>
        </w:rPr>
        <w:t>owner</w:t>
      </w:r>
      <w:r>
        <w:rPr>
          <w:rFonts w:ascii="MS PGothic" w:cs="MS PGothic" w:eastAsia="MS PGothic" w:hAnsi="MS PGothic"/>
          <w:sz w:val="14"/>
          <w:szCs w:val="14"/>
          <w:color w:val="auto"/>
        </w:rPr>
        <w:t>‑</w:t>
      </w:r>
      <w:r>
        <w:rPr>
          <w:rFonts w:ascii="Arial" w:cs="Arial" w:eastAsia="Arial" w:hAnsi="Arial"/>
          <w:sz w:val="14"/>
          <w:szCs w:val="14"/>
          <w:color w:val="auto"/>
        </w:rPr>
        <w:t>occupied subsegment.</w:t>
      </w:r>
    </w:p>
    <w:p>
      <w:pPr>
        <w:spacing w:after="0" w:line="94" w:lineRule="exact"/>
        <w:rPr>
          <w:sz w:val="20"/>
          <w:szCs w:val="20"/>
          <w:color w:val="auto"/>
        </w:rPr>
      </w:pPr>
    </w:p>
    <w:p>
      <w:pPr>
        <w:jc w:val="both"/>
        <w:ind w:left="660" w:right="639" w:firstLine="256"/>
        <w:spacing w:after="0" w:line="174" w:lineRule="exact"/>
        <w:rPr>
          <w:sz w:val="20"/>
          <w:szCs w:val="20"/>
          <w:color w:val="auto"/>
        </w:rPr>
      </w:pPr>
      <w:r>
        <w:rPr>
          <w:rFonts w:ascii="Arial" w:cs="Arial" w:eastAsia="Arial" w:hAnsi="Arial"/>
          <w:sz w:val="14"/>
          <w:szCs w:val="14"/>
          <w:color w:val="auto"/>
        </w:rPr>
        <w:t>As of March 31, 2026, the Company stress tested two qualitative factors within the non</w:t>
      </w:r>
      <w:r>
        <w:rPr>
          <w:rFonts w:ascii="MS PGothic" w:cs="MS PGothic" w:eastAsia="MS PGothic" w:hAnsi="MS PGothic"/>
          <w:sz w:val="14"/>
          <w:szCs w:val="14"/>
          <w:color w:val="auto"/>
        </w:rPr>
        <w:t>‑</w:t>
      </w:r>
      <w:r>
        <w:rPr>
          <w:rFonts w:ascii="Arial" w:cs="Arial" w:eastAsia="Arial" w:hAnsi="Arial"/>
          <w:sz w:val="14"/>
          <w:szCs w:val="14"/>
          <w:color w:val="auto"/>
        </w:rPr>
        <w:t>owner</w:t>
      </w:r>
      <w:r>
        <w:rPr>
          <w:rFonts w:ascii="MS PGothic" w:cs="MS PGothic" w:eastAsia="MS PGothic" w:hAnsi="MS PGothic"/>
          <w:sz w:val="14"/>
          <w:szCs w:val="14"/>
          <w:color w:val="auto"/>
        </w:rPr>
        <w:t>‑</w:t>
      </w:r>
      <w:r>
        <w:rPr>
          <w:rFonts w:ascii="Arial" w:cs="Arial" w:eastAsia="Arial" w:hAnsi="Arial"/>
          <w:sz w:val="14"/>
          <w:szCs w:val="14"/>
          <w:color w:val="auto"/>
        </w:rPr>
        <w:t>occupied subsegment of the commercial real estate loan portfolio, as it represents the largest segment of the Company’s portfolio. The analysis evaluated the impact of changing the qualitative factors from no risk to maximum loss to assess the sensitivity of the allowance for credit losses (“ACL”). This stress resulted in a hypothetical increase of $6.7 million, or 25.7%, in the ACL. The sensitivity analysis is intended solely to illustrate the responsiveness of the ACL to changes in qualitative assumptions and does not represent a change in management’s judgment. For comparative purposes, in prior periods the Company stress tested the commercial real estate loan subcategory based on collateral code (1st lien, commercial property) rather than the non</w:t>
      </w:r>
      <w:r>
        <w:rPr>
          <w:rFonts w:ascii="MS PGothic" w:cs="MS PGothic" w:eastAsia="MS PGothic" w:hAnsi="MS PGothic"/>
          <w:sz w:val="14"/>
          <w:szCs w:val="14"/>
          <w:color w:val="auto"/>
        </w:rPr>
        <w:t>‑</w:t>
      </w:r>
      <w:r>
        <w:rPr>
          <w:rFonts w:ascii="Arial" w:cs="Arial" w:eastAsia="Arial" w:hAnsi="Arial"/>
          <w:sz w:val="14"/>
          <w:szCs w:val="14"/>
          <w:color w:val="auto"/>
        </w:rPr>
        <w:t>owner</w:t>
      </w:r>
      <w:r>
        <w:rPr>
          <w:rFonts w:ascii="MS PGothic" w:cs="MS PGothic" w:eastAsia="MS PGothic" w:hAnsi="MS PGothic"/>
          <w:sz w:val="14"/>
          <w:szCs w:val="14"/>
          <w:color w:val="auto"/>
        </w:rPr>
        <w:t>‑</w:t>
      </w:r>
      <w:r>
        <w:rPr>
          <w:rFonts w:ascii="Arial" w:cs="Arial" w:eastAsia="Arial" w:hAnsi="Arial"/>
          <w:sz w:val="14"/>
          <w:szCs w:val="14"/>
          <w:color w:val="auto"/>
        </w:rPr>
        <w:t>occupied subsegment.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Bank-Owned Life Insurance</w:t>
      </w:r>
    </w:p>
    <w:p>
      <w:pPr>
        <w:spacing w:after="0" w:line="17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As of March 31, 2026, the combined cash surrender value of all bank-owned life insurance (“BOLI”) policies was $59.9 million. Changes in cash surrender value are recorded to other non-interest income in the unaudited Consolidated Statements of Operations. The Company has BOLI policies with five insurance carriers. The Company is the beneficiary of these policies.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Deposits</w:t>
      </w:r>
    </w:p>
    <w:p>
      <w:pPr>
        <w:spacing w:after="0" w:line="159"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Customer deposits are the primary funding source for the Bank’s growth. Through our network of banking centers, we offer a competitive array of deposit accounts and treasury management services designed to meet our customers’ business needs. Our primary deposit customers are small-to-medium sized businesses (“SMBs”), and the personal business of the owners and operators of these SMBs, as well as the retail/consumer relationships of the employees of these businesses.</w:t>
      </w:r>
    </w:p>
    <w:p>
      <w:pPr>
        <w:spacing w:after="0" w:line="135"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The following table presents the daily average balance and average rate paid on deposits by category for the periods presented (in thousands, except ratios):</w:t>
      </w:r>
    </w:p>
    <w:p>
      <w:pPr>
        <w:spacing w:after="0" w:line="146"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32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6"/>
          </w:tcPr>
          <w:p>
            <w:pPr>
              <w:ind w:left="20"/>
              <w:spacing w:after="0"/>
              <w:rPr>
                <w:sz w:val="20"/>
                <w:szCs w:val="20"/>
                <w:color w:val="auto"/>
              </w:rPr>
            </w:pPr>
            <w:r>
              <w:rPr>
                <w:rFonts w:ascii="Arial" w:cs="Arial" w:eastAsia="Arial" w:hAnsi="Arial"/>
                <w:sz w:val="13"/>
                <w:szCs w:val="13"/>
                <w:b w:val="1"/>
                <w:bCs w:val="1"/>
                <w:color w:val="auto"/>
              </w:rPr>
              <w:t>Three Months Ended March 31,</w:t>
            </w:r>
          </w:p>
        </w:tc>
        <w:tc>
          <w:tcPr>
            <w:tcW w:w="9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32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2026</w:t>
            </w:r>
          </w:p>
        </w:tc>
        <w:tc>
          <w:tcPr>
            <w:tcW w:w="9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2025</w:t>
            </w:r>
          </w:p>
        </w:tc>
        <w:tc>
          <w:tcPr>
            <w:tcW w:w="9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83"/>
        </w:trPr>
        <w:tc>
          <w:tcPr>
            <w:tcW w:w="3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b w:val="1"/>
                <w:bCs w:val="1"/>
                <w:color w:val="auto"/>
              </w:rPr>
              <w:t>Average Rate</w:t>
            </w: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Average Rate</w:t>
            </w:r>
          </w:p>
        </w:tc>
      </w:tr>
      <w:tr>
        <w:trPr>
          <w:trHeight w:val="149"/>
        </w:trPr>
        <w:tc>
          <w:tcPr>
            <w:tcW w:w="3200" w:type="dxa"/>
            <w:vAlign w:val="bottom"/>
          </w:tcPr>
          <w:p>
            <w:pPr>
              <w:spacing w:after="0"/>
              <w:rPr>
                <w:sz w:val="12"/>
                <w:szCs w:val="12"/>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rPr>
              <w:t>Average Balance</w:t>
            </w:r>
          </w:p>
        </w:tc>
        <w:tc>
          <w:tcPr>
            <w:tcW w:w="1000" w:type="dxa"/>
            <w:vAlign w:val="bottom"/>
            <w:gridSpan w:val="2"/>
          </w:tcPr>
          <w:p>
            <w:pPr>
              <w:ind w:left="300"/>
              <w:spacing w:after="0"/>
              <w:rPr>
                <w:sz w:val="20"/>
                <w:szCs w:val="20"/>
                <w:color w:val="auto"/>
              </w:rPr>
            </w:pPr>
            <w:r>
              <w:rPr>
                <w:rFonts w:ascii="Arial" w:cs="Arial" w:eastAsia="Arial" w:hAnsi="Arial"/>
                <w:sz w:val="13"/>
                <w:szCs w:val="13"/>
                <w:b w:val="1"/>
                <w:bCs w:val="1"/>
                <w:color w:val="auto"/>
              </w:rPr>
              <w:t>Paid</w:t>
            </w:r>
          </w:p>
        </w:tc>
        <w:tc>
          <w:tcPr>
            <w:tcW w:w="126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rPr>
              <w:t>Average Balance</w:t>
            </w:r>
          </w:p>
        </w:tc>
        <w:tc>
          <w:tcPr>
            <w:tcW w:w="9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Paid</w:t>
            </w:r>
          </w:p>
        </w:tc>
      </w:tr>
      <w:tr>
        <w:trPr>
          <w:trHeight w:val="161"/>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Non-interest bearing demand deposits</w:t>
            </w: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584,784</w:t>
            </w: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563,040</w:t>
            </w: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20" w:type="dxa"/>
            <w:vAlign w:val="bottom"/>
            <w:shd w:val="clear" w:color="auto" w:fill="CCEEFF"/>
          </w:tcPr>
          <w:p>
            <w:pPr>
              <w:spacing w:after="0"/>
              <w:rPr>
                <w:sz w:val="14"/>
                <w:szCs w:val="14"/>
                <w:color w:val="auto"/>
              </w:rPr>
            </w:pPr>
          </w:p>
        </w:tc>
      </w:tr>
      <w:tr>
        <w:trPr>
          <w:trHeight w:val="171"/>
        </w:trPr>
        <w:tc>
          <w:tcPr>
            <w:tcW w:w="3200" w:type="dxa"/>
            <w:vAlign w:val="bottom"/>
          </w:tcPr>
          <w:p>
            <w:pPr>
              <w:spacing w:after="0"/>
              <w:rPr>
                <w:sz w:val="20"/>
                <w:szCs w:val="20"/>
                <w:color w:val="auto"/>
              </w:rPr>
            </w:pPr>
            <w:r>
              <w:rPr>
                <w:rFonts w:ascii="Arial" w:cs="Arial" w:eastAsia="Arial" w:hAnsi="Arial"/>
                <w:sz w:val="13"/>
                <w:szCs w:val="13"/>
                <w:color w:val="auto"/>
              </w:rPr>
              <w:t>Interest-bearing demand deposits</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52,099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2.41%</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53,611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2.56%</w:t>
            </w:r>
          </w:p>
        </w:tc>
        <w:tc>
          <w:tcPr>
            <w:tcW w:w="20" w:type="dxa"/>
            <w:vAlign w:val="bottom"/>
          </w:tcPr>
          <w:p>
            <w:pPr>
              <w:spacing w:after="0"/>
              <w:rPr>
                <w:sz w:val="14"/>
                <w:szCs w:val="14"/>
                <w:color w:val="auto"/>
              </w:rPr>
            </w:pPr>
          </w:p>
        </w:tc>
      </w:tr>
      <w:tr>
        <w:trPr>
          <w:trHeight w:val="171"/>
        </w:trPr>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Saving and money market deposits</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1,256,418</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1,199,027</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w:t>
            </w:r>
          </w:p>
        </w:tc>
        <w:tc>
          <w:tcPr>
            <w:tcW w:w="20" w:type="dxa"/>
            <w:vAlign w:val="bottom"/>
            <w:shd w:val="clear" w:color="auto" w:fill="CCEEFF"/>
          </w:tcPr>
          <w:p>
            <w:pPr>
              <w:spacing w:after="0"/>
              <w:rPr>
                <w:sz w:val="14"/>
                <w:szCs w:val="14"/>
                <w:color w:val="auto"/>
              </w:rPr>
            </w:pPr>
          </w:p>
        </w:tc>
      </w:tr>
      <w:tr>
        <w:trPr>
          <w:trHeight w:val="171"/>
        </w:trPr>
        <w:tc>
          <w:tcPr>
            <w:tcW w:w="32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Time deposits</w:t>
            </w: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533,766</w:t>
            </w: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3.57%</w:t>
            </w:r>
          </w:p>
        </w:tc>
        <w:tc>
          <w:tcPr>
            <w:tcW w:w="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399,509</w:t>
            </w: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3.98%</w:t>
            </w:r>
          </w:p>
        </w:tc>
        <w:tc>
          <w:tcPr>
            <w:tcW w:w="20" w:type="dxa"/>
            <w:vAlign w:val="bottom"/>
            <w:tcBorders>
              <w:bottom w:val="single" w:sz="8" w:color="CCEEFF"/>
            </w:tcBorders>
          </w:tcPr>
          <w:p>
            <w:pPr>
              <w:spacing w:after="0"/>
              <w:rPr>
                <w:sz w:val="14"/>
                <w:szCs w:val="14"/>
                <w:color w:val="auto"/>
              </w:rPr>
            </w:pPr>
          </w:p>
        </w:tc>
      </w:tr>
      <w:tr>
        <w:trPr>
          <w:trHeight w:val="161"/>
        </w:trPr>
        <w:tc>
          <w:tcPr>
            <w:tcW w:w="32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Total</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2,427,067</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87"/>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2,215,187</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2.49%</w:t>
            </w:r>
          </w:p>
        </w:tc>
      </w:tr>
      <w:tr>
        <w:trPr>
          <w:trHeight w:val="20"/>
        </w:trPr>
        <w:tc>
          <w:tcPr>
            <w:tcW w:w="3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42" w:name="page43"/>
    <w:bookmarkEnd w:id="4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The Company has a granular deposit portfolio with outstanding balances comprised of 55.7% in commercial deposits, 26.9% in personal deposits, 8.9% in public funds (which are partially collateralized) and 8.6% in brokered deposits. The brokered deposits balance at March 31, 2026 was $215.0 million and $256.8 million at December 31, 2025.</w:t>
      </w:r>
    </w:p>
    <w:p>
      <w:pPr>
        <w:spacing w:after="0" w:line="118"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As of March 31, 2026, the Company has approximately 21 thousand deposit accounts with the majority of which were personal accounts, approximately 12 thousand or 59.6%. The estimated average account size in our deposit portfolio was approximately $120 thousand as of March 31, 2026.</w:t>
      </w:r>
    </w:p>
    <w:p>
      <w:pPr>
        <w:spacing w:after="0" w:line="12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The amount of uninsured deposits are estimated based on the FDIC deposit insurance limit of $250 thousand per account holder for all deposit accounts at the Company. The total estimated percentage of uninsured deposits was 54% at March 31, 2026 and 51% at December 31, 2025. The Company offers Insured Cash Sweep (“ICS”) and Certificate of Deposit Account Registry Service (“CDARS”) deposit products to fully insure our clients. The deposit balance in ICS/CDARS was $186.5 million at March 31, 2026 and was $183.2 million at December 31, 2025.</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shows scheduled maturities of uninsured time deposits as of March 31, 2026 (in thousands):</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5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gridSpan w:val="3"/>
          </w:tcPr>
          <w:p>
            <w:pPr>
              <w:ind w:left="160"/>
              <w:spacing w:after="0"/>
              <w:rPr>
                <w:sz w:val="20"/>
                <w:szCs w:val="20"/>
                <w:color w:val="auto"/>
              </w:rPr>
            </w:pPr>
            <w:r>
              <w:rPr>
                <w:rFonts w:ascii="Arial" w:cs="Arial" w:eastAsia="Arial" w:hAnsi="Arial"/>
                <w:sz w:val="13"/>
                <w:szCs w:val="13"/>
                <w:b w:val="1"/>
                <w:bCs w:val="1"/>
                <w:color w:val="auto"/>
              </w:rPr>
              <w:t>March 31, 2026</w:t>
            </w:r>
          </w:p>
        </w:tc>
      </w:tr>
      <w:tr>
        <w:trPr>
          <w:trHeight w:val="161"/>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Three months or less</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24,318</w:t>
            </w:r>
          </w:p>
        </w:tc>
        <w:tc>
          <w:tcPr>
            <w:tcW w:w="20" w:type="dxa"/>
            <w:vAlign w:val="bottom"/>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71"/>
        </w:trPr>
        <w:tc>
          <w:tcPr>
            <w:tcW w:w="5900" w:type="dxa"/>
            <w:vAlign w:val="bottom"/>
          </w:tcPr>
          <w:p>
            <w:pPr>
              <w:spacing w:after="0"/>
              <w:rPr>
                <w:sz w:val="20"/>
                <w:szCs w:val="20"/>
                <w:color w:val="auto"/>
              </w:rPr>
            </w:pPr>
            <w:r>
              <w:rPr>
                <w:rFonts w:ascii="Arial" w:cs="Arial" w:eastAsia="Arial" w:hAnsi="Arial"/>
                <w:sz w:val="13"/>
                <w:szCs w:val="13"/>
                <w:color w:val="auto"/>
              </w:rPr>
              <w:t>Over three through six months</w:t>
            </w:r>
          </w:p>
        </w:tc>
        <w:tc>
          <w:tcPr>
            <w:tcW w:w="2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55,400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Over six through twelve months</w:t>
            </w: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16,536</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1"/>
        </w:trPr>
        <w:tc>
          <w:tcPr>
            <w:tcW w:w="59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Over twelve months</w:t>
            </w: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101,211</w:t>
            </w:r>
          </w:p>
        </w:tc>
        <w:tc>
          <w:tcPr>
            <w:tcW w:w="20" w:type="dxa"/>
            <w:vAlign w:val="bottom"/>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r>
      <w:tr>
        <w:trPr>
          <w:trHeight w:val="171"/>
        </w:trPr>
        <w:tc>
          <w:tcPr>
            <w:tcW w:w="59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197,465</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0"/>
        </w:trPr>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Other Liabilities</w:t>
      </w:r>
    </w:p>
    <w:p>
      <w:pPr>
        <w:spacing w:after="0" w:line="170" w:lineRule="exact"/>
        <w:rPr>
          <w:sz w:val="20"/>
          <w:szCs w:val="20"/>
          <w:color w:val="auto"/>
        </w:rPr>
      </w:pPr>
    </w:p>
    <w:p>
      <w:pPr>
        <w:ind w:left="660" w:right="779" w:firstLine="256"/>
        <w:spacing w:after="0" w:line="256" w:lineRule="auto"/>
        <w:rPr>
          <w:sz w:val="20"/>
          <w:szCs w:val="20"/>
          <w:color w:val="auto"/>
        </w:rPr>
      </w:pPr>
      <w:r>
        <w:rPr>
          <w:rFonts w:ascii="Arial" w:cs="Arial" w:eastAsia="Arial" w:hAnsi="Arial"/>
          <w:sz w:val="14"/>
          <w:szCs w:val="14"/>
          <w:color w:val="auto"/>
        </w:rPr>
        <w:t>The Company collects from commercial and residential loan customers funds which are held in escrow for future payment of real estate taxes and insurance. These escrow funds are disbursed by the Company directly to the insurance companies and taxing authority of the borrower. Escrow funds are recorded as accrued interest and other liabilities in the consolidated balance sheet.</w:t>
      </w:r>
    </w:p>
    <w:p>
      <w:pPr>
        <w:spacing w:after="0" w:line="124" w:lineRule="exact"/>
        <w:rPr>
          <w:sz w:val="20"/>
          <w:szCs w:val="20"/>
          <w:color w:val="auto"/>
        </w:rPr>
      </w:pPr>
    </w:p>
    <w:p>
      <w:pPr>
        <w:ind w:left="660" w:right="959" w:firstLine="256"/>
        <w:spacing w:after="0" w:line="292" w:lineRule="auto"/>
        <w:rPr>
          <w:sz w:val="20"/>
          <w:szCs w:val="20"/>
          <w:color w:val="auto"/>
        </w:rPr>
      </w:pPr>
      <w:r>
        <w:rPr>
          <w:rFonts w:ascii="Arial" w:cs="Arial" w:eastAsia="Arial" w:hAnsi="Arial"/>
          <w:sz w:val="14"/>
          <w:szCs w:val="14"/>
          <w:color w:val="auto"/>
        </w:rPr>
        <w:t>As of March 31, 2026, escrow balances totaled $15.4 million compared to $8.1 million at December 31, 2025. The increase reflects the normal growth in escrow accounts pending tax and insurance payments.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Borrowings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FHLB Advances</w:t>
      </w:r>
    </w:p>
    <w:p>
      <w:pPr>
        <w:spacing w:after="0" w:line="168"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As a member of the FHLB of Atlanta, we are eligible to obtain advances with various terms and conditions. This accessibility to additional funding allows us to efficiently and timely meet both expected and unexpected outgoing cash flows and collateral needs without adversely affecting either daily operations or the financial condition of the Company.</w:t>
      </w:r>
    </w:p>
    <w:p>
      <w:pPr>
        <w:spacing w:after="0" w:line="118"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As of March 31, 2026, we had $11.0 million of fixed-rate advances and $42.0 million of daily-rate advances outstanding with the FHLB, with weighted average interest rates of 3.76% and 3.88%, maturing in January 2028 and May 2026, respectively, as detailed in the table below.</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FHLB advances as of March 31, 2026 (in thousands):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March 31, 2026</w:t>
      </w:r>
    </w:p>
    <w:p>
      <w:pPr>
        <w:spacing w:after="0" w:line="2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60" w:type="dxa"/>
            <w:vAlign w:val="bottom"/>
          </w:tcPr>
          <w:p>
            <w:pPr>
              <w:jc w:val="center"/>
              <w:spacing w:after="0"/>
              <w:rPr>
                <w:sz w:val="20"/>
                <w:szCs w:val="20"/>
                <w:color w:val="auto"/>
              </w:rPr>
            </w:pPr>
            <w:r>
              <w:rPr>
                <w:rFonts w:ascii="Arial" w:cs="Arial" w:eastAsia="Arial" w:hAnsi="Arial"/>
                <w:sz w:val="13"/>
                <w:szCs w:val="13"/>
                <w:b w:val="1"/>
                <w:bCs w:val="1"/>
                <w:color w:val="auto"/>
                <w:w w:val="98"/>
              </w:rPr>
              <w:t>Interest Rate</w:t>
            </w:r>
          </w:p>
        </w:tc>
        <w:tc>
          <w:tcPr>
            <w:tcW w:w="6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7"/>
              </w:rPr>
              <w:t>Type of Rate</w:t>
            </w:r>
          </w:p>
        </w:tc>
        <w:tc>
          <w:tcPr>
            <w:tcW w:w="60" w:type="dxa"/>
            <w:vAlign w:val="bottom"/>
          </w:tcPr>
          <w:p>
            <w:pPr>
              <w:spacing w:after="0"/>
              <w:rPr>
                <w:sz w:val="12"/>
                <w:szCs w:val="12"/>
                <w:color w:val="auto"/>
              </w:rPr>
            </w:pPr>
          </w:p>
        </w:tc>
        <w:tc>
          <w:tcPr>
            <w:tcW w:w="234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w w:val="97"/>
              </w:rPr>
              <w:t>Maturity Date</w:t>
            </w:r>
          </w:p>
        </w:tc>
        <w:tc>
          <w:tcPr>
            <w:tcW w:w="2120" w:type="dxa"/>
            <w:vAlign w:val="bottom"/>
            <w:gridSpan w:val="3"/>
          </w:tcPr>
          <w:p>
            <w:pPr>
              <w:ind w:left="800"/>
              <w:spacing w:after="0"/>
              <w:rPr>
                <w:sz w:val="20"/>
                <w:szCs w:val="20"/>
                <w:color w:val="auto"/>
              </w:rPr>
            </w:pPr>
            <w:r>
              <w:rPr>
                <w:rFonts w:ascii="Arial" w:cs="Arial" w:eastAsia="Arial" w:hAnsi="Arial"/>
                <w:sz w:val="13"/>
                <w:szCs w:val="13"/>
                <w:b w:val="1"/>
                <w:bCs w:val="1"/>
                <w:color w:val="auto"/>
              </w:rPr>
              <w:t>Amount</w:t>
            </w:r>
          </w:p>
        </w:tc>
      </w:tr>
      <w:tr>
        <w:trPr>
          <w:trHeight w:val="161"/>
        </w:trPr>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3.76%</w:t>
            </w:r>
          </w:p>
        </w:tc>
        <w:tc>
          <w:tcPr>
            <w:tcW w:w="60" w:type="dxa"/>
            <w:vAlign w:val="bottom"/>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Fixed</w:t>
            </w:r>
          </w:p>
        </w:tc>
        <w:tc>
          <w:tcPr>
            <w:tcW w:w="60" w:type="dxa"/>
            <w:vAlign w:val="bottom"/>
            <w:shd w:val="clear" w:color="auto" w:fill="CCEEFF"/>
          </w:tcPr>
          <w:p>
            <w:pPr>
              <w:spacing w:after="0"/>
              <w:rPr>
                <w:sz w:val="14"/>
                <w:szCs w:val="14"/>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January 24, 2028</w:t>
            </w:r>
          </w:p>
        </w:tc>
        <w:tc>
          <w:tcPr>
            <w:tcW w:w="60" w:type="dxa"/>
            <w:vAlign w:val="bottom"/>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040" w:type="dxa"/>
            <w:vAlign w:val="bottom"/>
            <w:tcBorders>
              <w:top w:val="single" w:sz="8" w:color="auto"/>
            </w:tcBorders>
            <w:shd w:val="clear" w:color="auto" w:fill="CCEEFF"/>
          </w:tcPr>
          <w:p>
            <w:pPr>
              <w:ind w:left="1640"/>
              <w:spacing w:after="0"/>
              <w:rPr>
                <w:sz w:val="20"/>
                <w:szCs w:val="20"/>
                <w:color w:val="auto"/>
              </w:rPr>
            </w:pPr>
            <w:r>
              <w:rPr>
                <w:rFonts w:ascii="Arial" w:cs="Arial" w:eastAsia="Arial" w:hAnsi="Arial"/>
                <w:sz w:val="13"/>
                <w:szCs w:val="13"/>
                <w:color w:val="auto"/>
                <w:w w:val="95"/>
              </w:rPr>
              <w:t>11,000</w:t>
            </w:r>
          </w:p>
        </w:tc>
        <w:tc>
          <w:tcPr>
            <w:tcW w:w="6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060" w:type="dxa"/>
            <w:vAlign w:val="bottom"/>
          </w:tcPr>
          <w:p>
            <w:pPr>
              <w:jc w:val="center"/>
              <w:spacing w:after="0"/>
              <w:rPr>
                <w:sz w:val="20"/>
                <w:szCs w:val="20"/>
                <w:color w:val="auto"/>
              </w:rPr>
            </w:pPr>
            <w:r>
              <w:rPr>
                <w:rFonts w:ascii="Arial" w:cs="Arial" w:eastAsia="Arial" w:hAnsi="Arial"/>
                <w:sz w:val="13"/>
                <w:szCs w:val="13"/>
                <w:color w:val="auto"/>
                <w:w w:val="97"/>
              </w:rPr>
              <w:t>3.88%</w:t>
            </w:r>
          </w:p>
        </w:tc>
        <w:tc>
          <w:tcPr>
            <w:tcW w:w="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Fixed</w:t>
            </w:r>
          </w:p>
        </w:tc>
        <w:tc>
          <w:tcPr>
            <w:tcW w:w="60" w:type="dxa"/>
            <w:vAlign w:val="bottom"/>
          </w:tcPr>
          <w:p>
            <w:pPr>
              <w:spacing w:after="0"/>
              <w:rPr>
                <w:sz w:val="14"/>
                <w:szCs w:val="14"/>
                <w:color w:val="auto"/>
              </w:rPr>
            </w:pPr>
          </w:p>
        </w:tc>
        <w:tc>
          <w:tcPr>
            <w:tcW w:w="2340" w:type="dxa"/>
            <w:vAlign w:val="bottom"/>
            <w:gridSpan w:val="5"/>
          </w:tcPr>
          <w:p>
            <w:pPr>
              <w:jc w:val="center"/>
              <w:ind w:right="200"/>
              <w:spacing w:after="0"/>
              <w:rPr>
                <w:sz w:val="20"/>
                <w:szCs w:val="20"/>
                <w:color w:val="auto"/>
              </w:rPr>
            </w:pPr>
            <w:r>
              <w:rPr>
                <w:rFonts w:ascii="Arial" w:cs="Arial" w:eastAsia="Arial" w:hAnsi="Arial"/>
                <w:sz w:val="13"/>
                <w:szCs w:val="13"/>
                <w:color w:val="auto"/>
                <w:w w:val="98"/>
              </w:rPr>
              <w:t>May 22, 2026</w:t>
            </w:r>
          </w:p>
        </w:tc>
        <w:tc>
          <w:tcPr>
            <w:tcW w:w="2100" w:type="dxa"/>
            <w:vAlign w:val="bottom"/>
            <w:gridSpan w:val="2"/>
          </w:tcPr>
          <w:p>
            <w:pPr>
              <w:ind w:left="1640"/>
              <w:spacing w:after="0"/>
              <w:rPr>
                <w:sz w:val="20"/>
                <w:szCs w:val="20"/>
                <w:color w:val="auto"/>
              </w:rPr>
            </w:pPr>
            <w:r>
              <w:rPr>
                <w:rFonts w:ascii="Arial" w:cs="Arial" w:eastAsia="Arial" w:hAnsi="Arial"/>
                <w:sz w:val="13"/>
                <w:szCs w:val="13"/>
                <w:color w:val="auto"/>
              </w:rPr>
              <w:t>42,000</w:t>
            </w:r>
          </w:p>
        </w:tc>
        <w:tc>
          <w:tcPr>
            <w:tcW w:w="20" w:type="dxa"/>
            <w:vAlign w:val="bottom"/>
          </w:tcPr>
          <w:p>
            <w:pPr>
              <w:spacing w:after="0"/>
              <w:rPr>
                <w:sz w:val="14"/>
                <w:szCs w:val="14"/>
                <w:color w:val="auto"/>
              </w:rPr>
            </w:pPr>
          </w:p>
        </w:tc>
      </w:tr>
      <w:tr>
        <w:trPr>
          <w:trHeight w:val="181"/>
        </w:trPr>
        <w:tc>
          <w:tcPr>
            <w:tcW w:w="20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0" w:type="dxa"/>
            <w:vAlign w:val="bottom"/>
            <w:tcBorders>
              <w:top w:val="single" w:sz="8" w:color="auto"/>
            </w:tcBorders>
            <w:shd w:val="clear" w:color="auto" w:fill="CCEEFF"/>
          </w:tcPr>
          <w:p>
            <w:pPr>
              <w:spacing w:after="0"/>
              <w:rPr>
                <w:sz w:val="15"/>
                <w:szCs w:val="15"/>
                <w:color w:val="auto"/>
              </w:rPr>
            </w:pPr>
          </w:p>
        </w:tc>
        <w:tc>
          <w:tcPr>
            <w:tcW w:w="2040" w:type="dxa"/>
            <w:vAlign w:val="bottom"/>
            <w:tcBorders>
              <w:top w:val="single" w:sz="8" w:color="auto"/>
              <w:bottom w:val="single" w:sz="8" w:color="CCEEFF"/>
            </w:tcBorders>
            <w:shd w:val="clear" w:color="auto" w:fill="CCEEFF"/>
          </w:tcPr>
          <w:p>
            <w:pPr>
              <w:ind w:left="1640"/>
              <w:spacing w:after="0"/>
              <w:rPr>
                <w:sz w:val="20"/>
                <w:szCs w:val="20"/>
                <w:color w:val="auto"/>
              </w:rPr>
            </w:pPr>
            <w:r>
              <w:rPr>
                <w:rFonts w:ascii="Arial" w:cs="Arial" w:eastAsia="Arial" w:hAnsi="Arial"/>
                <w:sz w:val="13"/>
                <w:szCs w:val="13"/>
                <w:color w:val="auto"/>
                <w:w w:val="95"/>
              </w:rPr>
              <w:t>53,000</w:t>
            </w:r>
          </w:p>
        </w:tc>
        <w:tc>
          <w:tcPr>
            <w:tcW w:w="6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0"/>
        </w:trPr>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left="660" w:right="639" w:firstLine="256"/>
        <w:spacing w:after="0" w:line="265" w:lineRule="auto"/>
        <w:rPr>
          <w:sz w:val="20"/>
          <w:szCs w:val="20"/>
          <w:color w:val="auto"/>
        </w:rPr>
      </w:pPr>
      <w:r>
        <w:rPr>
          <w:rFonts w:ascii="Arial" w:cs="Arial" w:eastAsia="Arial" w:hAnsi="Arial"/>
          <w:sz w:val="14"/>
          <w:szCs w:val="14"/>
          <w:color w:val="auto"/>
        </w:rPr>
        <w:t>The Company has also established Federal Funds lines of credit with our upstream correspondent banks and the Federal Reserve Bank of Atlanta Discount Window to manage temporary fluctuations in our daily cash balances. As of March 31, 2026, there were no outstanding balances with any of these additional liquidity sources.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43</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43" w:name="page44"/>
    <w:bookmarkEnd w:id="4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Subordinated Notes</w:t>
      </w:r>
    </w:p>
    <w:p>
      <w:pPr>
        <w:spacing w:after="0" w:line="168" w:lineRule="exact"/>
        <w:rPr>
          <w:sz w:val="20"/>
          <w:szCs w:val="20"/>
          <w:color w:val="auto"/>
        </w:rPr>
      </w:pPr>
    </w:p>
    <w:p>
      <w:pPr>
        <w:ind w:left="660" w:right="639" w:firstLine="256"/>
        <w:spacing w:after="0" w:line="246" w:lineRule="auto"/>
        <w:rPr>
          <w:sz w:val="20"/>
          <w:szCs w:val="20"/>
          <w:color w:val="auto"/>
        </w:rPr>
      </w:pPr>
      <w:r>
        <w:rPr>
          <w:rFonts w:ascii="Arial" w:cs="Arial" w:eastAsia="Arial" w:hAnsi="Arial"/>
          <w:sz w:val="14"/>
          <w:szCs w:val="14"/>
          <w:color w:val="auto"/>
        </w:rPr>
        <w:t>On August 14, 2025, the Company entered into a Subordinated Note Purchase Agreement with certain qualified institutional buyers pursuant to which the Company sold and issued $40.0 million in aggregate principal amount of its 7.625% Fixed-to-Floating Rate Subordinated Notes due 2035. The Notes were issued by the Company to the purchasers at a price equal to 100% of their face amount. The subordinated debt was originally issued at a cost of $760 thousand. The subordinated debt, net of amortized expenses, was $39.3 million, reflecting the scheduled expense recognition over the term of the instruments. The subordinated notes are presented net of these costs on the consolidated balance sheet. The Notes were offered and sold by the Company in a private placement transaction in reliance on exemptions from the registration requirements of the Securities Act of 1933, as amended (the “Securities Act”), pursuant to Section 4(a)(2) of the Securities Act and Rule 506(b) of Regulation D thereunder. For additional information, see the Company Form 8-K filed on August 14, 2025.</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Off-Balance Sheet Arrangements</w:t>
      </w:r>
    </w:p>
    <w:p>
      <w:pPr>
        <w:spacing w:after="0" w:line="170"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We engage in various financial transactions in our operations that, under GAAP, may not be included on the balance sheet. To meet the financing needs of our customers, we may include commitments to extend credit and standby letters of credit. To a varying degree, such commitments involve elements of credit, market, and interest rate risk in excess of the amount recognized in the consolidated balance sheets. We maintain an allowance for off-balance sheet credit risk which is recorded under accrued interest and other liabilities on the unaudited Consolidated Balance Sheets. The ACL related to unfunded commitments at March 31, 2026 was $957 thousand and at December 31, 2025 was $752 thousand. The increase was primarily driven by an increase in unfunded commitments.</w:t>
      </w:r>
    </w:p>
    <w:p>
      <w:pPr>
        <w:spacing w:after="0" w:line="128" w:lineRule="exact"/>
        <w:rPr>
          <w:sz w:val="20"/>
          <w:szCs w:val="20"/>
          <w:color w:val="auto"/>
        </w:rPr>
      </w:pPr>
    </w:p>
    <w:p>
      <w:pPr>
        <w:jc w:val="both"/>
        <w:ind w:left="660" w:right="639" w:firstLine="256"/>
        <w:spacing w:after="0" w:line="265" w:lineRule="auto"/>
        <w:rPr>
          <w:sz w:val="20"/>
          <w:szCs w:val="20"/>
          <w:color w:val="auto"/>
        </w:rPr>
      </w:pPr>
      <w:r>
        <w:rPr>
          <w:rFonts w:ascii="Arial" w:cs="Arial" w:eastAsia="Arial" w:hAnsi="Arial"/>
          <w:sz w:val="14"/>
          <w:szCs w:val="14"/>
          <w:color w:val="auto"/>
        </w:rPr>
        <w:t>Since commitments associated with letters of credit and commitments to extend credit may expire unused, the amounts shown do not necessarily reflect actual future cash funding requirements. The following table presents lending related commitments outstanding as of the dates indicated (in thousands ):</w:t>
      </w:r>
    </w:p>
    <w:p>
      <w:pPr>
        <w:spacing w:after="0" w:line="196" w:lineRule="exact"/>
        <w:rPr>
          <w:sz w:val="20"/>
          <w:szCs w:val="20"/>
          <w:color w:val="auto"/>
        </w:rPr>
      </w:pPr>
    </w:p>
    <w:tbl>
      <w:tblPr>
        <w:tblLayout w:type="fixed"/>
        <w:tblInd w:w="660" w:type="dxa"/>
        <w:tblCellMar>
          <w:top w:w="0" w:type="dxa"/>
          <w:left w:w="0" w:type="dxa"/>
          <w:bottom w:w="0" w:type="dxa"/>
          <w:right w:w="0" w:type="dxa"/>
        </w:tblCellMar>
      </w:tblPr>
      <w:tr>
        <w:trPr>
          <w:trHeight w:val="169"/>
        </w:trPr>
        <w:tc>
          <w:tcPr>
            <w:tcW w:w="1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3"/>
                <w:szCs w:val="13"/>
                <w:b w:val="1"/>
                <w:bCs w:val="1"/>
                <w:color w:val="auto"/>
              </w:rPr>
              <w:t>March 31, 2026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31, 2025</w:t>
            </w:r>
          </w:p>
        </w:tc>
      </w:tr>
      <w:tr>
        <w:trPr>
          <w:trHeight w:val="184"/>
        </w:trPr>
        <w:tc>
          <w:tcPr>
            <w:tcW w:w="4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Commitments to grant loans and unfunded lines of credit</w:t>
            </w: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179,642</w:t>
            </w:r>
          </w:p>
        </w:tc>
        <w:tc>
          <w:tcPr>
            <w:tcW w:w="20" w:type="dxa"/>
            <w:vAlign w:val="bottom"/>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161,606</w:t>
            </w:r>
          </w:p>
        </w:tc>
        <w:tc>
          <w:tcPr>
            <w:tcW w:w="20" w:type="dxa"/>
            <w:vAlign w:val="bottom"/>
            <w:shd w:val="clear" w:color="auto" w:fill="CCEEFF"/>
          </w:tcPr>
          <w:p>
            <w:pPr>
              <w:spacing w:after="0"/>
              <w:rPr>
                <w:sz w:val="16"/>
                <w:szCs w:val="16"/>
                <w:color w:val="auto"/>
              </w:rPr>
            </w:pPr>
          </w:p>
        </w:tc>
      </w:tr>
      <w:tr>
        <w:trPr>
          <w:trHeight w:val="213"/>
        </w:trPr>
        <w:tc>
          <w:tcPr>
            <w:tcW w:w="48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Standby and commercial letters of credit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3,073</w:t>
            </w:r>
          </w:p>
        </w:tc>
        <w:tc>
          <w:tcPr>
            <w:tcW w:w="20" w:type="dxa"/>
            <w:vAlign w:val="bottom"/>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2,700</w:t>
            </w:r>
          </w:p>
        </w:tc>
        <w:tc>
          <w:tcPr>
            <w:tcW w:w="20" w:type="dxa"/>
            <w:vAlign w:val="bottom"/>
          </w:tcPr>
          <w:p>
            <w:pPr>
              <w:spacing w:after="0"/>
              <w:rPr>
                <w:sz w:val="18"/>
                <w:szCs w:val="18"/>
                <w:color w:val="auto"/>
              </w:rPr>
            </w:pPr>
          </w:p>
        </w:tc>
      </w:tr>
      <w:tr>
        <w:trPr>
          <w:trHeight w:val="172"/>
        </w:trPr>
        <w:tc>
          <w:tcPr>
            <w:tcW w:w="100" w:type="dxa"/>
            <w:vAlign w:val="bottom"/>
            <w:tcBorders>
              <w:bottom w:val="single" w:sz="8" w:color="CCEEFF"/>
            </w:tcBorders>
            <w:shd w:val="clear" w:color="auto" w:fill="CCEEFF"/>
          </w:tcPr>
          <w:p>
            <w:pPr>
              <w:spacing w:after="0"/>
              <w:rPr>
                <w:sz w:val="14"/>
                <w:szCs w:val="14"/>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182,715</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gridSpan w:val="2"/>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164,306</w:t>
            </w:r>
          </w:p>
        </w:tc>
        <w:tc>
          <w:tcPr>
            <w:tcW w:w="20" w:type="dxa"/>
            <w:vAlign w:val="bottom"/>
            <w:tcBorders>
              <w:bottom w:val="single" w:sz="8" w:color="CCEEFF"/>
            </w:tcBorders>
            <w:shd w:val="clear" w:color="auto" w:fill="CCEEFF"/>
          </w:tcPr>
          <w:p>
            <w:pPr>
              <w:spacing w:after="0"/>
              <w:rPr>
                <w:sz w:val="14"/>
                <w:szCs w:val="14"/>
                <w:color w:val="auto"/>
              </w:rPr>
            </w:pPr>
          </w:p>
        </w:tc>
      </w:tr>
      <w:tr>
        <w:trPr>
          <w:trHeight w:val="20"/>
        </w:trPr>
        <w:tc>
          <w:tcPr>
            <w:tcW w:w="1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Commitments to extend credit are agreements to lend funds to a client, as long as there is no violation of any condition established in the contract, for a specific purpose. Commitments generally have variable interest rates, fixed expiration dates or other termination clauses and may require payment of a fee. Since many of the commitments are expected to expire without being fully drawn, the total commitment amounts disclosed above do not necessarily represent future cash requirements.</w:t>
      </w:r>
    </w:p>
    <w:p>
      <w:pPr>
        <w:spacing w:after="0" w:line="14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Unfunded lines of credit represent unused portions of credit facilities to our current borrowers that represent no change in credit risk in our portfolio. Lines of credit generally have variable interest rates. The maximum potential amount of future payments we could be required to make is represented by the contractual amount of the commitment, less the amount of any advances made.</w:t>
      </w:r>
    </w:p>
    <w:p>
      <w:pPr>
        <w:spacing w:after="0" w:line="124" w:lineRule="exact"/>
        <w:rPr>
          <w:sz w:val="20"/>
          <w:szCs w:val="20"/>
          <w:color w:val="auto"/>
        </w:rPr>
      </w:pPr>
    </w:p>
    <w:p>
      <w:pPr>
        <w:jc w:val="both"/>
        <w:ind w:left="660" w:right="699" w:firstLine="256"/>
        <w:spacing w:after="0" w:line="255" w:lineRule="auto"/>
        <w:rPr>
          <w:sz w:val="20"/>
          <w:szCs w:val="20"/>
          <w:color w:val="auto"/>
        </w:rPr>
      </w:pPr>
      <w:r>
        <w:rPr>
          <w:rFonts w:ascii="Arial" w:cs="Arial" w:eastAsia="Arial" w:hAnsi="Arial"/>
          <w:sz w:val="14"/>
          <w:szCs w:val="14"/>
          <w:color w:val="auto"/>
        </w:rPr>
        <w:t>Letters of credit are conditional commitments issued by us to guarantee the performance of a client to a third party. In the event of nonperformance by the client in accordance with the terms of the agreement with the third party, we would be required to fund the commitment. If the commitment is funded, we would be entitled to seek recovery from the client from the underlying collateral, which can include commercial real estate, physical plant and property, inventory, receivables, cash or marketable securities.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Asset and Liability Management Committee</w:t>
      </w:r>
    </w:p>
    <w:p>
      <w:pPr>
        <w:spacing w:after="0" w:line="170"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Members of senior management and our Board make up the asset and liability management committee, or ALCO. Senior management is responsible for ensuring that Board approved strategies and policies for managing and mitigating risks are appropriately executed within the designated lines of authority and responsibility in a timely manner.</w:t>
      </w:r>
    </w:p>
    <w:p>
      <w:pPr>
        <w:spacing w:after="0" w:line="118" w:lineRule="exact"/>
        <w:rPr>
          <w:sz w:val="20"/>
          <w:szCs w:val="20"/>
          <w:color w:val="auto"/>
        </w:rPr>
      </w:pPr>
    </w:p>
    <w:p>
      <w:pPr>
        <w:jc w:val="both"/>
        <w:ind w:left="660" w:right="659" w:firstLine="256"/>
        <w:spacing w:after="0" w:line="292" w:lineRule="auto"/>
        <w:rPr>
          <w:sz w:val="20"/>
          <w:szCs w:val="20"/>
          <w:color w:val="auto"/>
        </w:rPr>
      </w:pPr>
      <w:r>
        <w:rPr>
          <w:rFonts w:ascii="Arial" w:cs="Arial" w:eastAsia="Arial" w:hAnsi="Arial"/>
          <w:sz w:val="14"/>
          <w:szCs w:val="14"/>
          <w:color w:val="auto"/>
        </w:rPr>
        <w:t>ALCO oversees the establishment, approval, implementation, and review of interest rate risk, management, and mitigation strategies, ALM related policies, ALCO procedures and risk tolerances and appetite.</w:t>
      </w:r>
    </w:p>
    <w:p>
      <w:pPr>
        <w:spacing w:after="0" w:line="99" w:lineRule="exact"/>
        <w:rPr>
          <w:sz w:val="20"/>
          <w:szCs w:val="20"/>
          <w:color w:val="auto"/>
        </w:rPr>
      </w:pPr>
    </w:p>
    <w:p>
      <w:pPr>
        <w:ind w:left="660" w:right="699" w:firstLine="256"/>
        <w:spacing w:after="0" w:line="292" w:lineRule="auto"/>
        <w:rPr>
          <w:sz w:val="20"/>
          <w:szCs w:val="20"/>
          <w:color w:val="auto"/>
        </w:rPr>
      </w:pPr>
      <w:r>
        <w:rPr>
          <w:rFonts w:ascii="Arial" w:cs="Arial" w:eastAsia="Arial" w:hAnsi="Arial"/>
          <w:sz w:val="14"/>
          <w:szCs w:val="14"/>
          <w:color w:val="auto"/>
        </w:rPr>
        <w:t>While some degree of Interest Rate Risk (“IRR”) is inherent to the banking business, we believe our ALCO implements sound risk management practices to identify, quantify, monitor, and limit IRR exposures.</w:t>
      </w:r>
    </w:p>
    <w:p>
      <w:pPr>
        <w:spacing w:after="0" w:line="152"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44" w:name="page45"/>
    <w:bookmarkEnd w:id="4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3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When assessing the scope of IRR exposure and impact on the consolidated balance sheet, cash flows and consolidated statement of operations, management considers both earnings and economic impacts. Asset price variations, deposit volatility and reduced earnings or outright losses could adversely affect the Company’s liquidity, performance, and capital adequacy.</w:t>
      </w:r>
    </w:p>
    <w:p>
      <w:pPr>
        <w:spacing w:after="0" w:line="135"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Income simulations are used to assess the impact of changing rates on earnings under different interest rates scenarios, yield curve shapes and time horizons. These simulations utilize both instantaneous and parallel changes in the level of interest rates, as well as non-parallel changes such as changing slopes (flat and steepening) and twists of the yield curve. Static simulation models are based on current exposures and assume a constant balance sheet with no new growth. Dynamic simulation is also utilized to have a more comprehensive assessment on IRR. This simulation relies on, and in assumptions regarding changes in existing lines of business, new business, management strategies and client expected behavior.</w:t>
      </w:r>
    </w:p>
    <w:p>
      <w:pPr>
        <w:spacing w:after="0" w:line="138" w:lineRule="exact"/>
        <w:rPr>
          <w:sz w:val="20"/>
          <w:szCs w:val="20"/>
          <w:color w:val="auto"/>
        </w:rPr>
      </w:pPr>
    </w:p>
    <w:p>
      <w:pPr>
        <w:jc w:val="both"/>
        <w:ind w:left="660" w:right="639" w:firstLine="256"/>
        <w:spacing w:after="0" w:line="249" w:lineRule="auto"/>
        <w:rPr>
          <w:sz w:val="20"/>
          <w:szCs w:val="20"/>
          <w:color w:val="auto"/>
        </w:rPr>
      </w:pPr>
      <w:r>
        <w:rPr>
          <w:rFonts w:ascii="Arial" w:cs="Arial" w:eastAsia="Arial" w:hAnsi="Arial"/>
          <w:sz w:val="14"/>
          <w:szCs w:val="14"/>
          <w:color w:val="auto"/>
        </w:rPr>
        <w:t>To have a more complete picture of IRR, the Company also evaluates the economic value of equity (“EVE”). This assessment allows us to measure the degree to which the economic values will change under different interest rate scenarios (parallel and non-parallel). The economic value approach focuses on a longer-term time horizon and captures all future cash flows expected from existing assets and liabilities. The economic value model utilizes a static approach in that the analysis does not incorporate new business; rather, the analysis shows a snapshot in time of the risk inherent in the balance sheet.</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Market and Interest Rate Risk Management</w:t>
      </w:r>
    </w:p>
    <w:p>
      <w:pPr>
        <w:spacing w:after="0" w:line="159" w:lineRule="exact"/>
        <w:rPr>
          <w:sz w:val="20"/>
          <w:szCs w:val="20"/>
          <w:color w:val="auto"/>
        </w:rPr>
      </w:pPr>
    </w:p>
    <w:p>
      <w:pPr>
        <w:jc w:val="both"/>
        <w:ind w:left="660" w:right="679" w:firstLine="256"/>
        <w:spacing w:after="0" w:line="175" w:lineRule="exact"/>
        <w:rPr>
          <w:sz w:val="20"/>
          <w:szCs w:val="20"/>
          <w:color w:val="auto"/>
        </w:rPr>
      </w:pPr>
      <w:r>
        <w:rPr>
          <w:rFonts w:ascii="Arial" w:cs="Arial" w:eastAsia="Arial" w:hAnsi="Arial"/>
          <w:sz w:val="14"/>
          <w:szCs w:val="14"/>
          <w:color w:val="auto"/>
        </w:rPr>
        <w:t>According to our ALCO model, As of March 31, 2026, both the static and dynamic ALM simulations indicate that the Bank’s balance sheet remains liability</w:t>
      </w:r>
      <w:r>
        <w:rPr>
          <w:rFonts w:ascii="MS PGothic" w:cs="MS PGothic" w:eastAsia="MS PGothic" w:hAnsi="MS PGothic"/>
          <w:sz w:val="14"/>
          <w:szCs w:val="14"/>
          <w:color w:val="auto"/>
        </w:rPr>
        <w:t>‑</w:t>
      </w:r>
      <w:r>
        <w:rPr>
          <w:rFonts w:ascii="Arial" w:cs="Arial" w:eastAsia="Arial" w:hAnsi="Arial"/>
          <w:sz w:val="14"/>
          <w:szCs w:val="14"/>
          <w:color w:val="auto"/>
        </w:rPr>
        <w:t>sensitive in Year 1, positioning the Bank to benefit in a declining rate environment as liabilities reprice more quickly than assets, resulting in favorable Net Interest Income (NII) outcomes. Beginning in Year 2, both models transition toward an asset</w:t>
      </w:r>
      <w:r>
        <w:rPr>
          <w:rFonts w:ascii="MS PGothic" w:cs="MS PGothic" w:eastAsia="MS PGothic" w:hAnsi="MS PGothic"/>
          <w:sz w:val="14"/>
          <w:szCs w:val="14"/>
          <w:color w:val="auto"/>
        </w:rPr>
        <w:t>‑</w:t>
      </w:r>
      <w:r>
        <w:rPr>
          <w:rFonts w:ascii="Arial" w:cs="Arial" w:eastAsia="Arial" w:hAnsi="Arial"/>
          <w:sz w:val="14"/>
          <w:szCs w:val="14"/>
          <w:color w:val="auto"/>
        </w:rPr>
        <w:t xml:space="preserve">sensitive posture, reflecting projected balance </w:t>
      </w:r>
      <w:r>
        <w:rPr>
          <w:rFonts w:ascii="MS PGothic" w:cs="MS PGothic" w:eastAsia="MS PGothic" w:hAnsi="MS PGothic"/>
          <w:sz w:val="14"/>
          <w:szCs w:val="14"/>
          <w:color w:val="auto"/>
        </w:rPr>
        <w:t>‑</w:t>
      </w:r>
      <w:r>
        <w:rPr>
          <w:rFonts w:ascii="Arial" w:cs="Arial" w:eastAsia="Arial" w:hAnsi="Arial"/>
          <w:sz w:val="14"/>
          <w:szCs w:val="14"/>
          <w:color w:val="auto"/>
        </w:rPr>
        <w:t>sheet growth, continued variable</w:t>
      </w:r>
      <w:r>
        <w:rPr>
          <w:rFonts w:ascii="MS PGothic" w:cs="MS PGothic" w:eastAsia="MS PGothic" w:hAnsi="MS PGothic"/>
          <w:sz w:val="14"/>
          <w:szCs w:val="14"/>
          <w:color w:val="auto"/>
        </w:rPr>
        <w:t>‑</w:t>
      </w:r>
      <w:r>
        <w:rPr>
          <w:rFonts w:ascii="Arial" w:cs="Arial" w:eastAsia="Arial" w:hAnsi="Arial"/>
          <w:sz w:val="14"/>
          <w:szCs w:val="14"/>
          <w:color w:val="auto"/>
        </w:rPr>
        <w:t>rate loan production, and changes in balance</w:t>
      </w:r>
      <w:r>
        <w:rPr>
          <w:rFonts w:ascii="MS PGothic" w:cs="MS PGothic" w:eastAsia="MS PGothic" w:hAnsi="MS PGothic"/>
          <w:sz w:val="14"/>
          <w:szCs w:val="14"/>
          <w:color w:val="auto"/>
        </w:rPr>
        <w:t>‑</w:t>
      </w:r>
      <w:r>
        <w:rPr>
          <w:rFonts w:ascii="Arial" w:cs="Arial" w:eastAsia="Arial" w:hAnsi="Arial"/>
          <w:sz w:val="14"/>
          <w:szCs w:val="14"/>
          <w:color w:val="auto"/>
        </w:rPr>
        <w:t>sheet mix over time. This progression is consistent with management’s forward</w:t>
      </w:r>
      <w:r>
        <w:rPr>
          <w:rFonts w:ascii="MS PGothic" w:cs="MS PGothic" w:eastAsia="MS PGothic" w:hAnsi="MS PGothic"/>
          <w:sz w:val="14"/>
          <w:szCs w:val="14"/>
          <w:color w:val="auto"/>
        </w:rPr>
        <w:t>‑</w:t>
      </w:r>
      <w:r>
        <w:rPr>
          <w:rFonts w:ascii="Arial" w:cs="Arial" w:eastAsia="Arial" w:hAnsi="Arial"/>
          <w:sz w:val="14"/>
          <w:szCs w:val="14"/>
          <w:color w:val="auto"/>
        </w:rPr>
        <w:t>looking assumptions embedded in the dynamic model.</w:t>
      </w:r>
    </w:p>
    <w:p>
      <w:pPr>
        <w:spacing w:after="0" w:line="116"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Management’s interest rate positioning reflects a deliberate balance between earnings stability and balance sheet flexibility, particularly given the Bank’s relationship driven deposit base and variable rate lending profile within the South Florida market.</w:t>
      </w:r>
    </w:p>
    <w:p>
      <w:pPr>
        <w:spacing w:after="0" w:line="118" w:lineRule="exact"/>
        <w:rPr>
          <w:sz w:val="20"/>
          <w:szCs w:val="20"/>
          <w:color w:val="auto"/>
        </w:rPr>
      </w:pPr>
    </w:p>
    <w:p>
      <w:pPr>
        <w:jc w:val="both"/>
        <w:ind w:left="660" w:right="639" w:firstLine="256"/>
        <w:spacing w:after="0" w:line="168" w:lineRule="exact"/>
        <w:rPr>
          <w:sz w:val="20"/>
          <w:szCs w:val="20"/>
          <w:color w:val="auto"/>
        </w:rPr>
      </w:pPr>
      <w:r>
        <w:rPr>
          <w:rFonts w:ascii="Arial" w:cs="Arial" w:eastAsia="Arial" w:hAnsi="Arial"/>
          <w:sz w:val="14"/>
          <w:szCs w:val="14"/>
          <w:color w:val="auto"/>
        </w:rPr>
        <w:t>Modeled NII and Economic Value of Equity (EVE) outcomes remain well within ALCO policy limits across all rate shock scenarios. The ALM model incorporates a wide range of assumptions, including asset prepayment speeds, non</w:t>
      </w:r>
      <w:r>
        <w:rPr>
          <w:rFonts w:ascii="MS PGothic" w:cs="MS PGothic" w:eastAsia="MS PGothic" w:hAnsi="MS PGothic"/>
          <w:sz w:val="14"/>
          <w:szCs w:val="14"/>
          <w:color w:val="auto"/>
        </w:rPr>
        <w:t>‑</w:t>
      </w:r>
      <w:r>
        <w:rPr>
          <w:rFonts w:ascii="Arial" w:cs="Arial" w:eastAsia="Arial" w:hAnsi="Arial"/>
          <w:sz w:val="14"/>
          <w:szCs w:val="14"/>
          <w:color w:val="auto"/>
        </w:rPr>
        <w:t>maturity deposit beta and decay assumptions, pricing correlations, deposit truncations, and key interest rate drivers. Given the inherent estimation involved in these assumptions, actual results may differ from modeled outcomes, particularly as static measures do not incorporate potential management actions in response to changes in market conditions or customer behavior.</w:t>
      </w:r>
    </w:p>
    <w:p>
      <w:pPr>
        <w:spacing w:after="0" w:line="125" w:lineRule="exact"/>
        <w:rPr>
          <w:sz w:val="20"/>
          <w:szCs w:val="20"/>
          <w:color w:val="auto"/>
        </w:rPr>
      </w:pPr>
    </w:p>
    <w:p>
      <w:pPr>
        <w:jc w:val="both"/>
        <w:ind w:left="660" w:right="679" w:firstLine="256"/>
        <w:spacing w:after="0" w:line="174" w:lineRule="exact"/>
        <w:rPr>
          <w:sz w:val="20"/>
          <w:szCs w:val="20"/>
          <w:color w:val="auto"/>
        </w:rPr>
      </w:pPr>
      <w:r>
        <w:rPr>
          <w:rFonts w:ascii="Arial" w:cs="Arial" w:eastAsia="Arial" w:hAnsi="Arial"/>
          <w:sz w:val="14"/>
          <w:szCs w:val="14"/>
          <w:color w:val="auto"/>
        </w:rPr>
        <w:t xml:space="preserve">EVE sensitivity remains compliant with policy guidelines, with greater volatility observed in rising </w:t>
      </w:r>
      <w:r>
        <w:rPr>
          <w:rFonts w:ascii="MS PGothic" w:cs="MS PGothic" w:eastAsia="MS PGothic" w:hAnsi="MS PGothic"/>
          <w:sz w:val="14"/>
          <w:szCs w:val="14"/>
          <w:color w:val="auto"/>
        </w:rPr>
        <w:t>‑</w:t>
      </w:r>
      <w:r>
        <w:rPr>
          <w:rFonts w:ascii="Arial" w:cs="Arial" w:eastAsia="Arial" w:hAnsi="Arial"/>
          <w:sz w:val="14"/>
          <w:szCs w:val="14"/>
          <w:color w:val="auto"/>
        </w:rPr>
        <w:t>rate scenarios, driven by asset and liability convexity. In higher</w:t>
      </w:r>
      <w:r>
        <w:rPr>
          <w:rFonts w:ascii="MS PGothic" w:cs="MS PGothic" w:eastAsia="MS PGothic" w:hAnsi="MS PGothic"/>
          <w:sz w:val="14"/>
          <w:szCs w:val="14"/>
          <w:color w:val="auto"/>
        </w:rPr>
        <w:t>‑</w:t>
      </w:r>
      <w:r>
        <w:rPr>
          <w:rFonts w:ascii="Arial" w:cs="Arial" w:eastAsia="Arial" w:hAnsi="Arial"/>
          <w:sz w:val="14"/>
          <w:szCs w:val="14"/>
          <w:color w:val="auto"/>
        </w:rPr>
        <w:t>rate environments, the value of longer</w:t>
      </w:r>
      <w:r>
        <w:rPr>
          <w:rFonts w:ascii="MS PGothic" w:cs="MS PGothic" w:eastAsia="MS PGothic" w:hAnsi="MS PGothic"/>
          <w:sz w:val="14"/>
          <w:szCs w:val="14"/>
          <w:color w:val="auto"/>
        </w:rPr>
        <w:t>‑</w:t>
      </w:r>
      <w:r>
        <w:rPr>
          <w:rFonts w:ascii="Arial" w:cs="Arial" w:eastAsia="Arial" w:hAnsi="Arial"/>
          <w:sz w:val="14"/>
          <w:szCs w:val="14"/>
          <w:color w:val="auto"/>
        </w:rPr>
        <w:t>term assets declines more rapidly, particularly as loan prepayments slow, while certain funding sources reprice less immediately. Conversely, in declining</w:t>
      </w:r>
      <w:r>
        <w:rPr>
          <w:rFonts w:ascii="MS PGothic" w:cs="MS PGothic" w:eastAsia="MS PGothic" w:hAnsi="MS PGothic"/>
          <w:sz w:val="14"/>
          <w:szCs w:val="14"/>
          <w:color w:val="auto"/>
        </w:rPr>
        <w:t>‑</w:t>
      </w:r>
      <w:r>
        <w:rPr>
          <w:rFonts w:ascii="Arial" w:cs="Arial" w:eastAsia="Arial" w:hAnsi="Arial"/>
          <w:sz w:val="14"/>
          <w:szCs w:val="14"/>
          <w:color w:val="auto"/>
        </w:rPr>
        <w:t>rate scenarios, faster prepayments and quicker asset repricing help mitigate downside EVE exposure. Importantly, EVE volatility declined quarter over quarter, reflecting balance</w:t>
      </w:r>
      <w:r>
        <w:rPr>
          <w:rFonts w:ascii="MS PGothic" w:cs="MS PGothic" w:eastAsia="MS PGothic" w:hAnsi="MS PGothic"/>
          <w:sz w:val="14"/>
          <w:szCs w:val="14"/>
          <w:color w:val="auto"/>
        </w:rPr>
        <w:t>‑</w:t>
      </w:r>
      <w:r>
        <w:rPr>
          <w:rFonts w:ascii="Arial" w:cs="Arial" w:eastAsia="Arial" w:hAnsi="Arial"/>
          <w:sz w:val="14"/>
          <w:szCs w:val="14"/>
          <w:color w:val="auto"/>
        </w:rPr>
        <w:t>sheet actions taken during the period and an overall reduction in structural interest rate risk.</w:t>
      </w:r>
    </w:p>
    <w:p>
      <w:pPr>
        <w:spacing w:after="0" w:line="145" w:lineRule="exact"/>
        <w:rPr>
          <w:sz w:val="20"/>
          <w:szCs w:val="20"/>
          <w:color w:val="auto"/>
        </w:rPr>
      </w:pPr>
    </w:p>
    <w:p>
      <w:pPr>
        <w:jc w:val="both"/>
        <w:ind w:left="660" w:right="659" w:firstLine="256"/>
        <w:spacing w:after="0" w:line="169" w:lineRule="exact"/>
        <w:rPr>
          <w:sz w:val="20"/>
          <w:szCs w:val="20"/>
          <w:color w:val="auto"/>
        </w:rPr>
      </w:pPr>
      <w:r>
        <w:rPr>
          <w:rFonts w:ascii="Arial" w:cs="Arial" w:eastAsia="Arial" w:hAnsi="Arial"/>
          <w:sz w:val="14"/>
          <w:szCs w:val="14"/>
          <w:color w:val="auto"/>
        </w:rPr>
        <w:t>The improvement in the Bank’s IRR profile was driven primarily by a reduction in asset duration, while liability duration remained relatively stable. Increased variable</w:t>
      </w:r>
      <w:r>
        <w:rPr>
          <w:rFonts w:ascii="MS PGothic" w:cs="MS PGothic" w:eastAsia="MS PGothic" w:hAnsi="MS PGothic"/>
          <w:sz w:val="14"/>
          <w:szCs w:val="14"/>
          <w:color w:val="auto"/>
        </w:rPr>
        <w:t>‑</w:t>
      </w:r>
      <w:r>
        <w:rPr>
          <w:rFonts w:ascii="Arial" w:cs="Arial" w:eastAsia="Arial" w:hAnsi="Arial"/>
          <w:sz w:val="14"/>
          <w:szCs w:val="14"/>
          <w:color w:val="auto"/>
        </w:rPr>
        <w:t>rate loan production, higher prepayment activity, and targeted portfolio repositioning contributed to a shorter effective asset duration and reduced optionality risk.</w:t>
      </w:r>
    </w:p>
    <w:p>
      <w:pPr>
        <w:spacing w:after="0" w:line="146" w:lineRule="exact"/>
        <w:rPr>
          <w:sz w:val="20"/>
          <w:szCs w:val="20"/>
          <w:color w:val="auto"/>
        </w:rPr>
      </w:pPr>
    </w:p>
    <w:p>
      <w:pPr>
        <w:jc w:val="both"/>
        <w:ind w:left="660" w:right="659" w:firstLine="256"/>
        <w:spacing w:after="0" w:line="170" w:lineRule="exact"/>
        <w:rPr>
          <w:sz w:val="20"/>
          <w:szCs w:val="20"/>
          <w:color w:val="auto"/>
        </w:rPr>
      </w:pPr>
      <w:r>
        <w:rPr>
          <w:rFonts w:ascii="Arial" w:cs="Arial" w:eastAsia="Arial" w:hAnsi="Arial"/>
          <w:sz w:val="14"/>
          <w:szCs w:val="14"/>
          <w:color w:val="auto"/>
        </w:rPr>
        <w:t>Overall, the Bank remains well positioned to manage current interest rate volatility, with limited exposure under rising</w:t>
      </w:r>
      <w:r>
        <w:rPr>
          <w:rFonts w:ascii="MS PGothic" w:cs="MS PGothic" w:eastAsia="MS PGothic" w:hAnsi="MS PGothic"/>
          <w:sz w:val="14"/>
          <w:szCs w:val="14"/>
          <w:color w:val="auto"/>
        </w:rPr>
        <w:t>‑</w:t>
      </w:r>
      <w:r>
        <w:rPr>
          <w:rFonts w:ascii="Arial" w:cs="Arial" w:eastAsia="Arial" w:hAnsi="Arial"/>
          <w:sz w:val="14"/>
          <w:szCs w:val="14"/>
          <w:color w:val="auto"/>
        </w:rPr>
        <w:t xml:space="preserve">rate scenarios and favorable positioning in a declining </w:t>
      </w:r>
      <w:r>
        <w:rPr>
          <w:rFonts w:ascii="MS PGothic" w:cs="MS PGothic" w:eastAsia="MS PGothic" w:hAnsi="MS PGothic"/>
          <w:sz w:val="14"/>
          <w:szCs w:val="14"/>
          <w:color w:val="auto"/>
        </w:rPr>
        <w:t>‑</w:t>
      </w:r>
      <w:r>
        <w:rPr>
          <w:rFonts w:ascii="Arial" w:cs="Arial" w:eastAsia="Arial" w:hAnsi="Arial"/>
          <w:sz w:val="14"/>
          <w:szCs w:val="14"/>
          <w:color w:val="auto"/>
        </w:rPr>
        <w:t>rate environment. Management continues to actively review ALM results and retains the flexibility, consistent with ALCO policy, to adjust asset and liability duration through balance</w:t>
      </w:r>
      <w:r>
        <w:rPr>
          <w:rFonts w:ascii="MS PGothic" w:cs="MS PGothic" w:eastAsia="MS PGothic" w:hAnsi="MS PGothic"/>
          <w:sz w:val="14"/>
          <w:szCs w:val="14"/>
          <w:color w:val="auto"/>
        </w:rPr>
        <w:t>‑</w:t>
      </w:r>
      <w:r>
        <w:rPr>
          <w:rFonts w:ascii="Arial" w:cs="Arial" w:eastAsia="Arial" w:hAnsi="Arial"/>
          <w:sz w:val="14"/>
          <w:szCs w:val="14"/>
          <w:color w:val="auto"/>
        </w:rPr>
        <w:t>sheet strategies as market conditions evolve. Results and related strategies are reviewed quarterly with ALCO and adjusted as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45</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45" w:name="page46"/>
    <w:bookmarkEnd w:id="4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Liquidity</w:t>
      </w:r>
    </w:p>
    <w:p>
      <w:pPr>
        <w:spacing w:after="0" w:line="170" w:lineRule="exact"/>
        <w:rPr>
          <w:sz w:val="20"/>
          <w:szCs w:val="20"/>
          <w:color w:val="auto"/>
        </w:rPr>
      </w:pPr>
    </w:p>
    <w:p>
      <w:pPr>
        <w:jc w:val="both"/>
        <w:ind w:left="660" w:right="679" w:firstLine="256"/>
        <w:spacing w:after="0" w:line="286" w:lineRule="auto"/>
        <w:rPr>
          <w:sz w:val="20"/>
          <w:szCs w:val="20"/>
          <w:color w:val="auto"/>
        </w:rPr>
      </w:pPr>
      <w:r>
        <w:rPr>
          <w:rFonts w:ascii="Arial" w:cs="Arial" w:eastAsia="Arial" w:hAnsi="Arial"/>
          <w:sz w:val="13"/>
          <w:szCs w:val="13"/>
          <w:color w:val="auto"/>
        </w:rPr>
        <w:t>Liquidity is defined as a Company’s capacity to meet its cash and collateral obligations at a reasonable cost. Maintaining an adequate level of liquidity depends on the Company’s ability to efficiently meet both expected and unexpected cash flow and collateral needs without adversely affecting either daily operations or the financial condition of the Company.</w:t>
      </w:r>
    </w:p>
    <w:p>
      <w:pPr>
        <w:spacing w:after="0" w:line="116"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Liquidity risk is the risk that we will be unable to meet our short-term and long-term obligations as they become due because of an inability to liquidate assets or obtain relatively adequate funding. The Company’s obligations, and the funding sources used to meet them, depend significantly on our business mix, balance sheet structure and composition, credit quality of our assets and the cash flow profiles of our on- and off-balance sheet obligations.</w:t>
      </w:r>
    </w:p>
    <w:p>
      <w:pPr>
        <w:spacing w:after="0" w:line="124"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In managing inflows and outflows, management regularly monitors situations that can give rise to increased liquidity risk. These include funding mismatches, market constraints on the ability to convert assets (particularly investments) into cash or in accessing sources of funds (i.e., market liquidity), pledging assets and contingent liquidity events.</w:t>
      </w:r>
    </w:p>
    <w:p>
      <w:pPr>
        <w:spacing w:after="0" w:line="128" w:lineRule="exact"/>
        <w:rPr>
          <w:sz w:val="20"/>
          <w:szCs w:val="20"/>
          <w:color w:val="auto"/>
        </w:rPr>
      </w:pPr>
    </w:p>
    <w:p>
      <w:pPr>
        <w:jc w:val="both"/>
        <w:ind w:left="660" w:right="699" w:firstLine="256"/>
        <w:spacing w:after="0" w:line="257" w:lineRule="auto"/>
        <w:rPr>
          <w:sz w:val="20"/>
          <w:szCs w:val="20"/>
          <w:color w:val="auto"/>
        </w:rPr>
      </w:pPr>
      <w:r>
        <w:rPr>
          <w:rFonts w:ascii="Arial" w:cs="Arial" w:eastAsia="Arial" w:hAnsi="Arial"/>
          <w:sz w:val="14"/>
          <w:szCs w:val="14"/>
          <w:color w:val="auto"/>
        </w:rPr>
        <w:t>Changes in macroeconomic conditions, as well as exposure to credit, market, operational, legal, cybersecurity risk and reputational risks, could have an unexpected impact on the Company’s liquidity risk profile and are factored into the assessment of liquidity and the ALM framework.</w:t>
      </w:r>
    </w:p>
    <w:p>
      <w:pPr>
        <w:spacing w:after="0" w:line="134"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Management has established a comprehensive and holistic management process for identifying, measuring, monitoring and mitigating liquidity risk. Liquidity management also reflects the Bank’s granular mix of consumer and commercial relationships, which management believes enhances funding stability and mitigates reliance on more rate sensitive wholesale funding sources. Due to its critical importance to the viability of the Company, liquidity risk management is integrated into our risk management processes, Contingency Funding Plan and ALM policy.</w:t>
      </w:r>
    </w:p>
    <w:p>
      <w:pPr>
        <w:spacing w:after="0" w:line="14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Critical elements of our liquidity risk management include: effective corporate governance consisting of oversight by the Board and ALCO, and active involvement of senior management; appropriate strategies, policies, procedures, and limits used to identify and mitigate liquidity risk; comprehensive liquidity risk measurement and monitoring systems (including assessments of the current and prospective cash flows or sources and uses of funds) that are commensurate with the complexity and business activities of the Company; active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stressful situations; comprehensive contingency funding plans that sufficiently address potential adverse liquidity events and emergency cash flow requirements; and internal controls and internal audit processes sufficient to determine the adequacy of the institution’s liquidity risk management process.</w:t>
      </w:r>
    </w:p>
    <w:p>
      <w:pPr>
        <w:spacing w:after="0" w:line="139" w:lineRule="exact"/>
        <w:rPr>
          <w:sz w:val="20"/>
          <w:szCs w:val="20"/>
          <w:color w:val="auto"/>
        </w:rPr>
      </w:pPr>
    </w:p>
    <w:p>
      <w:pPr>
        <w:ind w:left="660" w:right="639" w:firstLine="256"/>
        <w:spacing w:after="0" w:line="248" w:lineRule="auto"/>
        <w:rPr>
          <w:sz w:val="20"/>
          <w:szCs w:val="20"/>
          <w:color w:val="auto"/>
        </w:rPr>
      </w:pPr>
      <w:r>
        <w:rPr>
          <w:rFonts w:ascii="Arial" w:cs="Arial" w:eastAsia="Arial" w:hAnsi="Arial"/>
          <w:sz w:val="14"/>
          <w:szCs w:val="14"/>
          <w:color w:val="auto"/>
        </w:rPr>
        <w:t>We expect funds to be available from several basic banking activity sources, including the core deposit base, the repayment and maturity of loans and investment security cash flows. Other potential funding sources include federal funds purchased, brokered certificates of deposit, listing certificates of deposit, Fed Funds lines and borrowings from the FHLB Atlanta. Accordingly, our liquidity resources were at sufficient levels to fund loans and meet other cash needs as necessary. As of March 31, 2026, the Company had $336 million in available liquidity on balance sheet, including $261 million in unpledged securities (excluding Unencumbered HTM securities) available to use as collateral and $79 million in excess cash. The Company had an additional $457 million in off-balance sheet liquidity, excluding access to brokered deposits and other off-balance sheet sources of funding.</w:t>
      </w:r>
    </w:p>
    <w:p>
      <w:pPr>
        <w:spacing w:after="0" w:line="141" w:lineRule="exact"/>
        <w:rPr>
          <w:sz w:val="20"/>
          <w:szCs w:val="20"/>
          <w:color w:val="auto"/>
        </w:rPr>
      </w:pPr>
    </w:p>
    <w:p>
      <w:pPr>
        <w:ind w:left="660" w:right="679" w:firstLine="256"/>
        <w:spacing w:after="0" w:line="276" w:lineRule="auto"/>
        <w:rPr>
          <w:sz w:val="20"/>
          <w:szCs w:val="20"/>
          <w:color w:val="auto"/>
        </w:rPr>
      </w:pPr>
      <w:r>
        <w:rPr>
          <w:rFonts w:ascii="Arial" w:cs="Arial" w:eastAsia="Arial" w:hAnsi="Arial"/>
          <w:sz w:val="14"/>
          <w:szCs w:val="14"/>
          <w:color w:val="auto"/>
        </w:rPr>
        <w:t>Management believes current liquidity levels remain appropriate relative to the Bank’s risk appetite, balance sheet size, and anticipated funding needs under both base case and stressed scenarios.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46</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46" w:name="page47"/>
    <w:bookmarkEnd w:id="4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Capital Adequacy</w:t>
      </w:r>
    </w:p>
    <w:p>
      <w:pPr>
        <w:spacing w:after="0" w:line="170"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As of March 31, 2026, the Bank was well capitalized under the FDIC’s prompt corrective action framework. We also follow the capital conservation buffer framework, and as of March 31, 2026, we exceeded the capital conversation buffer in all capital ratios, according to our actual ratios. The following table presents the capital ratios for the Bank at the dates indicated (in thousands, except ratios).</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4"/>
            <w:vMerge w:val="restart"/>
          </w:tcPr>
          <w:p>
            <w:pPr>
              <w:jc w:val="center"/>
              <w:ind w:right="56"/>
              <w:spacing w:after="0"/>
              <w:rPr>
                <w:sz w:val="20"/>
                <w:szCs w:val="20"/>
                <w:color w:val="auto"/>
              </w:rPr>
            </w:pPr>
            <w:r>
              <w:rPr>
                <w:rFonts w:ascii="Arial" w:cs="Arial" w:eastAsia="Arial" w:hAnsi="Arial"/>
                <w:sz w:val="13"/>
                <w:szCs w:val="13"/>
                <w:b w:val="1"/>
                <w:bCs w:val="1"/>
                <w:color w:val="auto"/>
                <w:w w:val="98"/>
              </w:rPr>
              <w:t>Minimum Capital</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4"/>
          </w:tcPr>
          <w:p>
            <w:pPr>
              <w:ind w:left="80"/>
              <w:spacing w:after="0"/>
              <w:rPr>
                <w:sz w:val="20"/>
                <w:szCs w:val="20"/>
                <w:color w:val="auto"/>
              </w:rPr>
            </w:pPr>
            <w:r>
              <w:rPr>
                <w:rFonts w:ascii="Arial" w:cs="Arial" w:eastAsia="Arial" w:hAnsi="Arial"/>
                <w:sz w:val="13"/>
                <w:szCs w:val="13"/>
                <w:b w:val="1"/>
                <w:bCs w:val="1"/>
                <w:color w:val="auto"/>
              </w:rPr>
              <w:t>To be Well Capitalized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4"/>
          </w:tcPr>
          <w:p>
            <w:pPr>
              <w:spacing w:after="0"/>
              <w:rPr>
                <w:sz w:val="20"/>
                <w:szCs w:val="20"/>
                <w:color w:val="auto"/>
              </w:rPr>
            </w:pPr>
            <w:r>
              <w:rPr>
                <w:rFonts w:ascii="Arial" w:cs="Arial" w:eastAsia="Arial" w:hAnsi="Arial"/>
                <w:sz w:val="13"/>
                <w:szCs w:val="13"/>
                <w:b w:val="1"/>
                <w:bCs w:val="1"/>
                <w:color w:val="auto"/>
              </w:rPr>
              <w:t>Under Prompt Corrective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4"/>
          </w:tcPr>
          <w:p>
            <w:pPr>
              <w:ind w:left="540"/>
              <w:spacing w:after="0"/>
              <w:rPr>
                <w:sz w:val="20"/>
                <w:szCs w:val="20"/>
                <w:color w:val="auto"/>
              </w:rPr>
            </w:pPr>
            <w:r>
              <w:rPr>
                <w:rFonts w:ascii="Arial" w:cs="Arial" w:eastAsia="Arial" w:hAnsi="Arial"/>
                <w:sz w:val="13"/>
                <w:szCs w:val="13"/>
                <w:b w:val="1"/>
                <w:bCs w:val="1"/>
                <w:color w:val="auto"/>
              </w:rPr>
              <w:t>Actual</w:t>
            </w: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jc w:val="center"/>
              <w:ind w:right="56"/>
              <w:spacing w:after="0"/>
              <w:rPr>
                <w:sz w:val="20"/>
                <w:szCs w:val="20"/>
                <w:color w:val="auto"/>
              </w:rPr>
            </w:pPr>
            <w:r>
              <w:rPr>
                <w:rFonts w:ascii="Arial" w:cs="Arial" w:eastAsia="Arial" w:hAnsi="Arial"/>
                <w:sz w:val="13"/>
                <w:szCs w:val="13"/>
                <w:b w:val="1"/>
                <w:bCs w:val="1"/>
                <w:color w:val="auto"/>
                <w:w w:val="99"/>
              </w:rPr>
              <w:t>Requirements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tcPr>
          <w:p>
            <w:pPr>
              <w:ind w:left="220"/>
              <w:spacing w:after="0"/>
              <w:rPr>
                <w:sz w:val="20"/>
                <w:szCs w:val="20"/>
                <w:color w:val="auto"/>
              </w:rPr>
            </w:pPr>
            <w:r>
              <w:rPr>
                <w:rFonts w:ascii="Arial" w:cs="Arial" w:eastAsia="Arial" w:hAnsi="Arial"/>
                <w:sz w:val="13"/>
                <w:szCs w:val="13"/>
                <w:b w:val="1"/>
                <w:bCs w:val="1"/>
                <w:color w:val="auto"/>
              </w:rPr>
              <w:t>Action Provisions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4"/>
          </w:tcPr>
          <w:p>
            <w:pPr>
              <w:ind w:left="60"/>
              <w:spacing w:after="0"/>
              <w:rPr>
                <w:sz w:val="20"/>
                <w:szCs w:val="20"/>
                <w:color w:val="auto"/>
              </w:rPr>
            </w:pPr>
            <w:r>
              <w:rPr>
                <w:rFonts w:ascii="Arial" w:cs="Arial" w:eastAsia="Arial" w:hAnsi="Arial"/>
                <w:sz w:val="13"/>
                <w:szCs w:val="13"/>
                <w:b w:val="1"/>
                <w:bCs w:val="1"/>
                <w:color w:val="auto"/>
              </w:rPr>
              <w:t>Amount</w:t>
            </w:r>
          </w:p>
        </w:tc>
        <w:tc>
          <w:tcPr>
            <w:tcW w:w="620" w:type="dxa"/>
            <w:vAlign w:val="bottom"/>
            <w:gridSpan w:val="2"/>
          </w:tcPr>
          <w:p>
            <w:pPr>
              <w:jc w:val="right"/>
              <w:ind w:right="201"/>
              <w:spacing w:after="0"/>
              <w:rPr>
                <w:sz w:val="20"/>
                <w:szCs w:val="20"/>
                <w:color w:val="auto"/>
              </w:rPr>
            </w:pPr>
            <w:r>
              <w:rPr>
                <w:rFonts w:ascii="Arial" w:cs="Arial" w:eastAsia="Arial" w:hAnsi="Arial"/>
                <w:sz w:val="13"/>
                <w:szCs w:val="13"/>
                <w:b w:val="1"/>
                <w:bCs w:val="1"/>
                <w:color w:val="auto"/>
              </w:rPr>
              <w:t>Ratio</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3"/>
                <w:szCs w:val="13"/>
                <w:color w:val="auto"/>
              </w:rPr>
            </w:pPr>
          </w:p>
        </w:tc>
        <w:tc>
          <w:tcPr>
            <w:tcW w:w="840" w:type="dxa"/>
            <w:vAlign w:val="bottom"/>
            <w:gridSpan w:val="2"/>
          </w:tcPr>
          <w:p>
            <w:pPr>
              <w:jc w:val="right"/>
              <w:ind w:right="176"/>
              <w:spacing w:after="0"/>
              <w:rPr>
                <w:sz w:val="20"/>
                <w:szCs w:val="20"/>
                <w:color w:val="auto"/>
              </w:rPr>
            </w:pPr>
            <w:r>
              <w:rPr>
                <w:rFonts w:ascii="Arial" w:cs="Arial" w:eastAsia="Arial" w:hAnsi="Arial"/>
                <w:sz w:val="13"/>
                <w:szCs w:val="13"/>
                <w:b w:val="1"/>
                <w:bCs w:val="1"/>
                <w:color w:val="auto"/>
              </w:rPr>
              <w:t>Ratio</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3"/>
                <w:szCs w:val="13"/>
                <w:color w:val="auto"/>
              </w:rPr>
            </w:pPr>
          </w:p>
        </w:tc>
        <w:tc>
          <w:tcPr>
            <w:tcW w:w="840" w:type="dxa"/>
            <w:vAlign w:val="bottom"/>
          </w:tcPr>
          <w:p>
            <w:pPr>
              <w:jc w:val="right"/>
              <w:ind w:right="196"/>
              <w:spacing w:after="0"/>
              <w:rPr>
                <w:sz w:val="20"/>
                <w:szCs w:val="20"/>
                <w:color w:val="auto"/>
              </w:rPr>
            </w:pPr>
            <w:r>
              <w:rPr>
                <w:rFonts w:ascii="Arial" w:cs="Arial" w:eastAsia="Arial" w:hAnsi="Arial"/>
                <w:sz w:val="13"/>
                <w:szCs w:val="13"/>
                <w:b w:val="1"/>
                <w:bCs w:val="1"/>
                <w:color w:val="auto"/>
              </w:rPr>
              <w:t>Ratio</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March 31, 2026</w:t>
            </w: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20"/>
                <w:szCs w:val="20"/>
                <w:color w:val="auto"/>
              </w:rPr>
            </w:pPr>
            <w:r>
              <w:rPr>
                <w:rFonts w:ascii="Arial" w:cs="Arial" w:eastAsia="Arial" w:hAnsi="Arial"/>
                <w:sz w:val="13"/>
                <w:szCs w:val="13"/>
                <w:color w:val="auto"/>
              </w:rPr>
              <w:t>Total risk-based capital</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309,408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13.96 %</w:t>
            </w: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tcPr>
          <w:p>
            <w:pPr>
              <w:ind w:left="200"/>
              <w:spacing w:after="0"/>
              <w:rPr>
                <w:sz w:val="20"/>
                <w:szCs w:val="20"/>
                <w:color w:val="auto"/>
              </w:rPr>
            </w:pPr>
            <w:r>
              <w:rPr>
                <w:rFonts w:ascii="Arial" w:cs="Arial" w:eastAsia="Arial" w:hAnsi="Arial"/>
                <w:sz w:val="13"/>
                <w:szCs w:val="13"/>
                <w:color w:val="auto"/>
              </w:rPr>
              <w:t>177,286</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8.00 %</w:t>
            </w:r>
          </w:p>
        </w:tc>
        <w:tc>
          <w:tcPr>
            <w:tcW w:w="16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tcPr>
          <w:p>
            <w:pPr>
              <w:ind w:left="220"/>
              <w:spacing w:after="0"/>
              <w:rPr>
                <w:sz w:val="20"/>
                <w:szCs w:val="20"/>
                <w:color w:val="auto"/>
              </w:rPr>
            </w:pPr>
            <w:r>
              <w:rPr>
                <w:rFonts w:ascii="Arial" w:cs="Arial" w:eastAsia="Arial" w:hAnsi="Arial"/>
                <w:sz w:val="13"/>
                <w:szCs w:val="13"/>
                <w:color w:val="auto"/>
              </w:rPr>
              <w:t>221,607</w:t>
            </w:r>
          </w:p>
        </w:tc>
        <w:tc>
          <w:tcPr>
            <w:tcW w:w="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10.00 %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Tier 1 risk-based capital</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282,348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12.74</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shd w:val="clear" w:color="auto" w:fill="CCEEFF"/>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132,964</w:t>
            </w: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177,286</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8.00 %</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20"/>
                <w:szCs w:val="20"/>
                <w:color w:val="auto"/>
              </w:rPr>
            </w:pPr>
            <w:r>
              <w:rPr>
                <w:rFonts w:ascii="Arial" w:cs="Arial" w:eastAsia="Arial" w:hAnsi="Arial"/>
                <w:sz w:val="13"/>
                <w:szCs w:val="13"/>
                <w:color w:val="auto"/>
              </w:rPr>
              <w:t>Common equity tier 1 capital</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282,348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12.74 %</w:t>
            </w: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tcPr>
          <w:p>
            <w:pPr>
              <w:ind w:left="260"/>
              <w:spacing w:after="0"/>
              <w:rPr>
                <w:sz w:val="20"/>
                <w:szCs w:val="20"/>
                <w:color w:val="auto"/>
              </w:rPr>
            </w:pPr>
            <w:r>
              <w:rPr>
                <w:rFonts w:ascii="Arial" w:cs="Arial" w:eastAsia="Arial" w:hAnsi="Arial"/>
                <w:sz w:val="13"/>
                <w:szCs w:val="13"/>
                <w:color w:val="auto"/>
              </w:rPr>
              <w:t>99,723</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4.50 %</w:t>
            </w:r>
          </w:p>
        </w:tc>
        <w:tc>
          <w:tcPr>
            <w:tcW w:w="16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tcPr>
          <w:p>
            <w:pPr>
              <w:ind w:left="220"/>
              <w:spacing w:after="0"/>
              <w:rPr>
                <w:sz w:val="20"/>
                <w:szCs w:val="20"/>
                <w:color w:val="auto"/>
              </w:rPr>
            </w:pPr>
            <w:r>
              <w:rPr>
                <w:rFonts w:ascii="Arial" w:cs="Arial" w:eastAsia="Arial" w:hAnsi="Arial"/>
                <w:sz w:val="13"/>
                <w:szCs w:val="13"/>
                <w:color w:val="auto"/>
              </w:rPr>
              <w:t>144,045</w:t>
            </w:r>
          </w:p>
        </w:tc>
        <w:tc>
          <w:tcPr>
            <w:tcW w:w="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6.50 %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Leverage ratio</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282,348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9.88</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shd w:val="clear" w:color="auto" w:fill="CCEEFF"/>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114,333</w:t>
            </w: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142,917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5.00 %</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2025</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20"/>
                <w:szCs w:val="20"/>
                <w:color w:val="auto"/>
              </w:rPr>
            </w:pPr>
            <w:r>
              <w:rPr>
                <w:rFonts w:ascii="Arial" w:cs="Arial" w:eastAsia="Arial" w:hAnsi="Arial"/>
                <w:sz w:val="13"/>
                <w:szCs w:val="13"/>
                <w:color w:val="auto"/>
              </w:rPr>
              <w:t>Total risk-based capital</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299,596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13.67 %</w:t>
            </w: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tcPr>
          <w:p>
            <w:pPr>
              <w:ind w:left="200"/>
              <w:spacing w:after="0"/>
              <w:rPr>
                <w:sz w:val="20"/>
                <w:szCs w:val="20"/>
                <w:color w:val="auto"/>
              </w:rPr>
            </w:pPr>
            <w:r>
              <w:rPr>
                <w:rFonts w:ascii="Arial" w:cs="Arial" w:eastAsia="Arial" w:hAnsi="Arial"/>
                <w:sz w:val="13"/>
                <w:szCs w:val="13"/>
                <w:color w:val="auto"/>
              </w:rPr>
              <w:t>175,387</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8.00 %</w:t>
            </w:r>
          </w:p>
        </w:tc>
        <w:tc>
          <w:tcPr>
            <w:tcW w:w="16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tcPr>
          <w:p>
            <w:pPr>
              <w:ind w:left="220"/>
              <w:spacing w:after="0"/>
              <w:rPr>
                <w:sz w:val="20"/>
                <w:szCs w:val="20"/>
                <w:color w:val="auto"/>
              </w:rPr>
            </w:pPr>
            <w:r>
              <w:rPr>
                <w:rFonts w:ascii="Arial" w:cs="Arial" w:eastAsia="Arial" w:hAnsi="Arial"/>
                <w:sz w:val="13"/>
                <w:szCs w:val="13"/>
                <w:color w:val="auto"/>
              </w:rPr>
              <w:t>219,234</w:t>
            </w:r>
          </w:p>
        </w:tc>
        <w:tc>
          <w:tcPr>
            <w:tcW w:w="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10.00 %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Tier 1 risk-based capital</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273,342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12.47</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shd w:val="clear" w:color="auto" w:fill="CCEEFF"/>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131,541</w:t>
            </w: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175,387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8.00 %</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20"/>
                <w:szCs w:val="20"/>
                <w:color w:val="auto"/>
              </w:rPr>
            </w:pPr>
            <w:r>
              <w:rPr>
                <w:rFonts w:ascii="Arial" w:cs="Arial" w:eastAsia="Arial" w:hAnsi="Arial"/>
                <w:sz w:val="13"/>
                <w:szCs w:val="13"/>
                <w:color w:val="auto"/>
              </w:rPr>
              <w:t>Common equity tier 1 capital</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273,342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12.47 %</w:t>
            </w: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tcPr>
          <w:p>
            <w:pPr>
              <w:ind w:left="260"/>
              <w:spacing w:after="0"/>
              <w:rPr>
                <w:sz w:val="20"/>
                <w:szCs w:val="20"/>
                <w:color w:val="auto"/>
              </w:rPr>
            </w:pPr>
            <w:r>
              <w:rPr>
                <w:rFonts w:ascii="Arial" w:cs="Arial" w:eastAsia="Arial" w:hAnsi="Arial"/>
                <w:sz w:val="13"/>
                <w:szCs w:val="13"/>
                <w:color w:val="auto"/>
              </w:rPr>
              <w:t>98,655</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4.50 %</w:t>
            </w:r>
          </w:p>
        </w:tc>
        <w:tc>
          <w:tcPr>
            <w:tcW w:w="16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tcPr>
          <w:p>
            <w:pPr>
              <w:ind w:left="220"/>
              <w:spacing w:after="0"/>
              <w:rPr>
                <w:sz w:val="20"/>
                <w:szCs w:val="20"/>
                <w:color w:val="auto"/>
              </w:rPr>
            </w:pPr>
            <w:r>
              <w:rPr>
                <w:rFonts w:ascii="Arial" w:cs="Arial" w:eastAsia="Arial" w:hAnsi="Arial"/>
                <w:sz w:val="13"/>
                <w:szCs w:val="13"/>
                <w:color w:val="auto"/>
              </w:rPr>
              <w:t>142,502</w:t>
            </w:r>
          </w:p>
        </w:tc>
        <w:tc>
          <w:tcPr>
            <w:tcW w:w="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6.50 %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Leverage ratio</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273,342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9.65</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shd w:val="clear" w:color="auto" w:fill="CCEEFF"/>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113,296</w:t>
            </w: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141,620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5.00 %</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The Company is not subject to regulatory capital ratios imposed by Basel III on bank holding companies because the Company is deemed to be a small bank holding company.</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Impact of Inflation</w:t>
      </w:r>
    </w:p>
    <w:p>
      <w:pPr>
        <w:spacing w:after="0" w:line="170" w:lineRule="exact"/>
        <w:rPr>
          <w:sz w:val="20"/>
          <w:szCs w:val="20"/>
          <w:color w:val="auto"/>
        </w:rPr>
      </w:pPr>
    </w:p>
    <w:p>
      <w:pPr>
        <w:jc w:val="both"/>
        <w:ind w:left="660" w:right="679" w:firstLine="512"/>
        <w:spacing w:after="0" w:line="169" w:lineRule="exact"/>
        <w:rPr>
          <w:sz w:val="20"/>
          <w:szCs w:val="20"/>
          <w:color w:val="auto"/>
        </w:rPr>
      </w:pPr>
      <w:r>
        <w:rPr>
          <w:rFonts w:ascii="Arial" w:cs="Arial" w:eastAsia="Arial" w:hAnsi="Arial"/>
          <w:sz w:val="14"/>
          <w:szCs w:val="14"/>
          <w:color w:val="auto"/>
        </w:rPr>
        <w:t>Our Consolidated Financial Statements and related notes have been prepared in accordance with U.S. GAAP, which require the measurement of financial position and operating results in terms of historical dollars, without considering the changes in the relative purchasing power of money over time due to inflation. The impact of inflation is mostly reflected in the increased cost of operations; inflation can negatively impact overhead expenses and other variable expenses. Unlike most industrial companies, nearly all our assets and liabilities are monetary in nature. As a result, interest rates have a greater impact on our performance than the effects of inflation. Periods of high inflation are often accompanied by relatively higher interest rates, and periods of low inflation are accompanied by relatively lower interest rates. Inflationary conditions may also influence customer deposit behavior, loan demand, and pricing dynamics, which management considers as part of its ongoing balance</w:t>
      </w:r>
      <w:r>
        <w:rPr>
          <w:rFonts w:ascii="MS PGothic" w:cs="MS PGothic" w:eastAsia="MS PGothic" w:hAnsi="MS PGothic"/>
          <w:sz w:val="14"/>
          <w:szCs w:val="14"/>
          <w:color w:val="auto"/>
        </w:rPr>
        <w:t>‑</w:t>
      </w:r>
      <w:r>
        <w:rPr>
          <w:rFonts w:ascii="Arial" w:cs="Arial" w:eastAsia="Arial" w:hAnsi="Arial"/>
          <w:sz w:val="14"/>
          <w:szCs w:val="14"/>
          <w:color w:val="auto"/>
        </w:rPr>
        <w:t>sheet and earnings planning processes.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47</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47" w:name="page48"/>
    <w:bookmarkEnd w:id="4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Reconciliation and Management Explanation of Non -GAAP Financial Measures</w:t>
      </w:r>
    </w:p>
    <w:p>
      <w:pPr>
        <w:spacing w:after="0" w:line="170" w:lineRule="exact"/>
        <w:rPr>
          <w:sz w:val="20"/>
          <w:szCs w:val="20"/>
          <w:color w:val="auto"/>
        </w:rPr>
      </w:pPr>
    </w:p>
    <w:p>
      <w:pPr>
        <w:ind w:left="660" w:right="639" w:firstLine="256"/>
        <w:spacing w:after="0" w:line="250" w:lineRule="auto"/>
        <w:rPr>
          <w:sz w:val="20"/>
          <w:szCs w:val="20"/>
          <w:color w:val="auto"/>
        </w:rPr>
      </w:pPr>
      <w:r>
        <w:rPr>
          <w:rFonts w:ascii="Arial" w:cs="Arial" w:eastAsia="Arial" w:hAnsi="Arial"/>
          <w:sz w:val="14"/>
          <w:szCs w:val="14"/>
          <w:color w:val="auto"/>
        </w:rPr>
        <w:t>Management has included these non-GAAP measures because it believes these measures may provide useful supplemental information for evaluating the Company’s underlying performance trends. Further, management uses these measures in managing and evaluating the Company’s business and intends to refer to them in discussions about our operations and performance. Operating performance measures should be viewed in addition to, and not as an alternative to or substitute for, measures determined in accordance with GAAP, and are not necessarily comparable to non-GAAP measures that may be presented by other companies. The following table reconciles the non-GAAP financial measurement of operating net income available to common shareholders for the periods presented (in thousands, except per share data):</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USCB FINANCIAL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NON-GAAP FINANCIAL MEASURES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(Dollars in thousands)</w:t>
      </w:r>
    </w:p>
    <w:p>
      <w:pPr>
        <w:spacing w:after="0" w:line="164"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3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20" w:type="dxa"/>
            <w:vAlign w:val="bottom"/>
            <w:tcBorders>
              <w:bottom w:val="single" w:sz="8" w:color="auto"/>
            </w:tcBorders>
            <w:gridSpan w:val="11"/>
          </w:tcPr>
          <w:p>
            <w:pPr>
              <w:jc w:val="right"/>
              <w:ind w:right="323"/>
              <w:spacing w:after="0"/>
              <w:rPr>
                <w:sz w:val="20"/>
                <w:szCs w:val="20"/>
                <w:color w:val="auto"/>
              </w:rPr>
            </w:pPr>
            <w:r>
              <w:rPr>
                <w:rFonts w:ascii="Arial" w:cs="Arial" w:eastAsia="Arial" w:hAnsi="Arial"/>
                <w:sz w:val="11"/>
                <w:szCs w:val="11"/>
                <w:b w:val="1"/>
                <w:bCs w:val="1"/>
                <w:color w:val="auto"/>
              </w:rPr>
              <w:t>As of or For the Three Months Ended</w:t>
            </w: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310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3/31/2026</w:t>
            </w:r>
          </w:p>
        </w:tc>
        <w:tc>
          <w:tcPr>
            <w:tcW w:w="20" w:type="dxa"/>
            <w:vAlign w:val="bottom"/>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12/31/2025</w:t>
            </w:r>
          </w:p>
        </w:tc>
        <w:tc>
          <w:tcPr>
            <w:tcW w:w="20" w:type="dxa"/>
            <w:vAlign w:val="bottom"/>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9/30/2025</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6/30/2025</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3/31/2025</w:t>
            </w:r>
          </w:p>
        </w:tc>
        <w:tc>
          <w:tcPr>
            <w:tcW w:w="20" w:type="dxa"/>
            <w:vAlign w:val="bottom"/>
          </w:tcPr>
          <w:p>
            <w:pPr>
              <w:spacing w:after="0"/>
              <w:rPr>
                <w:sz w:val="11"/>
                <w:szCs w:val="11"/>
                <w:color w:val="auto"/>
              </w:rPr>
            </w:pPr>
          </w:p>
        </w:tc>
      </w:tr>
      <w:tr>
        <w:trPr>
          <w:trHeight w:val="139"/>
        </w:trPr>
        <w:tc>
          <w:tcPr>
            <w:tcW w:w="3100" w:type="dxa"/>
            <w:vAlign w:val="bottom"/>
            <w:shd w:val="clear" w:color="auto" w:fill="CCEEFF"/>
          </w:tcPr>
          <w:p>
            <w:pPr>
              <w:spacing w:after="0" w:line="139" w:lineRule="exact"/>
              <w:rPr>
                <w:sz w:val="20"/>
                <w:szCs w:val="20"/>
                <w:color w:val="auto"/>
              </w:rPr>
            </w:pPr>
            <w:r>
              <w:rPr>
                <w:rFonts w:ascii="Arial" w:cs="Arial" w:eastAsia="Arial" w:hAnsi="Arial"/>
                <w:sz w:val="11"/>
                <w:szCs w:val="11"/>
                <w:b w:val="1"/>
                <w:bCs w:val="1"/>
                <w:color w:val="auto"/>
              </w:rPr>
              <w:t>Pre-tax pre-provision ("PTPP") income:</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9"/>
        </w:trPr>
        <w:tc>
          <w:tcPr>
            <w:tcW w:w="3100" w:type="dxa"/>
            <w:vAlign w:val="bottom"/>
          </w:tcPr>
          <w:p>
            <w:pPr>
              <w:ind w:left="100"/>
              <w:spacing w:after="0"/>
              <w:rPr>
                <w:sz w:val="20"/>
                <w:szCs w:val="20"/>
                <w:color w:val="auto"/>
              </w:rPr>
            </w:pPr>
            <w:r>
              <w:rPr>
                <w:rFonts w:ascii="Arial" w:cs="Arial" w:eastAsia="Arial" w:hAnsi="Arial"/>
                <w:sz w:val="11"/>
                <w:szCs w:val="11"/>
                <w:color w:val="auto"/>
              </w:rPr>
              <w:t>Net income</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9,351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gridSpan w:val="2"/>
          </w:tcPr>
          <w:p>
            <w:pPr>
              <w:jc w:val="right"/>
              <w:ind w:right="17"/>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1,363</w:t>
            </w:r>
          </w:p>
        </w:tc>
        <w:tc>
          <w:tcPr>
            <w:tcW w:w="20" w:type="dxa"/>
            <w:vAlign w:val="bottom"/>
          </w:tcPr>
          <w:p>
            <w:pPr>
              <w:spacing w:after="0"/>
              <w:rPr>
                <w:sz w:val="12"/>
                <w:szCs w:val="12"/>
                <w:color w:val="auto"/>
              </w:rPr>
            </w:pPr>
          </w:p>
        </w:tc>
        <w:tc>
          <w:tcPr>
            <w:tcW w:w="220" w:type="dxa"/>
            <w:vAlign w:val="bottom"/>
            <w:gridSpan w:val="3"/>
          </w:tcPr>
          <w:p>
            <w:pPr>
              <w:jc w:val="right"/>
              <w:ind w:right="37"/>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8,939</w:t>
            </w:r>
          </w:p>
        </w:tc>
        <w:tc>
          <w:tcPr>
            <w:tcW w:w="20" w:type="dxa"/>
            <w:vAlign w:val="bottom"/>
          </w:tcPr>
          <w:p>
            <w:pPr>
              <w:spacing w:after="0"/>
              <w:rPr>
                <w:sz w:val="12"/>
                <w:szCs w:val="12"/>
                <w:color w:val="auto"/>
              </w:rPr>
            </w:pPr>
          </w:p>
        </w:tc>
        <w:tc>
          <w:tcPr>
            <w:tcW w:w="160" w:type="dxa"/>
            <w:vAlign w:val="bottom"/>
            <w:gridSpan w:val="3"/>
          </w:tcPr>
          <w:p>
            <w:pPr>
              <w:jc w:val="right"/>
              <w:ind w:right="37"/>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8,140</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7,658</w:t>
            </w:r>
          </w:p>
        </w:tc>
        <w:tc>
          <w:tcPr>
            <w:tcW w:w="20" w:type="dxa"/>
            <w:vAlign w:val="bottom"/>
          </w:tcPr>
          <w:p>
            <w:pPr>
              <w:spacing w:after="0"/>
              <w:rPr>
                <w:sz w:val="12"/>
                <w:szCs w:val="12"/>
                <w:color w:val="auto"/>
              </w:rPr>
            </w:pPr>
          </w:p>
        </w:tc>
      </w:tr>
      <w:tr>
        <w:trPr>
          <w:trHeight w:val="149"/>
        </w:trPr>
        <w:tc>
          <w:tcPr>
            <w:tcW w:w="31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Plus: Income tax expense</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2,335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2,866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2,599</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2,440</w:t>
            </w:r>
          </w:p>
        </w:tc>
        <w:tc>
          <w:tcPr>
            <w:tcW w:w="20" w:type="dxa"/>
            <w:vAlign w:val="bottom"/>
            <w:shd w:val="clear" w:color="auto" w:fill="CCEEFF"/>
          </w:tcPr>
          <w:p>
            <w:pPr>
              <w:spacing w:after="0"/>
              <w:rPr>
                <w:sz w:val="12"/>
                <w:szCs w:val="12"/>
                <w:color w:val="auto"/>
              </w:rPr>
            </w:pPr>
          </w:p>
        </w:tc>
      </w:tr>
      <w:tr>
        <w:trPr>
          <w:trHeight w:val="149"/>
        </w:trPr>
        <w:tc>
          <w:tcPr>
            <w:tcW w:w="310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Plus: Provision for credit losses</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801</w:t>
            </w:r>
          </w:p>
        </w:tc>
        <w:tc>
          <w:tcPr>
            <w:tcW w:w="20" w:type="dxa"/>
            <w:vAlign w:val="bottom"/>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480</w:t>
            </w:r>
          </w:p>
        </w:tc>
        <w:tc>
          <w:tcPr>
            <w:tcW w:w="20" w:type="dxa"/>
            <w:vAlign w:val="bottom"/>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105</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1,031</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681</w:t>
            </w:r>
          </w:p>
        </w:tc>
        <w:tc>
          <w:tcPr>
            <w:tcW w:w="20" w:type="dxa"/>
            <w:vAlign w:val="bottom"/>
          </w:tcPr>
          <w:p>
            <w:pPr>
              <w:spacing w:after="0"/>
              <w:rPr>
                <w:sz w:val="12"/>
                <w:szCs w:val="12"/>
                <w:color w:val="auto"/>
              </w:rPr>
            </w:pPr>
          </w:p>
        </w:tc>
      </w:tr>
      <w:tr>
        <w:trPr>
          <w:trHeight w:val="140"/>
        </w:trPr>
        <w:tc>
          <w:tcPr>
            <w:tcW w:w="31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PTPP income</w:t>
            </w: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12,487</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3,754</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gridSpan w:val="2"/>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11,910</w:t>
            </w: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11,770</w:t>
            </w:r>
          </w:p>
        </w:tc>
        <w:tc>
          <w:tcPr>
            <w:tcW w:w="60" w:type="dxa"/>
            <w:vAlign w:val="bottom"/>
            <w:gridSpan w:val="2"/>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10,779</w:t>
            </w:r>
          </w:p>
        </w:tc>
        <w:tc>
          <w:tcPr>
            <w:tcW w:w="20" w:type="dxa"/>
            <w:vAlign w:val="bottom"/>
            <w:tcBorders>
              <w:bottom w:val="single" w:sz="8" w:color="auto"/>
            </w:tcBorders>
            <w:shd w:val="clear" w:color="auto" w:fill="CCEEFF"/>
          </w:tcPr>
          <w:p>
            <w:pPr>
              <w:spacing w:after="0"/>
              <w:rPr>
                <w:sz w:val="12"/>
                <w:szCs w:val="12"/>
                <w:color w:val="auto"/>
              </w:rPr>
            </w:pPr>
          </w:p>
        </w:tc>
      </w:tr>
      <w:tr>
        <w:trPr>
          <w:trHeight w:val="20"/>
        </w:trPr>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21"/>
        </w:trPr>
        <w:tc>
          <w:tcPr>
            <w:tcW w:w="3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PTPP return on average assets:</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9"/>
        </w:trPr>
        <w:tc>
          <w:tcPr>
            <w:tcW w:w="3100" w:type="dxa"/>
            <w:vAlign w:val="bottom"/>
          </w:tcPr>
          <w:p>
            <w:pPr>
              <w:ind w:left="100"/>
              <w:spacing w:after="0"/>
              <w:rPr>
                <w:sz w:val="20"/>
                <w:szCs w:val="20"/>
                <w:color w:val="auto"/>
              </w:rPr>
            </w:pPr>
            <w:r>
              <w:rPr>
                <w:rFonts w:ascii="Arial" w:cs="Arial" w:eastAsia="Arial" w:hAnsi="Arial"/>
                <w:sz w:val="11"/>
                <w:szCs w:val="11"/>
                <w:color w:val="auto"/>
              </w:rPr>
              <w:t>PTPP income</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12,487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gridSpan w:val="2"/>
          </w:tcPr>
          <w:p>
            <w:pPr>
              <w:jc w:val="right"/>
              <w:ind w:right="17"/>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3,754</w:t>
            </w:r>
          </w:p>
        </w:tc>
        <w:tc>
          <w:tcPr>
            <w:tcW w:w="20" w:type="dxa"/>
            <w:vAlign w:val="bottom"/>
          </w:tcPr>
          <w:p>
            <w:pPr>
              <w:spacing w:after="0"/>
              <w:rPr>
                <w:sz w:val="12"/>
                <w:szCs w:val="12"/>
                <w:color w:val="auto"/>
              </w:rPr>
            </w:pPr>
          </w:p>
        </w:tc>
        <w:tc>
          <w:tcPr>
            <w:tcW w:w="220" w:type="dxa"/>
            <w:vAlign w:val="bottom"/>
            <w:gridSpan w:val="3"/>
          </w:tcPr>
          <w:p>
            <w:pPr>
              <w:jc w:val="right"/>
              <w:ind w:right="37"/>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11,910</w:t>
            </w:r>
          </w:p>
        </w:tc>
        <w:tc>
          <w:tcPr>
            <w:tcW w:w="20" w:type="dxa"/>
            <w:vAlign w:val="bottom"/>
          </w:tcPr>
          <w:p>
            <w:pPr>
              <w:spacing w:after="0"/>
              <w:rPr>
                <w:sz w:val="12"/>
                <w:szCs w:val="12"/>
                <w:color w:val="auto"/>
              </w:rPr>
            </w:pPr>
          </w:p>
        </w:tc>
        <w:tc>
          <w:tcPr>
            <w:tcW w:w="160" w:type="dxa"/>
            <w:vAlign w:val="bottom"/>
            <w:gridSpan w:val="3"/>
          </w:tcPr>
          <w:p>
            <w:pPr>
              <w:jc w:val="right"/>
              <w:ind w:right="37"/>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11,770</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10,779</w:t>
            </w:r>
          </w:p>
        </w:tc>
        <w:tc>
          <w:tcPr>
            <w:tcW w:w="20" w:type="dxa"/>
            <w:vAlign w:val="bottom"/>
          </w:tcPr>
          <w:p>
            <w:pPr>
              <w:spacing w:after="0"/>
              <w:rPr>
                <w:sz w:val="12"/>
                <w:szCs w:val="12"/>
                <w:color w:val="auto"/>
              </w:rPr>
            </w:pPr>
          </w:p>
        </w:tc>
      </w:tr>
      <w:tr>
        <w:trPr>
          <w:trHeight w:val="149"/>
        </w:trPr>
        <w:tc>
          <w:tcPr>
            <w:tcW w:w="31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Average assets</w:t>
            </w:r>
          </w:p>
        </w:tc>
        <w:tc>
          <w:tcPr>
            <w:tcW w:w="160" w:type="dxa"/>
            <w:vAlign w:val="bottom"/>
            <w:gridSpan w:val="2"/>
            <w:shd w:val="clear" w:color="auto" w:fill="CCEEFF"/>
          </w:tcPr>
          <w:p>
            <w:pPr>
              <w:jc w:val="right"/>
              <w:ind w:right="77"/>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2,834,717</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2,799,863</w:t>
            </w:r>
          </w:p>
        </w:tc>
        <w:tc>
          <w:tcPr>
            <w:tcW w:w="20" w:type="dxa"/>
            <w:vAlign w:val="bottom"/>
            <w:shd w:val="clear" w:color="auto" w:fill="CCEEFF"/>
          </w:tcPr>
          <w:p>
            <w:pPr>
              <w:spacing w:after="0"/>
              <w:rPr>
                <w:sz w:val="12"/>
                <w:szCs w:val="12"/>
                <w:color w:val="auto"/>
              </w:rPr>
            </w:pPr>
          </w:p>
        </w:tc>
        <w:tc>
          <w:tcPr>
            <w:tcW w:w="12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2,798,115</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2,677,198</w:t>
            </w:r>
          </w:p>
        </w:tc>
        <w:tc>
          <w:tcPr>
            <w:tcW w:w="6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2,606,593</w:t>
            </w:r>
          </w:p>
        </w:tc>
        <w:tc>
          <w:tcPr>
            <w:tcW w:w="20" w:type="dxa"/>
            <w:vAlign w:val="bottom"/>
            <w:shd w:val="clear" w:color="auto" w:fill="CCEEFF"/>
          </w:tcPr>
          <w:p>
            <w:pPr>
              <w:spacing w:after="0"/>
              <w:rPr>
                <w:sz w:val="12"/>
                <w:szCs w:val="12"/>
                <w:color w:val="auto"/>
              </w:rPr>
            </w:pPr>
          </w:p>
        </w:tc>
      </w:tr>
      <w:tr>
        <w:trPr>
          <w:trHeight w:val="149"/>
        </w:trPr>
        <w:tc>
          <w:tcPr>
            <w:tcW w:w="3100" w:type="dxa"/>
            <w:vAlign w:val="bottom"/>
          </w:tcPr>
          <w:p>
            <w:pPr>
              <w:ind w:left="300"/>
              <w:spacing w:after="0" w:line="149" w:lineRule="exact"/>
              <w:rPr>
                <w:sz w:val="20"/>
                <w:szCs w:val="20"/>
                <w:color w:val="auto"/>
              </w:rPr>
            </w:pPr>
            <w:r>
              <w:rPr>
                <w:rFonts w:ascii="Arial" w:cs="Arial" w:eastAsia="Arial" w:hAnsi="Arial"/>
                <w:sz w:val="11"/>
                <w:szCs w:val="11"/>
                <w:color w:val="auto"/>
              </w:rPr>
              <w:t xml:space="preserve">PTPP return on average assets </w:t>
            </w:r>
            <w:r>
              <w:rPr>
                <w:rFonts w:ascii="Arial" w:cs="Arial" w:eastAsia="Arial" w:hAnsi="Arial"/>
                <w:sz w:val="14"/>
                <w:szCs w:val="14"/>
                <w:color w:val="auto"/>
                <w:vertAlign w:val="superscript"/>
              </w:rPr>
              <w:t>(2)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1.79%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0.53%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1.69%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1.76%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1.68%</w:t>
            </w:r>
          </w:p>
        </w:tc>
        <w:tc>
          <w:tcPr>
            <w:tcW w:w="20" w:type="dxa"/>
            <w:vAlign w:val="bottom"/>
          </w:tcPr>
          <w:p>
            <w:pPr>
              <w:spacing w:after="0"/>
              <w:rPr>
                <w:sz w:val="12"/>
                <w:szCs w:val="12"/>
                <w:color w:val="auto"/>
              </w:rPr>
            </w:pPr>
          </w:p>
        </w:tc>
      </w:tr>
      <w:tr>
        <w:trPr>
          <w:trHeight w:val="149"/>
        </w:trPr>
        <w:tc>
          <w:tcPr>
            <w:tcW w:w="3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1"/>
                <w:szCs w:val="11"/>
                <w:b w:val="1"/>
                <w:bCs w:val="1"/>
                <w:color w:val="auto"/>
              </w:rPr>
              <w:t>Operating net income:</w:t>
            </w:r>
            <w:r>
              <w:rPr>
                <w:rFonts w:ascii="Arial" w:cs="Arial" w:eastAsia="Arial" w:hAnsi="Arial"/>
                <w:sz w:val="14"/>
                <w:szCs w:val="14"/>
                <w:color w:val="auto"/>
                <w:vertAlign w:val="superscript"/>
              </w:rPr>
              <w:t>(1)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1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income</w:t>
            </w:r>
          </w:p>
        </w:tc>
        <w:tc>
          <w:tcPr>
            <w:tcW w:w="160" w:type="dxa"/>
            <w:vAlign w:val="bottom"/>
            <w:gridSpan w:val="2"/>
            <w:shd w:val="clear" w:color="auto" w:fill="CCEEFF"/>
          </w:tcPr>
          <w:p>
            <w:pPr>
              <w:jc w:val="right"/>
              <w:ind w:right="77"/>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9,351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1,363</w:t>
            </w:r>
          </w:p>
        </w:tc>
        <w:tc>
          <w:tcPr>
            <w:tcW w:w="20" w:type="dxa"/>
            <w:vAlign w:val="bottom"/>
            <w:shd w:val="clear" w:color="auto" w:fill="CCEEFF"/>
          </w:tcPr>
          <w:p>
            <w:pPr>
              <w:spacing w:after="0"/>
              <w:rPr>
                <w:sz w:val="12"/>
                <w:szCs w:val="12"/>
                <w:color w:val="auto"/>
              </w:rPr>
            </w:pPr>
          </w:p>
        </w:tc>
        <w:tc>
          <w:tcPr>
            <w:tcW w:w="12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8,939</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8,140</w:t>
            </w:r>
          </w:p>
        </w:tc>
        <w:tc>
          <w:tcPr>
            <w:tcW w:w="6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7,658</w:t>
            </w:r>
          </w:p>
        </w:tc>
        <w:tc>
          <w:tcPr>
            <w:tcW w:w="20" w:type="dxa"/>
            <w:vAlign w:val="bottom"/>
            <w:shd w:val="clear" w:color="auto" w:fill="CCEEFF"/>
          </w:tcPr>
          <w:p>
            <w:pPr>
              <w:spacing w:after="0"/>
              <w:rPr>
                <w:sz w:val="12"/>
                <w:szCs w:val="12"/>
                <w:color w:val="auto"/>
              </w:rPr>
            </w:pPr>
          </w:p>
        </w:tc>
      </w:tr>
      <w:tr>
        <w:trPr>
          <w:trHeight w:val="149"/>
        </w:trPr>
        <w:tc>
          <w:tcPr>
            <w:tcW w:w="3100" w:type="dxa"/>
            <w:vAlign w:val="bottom"/>
          </w:tcPr>
          <w:p>
            <w:pPr>
              <w:ind w:left="100"/>
              <w:spacing w:after="0"/>
              <w:rPr>
                <w:sz w:val="20"/>
                <w:szCs w:val="20"/>
                <w:color w:val="auto"/>
              </w:rPr>
            </w:pPr>
            <w:r>
              <w:rPr>
                <w:rFonts w:ascii="Arial" w:cs="Arial" w:eastAsia="Arial" w:hAnsi="Arial"/>
                <w:sz w:val="11"/>
                <w:szCs w:val="11"/>
                <w:color w:val="auto"/>
              </w:rPr>
              <w:t>Less: Net gains (losses) on sale of securities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(7,498)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(28)</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r>
      <w:tr>
        <w:trPr>
          <w:trHeight w:val="149"/>
        </w:trPr>
        <w:tc>
          <w:tcPr>
            <w:tcW w:w="31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Less: Tax effect on sale of securities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r>
      <w:tr>
        <w:trPr>
          <w:trHeight w:val="149"/>
        </w:trPr>
        <w:tc>
          <w:tcPr>
            <w:tcW w:w="3100" w:type="dxa"/>
            <w:vAlign w:val="bottom"/>
          </w:tcPr>
          <w:p>
            <w:pPr>
              <w:ind w:left="100"/>
              <w:spacing w:after="0"/>
              <w:rPr>
                <w:sz w:val="20"/>
                <w:szCs w:val="20"/>
                <w:color w:val="auto"/>
              </w:rPr>
            </w:pPr>
            <w:r>
              <w:rPr>
                <w:rFonts w:ascii="Arial" w:cs="Arial" w:eastAsia="Arial" w:hAnsi="Arial"/>
                <w:sz w:val="11"/>
                <w:szCs w:val="11"/>
                <w:color w:val="auto"/>
              </w:rPr>
              <w:t>Plus: Tax (benefit) liability expense from prior periods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1"/>
                <w:szCs w:val="11"/>
                <w:color w:val="auto"/>
              </w:rPr>
              <w:t>(619)</w:t>
            </w:r>
            <w:r>
              <w:rPr>
                <w:rFonts w:ascii="Arial" w:cs="Arial" w:eastAsia="Arial" w:hAnsi="Arial"/>
                <w:sz w:val="14"/>
                <w:szCs w:val="14"/>
                <w:color w:val="auto"/>
                <w:vertAlign w:val="superscript"/>
              </w:rPr>
              <w:t>(3)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1,096</w:t>
            </w:r>
          </w:p>
        </w:tc>
        <w:tc>
          <w:tcPr>
            <w:tcW w:w="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6"/>
                <w:szCs w:val="6"/>
                <w:color w:val="auto"/>
                <w:w w:val="81"/>
              </w:rPr>
              <w:t>(4)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r>
      <w:tr>
        <w:trPr>
          <w:trHeight w:val="140"/>
        </w:trPr>
        <w:tc>
          <w:tcPr>
            <w:tcW w:w="310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1"/>
                <w:szCs w:val="11"/>
                <w:color w:val="auto"/>
              </w:rPr>
              <w:t>Operating net income</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8,722</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8,057</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8,960</w:t>
            </w: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8,140</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7,658</w:t>
            </w:r>
          </w:p>
        </w:tc>
        <w:tc>
          <w:tcPr>
            <w:tcW w:w="20" w:type="dxa"/>
            <w:vAlign w:val="bottom"/>
            <w:tcBorders>
              <w:bottom w:val="single" w:sz="8" w:color="auto"/>
            </w:tcBorders>
            <w:shd w:val="clear" w:color="auto" w:fill="CCEEFF"/>
          </w:tcPr>
          <w:p>
            <w:pPr>
              <w:spacing w:after="0"/>
              <w:rPr>
                <w:sz w:val="12"/>
                <w:szCs w:val="12"/>
                <w:color w:val="auto"/>
              </w:rPr>
            </w:pPr>
          </w:p>
        </w:tc>
      </w:tr>
      <w:tr>
        <w:trPr>
          <w:trHeight w:val="20"/>
        </w:trPr>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21"/>
        </w:trPr>
        <w:tc>
          <w:tcPr>
            <w:tcW w:w="3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Operating return on average assets:</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9"/>
        </w:trPr>
        <w:tc>
          <w:tcPr>
            <w:tcW w:w="3100" w:type="dxa"/>
            <w:vAlign w:val="bottom"/>
          </w:tcPr>
          <w:p>
            <w:pPr>
              <w:ind w:left="100"/>
              <w:spacing w:after="0"/>
              <w:rPr>
                <w:sz w:val="20"/>
                <w:szCs w:val="20"/>
                <w:color w:val="auto"/>
              </w:rPr>
            </w:pPr>
            <w:r>
              <w:rPr>
                <w:rFonts w:ascii="Arial" w:cs="Arial" w:eastAsia="Arial" w:hAnsi="Arial"/>
                <w:sz w:val="11"/>
                <w:szCs w:val="11"/>
                <w:color w:val="auto"/>
              </w:rPr>
              <w:t>Operating net income</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8,722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gridSpan w:val="2"/>
          </w:tcPr>
          <w:p>
            <w:pPr>
              <w:jc w:val="right"/>
              <w:ind w:right="17"/>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8,057</w:t>
            </w:r>
          </w:p>
        </w:tc>
        <w:tc>
          <w:tcPr>
            <w:tcW w:w="20" w:type="dxa"/>
            <w:vAlign w:val="bottom"/>
          </w:tcPr>
          <w:p>
            <w:pPr>
              <w:spacing w:after="0"/>
              <w:rPr>
                <w:sz w:val="12"/>
                <w:szCs w:val="12"/>
                <w:color w:val="auto"/>
              </w:rPr>
            </w:pPr>
          </w:p>
        </w:tc>
        <w:tc>
          <w:tcPr>
            <w:tcW w:w="220" w:type="dxa"/>
            <w:vAlign w:val="bottom"/>
            <w:gridSpan w:val="3"/>
          </w:tcPr>
          <w:p>
            <w:pPr>
              <w:jc w:val="right"/>
              <w:ind w:right="37"/>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8,960</w:t>
            </w:r>
          </w:p>
        </w:tc>
        <w:tc>
          <w:tcPr>
            <w:tcW w:w="20" w:type="dxa"/>
            <w:vAlign w:val="bottom"/>
          </w:tcPr>
          <w:p>
            <w:pPr>
              <w:spacing w:after="0"/>
              <w:rPr>
                <w:sz w:val="12"/>
                <w:szCs w:val="12"/>
                <w:color w:val="auto"/>
              </w:rPr>
            </w:pPr>
          </w:p>
        </w:tc>
        <w:tc>
          <w:tcPr>
            <w:tcW w:w="160" w:type="dxa"/>
            <w:vAlign w:val="bottom"/>
            <w:gridSpan w:val="3"/>
          </w:tcPr>
          <w:p>
            <w:pPr>
              <w:jc w:val="right"/>
              <w:ind w:right="37"/>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8,140</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7,658</w:t>
            </w:r>
          </w:p>
        </w:tc>
        <w:tc>
          <w:tcPr>
            <w:tcW w:w="20" w:type="dxa"/>
            <w:vAlign w:val="bottom"/>
          </w:tcPr>
          <w:p>
            <w:pPr>
              <w:spacing w:after="0"/>
              <w:rPr>
                <w:sz w:val="12"/>
                <w:szCs w:val="12"/>
                <w:color w:val="auto"/>
              </w:rPr>
            </w:pPr>
          </w:p>
        </w:tc>
      </w:tr>
      <w:tr>
        <w:trPr>
          <w:trHeight w:val="149"/>
        </w:trPr>
        <w:tc>
          <w:tcPr>
            <w:tcW w:w="31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Average assets</w:t>
            </w:r>
          </w:p>
        </w:tc>
        <w:tc>
          <w:tcPr>
            <w:tcW w:w="160" w:type="dxa"/>
            <w:vAlign w:val="bottom"/>
            <w:gridSpan w:val="2"/>
            <w:shd w:val="clear" w:color="auto" w:fill="CCEEFF"/>
          </w:tcPr>
          <w:p>
            <w:pPr>
              <w:jc w:val="right"/>
              <w:ind w:right="77"/>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2,834,717</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2,799,863</w:t>
            </w:r>
          </w:p>
        </w:tc>
        <w:tc>
          <w:tcPr>
            <w:tcW w:w="20" w:type="dxa"/>
            <w:vAlign w:val="bottom"/>
            <w:shd w:val="clear" w:color="auto" w:fill="CCEEFF"/>
          </w:tcPr>
          <w:p>
            <w:pPr>
              <w:spacing w:after="0"/>
              <w:rPr>
                <w:sz w:val="12"/>
                <w:szCs w:val="12"/>
                <w:color w:val="auto"/>
              </w:rPr>
            </w:pPr>
          </w:p>
        </w:tc>
        <w:tc>
          <w:tcPr>
            <w:tcW w:w="12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2,798,115</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2,677,198</w:t>
            </w:r>
          </w:p>
        </w:tc>
        <w:tc>
          <w:tcPr>
            <w:tcW w:w="6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2,606,593</w:t>
            </w:r>
          </w:p>
        </w:tc>
        <w:tc>
          <w:tcPr>
            <w:tcW w:w="20" w:type="dxa"/>
            <w:vAlign w:val="bottom"/>
            <w:shd w:val="clear" w:color="auto" w:fill="CCEEFF"/>
          </w:tcPr>
          <w:p>
            <w:pPr>
              <w:spacing w:after="0"/>
              <w:rPr>
                <w:sz w:val="12"/>
                <w:szCs w:val="12"/>
                <w:color w:val="auto"/>
              </w:rPr>
            </w:pPr>
          </w:p>
        </w:tc>
      </w:tr>
      <w:tr>
        <w:trPr>
          <w:trHeight w:val="149"/>
        </w:trPr>
        <w:tc>
          <w:tcPr>
            <w:tcW w:w="3100" w:type="dxa"/>
            <w:vAlign w:val="bottom"/>
          </w:tcPr>
          <w:p>
            <w:pPr>
              <w:ind w:left="300"/>
              <w:spacing w:after="0" w:line="149" w:lineRule="exact"/>
              <w:rPr>
                <w:sz w:val="20"/>
                <w:szCs w:val="20"/>
                <w:color w:val="auto"/>
              </w:rPr>
            </w:pPr>
            <w:r>
              <w:rPr>
                <w:rFonts w:ascii="Arial" w:cs="Arial" w:eastAsia="Arial" w:hAnsi="Arial"/>
                <w:sz w:val="11"/>
                <w:szCs w:val="11"/>
                <w:color w:val="auto"/>
              </w:rPr>
              <w:t xml:space="preserve">Operating return on average assets </w:t>
            </w:r>
            <w:r>
              <w:rPr>
                <w:rFonts w:ascii="Arial" w:cs="Arial" w:eastAsia="Arial" w:hAnsi="Arial"/>
                <w:sz w:val="14"/>
                <w:szCs w:val="14"/>
                <w:color w:val="auto"/>
                <w:vertAlign w:val="superscript"/>
              </w:rPr>
              <w:t>(2)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1.14%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1.22%</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1.19%</w:t>
            </w:r>
          </w:p>
        </w:tc>
        <w:tc>
          <w:tcPr>
            <w:tcW w:w="20" w:type="dxa"/>
            <w:vAlign w:val="bottom"/>
          </w:tcPr>
          <w:p>
            <w:pPr>
              <w:spacing w:after="0"/>
              <w:rPr>
                <w:sz w:val="12"/>
                <w:szCs w:val="12"/>
                <w:color w:val="auto"/>
              </w:rPr>
            </w:pPr>
          </w:p>
        </w:tc>
      </w:tr>
      <w:tr>
        <w:trPr>
          <w:trHeight w:val="149"/>
        </w:trPr>
        <w:tc>
          <w:tcPr>
            <w:tcW w:w="3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1"/>
                <w:szCs w:val="11"/>
                <w:b w:val="1"/>
                <w:bCs w:val="1"/>
                <w:color w:val="auto"/>
              </w:rPr>
              <w:t>Operating return on average equity:</w:t>
            </w:r>
            <w:r>
              <w:rPr>
                <w:rFonts w:ascii="Arial" w:cs="Arial" w:eastAsia="Arial" w:hAnsi="Arial"/>
                <w:sz w:val="14"/>
                <w:szCs w:val="14"/>
                <w:color w:val="auto"/>
                <w:vertAlign w:val="superscript"/>
              </w:rPr>
              <w:t>(1)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1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Operating net income</w:t>
            </w:r>
          </w:p>
        </w:tc>
        <w:tc>
          <w:tcPr>
            <w:tcW w:w="160" w:type="dxa"/>
            <w:vAlign w:val="bottom"/>
            <w:gridSpan w:val="2"/>
            <w:shd w:val="clear" w:color="auto" w:fill="CCEEFF"/>
          </w:tcPr>
          <w:p>
            <w:pPr>
              <w:jc w:val="right"/>
              <w:ind w:right="77"/>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8,722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8,057</w:t>
            </w:r>
          </w:p>
        </w:tc>
        <w:tc>
          <w:tcPr>
            <w:tcW w:w="20" w:type="dxa"/>
            <w:vAlign w:val="bottom"/>
            <w:shd w:val="clear" w:color="auto" w:fill="CCEEFF"/>
          </w:tcPr>
          <w:p>
            <w:pPr>
              <w:spacing w:after="0"/>
              <w:rPr>
                <w:sz w:val="12"/>
                <w:szCs w:val="12"/>
                <w:color w:val="auto"/>
              </w:rPr>
            </w:pPr>
          </w:p>
        </w:tc>
        <w:tc>
          <w:tcPr>
            <w:tcW w:w="12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8,960</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8,140</w:t>
            </w:r>
          </w:p>
        </w:tc>
        <w:tc>
          <w:tcPr>
            <w:tcW w:w="6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7,658</w:t>
            </w:r>
          </w:p>
        </w:tc>
        <w:tc>
          <w:tcPr>
            <w:tcW w:w="20" w:type="dxa"/>
            <w:vAlign w:val="bottom"/>
            <w:shd w:val="clear" w:color="auto" w:fill="CCEEFF"/>
          </w:tcPr>
          <w:p>
            <w:pPr>
              <w:spacing w:after="0"/>
              <w:rPr>
                <w:sz w:val="12"/>
                <w:szCs w:val="12"/>
                <w:color w:val="auto"/>
              </w:rPr>
            </w:pPr>
          </w:p>
        </w:tc>
      </w:tr>
      <w:tr>
        <w:trPr>
          <w:trHeight w:val="149"/>
        </w:trPr>
        <w:tc>
          <w:tcPr>
            <w:tcW w:w="3100" w:type="dxa"/>
            <w:vAlign w:val="bottom"/>
          </w:tcPr>
          <w:p>
            <w:pPr>
              <w:ind w:left="100"/>
              <w:spacing w:after="0"/>
              <w:rPr>
                <w:sz w:val="20"/>
                <w:szCs w:val="20"/>
                <w:color w:val="auto"/>
              </w:rPr>
            </w:pPr>
            <w:r>
              <w:rPr>
                <w:rFonts w:ascii="Arial" w:cs="Arial" w:eastAsia="Arial" w:hAnsi="Arial"/>
                <w:sz w:val="11"/>
                <w:szCs w:val="11"/>
                <w:color w:val="auto"/>
              </w:rPr>
              <w:t>Average equity</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222,226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gridSpan w:val="2"/>
          </w:tcPr>
          <w:p>
            <w:pPr>
              <w:jc w:val="right"/>
              <w:ind w:right="17"/>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212,393</w:t>
            </w:r>
          </w:p>
        </w:tc>
        <w:tc>
          <w:tcPr>
            <w:tcW w:w="20" w:type="dxa"/>
            <w:vAlign w:val="bottom"/>
          </w:tcPr>
          <w:p>
            <w:pPr>
              <w:spacing w:after="0"/>
              <w:rPr>
                <w:sz w:val="12"/>
                <w:szCs w:val="12"/>
                <w:color w:val="auto"/>
              </w:rPr>
            </w:pPr>
          </w:p>
        </w:tc>
        <w:tc>
          <w:tcPr>
            <w:tcW w:w="220" w:type="dxa"/>
            <w:vAlign w:val="bottom"/>
            <w:gridSpan w:val="3"/>
          </w:tcPr>
          <w:p>
            <w:pPr>
              <w:jc w:val="right"/>
              <w:ind w:right="37"/>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225,316</w:t>
            </w:r>
          </w:p>
        </w:tc>
        <w:tc>
          <w:tcPr>
            <w:tcW w:w="20" w:type="dxa"/>
            <w:vAlign w:val="bottom"/>
          </w:tcPr>
          <w:p>
            <w:pPr>
              <w:spacing w:after="0"/>
              <w:rPr>
                <w:sz w:val="12"/>
                <w:szCs w:val="12"/>
                <w:color w:val="auto"/>
              </w:rPr>
            </w:pPr>
          </w:p>
        </w:tc>
        <w:tc>
          <w:tcPr>
            <w:tcW w:w="160" w:type="dxa"/>
            <w:vAlign w:val="bottom"/>
            <w:gridSpan w:val="3"/>
          </w:tcPr>
          <w:p>
            <w:pPr>
              <w:jc w:val="right"/>
              <w:ind w:right="37"/>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228,492</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219,505</w:t>
            </w:r>
          </w:p>
        </w:tc>
        <w:tc>
          <w:tcPr>
            <w:tcW w:w="20" w:type="dxa"/>
            <w:vAlign w:val="bottom"/>
          </w:tcPr>
          <w:p>
            <w:pPr>
              <w:spacing w:after="0"/>
              <w:rPr>
                <w:sz w:val="12"/>
                <w:szCs w:val="12"/>
                <w:color w:val="auto"/>
              </w:rPr>
            </w:pPr>
          </w:p>
        </w:tc>
      </w:tr>
      <w:tr>
        <w:trPr>
          <w:trHeight w:val="149"/>
        </w:trPr>
        <w:tc>
          <w:tcPr>
            <w:tcW w:w="3100" w:type="dxa"/>
            <w:vAlign w:val="bottom"/>
            <w:shd w:val="clear" w:color="auto" w:fill="CCEEFF"/>
          </w:tcPr>
          <w:p>
            <w:pPr>
              <w:ind w:left="100"/>
              <w:spacing w:after="0" w:line="149" w:lineRule="exact"/>
              <w:rPr>
                <w:sz w:val="20"/>
                <w:szCs w:val="20"/>
                <w:color w:val="auto"/>
              </w:rPr>
            </w:pPr>
            <w:r>
              <w:rPr>
                <w:rFonts w:ascii="Arial" w:cs="Arial" w:eastAsia="Arial" w:hAnsi="Arial"/>
                <w:sz w:val="11"/>
                <w:szCs w:val="11"/>
                <w:color w:val="auto"/>
              </w:rPr>
              <w:t xml:space="preserve">Operating return on average equity </w:t>
            </w:r>
            <w:r>
              <w:rPr>
                <w:rFonts w:ascii="Arial" w:cs="Arial" w:eastAsia="Arial" w:hAnsi="Arial"/>
                <w:sz w:val="14"/>
                <w:szCs w:val="14"/>
                <w:color w:val="auto"/>
                <w:vertAlign w:val="superscript"/>
              </w:rPr>
              <w:t>(2)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15.92%</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15.78%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14.29%</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14.15%</w:t>
            </w:r>
          </w:p>
        </w:tc>
        <w:tc>
          <w:tcPr>
            <w:tcW w:w="20" w:type="dxa"/>
            <w:vAlign w:val="bottom"/>
            <w:shd w:val="clear" w:color="auto" w:fill="CCEEFF"/>
          </w:tcPr>
          <w:p>
            <w:pPr>
              <w:spacing w:after="0"/>
              <w:rPr>
                <w:sz w:val="12"/>
                <w:szCs w:val="12"/>
                <w:color w:val="auto"/>
              </w:rPr>
            </w:pPr>
          </w:p>
        </w:tc>
      </w:tr>
      <w:tr>
        <w:trPr>
          <w:trHeight w:val="149"/>
        </w:trPr>
        <w:tc>
          <w:tcPr>
            <w:tcW w:w="3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Operating Revenue:</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9"/>
        </w:trPr>
        <w:tc>
          <w:tcPr>
            <w:tcW w:w="3100" w:type="dxa"/>
            <w:vAlign w:val="bottom"/>
          </w:tcPr>
          <w:p>
            <w:pPr>
              <w:ind w:left="200"/>
              <w:spacing w:after="0"/>
              <w:rPr>
                <w:sz w:val="20"/>
                <w:szCs w:val="20"/>
                <w:color w:val="auto"/>
              </w:rPr>
            </w:pPr>
            <w:r>
              <w:rPr>
                <w:rFonts w:ascii="Arial" w:cs="Arial" w:eastAsia="Arial" w:hAnsi="Arial"/>
                <w:sz w:val="11"/>
                <w:szCs w:val="11"/>
                <w:color w:val="auto"/>
              </w:rPr>
              <w:t>Net interest income</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22,048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gridSpan w:val="2"/>
          </w:tcPr>
          <w:p>
            <w:pPr>
              <w:jc w:val="right"/>
              <w:ind w:right="17"/>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22,207</w:t>
            </w:r>
          </w:p>
        </w:tc>
        <w:tc>
          <w:tcPr>
            <w:tcW w:w="20" w:type="dxa"/>
            <w:vAlign w:val="bottom"/>
          </w:tcPr>
          <w:p>
            <w:pPr>
              <w:spacing w:after="0"/>
              <w:rPr>
                <w:sz w:val="12"/>
                <w:szCs w:val="12"/>
                <w:color w:val="auto"/>
              </w:rPr>
            </w:pPr>
          </w:p>
        </w:tc>
        <w:tc>
          <w:tcPr>
            <w:tcW w:w="220" w:type="dxa"/>
            <w:vAlign w:val="bottom"/>
            <w:gridSpan w:val="3"/>
          </w:tcPr>
          <w:p>
            <w:pPr>
              <w:jc w:val="right"/>
              <w:ind w:right="37"/>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21,274</w:t>
            </w:r>
          </w:p>
        </w:tc>
        <w:tc>
          <w:tcPr>
            <w:tcW w:w="20" w:type="dxa"/>
            <w:vAlign w:val="bottom"/>
          </w:tcPr>
          <w:p>
            <w:pPr>
              <w:spacing w:after="0"/>
              <w:rPr>
                <w:sz w:val="12"/>
                <w:szCs w:val="12"/>
                <w:color w:val="auto"/>
              </w:rPr>
            </w:pPr>
          </w:p>
        </w:tc>
        <w:tc>
          <w:tcPr>
            <w:tcW w:w="160" w:type="dxa"/>
            <w:vAlign w:val="bottom"/>
            <w:gridSpan w:val="3"/>
          </w:tcPr>
          <w:p>
            <w:pPr>
              <w:jc w:val="right"/>
              <w:ind w:right="37"/>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21,034</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19,115</w:t>
            </w:r>
          </w:p>
        </w:tc>
        <w:tc>
          <w:tcPr>
            <w:tcW w:w="20" w:type="dxa"/>
            <w:vAlign w:val="bottom"/>
          </w:tcPr>
          <w:p>
            <w:pPr>
              <w:spacing w:after="0"/>
              <w:rPr>
                <w:sz w:val="12"/>
                <w:szCs w:val="12"/>
                <w:color w:val="auto"/>
              </w:rPr>
            </w:pPr>
          </w:p>
        </w:tc>
      </w:tr>
      <w:tr>
        <w:trPr>
          <w:trHeight w:val="149"/>
        </w:trPr>
        <w:tc>
          <w:tcPr>
            <w:tcW w:w="31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Plus: Non-interest income</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4,150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(4,178)</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3,684</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3,370</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3,716</w:t>
            </w:r>
          </w:p>
        </w:tc>
        <w:tc>
          <w:tcPr>
            <w:tcW w:w="20" w:type="dxa"/>
            <w:vAlign w:val="bottom"/>
            <w:shd w:val="clear" w:color="auto" w:fill="CCEEFF"/>
          </w:tcPr>
          <w:p>
            <w:pPr>
              <w:spacing w:after="0"/>
              <w:rPr>
                <w:sz w:val="12"/>
                <w:szCs w:val="12"/>
                <w:color w:val="auto"/>
              </w:rPr>
            </w:pPr>
          </w:p>
        </w:tc>
      </w:tr>
      <w:tr>
        <w:trPr>
          <w:trHeight w:val="159"/>
        </w:trPr>
        <w:tc>
          <w:tcPr>
            <w:tcW w:w="3100" w:type="dxa"/>
            <w:vAlign w:val="bottom"/>
          </w:tcPr>
          <w:p>
            <w:pPr>
              <w:ind w:left="200"/>
              <w:spacing w:after="0"/>
              <w:rPr>
                <w:sz w:val="20"/>
                <w:szCs w:val="20"/>
                <w:color w:val="auto"/>
              </w:rPr>
            </w:pPr>
            <w:r>
              <w:rPr>
                <w:rFonts w:ascii="Arial" w:cs="Arial" w:eastAsia="Arial" w:hAnsi="Arial"/>
                <w:sz w:val="11"/>
                <w:szCs w:val="11"/>
                <w:color w:val="auto"/>
              </w:rPr>
              <w:t>Less: Net gains (losses) on sale of securities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(7,498)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(28)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r>
      <w:tr>
        <w:trPr>
          <w:trHeight w:val="120"/>
        </w:trPr>
        <w:tc>
          <w:tcPr>
            <w:tcW w:w="3100" w:type="dxa"/>
            <w:vAlign w:val="bottom"/>
            <w:tcBorders>
              <w:top w:val="single" w:sz="8" w:color="CCEEFF"/>
            </w:tcBorders>
            <w:shd w:val="clear" w:color="auto" w:fill="CCEEFF"/>
          </w:tcPr>
          <w:p>
            <w:pPr>
              <w:ind w:left="380"/>
              <w:spacing w:after="0" w:line="120" w:lineRule="exact"/>
              <w:rPr>
                <w:sz w:val="20"/>
                <w:szCs w:val="20"/>
                <w:color w:val="auto"/>
              </w:rPr>
            </w:pPr>
            <w:r>
              <w:rPr>
                <w:rFonts w:ascii="Arial" w:cs="Arial" w:eastAsia="Arial" w:hAnsi="Arial"/>
                <w:sz w:val="11"/>
                <w:szCs w:val="11"/>
                <w:color w:val="auto"/>
              </w:rPr>
              <w:t>Operating revenue</w:t>
            </w:r>
          </w:p>
        </w:tc>
        <w:tc>
          <w:tcPr>
            <w:tcW w:w="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1"/>
                <w:szCs w:val="11"/>
                <w:color w:val="auto"/>
              </w:rPr>
              <w:t>26,184</w:t>
            </w:r>
          </w:p>
        </w:tc>
        <w:tc>
          <w:tcPr>
            <w:tcW w:w="20" w:type="dxa"/>
            <w:vAlign w:val="bottom"/>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1"/>
                <w:szCs w:val="11"/>
                <w:color w:val="auto"/>
              </w:rPr>
              <w:t>25,527</w:t>
            </w:r>
          </w:p>
        </w:tc>
        <w:tc>
          <w:tcPr>
            <w:tcW w:w="20" w:type="dxa"/>
            <w:vAlign w:val="bottom"/>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1"/>
                <w:szCs w:val="11"/>
                <w:color w:val="auto"/>
              </w:rPr>
              <w:t>24,986</w:t>
            </w:r>
          </w:p>
        </w:tc>
        <w:tc>
          <w:tcPr>
            <w:tcW w:w="20" w:type="dxa"/>
            <w:vAlign w:val="bottom"/>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74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1"/>
                <w:szCs w:val="11"/>
                <w:color w:val="auto"/>
              </w:rPr>
              <w:t>24,404</w:t>
            </w: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1"/>
                <w:szCs w:val="11"/>
                <w:color w:val="auto"/>
              </w:rPr>
              <w:t>22,831</w:t>
            </w:r>
          </w:p>
        </w:tc>
        <w:tc>
          <w:tcPr>
            <w:tcW w:w="20" w:type="dxa"/>
            <w:vAlign w:val="bottom"/>
            <w:shd w:val="clear" w:color="auto" w:fill="CCEEFF"/>
          </w:tcPr>
          <w:p>
            <w:pPr>
              <w:spacing w:after="0"/>
              <w:rPr>
                <w:sz w:val="10"/>
                <w:szCs w:val="10"/>
                <w:color w:val="auto"/>
              </w:rPr>
            </w:pPr>
          </w:p>
        </w:tc>
      </w:tr>
      <w:tr>
        <w:trPr>
          <w:trHeight w:val="20"/>
        </w:trPr>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41"/>
        </w:trPr>
        <w:tc>
          <w:tcPr>
            <w:tcW w:w="3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Operating Efficiency Ratio:</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9"/>
        </w:trPr>
        <w:tc>
          <w:tcPr>
            <w:tcW w:w="3100" w:type="dxa"/>
            <w:vAlign w:val="bottom"/>
          </w:tcPr>
          <w:p>
            <w:pPr>
              <w:ind w:left="200"/>
              <w:spacing w:after="0"/>
              <w:rPr>
                <w:sz w:val="20"/>
                <w:szCs w:val="20"/>
                <w:color w:val="auto"/>
              </w:rPr>
            </w:pPr>
            <w:r>
              <w:rPr>
                <w:rFonts w:ascii="Arial" w:cs="Arial" w:eastAsia="Arial" w:hAnsi="Arial"/>
                <w:sz w:val="11"/>
                <w:szCs w:val="11"/>
                <w:color w:val="auto"/>
              </w:rPr>
              <w:t>Total non-interest expense</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13,711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gridSpan w:val="2"/>
          </w:tcPr>
          <w:p>
            <w:pPr>
              <w:jc w:val="right"/>
              <w:ind w:right="17"/>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14,275</w:t>
            </w:r>
          </w:p>
        </w:tc>
        <w:tc>
          <w:tcPr>
            <w:tcW w:w="20" w:type="dxa"/>
            <w:vAlign w:val="bottom"/>
          </w:tcPr>
          <w:p>
            <w:pPr>
              <w:spacing w:after="0"/>
              <w:rPr>
                <w:sz w:val="12"/>
                <w:szCs w:val="12"/>
                <w:color w:val="auto"/>
              </w:rPr>
            </w:pPr>
          </w:p>
        </w:tc>
        <w:tc>
          <w:tcPr>
            <w:tcW w:w="220" w:type="dxa"/>
            <w:vAlign w:val="bottom"/>
            <w:gridSpan w:val="3"/>
          </w:tcPr>
          <w:p>
            <w:pPr>
              <w:jc w:val="right"/>
              <w:ind w:right="37"/>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13,048</w:t>
            </w:r>
          </w:p>
        </w:tc>
        <w:tc>
          <w:tcPr>
            <w:tcW w:w="20" w:type="dxa"/>
            <w:vAlign w:val="bottom"/>
          </w:tcPr>
          <w:p>
            <w:pPr>
              <w:spacing w:after="0"/>
              <w:rPr>
                <w:sz w:val="12"/>
                <w:szCs w:val="12"/>
                <w:color w:val="auto"/>
              </w:rPr>
            </w:pPr>
          </w:p>
        </w:tc>
        <w:tc>
          <w:tcPr>
            <w:tcW w:w="160" w:type="dxa"/>
            <w:vAlign w:val="bottom"/>
            <w:gridSpan w:val="3"/>
          </w:tcPr>
          <w:p>
            <w:pPr>
              <w:jc w:val="right"/>
              <w:ind w:right="37"/>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12,634</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12,052</w:t>
            </w:r>
          </w:p>
        </w:tc>
        <w:tc>
          <w:tcPr>
            <w:tcW w:w="20" w:type="dxa"/>
            <w:vAlign w:val="bottom"/>
          </w:tcPr>
          <w:p>
            <w:pPr>
              <w:spacing w:after="0"/>
              <w:rPr>
                <w:sz w:val="12"/>
                <w:szCs w:val="12"/>
                <w:color w:val="auto"/>
              </w:rPr>
            </w:pPr>
          </w:p>
        </w:tc>
      </w:tr>
      <w:tr>
        <w:trPr>
          <w:trHeight w:val="149"/>
        </w:trPr>
        <w:tc>
          <w:tcPr>
            <w:tcW w:w="31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Operating revenue</w:t>
            </w:r>
          </w:p>
        </w:tc>
        <w:tc>
          <w:tcPr>
            <w:tcW w:w="160" w:type="dxa"/>
            <w:vAlign w:val="bottom"/>
            <w:gridSpan w:val="2"/>
            <w:shd w:val="clear" w:color="auto" w:fill="CCEEFF"/>
          </w:tcPr>
          <w:p>
            <w:pPr>
              <w:jc w:val="right"/>
              <w:ind w:right="77"/>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26,184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25,527</w:t>
            </w:r>
          </w:p>
        </w:tc>
        <w:tc>
          <w:tcPr>
            <w:tcW w:w="20" w:type="dxa"/>
            <w:vAlign w:val="bottom"/>
            <w:shd w:val="clear" w:color="auto" w:fill="CCEEFF"/>
          </w:tcPr>
          <w:p>
            <w:pPr>
              <w:spacing w:after="0"/>
              <w:rPr>
                <w:sz w:val="12"/>
                <w:szCs w:val="12"/>
                <w:color w:val="auto"/>
              </w:rPr>
            </w:pPr>
          </w:p>
        </w:tc>
        <w:tc>
          <w:tcPr>
            <w:tcW w:w="12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24,986</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24,404</w:t>
            </w:r>
          </w:p>
        </w:tc>
        <w:tc>
          <w:tcPr>
            <w:tcW w:w="6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22,831</w:t>
            </w:r>
          </w:p>
        </w:tc>
        <w:tc>
          <w:tcPr>
            <w:tcW w:w="20" w:type="dxa"/>
            <w:vAlign w:val="bottom"/>
            <w:shd w:val="clear" w:color="auto" w:fill="CCEEFF"/>
          </w:tcPr>
          <w:p>
            <w:pPr>
              <w:spacing w:after="0"/>
              <w:rPr>
                <w:sz w:val="12"/>
                <w:szCs w:val="12"/>
                <w:color w:val="auto"/>
              </w:rPr>
            </w:pPr>
          </w:p>
        </w:tc>
      </w:tr>
      <w:tr>
        <w:trPr>
          <w:trHeight w:val="164"/>
        </w:trPr>
        <w:tc>
          <w:tcPr>
            <w:tcW w:w="3100" w:type="dxa"/>
            <w:vAlign w:val="bottom"/>
          </w:tcPr>
          <w:p>
            <w:pPr>
              <w:ind w:left="380"/>
              <w:spacing w:after="0"/>
              <w:rPr>
                <w:sz w:val="20"/>
                <w:szCs w:val="20"/>
                <w:color w:val="auto"/>
              </w:rPr>
            </w:pPr>
            <w:r>
              <w:rPr>
                <w:rFonts w:ascii="Arial" w:cs="Arial" w:eastAsia="Arial" w:hAnsi="Arial"/>
                <w:sz w:val="11"/>
                <w:szCs w:val="11"/>
                <w:color w:val="auto"/>
              </w:rPr>
              <w:t>Operating efficiency ratio</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52.36%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55.92%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52.22%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51.77%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52.79%</w:t>
            </w:r>
          </w:p>
        </w:tc>
        <w:tc>
          <w:tcPr>
            <w:tcW w:w="20" w:type="dxa"/>
            <w:vAlign w:val="bottom"/>
          </w:tcPr>
          <w:p>
            <w:pPr>
              <w:spacing w:after="0"/>
              <w:rPr>
                <w:sz w:val="14"/>
                <w:szCs w:val="14"/>
                <w:color w:val="auto"/>
              </w:rPr>
            </w:pPr>
          </w:p>
        </w:tc>
      </w:tr>
    </w:tbl>
    <w:p>
      <w:pPr>
        <w:spacing w:after="0" w:line="139" w:lineRule="exact"/>
        <w:rPr>
          <w:sz w:val="20"/>
          <w:szCs w:val="20"/>
          <w:color w:val="auto"/>
        </w:rPr>
      </w:pPr>
    </w:p>
    <w:p>
      <w:pPr>
        <w:ind w:left="860" w:hanging="197"/>
        <w:spacing w:after="0"/>
        <w:tabs>
          <w:tab w:leader="none" w:pos="860" w:val="left"/>
        </w:tabs>
        <w:numPr>
          <w:ilvl w:val="0"/>
          <w:numId w:val="24"/>
        </w:numPr>
        <w:rPr>
          <w:rFonts w:ascii="Arial" w:cs="Arial" w:eastAsia="Arial" w:hAnsi="Arial"/>
          <w:sz w:val="11"/>
          <w:szCs w:val="11"/>
          <w:color w:val="auto"/>
        </w:rPr>
      </w:pPr>
      <w:r>
        <w:rPr>
          <w:rFonts w:ascii="Arial" w:cs="Arial" w:eastAsia="Arial" w:hAnsi="Arial"/>
          <w:sz w:val="11"/>
          <w:szCs w:val="11"/>
          <w:color w:val="auto"/>
        </w:rPr>
        <w:t>The Company believes these non-GAAP measurements are key indicators of the ongoing earnings power of the Company.</w:t>
      </w:r>
    </w:p>
    <w:p>
      <w:pPr>
        <w:spacing w:after="0" w:line="44" w:lineRule="exact"/>
        <w:rPr>
          <w:rFonts w:ascii="Arial" w:cs="Arial" w:eastAsia="Arial" w:hAnsi="Arial"/>
          <w:sz w:val="11"/>
          <w:szCs w:val="11"/>
          <w:color w:val="auto"/>
        </w:rPr>
      </w:pPr>
    </w:p>
    <w:p>
      <w:pPr>
        <w:ind w:left="860" w:hanging="197"/>
        <w:spacing w:after="0"/>
        <w:tabs>
          <w:tab w:leader="none" w:pos="860" w:val="left"/>
        </w:tabs>
        <w:numPr>
          <w:ilvl w:val="0"/>
          <w:numId w:val="24"/>
        </w:numPr>
        <w:rPr>
          <w:rFonts w:ascii="Arial" w:cs="Arial" w:eastAsia="Arial" w:hAnsi="Arial"/>
          <w:sz w:val="11"/>
          <w:szCs w:val="11"/>
          <w:color w:val="auto"/>
        </w:rPr>
      </w:pPr>
      <w:r>
        <w:rPr>
          <w:rFonts w:ascii="Arial" w:cs="Arial" w:eastAsia="Arial" w:hAnsi="Arial"/>
          <w:sz w:val="11"/>
          <w:szCs w:val="11"/>
          <w:color w:val="auto"/>
        </w:rPr>
        <w:t>Annualized.</w:t>
      </w:r>
    </w:p>
    <w:p>
      <w:pPr>
        <w:spacing w:after="0" w:line="11" w:lineRule="exact"/>
        <w:rPr>
          <w:rFonts w:ascii="Arial" w:cs="Arial" w:eastAsia="Arial" w:hAnsi="Arial"/>
          <w:sz w:val="11"/>
          <w:szCs w:val="11"/>
          <w:color w:val="auto"/>
        </w:rPr>
      </w:pPr>
    </w:p>
    <w:p>
      <w:pPr>
        <w:ind w:left="660" w:right="719" w:firstLine="3"/>
        <w:spacing w:after="0" w:line="267" w:lineRule="auto"/>
        <w:tabs>
          <w:tab w:leader="none" w:pos="831" w:val="left"/>
        </w:tabs>
        <w:numPr>
          <w:ilvl w:val="0"/>
          <w:numId w:val="24"/>
        </w:numPr>
        <w:rPr>
          <w:rFonts w:ascii="Arial" w:cs="Arial" w:eastAsia="Arial" w:hAnsi="Arial"/>
          <w:sz w:val="11"/>
          <w:szCs w:val="11"/>
          <w:color w:val="auto"/>
        </w:rPr>
      </w:pPr>
      <w:r>
        <w:rPr>
          <w:rFonts w:ascii="Arial" w:cs="Arial" w:eastAsia="Arial" w:hAnsi="Arial"/>
          <w:sz w:val="11"/>
          <w:szCs w:val="11"/>
          <w:color w:val="auto"/>
        </w:rPr>
        <w:t>The Company recognized a $619 thousand income tax benefit in first quarter of 2026 due to an adjustment to the deferred tax asset calculation from 2025.</w:t>
      </w:r>
    </w:p>
    <w:p>
      <w:pPr>
        <w:spacing w:after="0" w:line="17" w:lineRule="exact"/>
        <w:rPr>
          <w:rFonts w:ascii="Arial" w:cs="Arial" w:eastAsia="Arial" w:hAnsi="Arial"/>
          <w:sz w:val="11"/>
          <w:szCs w:val="11"/>
          <w:color w:val="auto"/>
        </w:rPr>
      </w:pPr>
    </w:p>
    <w:p>
      <w:pPr>
        <w:ind w:left="660" w:right="739" w:firstLine="3"/>
        <w:spacing w:after="0" w:line="286" w:lineRule="auto"/>
        <w:tabs>
          <w:tab w:leader="none" w:pos="831" w:val="left"/>
        </w:tabs>
        <w:numPr>
          <w:ilvl w:val="0"/>
          <w:numId w:val="24"/>
        </w:numPr>
        <w:rPr>
          <w:rFonts w:ascii="Arial" w:cs="Arial" w:eastAsia="Arial" w:hAnsi="Arial"/>
          <w:sz w:val="11"/>
          <w:szCs w:val="11"/>
          <w:color w:val="auto"/>
        </w:rPr>
      </w:pPr>
      <w:r>
        <w:rPr>
          <w:rFonts w:ascii="Arial" w:cs="Arial" w:eastAsia="Arial" w:hAnsi="Arial"/>
          <w:sz w:val="11"/>
          <w:szCs w:val="11"/>
          <w:color w:val="auto"/>
        </w:rPr>
        <w:t>State tax liability expenses for 2024 and for the first three quarters of 2025 were recognized during the fourth quarter of 2025. The state tax expense is related to taxes due on interest income on loans whose collateral are located outside of the State of Florida.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48</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48" w:name="page49"/>
    <w:bookmarkEnd w:id="4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USCB FINANCIAL HOLDINGS,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NON-GAAP FINANCIAL MEASURES (UNAUDITED)</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(Dollars in thousands, except per share data)</w:t>
      </w:r>
    </w:p>
    <w:p>
      <w:pPr>
        <w:spacing w:after="0" w:line="192"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3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gridSpan w:val="9"/>
          </w:tcPr>
          <w:p>
            <w:pPr>
              <w:jc w:val="right"/>
              <w:ind w:right="263"/>
              <w:spacing w:after="0"/>
              <w:rPr>
                <w:sz w:val="20"/>
                <w:szCs w:val="20"/>
                <w:color w:val="auto"/>
              </w:rPr>
            </w:pPr>
            <w:r>
              <w:rPr>
                <w:rFonts w:ascii="Arial" w:cs="Arial" w:eastAsia="Arial" w:hAnsi="Arial"/>
                <w:sz w:val="11"/>
                <w:szCs w:val="11"/>
                <w:b w:val="1"/>
                <w:bCs w:val="1"/>
                <w:color w:val="auto"/>
              </w:rPr>
              <w:t>As of or For the Three Months Ended</w:t>
            </w:r>
          </w:p>
        </w:tc>
        <w:tc>
          <w:tcPr>
            <w:tcW w:w="20" w:type="dxa"/>
            <w:vAlign w:val="bottom"/>
            <w:tcBorders>
              <w:bottom w:val="single" w:sz="8" w:color="auto"/>
            </w:tcBorders>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71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51"/>
        </w:trPr>
        <w:tc>
          <w:tcPr>
            <w:tcW w:w="2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9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 w:type="dxa"/>
            <w:vAlign w:val="bottom"/>
            <w:tcBorders>
              <w:bottom w:val="single" w:sz="8" w:color="auto"/>
            </w:tcBorders>
          </w:tcPr>
          <w:p>
            <w:pPr>
              <w:spacing w:after="0"/>
              <w:rPr>
                <w:sz w:val="13"/>
                <w:szCs w:val="13"/>
                <w:color w:val="auto"/>
              </w:rPr>
            </w:pPr>
          </w:p>
        </w:tc>
        <w:tc>
          <w:tcPr>
            <w:tcW w:w="73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3/31/2026</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12/31/2025</w:t>
            </w: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9/30/2025</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 w:type="dxa"/>
            <w:vAlign w:val="bottom"/>
            <w:tcBorders>
              <w:bottom w:val="single" w:sz="8" w:color="auto"/>
            </w:tcBorders>
          </w:tcPr>
          <w:p>
            <w:pPr>
              <w:spacing w:after="0"/>
              <w:rPr>
                <w:sz w:val="13"/>
                <w:szCs w:val="13"/>
                <w:color w:val="auto"/>
              </w:rPr>
            </w:pPr>
          </w:p>
        </w:tc>
        <w:tc>
          <w:tcPr>
            <w:tcW w:w="73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6/30/2025</w:t>
            </w:r>
          </w:p>
        </w:tc>
        <w:tc>
          <w:tcPr>
            <w:tcW w:w="20" w:type="dxa"/>
            <w:vAlign w:val="bottom"/>
            <w:tcBorders>
              <w:bottom w:val="single" w:sz="8" w:color="CCEEFF"/>
            </w:tcBorders>
          </w:tcPr>
          <w:p>
            <w:pPr>
              <w:spacing w:after="0"/>
              <w:rPr>
                <w:sz w:val="13"/>
                <w:szCs w:val="13"/>
                <w:color w:val="auto"/>
              </w:rPr>
            </w:pPr>
          </w:p>
        </w:tc>
        <w:tc>
          <w:tcPr>
            <w:tcW w:w="130" w:type="dxa"/>
            <w:vAlign w:val="bottom"/>
            <w:tcBorders>
              <w:bottom w:val="single" w:sz="8" w:color="auto"/>
            </w:tcBorders>
          </w:tcPr>
          <w:p>
            <w:pPr>
              <w:spacing w:after="0"/>
              <w:rPr>
                <w:sz w:val="13"/>
                <w:szCs w:val="13"/>
                <w:color w:val="auto"/>
              </w:rPr>
            </w:pPr>
          </w:p>
        </w:tc>
        <w:tc>
          <w:tcPr>
            <w:tcW w:w="71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3/31/2025</w:t>
            </w:r>
          </w:p>
        </w:tc>
        <w:tc>
          <w:tcPr>
            <w:tcW w:w="20" w:type="dxa"/>
            <w:vAlign w:val="bottom"/>
            <w:tcBorders>
              <w:bottom w:val="single" w:sz="8" w:color="CCEEFF"/>
            </w:tcBorders>
          </w:tcPr>
          <w:p>
            <w:pPr>
              <w:spacing w:after="0"/>
              <w:rPr>
                <w:sz w:val="13"/>
                <w:szCs w:val="13"/>
                <w:color w:val="auto"/>
              </w:rPr>
            </w:pPr>
          </w:p>
        </w:tc>
      </w:tr>
      <w:tr>
        <w:trPr>
          <w:trHeight w:val="140"/>
        </w:trPr>
        <w:tc>
          <w:tcPr>
            <w:tcW w:w="3300" w:type="dxa"/>
            <w:vAlign w:val="bottom"/>
            <w:gridSpan w:val="3"/>
            <w:shd w:val="clear" w:color="auto" w:fill="CCEEFF"/>
          </w:tcPr>
          <w:p>
            <w:pPr>
              <w:ind w:left="40"/>
              <w:spacing w:after="0" w:line="140" w:lineRule="exact"/>
              <w:rPr>
                <w:sz w:val="20"/>
                <w:szCs w:val="20"/>
                <w:color w:val="auto"/>
              </w:rPr>
            </w:pPr>
            <w:r>
              <w:rPr>
                <w:rFonts w:ascii="Arial" w:cs="Arial" w:eastAsia="Arial" w:hAnsi="Arial"/>
                <w:sz w:val="11"/>
                <w:szCs w:val="11"/>
                <w:b w:val="1"/>
                <w:bCs w:val="1"/>
                <w:color w:val="auto"/>
              </w:rPr>
              <w:t>Tangible book value per common share (at period-end):</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73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73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rPr>
                <w:sz w:val="12"/>
                <w:szCs w:val="12"/>
                <w:color w:val="auto"/>
              </w:rPr>
            </w:pPr>
          </w:p>
        </w:tc>
        <w:tc>
          <w:tcPr>
            <w:tcW w:w="71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0"/>
        </w:trPr>
        <w:tc>
          <w:tcPr>
            <w:tcW w:w="220" w:type="dxa"/>
            <w:vAlign w:val="bottom"/>
          </w:tcPr>
          <w:p>
            <w:pPr>
              <w:spacing w:after="0"/>
              <w:rPr>
                <w:sz w:val="13"/>
                <w:szCs w:val="13"/>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Total stockholders' equity</w:t>
            </w:r>
          </w:p>
        </w:tc>
        <w:tc>
          <w:tcPr>
            <w:tcW w:w="13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30" w:type="dxa"/>
            <w:vAlign w:val="bottom"/>
          </w:tcPr>
          <w:p>
            <w:pPr>
              <w:jc w:val="right"/>
              <w:ind w:right="23"/>
              <w:spacing w:after="0"/>
              <w:rPr>
                <w:sz w:val="20"/>
                <w:szCs w:val="20"/>
                <w:color w:val="auto"/>
              </w:rPr>
            </w:pPr>
            <w:r>
              <w:rPr>
                <w:rFonts w:ascii="Arial" w:cs="Arial" w:eastAsia="Arial" w:hAnsi="Arial"/>
                <w:sz w:val="11"/>
                <w:szCs w:val="11"/>
                <w:color w:val="auto"/>
              </w:rPr>
              <w:t>223,246</w:t>
            </w:r>
          </w:p>
        </w:tc>
        <w:tc>
          <w:tcPr>
            <w:tcW w:w="1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217,183</w:t>
            </w:r>
          </w:p>
        </w:tc>
        <w:tc>
          <w:tcPr>
            <w:tcW w:w="20" w:type="dxa"/>
            <w:vAlign w:val="bottom"/>
          </w:tcPr>
          <w:p>
            <w:pPr>
              <w:spacing w:after="0"/>
              <w:rPr>
                <w:sz w:val="13"/>
                <w:szCs w:val="13"/>
                <w:color w:val="auto"/>
              </w:rPr>
            </w:pP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23"/>
              <w:spacing w:after="0"/>
              <w:rPr>
                <w:sz w:val="20"/>
                <w:szCs w:val="20"/>
                <w:color w:val="auto"/>
              </w:rPr>
            </w:pPr>
            <w:r>
              <w:rPr>
                <w:rFonts w:ascii="Arial" w:cs="Arial" w:eastAsia="Arial" w:hAnsi="Arial"/>
                <w:sz w:val="11"/>
                <w:szCs w:val="11"/>
                <w:color w:val="auto"/>
              </w:rPr>
              <w:t>209,095</w:t>
            </w:r>
          </w:p>
        </w:tc>
        <w:tc>
          <w:tcPr>
            <w:tcW w:w="19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30" w:type="dxa"/>
            <w:vAlign w:val="bottom"/>
          </w:tcPr>
          <w:p>
            <w:pPr>
              <w:jc w:val="right"/>
              <w:ind w:right="23"/>
              <w:spacing w:after="0"/>
              <w:rPr>
                <w:sz w:val="20"/>
                <w:szCs w:val="20"/>
                <w:color w:val="auto"/>
              </w:rPr>
            </w:pPr>
            <w:r>
              <w:rPr>
                <w:rFonts w:ascii="Arial" w:cs="Arial" w:eastAsia="Arial" w:hAnsi="Arial"/>
                <w:sz w:val="11"/>
                <w:szCs w:val="11"/>
                <w:color w:val="auto"/>
              </w:rPr>
              <w:t>231,583</w:t>
            </w:r>
          </w:p>
        </w:tc>
        <w:tc>
          <w:tcPr>
            <w:tcW w:w="15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10" w:type="dxa"/>
            <w:vAlign w:val="bottom"/>
          </w:tcPr>
          <w:p>
            <w:pPr>
              <w:jc w:val="right"/>
              <w:ind w:right="3"/>
              <w:spacing w:after="0"/>
              <w:rPr>
                <w:sz w:val="20"/>
                <w:szCs w:val="20"/>
                <w:color w:val="auto"/>
              </w:rPr>
            </w:pPr>
            <w:r>
              <w:rPr>
                <w:rFonts w:ascii="Arial" w:cs="Arial" w:eastAsia="Arial" w:hAnsi="Arial"/>
                <w:sz w:val="11"/>
                <w:szCs w:val="11"/>
                <w:color w:val="auto"/>
              </w:rPr>
              <w:t>225,088</w:t>
            </w:r>
          </w:p>
        </w:tc>
        <w:tc>
          <w:tcPr>
            <w:tcW w:w="20" w:type="dxa"/>
            <w:vAlign w:val="bottom"/>
          </w:tcPr>
          <w:p>
            <w:pPr>
              <w:spacing w:after="0"/>
              <w:rPr>
                <w:sz w:val="13"/>
                <w:szCs w:val="13"/>
                <w:color w:val="auto"/>
              </w:rPr>
            </w:pPr>
          </w:p>
        </w:tc>
      </w:tr>
      <w:tr>
        <w:trPr>
          <w:trHeight w:val="160"/>
        </w:trPr>
        <w:tc>
          <w:tcPr>
            <w:tcW w:w="220" w:type="dxa"/>
            <w:vAlign w:val="bottom"/>
            <w:shd w:val="clear" w:color="auto" w:fill="CCEEFF"/>
          </w:tcPr>
          <w:p>
            <w:pPr>
              <w:spacing w:after="0"/>
              <w:rPr>
                <w:sz w:val="13"/>
                <w:szCs w:val="13"/>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Less: Intangible assets</w:t>
            </w:r>
          </w:p>
        </w:tc>
        <w:tc>
          <w:tcPr>
            <w:tcW w:w="20" w:type="dxa"/>
            <w:vAlign w:val="bottom"/>
            <w:tcBorders>
              <w:bottom w:val="single" w:sz="8" w:color="auto"/>
            </w:tcBorders>
            <w:shd w:val="clear" w:color="auto" w:fill="CCEEFF"/>
          </w:tcPr>
          <w:p>
            <w:pPr>
              <w:spacing w:after="0"/>
              <w:rPr>
                <w:sz w:val="13"/>
                <w:szCs w:val="13"/>
                <w:color w:val="auto"/>
              </w:rPr>
            </w:pPr>
          </w:p>
        </w:tc>
        <w:tc>
          <w:tcPr>
            <w:tcW w:w="110" w:type="dxa"/>
            <w:vAlign w:val="bottom"/>
            <w:tcBorders>
              <w:bottom w:val="single" w:sz="8" w:color="auto"/>
            </w:tcBorders>
            <w:shd w:val="clear" w:color="auto" w:fill="CCEEFF"/>
          </w:tcPr>
          <w:p>
            <w:pPr>
              <w:spacing w:after="0"/>
              <w:rPr>
                <w:sz w:val="13"/>
                <w:szCs w:val="13"/>
                <w:color w:val="auto"/>
              </w:rPr>
            </w:pPr>
          </w:p>
        </w:tc>
        <w:tc>
          <w:tcPr>
            <w:tcW w:w="73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10" w:type="dxa"/>
            <w:vAlign w:val="bottom"/>
            <w:tcBorders>
              <w:bottom w:val="single" w:sz="8" w:color="auto"/>
            </w:tcBorders>
            <w:shd w:val="clear" w:color="auto" w:fill="CCEEFF"/>
          </w:tcPr>
          <w:p>
            <w:pPr>
              <w:spacing w:after="0"/>
              <w:rPr>
                <w:sz w:val="13"/>
                <w:szCs w:val="13"/>
                <w:color w:val="auto"/>
              </w:rPr>
            </w:pPr>
          </w:p>
        </w:tc>
        <w:tc>
          <w:tcPr>
            <w:tcW w:w="73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30" w:type="dxa"/>
            <w:vAlign w:val="bottom"/>
            <w:tcBorders>
              <w:bottom w:val="single" w:sz="8" w:color="auto"/>
            </w:tcBorders>
            <w:shd w:val="clear" w:color="auto" w:fill="CCEEFF"/>
          </w:tcPr>
          <w:p>
            <w:pPr>
              <w:spacing w:after="0"/>
              <w:rPr>
                <w:sz w:val="13"/>
                <w:szCs w:val="13"/>
                <w:color w:val="auto"/>
              </w:rPr>
            </w:pPr>
          </w:p>
        </w:tc>
        <w:tc>
          <w:tcPr>
            <w:tcW w:w="71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r>
      <w:tr>
        <w:trPr>
          <w:trHeight w:val="140"/>
        </w:trPr>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tcPr>
          <w:p>
            <w:pPr>
              <w:spacing w:after="0" w:line="140" w:lineRule="exact"/>
              <w:rPr>
                <w:sz w:val="20"/>
                <w:szCs w:val="20"/>
                <w:color w:val="auto"/>
              </w:rPr>
            </w:pPr>
            <w:r>
              <w:rPr>
                <w:rFonts w:ascii="Arial" w:cs="Arial" w:eastAsia="Arial" w:hAnsi="Arial"/>
                <w:sz w:val="11"/>
                <w:szCs w:val="11"/>
                <w:color w:val="auto"/>
              </w:rPr>
              <w:t>Tangible stockholders' equity</w:t>
            </w:r>
            <w:r>
              <w:rPr>
                <w:rFonts w:ascii="Arial" w:cs="Arial" w:eastAsia="Arial" w:hAnsi="Arial"/>
                <w:sz w:val="14"/>
                <w:szCs w:val="14"/>
                <w:color w:val="auto"/>
                <w:vertAlign w:val="superscript"/>
              </w:rPr>
              <w:t>(2)</w:t>
            </w:r>
          </w:p>
        </w:tc>
        <w:tc>
          <w:tcPr>
            <w:tcW w:w="13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30" w:type="dxa"/>
            <w:vAlign w:val="bottom"/>
          </w:tcPr>
          <w:p>
            <w:pPr>
              <w:jc w:val="right"/>
              <w:ind w:right="23"/>
              <w:spacing w:after="0"/>
              <w:rPr>
                <w:sz w:val="20"/>
                <w:szCs w:val="20"/>
                <w:color w:val="auto"/>
              </w:rPr>
            </w:pPr>
            <w:r>
              <w:rPr>
                <w:rFonts w:ascii="Arial" w:cs="Arial" w:eastAsia="Arial" w:hAnsi="Arial"/>
                <w:sz w:val="11"/>
                <w:szCs w:val="11"/>
                <w:color w:val="auto"/>
              </w:rPr>
              <w:t>223,246</w:t>
            </w:r>
          </w:p>
        </w:tc>
        <w:tc>
          <w:tcPr>
            <w:tcW w:w="1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217,183</w:t>
            </w:r>
          </w:p>
        </w:tc>
        <w:tc>
          <w:tcPr>
            <w:tcW w:w="20" w:type="dxa"/>
            <w:vAlign w:val="bottom"/>
          </w:tcPr>
          <w:p>
            <w:pPr>
              <w:spacing w:after="0"/>
              <w:rPr>
                <w:sz w:val="12"/>
                <w:szCs w:val="12"/>
                <w:color w:val="auto"/>
              </w:rPr>
            </w:pP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23"/>
              <w:spacing w:after="0"/>
              <w:rPr>
                <w:sz w:val="20"/>
                <w:szCs w:val="20"/>
                <w:color w:val="auto"/>
              </w:rPr>
            </w:pPr>
            <w:r>
              <w:rPr>
                <w:rFonts w:ascii="Arial" w:cs="Arial" w:eastAsia="Arial" w:hAnsi="Arial"/>
                <w:sz w:val="11"/>
                <w:szCs w:val="11"/>
                <w:color w:val="auto"/>
              </w:rPr>
              <w:t>209,095</w:t>
            </w:r>
          </w:p>
        </w:tc>
        <w:tc>
          <w:tcPr>
            <w:tcW w:w="19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30" w:type="dxa"/>
            <w:vAlign w:val="bottom"/>
          </w:tcPr>
          <w:p>
            <w:pPr>
              <w:jc w:val="right"/>
              <w:ind w:right="23"/>
              <w:spacing w:after="0"/>
              <w:rPr>
                <w:sz w:val="20"/>
                <w:szCs w:val="20"/>
                <w:color w:val="auto"/>
              </w:rPr>
            </w:pPr>
            <w:r>
              <w:rPr>
                <w:rFonts w:ascii="Arial" w:cs="Arial" w:eastAsia="Arial" w:hAnsi="Arial"/>
                <w:sz w:val="11"/>
                <w:szCs w:val="11"/>
                <w:color w:val="auto"/>
              </w:rPr>
              <w:t>231,583</w:t>
            </w:r>
          </w:p>
        </w:tc>
        <w:tc>
          <w:tcPr>
            <w:tcW w:w="15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10" w:type="dxa"/>
            <w:vAlign w:val="bottom"/>
          </w:tcPr>
          <w:p>
            <w:pPr>
              <w:jc w:val="right"/>
              <w:ind w:right="3"/>
              <w:spacing w:after="0"/>
              <w:rPr>
                <w:sz w:val="20"/>
                <w:szCs w:val="20"/>
                <w:color w:val="auto"/>
              </w:rPr>
            </w:pPr>
            <w:r>
              <w:rPr>
                <w:rFonts w:ascii="Arial" w:cs="Arial" w:eastAsia="Arial" w:hAnsi="Arial"/>
                <w:sz w:val="11"/>
                <w:szCs w:val="11"/>
                <w:color w:val="auto"/>
              </w:rPr>
              <w:t>225,088</w:t>
            </w:r>
          </w:p>
        </w:tc>
        <w:tc>
          <w:tcPr>
            <w:tcW w:w="20" w:type="dxa"/>
            <w:vAlign w:val="bottom"/>
          </w:tcPr>
          <w:p>
            <w:pPr>
              <w:spacing w:after="0"/>
              <w:rPr>
                <w:sz w:val="12"/>
                <w:szCs w:val="12"/>
                <w:color w:val="auto"/>
              </w:rPr>
            </w:pPr>
          </w:p>
        </w:tc>
      </w:tr>
      <w:tr>
        <w:trPr>
          <w:trHeight w:val="160"/>
        </w:trPr>
        <w:tc>
          <w:tcPr>
            <w:tcW w:w="3300" w:type="dxa"/>
            <w:vAlign w:val="bottom"/>
            <w:gridSpan w:val="3"/>
            <w:shd w:val="clear" w:color="auto" w:fill="CCEEFF"/>
          </w:tcPr>
          <w:p>
            <w:pPr>
              <w:ind w:left="140"/>
              <w:spacing w:after="0"/>
              <w:rPr>
                <w:sz w:val="20"/>
                <w:szCs w:val="20"/>
                <w:color w:val="auto"/>
              </w:rPr>
            </w:pPr>
            <w:r>
              <w:rPr>
                <w:rFonts w:ascii="Arial" w:cs="Arial" w:eastAsia="Arial" w:hAnsi="Arial"/>
                <w:sz w:val="11"/>
                <w:szCs w:val="11"/>
                <w:b w:val="1"/>
                <w:bCs w:val="1"/>
                <w:color w:val="auto"/>
              </w:rPr>
              <w:t>Total shares issued and outstanding (at period-end):</w:t>
            </w: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73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73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71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2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9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Total common shares issued and outstanding</w:t>
            </w:r>
          </w:p>
        </w:tc>
        <w:tc>
          <w:tcPr>
            <w:tcW w:w="20" w:type="dxa"/>
            <w:vAlign w:val="bottom"/>
            <w:tcBorders>
              <w:bottom w:val="single" w:sz="8" w:color="auto"/>
            </w:tcBorders>
          </w:tcPr>
          <w:p>
            <w:pPr>
              <w:spacing w:after="0"/>
              <w:rPr>
                <w:sz w:val="13"/>
                <w:szCs w:val="13"/>
                <w:color w:val="auto"/>
              </w:rPr>
            </w:pPr>
          </w:p>
        </w:tc>
        <w:tc>
          <w:tcPr>
            <w:tcW w:w="110" w:type="dxa"/>
            <w:vAlign w:val="bottom"/>
            <w:tcBorders>
              <w:bottom w:val="single" w:sz="8" w:color="auto"/>
            </w:tcBorders>
          </w:tcPr>
          <w:p>
            <w:pPr>
              <w:spacing w:after="0"/>
              <w:rPr>
                <w:sz w:val="13"/>
                <w:szCs w:val="13"/>
                <w:color w:val="auto"/>
              </w:rPr>
            </w:pPr>
          </w:p>
        </w:tc>
        <w:tc>
          <w:tcPr>
            <w:tcW w:w="73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18,257,400</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18,137,885</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18,107,385</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 w:type="dxa"/>
            <w:vAlign w:val="bottom"/>
            <w:tcBorders>
              <w:bottom w:val="single" w:sz="8" w:color="auto"/>
            </w:tcBorders>
          </w:tcPr>
          <w:p>
            <w:pPr>
              <w:spacing w:after="0"/>
              <w:rPr>
                <w:sz w:val="13"/>
                <w:szCs w:val="13"/>
                <w:color w:val="auto"/>
              </w:rPr>
            </w:pPr>
          </w:p>
        </w:tc>
        <w:tc>
          <w:tcPr>
            <w:tcW w:w="73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20,078,385</w:t>
            </w:r>
          </w:p>
        </w:tc>
        <w:tc>
          <w:tcPr>
            <w:tcW w:w="20" w:type="dxa"/>
            <w:vAlign w:val="bottom"/>
            <w:tcBorders>
              <w:bottom w:val="single" w:sz="8" w:color="CCEEFF"/>
            </w:tcBorders>
          </w:tcPr>
          <w:p>
            <w:pPr>
              <w:spacing w:after="0"/>
              <w:rPr>
                <w:sz w:val="13"/>
                <w:szCs w:val="13"/>
                <w:color w:val="auto"/>
              </w:rPr>
            </w:pPr>
          </w:p>
        </w:tc>
        <w:tc>
          <w:tcPr>
            <w:tcW w:w="130" w:type="dxa"/>
            <w:vAlign w:val="bottom"/>
            <w:tcBorders>
              <w:bottom w:val="single" w:sz="8" w:color="auto"/>
            </w:tcBorders>
          </w:tcPr>
          <w:p>
            <w:pPr>
              <w:spacing w:after="0"/>
              <w:rPr>
                <w:sz w:val="13"/>
                <w:szCs w:val="13"/>
                <w:color w:val="auto"/>
              </w:rPr>
            </w:pPr>
          </w:p>
        </w:tc>
        <w:tc>
          <w:tcPr>
            <w:tcW w:w="71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20,048,385</w:t>
            </w:r>
          </w:p>
        </w:tc>
        <w:tc>
          <w:tcPr>
            <w:tcW w:w="20" w:type="dxa"/>
            <w:vAlign w:val="bottom"/>
          </w:tcPr>
          <w:p>
            <w:pPr>
              <w:spacing w:after="0"/>
              <w:rPr>
                <w:sz w:val="13"/>
                <w:szCs w:val="13"/>
                <w:color w:val="auto"/>
              </w:rPr>
            </w:pPr>
          </w:p>
        </w:tc>
      </w:tr>
      <w:tr>
        <w:trPr>
          <w:trHeight w:val="152"/>
        </w:trPr>
        <w:tc>
          <w:tcPr>
            <w:tcW w:w="220" w:type="dxa"/>
            <w:vAlign w:val="bottom"/>
            <w:shd w:val="clear" w:color="auto" w:fill="CCEEFF"/>
          </w:tcPr>
          <w:p>
            <w:pPr>
              <w:spacing w:after="0"/>
              <w:rPr>
                <w:sz w:val="13"/>
                <w:szCs w:val="13"/>
                <w:color w:val="auto"/>
              </w:rPr>
            </w:pPr>
          </w:p>
        </w:tc>
        <w:tc>
          <w:tcPr>
            <w:tcW w:w="3080" w:type="dxa"/>
            <w:vAlign w:val="bottom"/>
            <w:gridSpan w:val="2"/>
            <w:shd w:val="clear" w:color="auto" w:fill="CCEEFF"/>
          </w:tcPr>
          <w:p>
            <w:pPr>
              <w:spacing w:after="0" w:line="140" w:lineRule="exact"/>
              <w:rPr>
                <w:sz w:val="20"/>
                <w:szCs w:val="20"/>
                <w:color w:val="auto"/>
              </w:rPr>
            </w:pPr>
            <w:r>
              <w:rPr>
                <w:rFonts w:ascii="Arial" w:cs="Arial" w:eastAsia="Arial" w:hAnsi="Arial"/>
                <w:sz w:val="11"/>
                <w:szCs w:val="11"/>
                <w:color w:val="auto"/>
              </w:rPr>
              <w:t>Tangible book value per common share</w:t>
            </w:r>
            <w:r>
              <w:rPr>
                <w:rFonts w:ascii="Arial" w:cs="Arial" w:eastAsia="Arial" w:hAnsi="Arial"/>
                <w:sz w:val="14"/>
                <w:szCs w:val="14"/>
                <w:color w:val="auto"/>
                <w:vertAlign w:val="superscript"/>
              </w:rPr>
              <w:t>(3)</w:t>
            </w:r>
          </w:p>
        </w:tc>
        <w:tc>
          <w:tcPr>
            <w:tcW w:w="20" w:type="dxa"/>
            <w:vAlign w:val="bottom"/>
            <w:shd w:val="clear" w:color="auto" w:fill="CCEEFF"/>
          </w:tcPr>
          <w:p>
            <w:pPr>
              <w:spacing w:after="0"/>
              <w:rPr>
                <w:sz w:val="13"/>
                <w:szCs w:val="13"/>
                <w:color w:val="auto"/>
              </w:rPr>
            </w:pPr>
          </w:p>
        </w:tc>
        <w:tc>
          <w:tcPr>
            <w:tcW w:w="11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3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12.23</w:t>
            </w: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shd w:val="clear" w:color="auto" w:fill="CCEEFF"/>
              </w:rPr>
              <w:t>$</w:t>
            </w: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11.97</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11.55</w:t>
            </w:r>
          </w:p>
        </w:tc>
        <w:tc>
          <w:tcPr>
            <w:tcW w:w="80" w:type="dxa"/>
            <w:vAlign w:val="bottom"/>
            <w:gridSpan w:val="2"/>
            <w:shd w:val="clear" w:color="auto" w:fill="CCEEFF"/>
          </w:tcPr>
          <w:p>
            <w:pPr>
              <w:spacing w:after="0"/>
              <w:rPr>
                <w:sz w:val="13"/>
                <w:szCs w:val="13"/>
                <w:color w:val="auto"/>
              </w:rPr>
            </w:pPr>
          </w:p>
        </w:tc>
        <w:tc>
          <w:tcPr>
            <w:tcW w:w="11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3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11.53</w:t>
            </w:r>
          </w:p>
        </w:tc>
        <w:tc>
          <w:tcPr>
            <w:tcW w:w="20" w:type="dxa"/>
            <w:vAlign w:val="bottom"/>
            <w:shd w:val="clear" w:color="auto" w:fill="CCEEFF"/>
          </w:tcPr>
          <w:p>
            <w:pPr>
              <w:spacing w:after="0"/>
              <w:rPr>
                <w:sz w:val="13"/>
                <w:szCs w:val="13"/>
                <w:color w:val="auto"/>
              </w:rPr>
            </w:pPr>
          </w:p>
        </w:tc>
        <w:tc>
          <w:tcPr>
            <w:tcW w:w="13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1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11.23</w:t>
            </w:r>
          </w:p>
        </w:tc>
        <w:tc>
          <w:tcPr>
            <w:tcW w:w="20" w:type="dxa"/>
            <w:vAlign w:val="bottom"/>
            <w:tcBorders>
              <w:bottom w:val="single" w:sz="8" w:color="auto"/>
            </w:tcBorders>
            <w:shd w:val="clear" w:color="auto" w:fill="CCEEFF"/>
          </w:tcPr>
          <w:p>
            <w:pPr>
              <w:spacing w:after="0"/>
              <w:rPr>
                <w:sz w:val="13"/>
                <w:szCs w:val="13"/>
                <w:color w:val="auto"/>
              </w:rPr>
            </w:pPr>
          </w:p>
        </w:tc>
      </w:tr>
      <w:tr>
        <w:trPr>
          <w:trHeight w:val="320"/>
        </w:trPr>
        <w:tc>
          <w:tcPr>
            <w:tcW w:w="3300" w:type="dxa"/>
            <w:vAlign w:val="bottom"/>
            <w:gridSpan w:val="3"/>
          </w:tcPr>
          <w:p>
            <w:pPr>
              <w:ind w:left="40"/>
              <w:spacing w:after="0"/>
              <w:rPr>
                <w:sz w:val="20"/>
                <w:szCs w:val="20"/>
                <w:color w:val="auto"/>
              </w:rPr>
            </w:pPr>
            <w:r>
              <w:rPr>
                <w:rFonts w:ascii="Arial" w:cs="Arial" w:eastAsia="Arial" w:hAnsi="Arial"/>
                <w:sz w:val="11"/>
                <w:szCs w:val="11"/>
                <w:b w:val="1"/>
                <w:bCs w:val="1"/>
                <w:color w:val="auto"/>
              </w:rPr>
              <w:t>Operating diluted net income per common share:</w:t>
            </w:r>
            <w:r>
              <w:rPr>
                <w:rFonts w:ascii="Arial" w:cs="Arial" w:eastAsia="Arial" w:hAnsi="Arial"/>
                <w:sz w:val="14"/>
                <w:szCs w:val="14"/>
                <w:color w:val="auto"/>
                <w:vertAlign w:val="superscript"/>
              </w:rPr>
              <w:t>(1)</w:t>
            </w: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7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7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71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0"/>
        </w:trPr>
        <w:tc>
          <w:tcPr>
            <w:tcW w:w="220" w:type="dxa"/>
            <w:vAlign w:val="bottom"/>
            <w:shd w:val="clear" w:color="auto" w:fill="CCEEFF"/>
          </w:tcPr>
          <w:p>
            <w:pPr>
              <w:spacing w:after="0"/>
              <w:rPr>
                <w:sz w:val="13"/>
                <w:szCs w:val="13"/>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Operating net income</w:t>
            </w: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3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8,722</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shd w:val="clear" w:color="auto" w:fill="CCEEFF"/>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8,057</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8,960</w:t>
            </w:r>
          </w:p>
        </w:tc>
        <w:tc>
          <w:tcPr>
            <w:tcW w:w="80" w:type="dxa"/>
            <w:vAlign w:val="bottom"/>
            <w:gridSpan w:val="2"/>
            <w:shd w:val="clear" w:color="auto" w:fill="CCEEFF"/>
          </w:tcPr>
          <w:p>
            <w:pPr>
              <w:spacing w:after="0"/>
              <w:rPr>
                <w:sz w:val="13"/>
                <w:szCs w:val="13"/>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3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8,140</w:t>
            </w:r>
          </w:p>
        </w:tc>
        <w:tc>
          <w:tcPr>
            <w:tcW w:w="20" w:type="dxa"/>
            <w:vAlign w:val="bottom"/>
            <w:shd w:val="clear" w:color="auto" w:fill="CCEEFF"/>
          </w:tcPr>
          <w:p>
            <w:pPr>
              <w:spacing w:after="0"/>
              <w:rPr>
                <w:sz w:val="13"/>
                <w:szCs w:val="13"/>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1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7,658</w:t>
            </w:r>
          </w:p>
        </w:tc>
        <w:tc>
          <w:tcPr>
            <w:tcW w:w="20" w:type="dxa"/>
            <w:vAlign w:val="bottom"/>
            <w:shd w:val="clear" w:color="auto" w:fill="CCEEFF"/>
          </w:tcPr>
          <w:p>
            <w:pPr>
              <w:spacing w:after="0"/>
              <w:rPr>
                <w:sz w:val="13"/>
                <w:szCs w:val="13"/>
                <w:color w:val="auto"/>
              </w:rPr>
            </w:pPr>
          </w:p>
        </w:tc>
      </w:tr>
      <w:tr>
        <w:trPr>
          <w:trHeight w:val="169"/>
        </w:trPr>
        <w:tc>
          <w:tcPr>
            <w:tcW w:w="220" w:type="dxa"/>
            <w:vAlign w:val="bottom"/>
          </w:tcPr>
          <w:p>
            <w:pPr>
              <w:spacing w:after="0"/>
              <w:rPr>
                <w:sz w:val="14"/>
                <w:szCs w:val="14"/>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Total weighted average diluted shares of common stock</w:t>
            </w:r>
          </w:p>
        </w:tc>
        <w:tc>
          <w:tcPr>
            <w:tcW w:w="20" w:type="dxa"/>
            <w:vAlign w:val="bottom"/>
            <w:tcBorders>
              <w:bottom w:val="single" w:sz="8" w:color="auto"/>
            </w:tcBorders>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73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18,454,006</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18,348,725</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19,755,820</w:t>
            </w: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73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20,295,794</w:t>
            </w:r>
          </w:p>
        </w:tc>
        <w:tc>
          <w:tcPr>
            <w:tcW w:w="20" w:type="dxa"/>
            <w:vAlign w:val="bottom"/>
          </w:tcPr>
          <w:p>
            <w:pPr>
              <w:spacing w:after="0"/>
              <w:rPr>
                <w:sz w:val="14"/>
                <w:szCs w:val="14"/>
                <w:color w:val="auto"/>
              </w:rPr>
            </w:pPr>
          </w:p>
        </w:tc>
        <w:tc>
          <w:tcPr>
            <w:tcW w:w="130" w:type="dxa"/>
            <w:vAlign w:val="bottom"/>
            <w:tcBorders>
              <w:bottom w:val="single" w:sz="8" w:color="auto"/>
            </w:tcBorders>
          </w:tcPr>
          <w:p>
            <w:pPr>
              <w:spacing w:after="0"/>
              <w:rPr>
                <w:sz w:val="14"/>
                <w:szCs w:val="14"/>
                <w:color w:val="auto"/>
              </w:rPr>
            </w:pPr>
          </w:p>
        </w:tc>
        <w:tc>
          <w:tcPr>
            <w:tcW w:w="71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20,319,535</w:t>
            </w:r>
          </w:p>
        </w:tc>
        <w:tc>
          <w:tcPr>
            <w:tcW w:w="20" w:type="dxa"/>
            <w:vAlign w:val="bottom"/>
          </w:tcPr>
          <w:p>
            <w:pPr>
              <w:spacing w:after="0"/>
              <w:rPr>
                <w:sz w:val="14"/>
                <w:szCs w:val="14"/>
                <w:color w:val="auto"/>
              </w:rPr>
            </w:pPr>
          </w:p>
        </w:tc>
      </w:tr>
      <w:tr>
        <w:trPr>
          <w:trHeight w:val="163"/>
        </w:trPr>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Operating diluted net income per common share:</w:t>
            </w:r>
          </w:p>
        </w:tc>
        <w:tc>
          <w:tcPr>
            <w:tcW w:w="20" w:type="dxa"/>
            <w:vAlign w:val="bottom"/>
            <w:tcBorders>
              <w:top w:val="single" w:sz="8" w:color="CCEEFF"/>
            </w:tcBorders>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3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0.47</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shd w:val="clear" w:color="auto" w:fill="CCEEFF"/>
              </w:rPr>
              <w:t>$</w:t>
            </w: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0.44</w:t>
            </w:r>
          </w:p>
        </w:tc>
        <w:tc>
          <w:tcPr>
            <w:tcW w:w="20" w:type="dxa"/>
            <w:vAlign w:val="bottom"/>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0.45</w:t>
            </w:r>
          </w:p>
        </w:tc>
        <w:tc>
          <w:tcPr>
            <w:tcW w:w="80" w:type="dxa"/>
            <w:vAlign w:val="bottom"/>
            <w:tcBorders>
              <w:top w:val="single" w:sz="8" w:color="CCEEFF"/>
            </w:tcBorders>
            <w:gridSpan w:val="2"/>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3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0.40</w:t>
            </w:r>
          </w:p>
        </w:tc>
        <w:tc>
          <w:tcPr>
            <w:tcW w:w="20" w:type="dxa"/>
            <w:vAlign w:val="bottom"/>
            <w:tcBorders>
              <w:top w:val="single" w:sz="8" w:color="CCEEFF"/>
            </w:tcBorders>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1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0.38</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32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73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73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75"/>
        </w:trPr>
        <w:tc>
          <w:tcPr>
            <w:tcW w:w="320" w:type="dxa"/>
            <w:vAlign w:val="bottom"/>
            <w:gridSpan w:val="2"/>
          </w:tcPr>
          <w:p>
            <w:pPr>
              <w:spacing w:after="0"/>
              <w:rPr>
                <w:sz w:val="15"/>
                <w:szCs w:val="15"/>
                <w:color w:val="auto"/>
              </w:rPr>
            </w:pPr>
          </w:p>
        </w:tc>
        <w:tc>
          <w:tcPr>
            <w:tcW w:w="2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3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3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71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3300" w:type="dxa"/>
            <w:vAlign w:val="bottom"/>
            <w:gridSpan w:val="3"/>
            <w:shd w:val="clear" w:color="auto" w:fill="CCEEFF"/>
          </w:tcPr>
          <w:p>
            <w:pPr>
              <w:ind w:left="40"/>
              <w:spacing w:after="0"/>
              <w:rPr>
                <w:sz w:val="20"/>
                <w:szCs w:val="20"/>
                <w:color w:val="auto"/>
              </w:rPr>
            </w:pPr>
            <w:r>
              <w:rPr>
                <w:rFonts w:ascii="Arial" w:cs="Arial" w:eastAsia="Arial" w:hAnsi="Arial"/>
                <w:sz w:val="11"/>
                <w:szCs w:val="11"/>
                <w:b w:val="1"/>
                <w:bCs w:val="1"/>
                <w:color w:val="auto"/>
              </w:rPr>
              <w:t>Tangible Common Equity/Tangible Assets</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3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3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71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71"/>
        </w:trPr>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Arial" w:cs="Arial" w:eastAsia="Arial" w:hAnsi="Arial"/>
                <w:sz w:val="11"/>
                <w:szCs w:val="11"/>
                <w:color w:val="auto"/>
              </w:rPr>
              <w:t>Tangible stockholders' equity</w:t>
            </w:r>
          </w:p>
        </w:tc>
        <w:tc>
          <w:tcPr>
            <w:tcW w:w="13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30" w:type="dxa"/>
            <w:vAlign w:val="bottom"/>
          </w:tcPr>
          <w:p>
            <w:pPr>
              <w:jc w:val="right"/>
              <w:ind w:right="23"/>
              <w:spacing w:after="0"/>
              <w:rPr>
                <w:sz w:val="20"/>
                <w:szCs w:val="20"/>
                <w:color w:val="auto"/>
              </w:rPr>
            </w:pPr>
            <w:r>
              <w:rPr>
                <w:rFonts w:ascii="Arial" w:cs="Arial" w:eastAsia="Arial" w:hAnsi="Arial"/>
                <w:sz w:val="11"/>
                <w:szCs w:val="11"/>
                <w:color w:val="auto"/>
              </w:rPr>
              <w:t>223,246</w:t>
            </w:r>
          </w:p>
        </w:tc>
        <w:tc>
          <w:tcPr>
            <w:tcW w:w="1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217,183</w:t>
            </w:r>
          </w:p>
        </w:tc>
        <w:tc>
          <w:tcPr>
            <w:tcW w:w="2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23"/>
              <w:spacing w:after="0"/>
              <w:rPr>
                <w:sz w:val="20"/>
                <w:szCs w:val="20"/>
                <w:color w:val="auto"/>
              </w:rPr>
            </w:pPr>
            <w:r>
              <w:rPr>
                <w:rFonts w:ascii="Arial" w:cs="Arial" w:eastAsia="Arial" w:hAnsi="Arial"/>
                <w:sz w:val="11"/>
                <w:szCs w:val="11"/>
                <w:color w:val="auto"/>
              </w:rPr>
              <w:t>209,095</w:t>
            </w:r>
          </w:p>
        </w:tc>
        <w:tc>
          <w:tcPr>
            <w:tcW w:w="19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30" w:type="dxa"/>
            <w:vAlign w:val="bottom"/>
          </w:tcPr>
          <w:p>
            <w:pPr>
              <w:jc w:val="right"/>
              <w:ind w:right="23"/>
              <w:spacing w:after="0"/>
              <w:rPr>
                <w:sz w:val="20"/>
                <w:szCs w:val="20"/>
                <w:color w:val="auto"/>
              </w:rPr>
            </w:pPr>
            <w:r>
              <w:rPr>
                <w:rFonts w:ascii="Arial" w:cs="Arial" w:eastAsia="Arial" w:hAnsi="Arial"/>
                <w:sz w:val="11"/>
                <w:szCs w:val="11"/>
                <w:color w:val="auto"/>
              </w:rPr>
              <w:t>231,583</w:t>
            </w:r>
          </w:p>
        </w:tc>
        <w:tc>
          <w:tcPr>
            <w:tcW w:w="15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10" w:type="dxa"/>
            <w:vAlign w:val="bottom"/>
          </w:tcPr>
          <w:p>
            <w:pPr>
              <w:jc w:val="right"/>
              <w:ind w:right="3"/>
              <w:spacing w:after="0"/>
              <w:rPr>
                <w:sz w:val="20"/>
                <w:szCs w:val="20"/>
                <w:color w:val="auto"/>
              </w:rPr>
            </w:pPr>
            <w:r>
              <w:rPr>
                <w:rFonts w:ascii="Arial" w:cs="Arial" w:eastAsia="Arial" w:hAnsi="Arial"/>
                <w:sz w:val="11"/>
                <w:szCs w:val="11"/>
                <w:color w:val="auto"/>
              </w:rPr>
              <w:t>225,088</w:t>
            </w:r>
          </w:p>
        </w:tc>
        <w:tc>
          <w:tcPr>
            <w:tcW w:w="20" w:type="dxa"/>
            <w:vAlign w:val="bottom"/>
          </w:tcPr>
          <w:p>
            <w:pPr>
              <w:spacing w:after="0"/>
              <w:rPr>
                <w:sz w:val="14"/>
                <w:szCs w:val="14"/>
                <w:color w:val="auto"/>
              </w:rPr>
            </w:pPr>
          </w:p>
        </w:tc>
      </w:tr>
      <w:tr>
        <w:trPr>
          <w:trHeight w:val="181"/>
        </w:trPr>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1"/>
                <w:szCs w:val="11"/>
                <w:color w:val="auto"/>
              </w:rPr>
              <w:t>Tangible total assets</w:t>
            </w:r>
            <w:r>
              <w:rPr>
                <w:rFonts w:ascii="Arial" w:cs="Arial" w:eastAsia="Arial" w:hAnsi="Arial"/>
                <w:sz w:val="14"/>
                <w:szCs w:val="14"/>
                <w:color w:val="auto"/>
                <w:vertAlign w:val="superscript"/>
              </w:rPr>
              <w:t>(2)</w:t>
            </w: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3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2,845,735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shd w:val="clear" w:color="auto" w:fill="CCEEFF"/>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2,791,540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2,767,945</w:t>
            </w:r>
          </w:p>
        </w:tc>
        <w:tc>
          <w:tcPr>
            <w:tcW w:w="80" w:type="dxa"/>
            <w:vAlign w:val="bottom"/>
            <w:gridSpan w:val="2"/>
            <w:shd w:val="clear" w:color="auto" w:fill="CCEEFF"/>
          </w:tcPr>
          <w:p>
            <w:pPr>
              <w:spacing w:after="0"/>
              <w:rPr>
                <w:sz w:val="15"/>
                <w:szCs w:val="15"/>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3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2,719,474</w:t>
            </w:r>
          </w:p>
        </w:tc>
        <w:tc>
          <w:tcPr>
            <w:tcW w:w="20" w:type="dxa"/>
            <w:vAlign w:val="bottom"/>
            <w:shd w:val="clear" w:color="auto" w:fill="CCEEFF"/>
          </w:tcPr>
          <w:p>
            <w:pPr>
              <w:spacing w:after="0"/>
              <w:rPr>
                <w:sz w:val="15"/>
                <w:szCs w:val="15"/>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1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2,677,382</w:t>
            </w:r>
          </w:p>
        </w:tc>
        <w:tc>
          <w:tcPr>
            <w:tcW w:w="20" w:type="dxa"/>
            <w:vAlign w:val="bottom"/>
            <w:shd w:val="clear" w:color="auto" w:fill="CCEEFF"/>
          </w:tcPr>
          <w:p>
            <w:pPr>
              <w:spacing w:after="0"/>
              <w:rPr>
                <w:sz w:val="15"/>
                <w:szCs w:val="15"/>
                <w:color w:val="auto"/>
              </w:rPr>
            </w:pPr>
          </w:p>
        </w:tc>
      </w:tr>
      <w:tr>
        <w:trPr>
          <w:trHeight w:val="192"/>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tcPr>
          <w:p>
            <w:pPr>
              <w:spacing w:after="0"/>
              <w:rPr>
                <w:sz w:val="20"/>
                <w:szCs w:val="20"/>
                <w:color w:val="auto"/>
              </w:rPr>
            </w:pPr>
            <w:r>
              <w:rPr>
                <w:rFonts w:ascii="Arial" w:cs="Arial" w:eastAsia="Arial" w:hAnsi="Arial"/>
                <w:sz w:val="11"/>
                <w:szCs w:val="11"/>
                <w:color w:val="auto"/>
              </w:rPr>
              <w:t>Tangible Common Equity/Tangible Assets</w:t>
            </w:r>
          </w:p>
        </w:tc>
        <w:tc>
          <w:tcPr>
            <w:tcW w:w="2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730" w:type="dxa"/>
            <w:vAlign w:val="bottom"/>
          </w:tcPr>
          <w:p>
            <w:pPr>
              <w:jc w:val="right"/>
              <w:spacing w:after="0"/>
              <w:rPr>
                <w:sz w:val="20"/>
                <w:szCs w:val="20"/>
                <w:color w:val="auto"/>
              </w:rPr>
            </w:pPr>
            <w:r>
              <w:rPr>
                <w:rFonts w:ascii="Arial" w:cs="Arial" w:eastAsia="Arial" w:hAnsi="Arial"/>
                <w:sz w:val="11"/>
                <w:szCs w:val="11"/>
                <w:color w:val="auto"/>
              </w:rPr>
              <w:t>7.84%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7.78%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7.55%</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730" w:type="dxa"/>
            <w:vAlign w:val="bottom"/>
          </w:tcPr>
          <w:p>
            <w:pPr>
              <w:jc w:val="right"/>
              <w:ind w:right="3"/>
              <w:spacing w:after="0"/>
              <w:rPr>
                <w:sz w:val="20"/>
                <w:szCs w:val="20"/>
                <w:color w:val="auto"/>
              </w:rPr>
            </w:pPr>
            <w:r>
              <w:rPr>
                <w:rFonts w:ascii="Arial" w:cs="Arial" w:eastAsia="Arial" w:hAnsi="Arial"/>
                <w:sz w:val="11"/>
                <w:szCs w:val="11"/>
                <w:color w:val="auto"/>
              </w:rPr>
              <w:t>8.52%</w:t>
            </w:r>
          </w:p>
        </w:tc>
        <w:tc>
          <w:tcPr>
            <w:tcW w:w="20" w:type="dxa"/>
            <w:vAlign w:val="bottom"/>
          </w:tcPr>
          <w:p>
            <w:pPr>
              <w:spacing w:after="0"/>
              <w:rPr>
                <w:sz w:val="16"/>
                <w:szCs w:val="16"/>
                <w:color w:val="auto"/>
              </w:rPr>
            </w:pPr>
          </w:p>
        </w:tc>
        <w:tc>
          <w:tcPr>
            <w:tcW w:w="130" w:type="dxa"/>
            <w:vAlign w:val="bottom"/>
          </w:tcPr>
          <w:p>
            <w:pPr>
              <w:spacing w:after="0"/>
              <w:rPr>
                <w:sz w:val="16"/>
                <w:szCs w:val="16"/>
                <w:color w:val="auto"/>
              </w:rPr>
            </w:pPr>
          </w:p>
        </w:tc>
        <w:tc>
          <w:tcPr>
            <w:tcW w:w="710" w:type="dxa"/>
            <w:vAlign w:val="bottom"/>
          </w:tcPr>
          <w:p>
            <w:pPr>
              <w:jc w:val="right"/>
              <w:ind w:right="3"/>
              <w:spacing w:after="0"/>
              <w:rPr>
                <w:sz w:val="20"/>
                <w:szCs w:val="20"/>
                <w:color w:val="auto"/>
              </w:rPr>
            </w:pPr>
            <w:r>
              <w:rPr>
                <w:rFonts w:ascii="Arial" w:cs="Arial" w:eastAsia="Arial" w:hAnsi="Arial"/>
                <w:sz w:val="11"/>
                <w:szCs w:val="11"/>
                <w:color w:val="auto"/>
              </w:rPr>
              <w:t>8.41%</w:t>
            </w:r>
          </w:p>
        </w:tc>
        <w:tc>
          <w:tcPr>
            <w:tcW w:w="20" w:type="dxa"/>
            <w:vAlign w:val="bottom"/>
          </w:tcPr>
          <w:p>
            <w:pPr>
              <w:spacing w:after="0"/>
              <w:rPr>
                <w:sz w:val="16"/>
                <w:szCs w:val="16"/>
                <w:color w:val="auto"/>
              </w:rPr>
            </w:pPr>
          </w:p>
        </w:tc>
      </w:tr>
      <w:tr>
        <w:trPr>
          <w:trHeight w:val="171"/>
        </w:trPr>
        <w:tc>
          <w:tcPr>
            <w:tcW w:w="2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9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10" w:type="dxa"/>
            <w:vAlign w:val="bottom"/>
            <w:tcBorders>
              <w:bottom w:val="single" w:sz="8" w:color="CCEEFF"/>
            </w:tcBorders>
            <w:shd w:val="clear" w:color="auto" w:fill="CCEEFF"/>
          </w:tcPr>
          <w:p>
            <w:pPr>
              <w:spacing w:after="0"/>
              <w:rPr>
                <w:sz w:val="14"/>
                <w:szCs w:val="14"/>
                <w:color w:val="auto"/>
              </w:rPr>
            </w:pPr>
          </w:p>
        </w:tc>
        <w:tc>
          <w:tcPr>
            <w:tcW w:w="73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10" w:type="dxa"/>
            <w:vAlign w:val="bottom"/>
            <w:tcBorders>
              <w:bottom w:val="single" w:sz="8" w:color="CCEEFF"/>
            </w:tcBorders>
            <w:shd w:val="clear" w:color="auto" w:fill="CCEEFF"/>
          </w:tcPr>
          <w:p>
            <w:pPr>
              <w:spacing w:after="0"/>
              <w:rPr>
                <w:sz w:val="14"/>
                <w:szCs w:val="14"/>
                <w:color w:val="auto"/>
              </w:rPr>
            </w:pPr>
          </w:p>
        </w:tc>
        <w:tc>
          <w:tcPr>
            <w:tcW w:w="73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30" w:type="dxa"/>
            <w:vAlign w:val="bottom"/>
            <w:tcBorders>
              <w:bottom w:val="single" w:sz="8" w:color="CCEEFF"/>
            </w:tcBorders>
            <w:shd w:val="clear" w:color="auto" w:fill="CCEEFF"/>
          </w:tcPr>
          <w:p>
            <w:pPr>
              <w:spacing w:after="0"/>
              <w:rPr>
                <w:sz w:val="14"/>
                <w:szCs w:val="14"/>
                <w:color w:val="auto"/>
              </w:rPr>
            </w:pPr>
          </w:p>
        </w:tc>
        <w:tc>
          <w:tcPr>
            <w:tcW w:w="71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r>
    </w:tbl>
    <w:p>
      <w:pPr>
        <w:ind w:left="900" w:hanging="205"/>
        <w:spacing w:after="0"/>
        <w:tabs>
          <w:tab w:leader="none" w:pos="900" w:val="left"/>
        </w:tabs>
        <w:numPr>
          <w:ilvl w:val="0"/>
          <w:numId w:val="25"/>
        </w:numPr>
        <w:rPr>
          <w:rFonts w:ascii="Arial" w:cs="Arial" w:eastAsia="Arial" w:hAnsi="Arial"/>
          <w:sz w:val="11"/>
          <w:szCs w:val="11"/>
          <w:color w:val="auto"/>
        </w:rPr>
      </w:pPr>
      <w:r>
        <w:rPr>
          <w:rFonts w:ascii="Arial" w:cs="Arial" w:eastAsia="Arial" w:hAnsi="Arial"/>
          <w:sz w:val="11"/>
          <w:szCs w:val="11"/>
          <w:color w:val="auto"/>
        </w:rPr>
        <w:t>The Company believes these non-GAAP measurements are key indicators of the ongoing earnings power of the Company.</w:t>
      </w:r>
    </w:p>
    <w:p>
      <w:pPr>
        <w:spacing w:after="0" w:line="26" w:lineRule="exact"/>
        <w:rPr>
          <w:rFonts w:ascii="Arial" w:cs="Arial" w:eastAsia="Arial" w:hAnsi="Arial"/>
          <w:sz w:val="11"/>
          <w:szCs w:val="11"/>
          <w:color w:val="auto"/>
        </w:rPr>
      </w:pPr>
    </w:p>
    <w:p>
      <w:pPr>
        <w:ind w:left="700" w:right="759" w:hanging="5"/>
        <w:spacing w:after="0" w:line="286" w:lineRule="auto"/>
        <w:tabs>
          <w:tab w:leader="none" w:pos="904" w:val="left"/>
        </w:tabs>
        <w:numPr>
          <w:ilvl w:val="0"/>
          <w:numId w:val="25"/>
        </w:numPr>
        <w:rPr>
          <w:rFonts w:ascii="Arial" w:cs="Arial" w:eastAsia="Arial" w:hAnsi="Arial"/>
          <w:sz w:val="11"/>
          <w:szCs w:val="11"/>
          <w:color w:val="auto"/>
        </w:rPr>
      </w:pPr>
      <w:r>
        <w:rPr>
          <w:rFonts w:ascii="Arial" w:cs="Arial" w:eastAsia="Arial" w:hAnsi="Arial"/>
          <w:sz w:val="11"/>
          <w:szCs w:val="11"/>
          <w:color w:val="auto"/>
        </w:rPr>
        <w:t>Since the Company has no intangible assets, tangible stockholders’ equity and tangible total assets are the same amounts as stockholders’ equity and total assets, respectively, as calculated under GAAP.</w:t>
      </w:r>
    </w:p>
    <w:p>
      <w:pPr>
        <w:spacing w:after="0" w:line="29" w:lineRule="exact"/>
        <w:rPr>
          <w:rFonts w:ascii="Arial" w:cs="Arial" w:eastAsia="Arial" w:hAnsi="Arial"/>
          <w:sz w:val="11"/>
          <w:szCs w:val="11"/>
          <w:color w:val="auto"/>
        </w:rPr>
      </w:pPr>
    </w:p>
    <w:p>
      <w:pPr>
        <w:ind w:left="900" w:hanging="205"/>
        <w:spacing w:after="0"/>
        <w:tabs>
          <w:tab w:leader="none" w:pos="900" w:val="left"/>
        </w:tabs>
        <w:numPr>
          <w:ilvl w:val="0"/>
          <w:numId w:val="25"/>
        </w:numPr>
        <w:rPr>
          <w:rFonts w:ascii="Arial" w:cs="Arial" w:eastAsia="Arial" w:hAnsi="Arial"/>
          <w:sz w:val="11"/>
          <w:szCs w:val="11"/>
          <w:color w:val="auto"/>
        </w:rPr>
      </w:pPr>
      <w:r>
        <w:rPr>
          <w:rFonts w:ascii="Arial" w:cs="Arial" w:eastAsia="Arial" w:hAnsi="Arial"/>
          <w:sz w:val="11"/>
          <w:szCs w:val="11"/>
          <w:color w:val="auto"/>
        </w:rPr>
        <w:t>Excludes the dilutive effect, if any, of shares of common stock issuable upon exercise of outstanding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49</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49" w:name="page50"/>
    <w:bookmarkEnd w:id="4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As a smaller reporting company, we are not required to provide the information required by this item.</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4. Controls and Procedures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70" w:lineRule="exact"/>
        <w:rPr>
          <w:sz w:val="20"/>
          <w:szCs w:val="20"/>
          <w:color w:val="auto"/>
        </w:rPr>
      </w:pPr>
    </w:p>
    <w:p>
      <w:pPr>
        <w:jc w:val="both"/>
        <w:ind w:left="660" w:right="639" w:firstLine="256"/>
        <w:spacing w:after="0" w:line="250" w:lineRule="auto"/>
        <w:rPr>
          <w:sz w:val="20"/>
          <w:szCs w:val="20"/>
          <w:color w:val="auto"/>
        </w:rPr>
      </w:pPr>
      <w:r>
        <w:rPr>
          <w:rFonts w:ascii="Arial" w:cs="Arial" w:eastAsia="Arial" w:hAnsi="Arial"/>
          <w:sz w:val="14"/>
          <w:szCs w:val="14"/>
          <w:color w:val="auto"/>
        </w:rPr>
        <w:t>Under the supervision and with the participation of our management, including our President and Chief Executive Officer and our Chief Financial Officer, we evaluated the effectiveness of the design and operation of the Company’s disclosure controls and procedures (as defined in Rules 13a-15(e) and 15d-15(e) under the Securities Exchange Act of 1934 (“Exchange Act”)) as of March 31, 2026. Based on that evaluation, management believes that, as of the end of the period covered by this Form 10-Q, the Company's disclosure controls and procedures were effective to collect, process, and disclose the information required to be disclosed in the reports filed or submitted under the Exchange Act within the required time periods.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70"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There has been no change in our internal control over financial reporting (as defined in Rules 13a-15(f) and 15d-15(f) under the Exchange Act) during the period covered by this Form 10-Q that has materially affected, or is reasonably likely to materially affect, our internal control over financial reporting.</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Limitations on Effectiveness of Controls and Procedures</w:t>
      </w:r>
    </w:p>
    <w:p>
      <w:pPr>
        <w:spacing w:after="0" w:line="170"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50</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50" w:name="page51"/>
    <w:bookmarkEnd w:id="5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PART II</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 Legal Proceedings</w:t>
      </w:r>
    </w:p>
    <w:p>
      <w:pPr>
        <w:spacing w:after="0" w:line="159" w:lineRule="exact"/>
        <w:rPr>
          <w:sz w:val="20"/>
          <w:szCs w:val="20"/>
          <w:color w:val="auto"/>
        </w:rPr>
      </w:pPr>
    </w:p>
    <w:p>
      <w:pPr>
        <w:ind w:left="660" w:right="619" w:firstLine="256"/>
        <w:spacing w:after="0" w:line="255" w:lineRule="auto"/>
        <w:rPr>
          <w:sz w:val="20"/>
          <w:szCs w:val="20"/>
          <w:color w:val="auto"/>
        </w:rPr>
      </w:pPr>
      <w:r>
        <w:rPr>
          <w:rFonts w:ascii="Arial" w:cs="Arial" w:eastAsia="Arial" w:hAnsi="Arial"/>
          <w:sz w:val="14"/>
          <w:szCs w:val="14"/>
          <w:color w:val="auto"/>
        </w:rPr>
        <w:t>We are not currently subject to any material legal proceedings. We are from time to time subject to claims and litigation arising in the ordinary course of business. These claims and litigation may include, among other things, allegations of violation of banking and other applicable regulations, competition law, labor laws and consumer protection laws, as well as claims or litigation relating to intellectual property, securities, breach of contract and tort. We intend to defend ourselves vigorously against any pending or future claims and litigation.</w:t>
      </w:r>
    </w:p>
    <w:p>
      <w:pPr>
        <w:spacing w:after="0" w:line="126"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There can be no assurance that any future legal proceedings to which we are a party will not be decided adversely to our interests and have a material adverse effect on our financial condition and operations.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1A. Risk Factors</w:t>
      </w:r>
    </w:p>
    <w:p>
      <w:pPr>
        <w:spacing w:after="0" w:line="17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For detailed information about certain risk factors that could materially affect our business, financial condition, or future results, see “Part I, Item 1A – Risk Factors” of the 2025 Form 10-K.There have been no material changes t this risk factors disclosed in the 2025 Form 10-K.</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170" w:lineRule="exact"/>
        <w:rPr>
          <w:sz w:val="20"/>
          <w:szCs w:val="20"/>
          <w:color w:val="auto"/>
        </w:rPr>
      </w:pPr>
    </w:p>
    <w:p>
      <w:pPr>
        <w:ind w:left="1140" w:hanging="221"/>
        <w:spacing w:after="0"/>
        <w:tabs>
          <w:tab w:leader="none" w:pos="11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None.</w:t>
      </w:r>
    </w:p>
    <w:p>
      <w:pPr>
        <w:spacing w:after="0" w:line="159" w:lineRule="exact"/>
        <w:rPr>
          <w:rFonts w:ascii="Arial" w:cs="Arial" w:eastAsia="Arial" w:hAnsi="Arial"/>
          <w:sz w:val="14"/>
          <w:szCs w:val="14"/>
          <w:color w:val="auto"/>
        </w:rPr>
      </w:pPr>
    </w:p>
    <w:p>
      <w:pPr>
        <w:ind w:left="1140" w:hanging="221"/>
        <w:spacing w:after="0"/>
        <w:tabs>
          <w:tab w:leader="none" w:pos="11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169" w:lineRule="exact"/>
        <w:rPr>
          <w:rFonts w:ascii="Arial" w:cs="Arial" w:eastAsia="Arial" w:hAnsi="Arial"/>
          <w:sz w:val="14"/>
          <w:szCs w:val="14"/>
          <w:color w:val="auto"/>
        </w:rPr>
      </w:pPr>
    </w:p>
    <w:p>
      <w:pPr>
        <w:ind w:left="1120" w:hanging="201"/>
        <w:spacing w:after="0"/>
        <w:tabs>
          <w:tab w:leader="none" w:pos="11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Company’s repurchases of equity securities for the three months ended March 31, 2026 were as follows:</w:t>
      </w:r>
    </w:p>
    <w:p>
      <w:pPr>
        <w:sectPr>
          <w:pgSz w:w="11900" w:h="16838" w:orient="portrait"/>
          <w:cols w:equalWidth="0" w:num="1">
            <w:col w:w="9019"/>
          </w:cols>
          <w:pgMar w:left="1440" w:top="4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auto"/>
        </w:rPr>
        <w:t>Period</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3"/>
          <w:szCs w:val="13"/>
          <w:color w:val="auto"/>
        </w:rPr>
        <w:t>January 1 - 31, 2026</w:t>
      </w:r>
    </w:p>
    <w:p>
      <w:pPr>
        <w:spacing w:after="0" w:line="16" w:lineRule="exact"/>
        <w:rPr>
          <w:sz w:val="20"/>
          <w:szCs w:val="20"/>
          <w:color w:val="auto"/>
        </w:rPr>
      </w:pPr>
    </w:p>
    <w:p>
      <w:pPr>
        <w:ind w:left="800"/>
        <w:spacing w:after="0"/>
        <w:rPr>
          <w:sz w:val="20"/>
          <w:szCs w:val="20"/>
          <w:color w:val="auto"/>
        </w:rPr>
      </w:pPr>
      <w:r>
        <w:rPr>
          <w:rFonts w:ascii="Arial" w:cs="Arial" w:eastAsia="Arial" w:hAnsi="Arial"/>
          <w:sz w:val="12"/>
          <w:szCs w:val="12"/>
          <w:color w:val="auto"/>
        </w:rPr>
        <w:t>February 1 - 28, 2026</w:t>
      </w:r>
    </w:p>
    <w:p>
      <w:pPr>
        <w:spacing w:after="0" w:line="3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March 1 - 31, 2026</w:t>
      </w:r>
    </w:p>
    <w:p>
      <w:pPr>
        <w:spacing w:after="0" w:line="4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Maximum Number</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jc w:val="center"/>
              <w:ind w:right="16"/>
              <w:spacing w:after="0"/>
              <w:rPr>
                <w:sz w:val="20"/>
                <w:szCs w:val="20"/>
                <w:color w:val="auto"/>
              </w:rPr>
            </w:pPr>
            <w:r>
              <w:rPr>
                <w:rFonts w:ascii="Arial" w:cs="Arial" w:eastAsia="Arial" w:hAnsi="Arial"/>
                <w:sz w:val="13"/>
                <w:szCs w:val="13"/>
                <w:b w:val="1"/>
                <w:bCs w:val="1"/>
                <w:color w:val="auto"/>
                <w:w w:val="99"/>
              </w:rPr>
              <w:t>of Shares that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Total</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jc w:val="center"/>
              <w:ind w:right="36"/>
              <w:spacing w:after="0"/>
              <w:rPr>
                <w:sz w:val="20"/>
                <w:szCs w:val="20"/>
                <w:color w:val="auto"/>
              </w:rPr>
            </w:pPr>
            <w:r>
              <w:rPr>
                <w:rFonts w:ascii="Arial" w:cs="Arial" w:eastAsia="Arial" w:hAnsi="Arial"/>
                <w:sz w:val="13"/>
                <w:szCs w:val="13"/>
                <w:b w:val="1"/>
                <w:bCs w:val="1"/>
                <w:color w:val="auto"/>
                <w:w w:val="94"/>
              </w:rPr>
              <w:t>May</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40" w:type="dxa"/>
            <w:vAlign w:val="bottom"/>
          </w:tcPr>
          <w:p>
            <w:pPr>
              <w:spacing w:after="0"/>
              <w:rPr>
                <w:sz w:val="12"/>
                <w:szCs w:val="12"/>
                <w:color w:val="auto"/>
              </w:rPr>
            </w:pPr>
          </w:p>
        </w:tc>
        <w:tc>
          <w:tcPr>
            <w:tcW w:w="7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5"/>
              </w:rPr>
              <w:t>Number of</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7"/>
              </w:rPr>
              <w:t>Average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60" w:type="dxa"/>
            <w:vAlign w:val="bottom"/>
            <w:gridSpan w:val="7"/>
          </w:tcPr>
          <w:p>
            <w:pPr>
              <w:jc w:val="center"/>
              <w:ind w:right="40"/>
              <w:spacing w:after="0"/>
              <w:rPr>
                <w:sz w:val="20"/>
                <w:szCs w:val="20"/>
                <w:color w:val="auto"/>
              </w:rPr>
            </w:pPr>
            <w:r>
              <w:rPr>
                <w:rFonts w:ascii="Arial" w:cs="Arial" w:eastAsia="Arial" w:hAnsi="Arial"/>
                <w:sz w:val="13"/>
                <w:szCs w:val="13"/>
                <w:b w:val="1"/>
                <w:bCs w:val="1"/>
                <w:color w:val="auto"/>
                <w:w w:val="98"/>
              </w:rPr>
              <w:t>Total Number of Shares Purchased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Yet Be Purchased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5"/>
          </w:tcPr>
          <w:p>
            <w:pPr>
              <w:jc w:val="center"/>
              <w:ind w:right="40"/>
              <w:spacing w:after="0"/>
              <w:rPr>
                <w:sz w:val="20"/>
                <w:szCs w:val="20"/>
                <w:color w:val="auto"/>
              </w:rPr>
            </w:pPr>
            <w:r>
              <w:rPr>
                <w:rFonts w:ascii="Arial" w:cs="Arial" w:eastAsia="Arial" w:hAnsi="Arial"/>
                <w:sz w:val="13"/>
                <w:szCs w:val="13"/>
                <w:b w:val="1"/>
                <w:bCs w:val="1"/>
                <w:color w:val="auto"/>
                <w:w w:val="98"/>
              </w:rPr>
              <w:t>Price Paid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60" w:type="dxa"/>
            <w:vAlign w:val="bottom"/>
            <w:gridSpan w:val="7"/>
          </w:tcPr>
          <w:p>
            <w:pPr>
              <w:jc w:val="center"/>
              <w:ind w:right="40"/>
              <w:spacing w:after="0"/>
              <w:rPr>
                <w:sz w:val="20"/>
                <w:szCs w:val="20"/>
                <w:color w:val="auto"/>
              </w:rPr>
            </w:pPr>
            <w:r>
              <w:rPr>
                <w:rFonts w:ascii="Arial" w:cs="Arial" w:eastAsia="Arial" w:hAnsi="Arial"/>
                <w:sz w:val="13"/>
                <w:szCs w:val="13"/>
                <w:b w:val="1"/>
                <w:bCs w:val="1"/>
                <w:color w:val="auto"/>
                <w:w w:val="99"/>
              </w:rPr>
              <w:t>as Part of Publicly Announced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Under Plans or</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5"/>
        </w:trPr>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3"/>
                <w:szCs w:val="13"/>
                <w:b w:val="1"/>
                <w:bCs w:val="1"/>
                <w:color w:val="auto"/>
                <w:w w:val="93"/>
              </w:rPr>
              <w:t>Purchased</w:t>
            </w:r>
          </w:p>
        </w:tc>
        <w:tc>
          <w:tcPr>
            <w:tcW w:w="20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3"/>
                <w:szCs w:val="13"/>
                <w:b w:val="1"/>
                <w:bCs w:val="1"/>
                <w:color w:val="auto"/>
                <w:w w:val="98"/>
              </w:rPr>
              <w:t>Per Share</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3"/>
                <w:szCs w:val="13"/>
                <w:b w:val="1"/>
                <w:bCs w:val="1"/>
                <w:color w:val="auto"/>
                <w:w w:val="97"/>
              </w:rPr>
              <w:t>Plans or Programs (1)</w:t>
            </w:r>
          </w:p>
        </w:tc>
        <w:tc>
          <w:tcPr>
            <w:tcW w:w="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97"/>
              </w:rPr>
              <w:t>Programs (1)</w:t>
            </w:r>
          </w:p>
        </w:tc>
        <w:tc>
          <w:tcPr>
            <w:tcW w:w="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40" w:type="dxa"/>
            <w:vAlign w:val="bottom"/>
            <w:tcBorders>
              <w:right w:val="single" w:sz="8" w:color="CCEEFF"/>
            </w:tcBorders>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tcBorders>
              <w:left w:val="single" w:sz="8" w:color="CCEEFF"/>
            </w:tcBorders>
          </w:tcPr>
          <w:p>
            <w:pPr>
              <w:spacing w:after="0"/>
              <w:rPr>
                <w:sz w:val="13"/>
                <w:szCs w:val="13"/>
                <w:color w:val="auto"/>
              </w:rPr>
            </w:pPr>
          </w:p>
        </w:tc>
        <w:tc>
          <w:tcPr>
            <w:tcW w:w="20" w:type="dxa"/>
            <w:vAlign w:val="bottom"/>
          </w:tcPr>
          <w:p>
            <w:pPr>
              <w:spacing w:after="0"/>
              <w:rPr>
                <w:sz w:val="13"/>
                <w:szCs w:val="13"/>
                <w:color w:val="auto"/>
              </w:rPr>
            </w:pPr>
          </w:p>
        </w:tc>
      </w:tr>
      <w:tr>
        <w:trPr>
          <w:trHeight w:val="179"/>
        </w:trPr>
        <w:tc>
          <w:tcPr>
            <w:tcW w:w="140" w:type="dxa"/>
            <w:vAlign w:val="bottom"/>
          </w:tcPr>
          <w:p>
            <w:pPr>
              <w:spacing w:after="0"/>
              <w:rPr>
                <w:sz w:val="15"/>
                <w:szCs w:val="15"/>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3"/>
                <w:szCs w:val="13"/>
                <w:color w:val="auto"/>
              </w:rPr>
              <w:t>30,889</w:t>
            </w:r>
          </w:p>
        </w:tc>
        <w:tc>
          <w:tcPr>
            <w:tcW w:w="34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19.17</w:t>
            </w:r>
          </w:p>
        </w:tc>
        <w:tc>
          <w:tcPr>
            <w:tcW w:w="60" w:type="dxa"/>
            <w:vAlign w:val="bottom"/>
          </w:tcPr>
          <w:p>
            <w:pPr>
              <w:spacing w:after="0"/>
              <w:rPr>
                <w:sz w:val="15"/>
                <w:szCs w:val="15"/>
                <w:color w:val="auto"/>
              </w:rPr>
            </w:pPr>
          </w:p>
        </w:tc>
        <w:tc>
          <w:tcPr>
            <w:tcW w:w="1100" w:type="dxa"/>
            <w:vAlign w:val="bottom"/>
            <w:gridSpan w:val="5"/>
          </w:tcPr>
          <w:p>
            <w:pPr>
              <w:jc w:val="right"/>
              <w:ind w:right="60"/>
              <w:spacing w:after="0"/>
              <w:rPr>
                <w:sz w:val="20"/>
                <w:szCs w:val="20"/>
                <w:color w:val="auto"/>
              </w:rPr>
            </w:pPr>
            <w:r>
              <w:rPr>
                <w:rFonts w:ascii="Arial" w:cs="Arial" w:eastAsia="Arial" w:hAnsi="Arial"/>
                <w:sz w:val="13"/>
                <w:szCs w:val="13"/>
                <w:color w:val="auto"/>
              </w:rPr>
              <w:t>30,889</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5"/>
          </w:tcPr>
          <w:p>
            <w:pPr>
              <w:jc w:val="right"/>
              <w:spacing w:after="0"/>
              <w:rPr>
                <w:sz w:val="20"/>
                <w:szCs w:val="20"/>
                <w:color w:val="auto"/>
              </w:rPr>
            </w:pPr>
            <w:r>
              <w:rPr>
                <w:rFonts w:ascii="Arial" w:cs="Arial" w:eastAsia="Arial" w:hAnsi="Arial"/>
                <w:sz w:val="13"/>
                <w:szCs w:val="13"/>
                <w:color w:val="auto"/>
              </w:rPr>
              <w:t>497,420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3"/>
        </w:trPr>
        <w:tc>
          <w:tcPr>
            <w:tcW w:w="140" w:type="dxa"/>
            <w:vAlign w:val="bottom"/>
            <w:tcBorders>
              <w:right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497,420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4"/>
        </w:trPr>
        <w:tc>
          <w:tcPr>
            <w:tcW w:w="140" w:type="dxa"/>
            <w:vAlign w:val="bottom"/>
          </w:tcPr>
          <w:p>
            <w:pPr>
              <w:spacing w:after="0"/>
              <w:rPr>
                <w:sz w:val="17"/>
                <w:szCs w:val="17"/>
                <w:color w:val="auto"/>
              </w:rPr>
            </w:pPr>
          </w:p>
        </w:tc>
        <w:tc>
          <w:tcPr>
            <w:tcW w:w="7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22,586</w:t>
            </w:r>
          </w:p>
        </w:tc>
        <w:tc>
          <w:tcPr>
            <w:tcW w:w="340" w:type="dxa"/>
            <w:vAlign w:val="bottom"/>
            <w:tcBorders>
              <w:bottom w:val="single" w:sz="8" w:color="CCEEFF"/>
            </w:tcBorders>
            <w:gridSpan w:val="4"/>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18.12</w:t>
            </w: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3"/>
                <w:szCs w:val="13"/>
                <w:color w:val="auto"/>
              </w:rPr>
              <w:t>22,586</w:t>
            </w:r>
          </w:p>
        </w:tc>
        <w:tc>
          <w:tcPr>
            <w:tcW w:w="106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gridSpan w:val="5"/>
          </w:tcPr>
          <w:p>
            <w:pPr>
              <w:jc w:val="right"/>
              <w:spacing w:after="0"/>
              <w:rPr>
                <w:sz w:val="20"/>
                <w:szCs w:val="20"/>
                <w:color w:val="auto"/>
              </w:rPr>
            </w:pPr>
            <w:r>
              <w:rPr>
                <w:rFonts w:ascii="Arial" w:cs="Arial" w:eastAsia="Arial" w:hAnsi="Arial"/>
                <w:sz w:val="13"/>
                <w:szCs w:val="13"/>
                <w:color w:val="auto"/>
              </w:rPr>
              <w:t>474,834</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r>
      <w:tr>
        <w:trPr>
          <w:trHeight w:val="139"/>
        </w:trPr>
        <w:tc>
          <w:tcPr>
            <w:tcW w:w="140" w:type="dxa"/>
            <w:vAlign w:val="bottom"/>
            <w:tcBorders>
              <w:right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53,475</w:t>
            </w:r>
          </w:p>
        </w:tc>
        <w:tc>
          <w:tcPr>
            <w:tcW w:w="60" w:type="dxa"/>
            <w:vAlign w:val="bottom"/>
          </w:tcPr>
          <w:p>
            <w:pPr>
              <w:spacing w:after="0"/>
              <w:rPr>
                <w:sz w:val="12"/>
                <w:szCs w:val="12"/>
                <w:color w:val="auto"/>
              </w:rPr>
            </w:pPr>
          </w:p>
        </w:tc>
        <w:tc>
          <w:tcPr>
            <w:tcW w:w="24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jc w:val="right"/>
              <w:spacing w:after="0" w:line="139" w:lineRule="exact"/>
              <w:rPr>
                <w:sz w:val="20"/>
                <w:szCs w:val="20"/>
                <w:color w:val="auto"/>
              </w:rPr>
            </w:pPr>
            <w:r>
              <w:rPr>
                <w:rFonts w:ascii="Arial" w:cs="Arial" w:eastAsia="Arial" w:hAnsi="Arial"/>
                <w:sz w:val="13"/>
                <w:szCs w:val="13"/>
                <w:color w:val="auto"/>
                <w:w w:val="82"/>
                <w:shd w:val="clear" w:color="auto" w:fill="CCEEFF"/>
              </w:rPr>
              <w:t>$</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18.73</w:t>
            </w:r>
          </w:p>
        </w:tc>
        <w:tc>
          <w:tcPr>
            <w:tcW w:w="60" w:type="dxa"/>
            <w:vAlign w:val="bottom"/>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53,475</w:t>
            </w:r>
          </w:p>
        </w:tc>
        <w:tc>
          <w:tcPr>
            <w:tcW w:w="60" w:type="dxa"/>
            <w:vAlign w:val="bottom"/>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left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bl>
    <w:p>
      <w:pPr>
        <w:spacing w:after="0" w:line="153" w:lineRule="exact"/>
        <w:rPr>
          <w:sz w:val="20"/>
          <w:szCs w:val="20"/>
          <w:color w:val="auto"/>
        </w:rPr>
      </w:pPr>
    </w:p>
    <w:p>
      <w:pPr>
        <w:sectPr>
          <w:pgSz w:w="11900" w:h="16838" w:orient="portrait"/>
          <w:cols w:equalWidth="0" w:num="2">
            <w:col w:w="2200" w:space="720"/>
            <w:col w:w="6099"/>
          </w:cols>
          <w:pgMar w:left="1440" w:top="477" w:right="1440" w:bottom="1440" w:gutter="0" w:footer="0" w:header="0"/>
          <w:type w:val="continuous"/>
        </w:sectPr>
      </w:pPr>
    </w:p>
    <w:p>
      <w:pPr>
        <w:ind w:left="700"/>
        <w:spacing w:after="0"/>
        <w:rPr>
          <w:sz w:val="20"/>
          <w:szCs w:val="20"/>
          <w:color w:val="auto"/>
        </w:rPr>
      </w:pPr>
      <w:r>
        <w:rPr>
          <w:rFonts w:ascii="Arial" w:cs="Arial" w:eastAsia="Arial" w:hAnsi="Arial"/>
          <w:sz w:val="11"/>
          <w:szCs w:val="11"/>
          <w:color w:val="auto"/>
        </w:rPr>
        <w:t>(1) As of March 31, 2026 there were 474,834 number of shares available for repurchase under the outstanding share repurchase program:</w:t>
      </w:r>
    </w:p>
    <w:p>
      <w:pPr>
        <w:spacing w:after="0" w:line="44" w:lineRule="exact"/>
        <w:rPr>
          <w:sz w:val="20"/>
          <w:szCs w:val="20"/>
          <w:color w:val="auto"/>
        </w:rPr>
      </w:pPr>
    </w:p>
    <w:p>
      <w:pPr>
        <w:ind w:left="700" w:right="879" w:hanging="5"/>
        <w:spacing w:after="0" w:line="286" w:lineRule="auto"/>
        <w:tabs>
          <w:tab w:leader="none" w:pos="770" w:val="left"/>
        </w:tabs>
        <w:numPr>
          <w:ilvl w:val="0"/>
          <w:numId w:val="27"/>
        </w:numPr>
        <w:rPr>
          <w:rFonts w:ascii="Arial" w:cs="Arial" w:eastAsia="Arial" w:hAnsi="Arial"/>
          <w:sz w:val="11"/>
          <w:szCs w:val="11"/>
          <w:color w:val="auto"/>
        </w:rPr>
      </w:pPr>
      <w:r>
        <w:rPr>
          <w:rFonts w:ascii="Arial" w:cs="Arial" w:eastAsia="Arial" w:hAnsi="Arial"/>
          <w:sz w:val="11"/>
          <w:szCs w:val="11"/>
          <w:color w:val="auto"/>
        </w:rPr>
        <w:t>On January 24, 2022, the Company announced its initial stock repurchase program to repurchase up to 750,000 shares of Class A common stock. The Company completed the repurchase of all remaining shares authorized under this program during the quarter ended March 31, 2026.</w:t>
      </w:r>
    </w:p>
    <w:p>
      <w:pPr>
        <w:spacing w:after="0" w:line="39" w:lineRule="exact"/>
        <w:rPr>
          <w:rFonts w:ascii="Arial" w:cs="Arial" w:eastAsia="Arial" w:hAnsi="Arial"/>
          <w:sz w:val="11"/>
          <w:szCs w:val="11"/>
          <w:color w:val="auto"/>
        </w:rPr>
      </w:pPr>
    </w:p>
    <w:p>
      <w:pPr>
        <w:ind w:left="700" w:right="839" w:hanging="5"/>
        <w:spacing w:after="0" w:line="286" w:lineRule="auto"/>
        <w:tabs>
          <w:tab w:leader="none" w:pos="770" w:val="left"/>
        </w:tabs>
        <w:numPr>
          <w:ilvl w:val="0"/>
          <w:numId w:val="27"/>
        </w:numPr>
        <w:rPr>
          <w:rFonts w:ascii="Arial" w:cs="Arial" w:eastAsia="Arial" w:hAnsi="Arial"/>
          <w:sz w:val="11"/>
          <w:szCs w:val="11"/>
          <w:color w:val="auto"/>
        </w:rPr>
      </w:pPr>
      <w:r>
        <w:rPr>
          <w:rFonts w:ascii="Arial" w:cs="Arial" w:eastAsia="Arial" w:hAnsi="Arial"/>
          <w:sz w:val="11"/>
          <w:szCs w:val="11"/>
          <w:color w:val="auto"/>
        </w:rPr>
        <w:t>On April 22, 2024, the Company announced the adoption of a second repurchase program to repurchase up to 500,000 shares of Class A common stock to commence upon completion of its first repurchase program.</w:t>
      </w:r>
    </w:p>
    <w:p>
      <w:pPr>
        <w:spacing w:after="0" w:line="200" w:lineRule="exact"/>
        <w:rPr>
          <w:sz w:val="20"/>
          <w:szCs w:val="20"/>
          <w:color w:val="auto"/>
        </w:rPr>
      </w:pPr>
    </w:p>
    <w:p>
      <w:pPr>
        <w:spacing w:after="0" w:line="3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159" w:lineRule="exact"/>
        <w:rPr>
          <w:sz w:val="20"/>
          <w:szCs w:val="20"/>
          <w:color w:val="auto"/>
        </w:rPr>
      </w:pPr>
    </w:p>
    <w:p>
      <w:pPr>
        <w:ind w:left="1180" w:hanging="261"/>
        <w:spacing w:after="0"/>
        <w:tabs>
          <w:tab w:leader="none" w:pos="11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13" w:lineRule="exact"/>
        <w:rPr>
          <w:rFonts w:ascii="Arial" w:cs="Arial" w:eastAsia="Arial" w:hAnsi="Arial"/>
          <w:sz w:val="14"/>
          <w:szCs w:val="14"/>
          <w:color w:val="auto"/>
        </w:rPr>
      </w:pPr>
    </w:p>
    <w:p>
      <w:pPr>
        <w:ind w:left="1180" w:hanging="261"/>
        <w:spacing w:after="0"/>
        <w:tabs>
          <w:tab w:leader="none" w:pos="11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4. Mine Safety Disclosures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Not applicable.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5. Other Information</w:t>
      </w:r>
    </w:p>
    <w:p>
      <w:pPr>
        <w:spacing w:after="0" w:line="159" w:lineRule="exact"/>
        <w:rPr>
          <w:sz w:val="20"/>
          <w:szCs w:val="20"/>
          <w:color w:val="auto"/>
        </w:rPr>
      </w:pPr>
    </w:p>
    <w:p>
      <w:pPr>
        <w:ind w:left="1180" w:hanging="261"/>
        <w:spacing w:after="0"/>
        <w:tabs>
          <w:tab w:leader="none" w:pos="11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23" w:lineRule="exact"/>
        <w:rPr>
          <w:rFonts w:ascii="Arial" w:cs="Arial" w:eastAsia="Arial" w:hAnsi="Arial"/>
          <w:sz w:val="14"/>
          <w:szCs w:val="14"/>
          <w:color w:val="auto"/>
        </w:rPr>
      </w:pPr>
    </w:p>
    <w:p>
      <w:pPr>
        <w:ind w:left="1180" w:hanging="261"/>
        <w:spacing w:after="0"/>
        <w:tabs>
          <w:tab w:leader="none" w:pos="11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29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51</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type w:val="continuous"/>
        </w:sectPr>
      </w:pPr>
    </w:p>
    <w:bookmarkStart w:id="51" w:name="page52"/>
    <w:bookmarkEnd w:id="5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1180" w:right="679" w:hanging="261"/>
        <w:spacing w:after="0" w:line="265" w:lineRule="auto"/>
        <w:tabs>
          <w:tab w:leader="none" w:pos="11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During the three months ended March 31, 2026, none of the Company’s directors or Section 16 reporting persons adopted or terminated any Rule 10b5-1 trading arrangement or non-Rule 10b5-1 trading arrangement (as such terms are defined in Item 408 of the SEC’s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52" w:name="page53"/>
    <w:bookmarkEnd w:id="5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6. Exhibits</w:t>
      </w:r>
    </w:p>
    <w:p>
      <w:pPr>
        <w:spacing w:after="0" w:line="312" w:lineRule="exact"/>
        <w:rPr>
          <w:sz w:val="20"/>
          <w:szCs w:val="20"/>
          <w:color w:val="auto"/>
        </w:rPr>
      </w:pPr>
    </w:p>
    <w:tbl>
      <w:tblPr>
        <w:tblLayout w:type="fixed"/>
        <w:tblInd w:w="360" w:type="dxa"/>
        <w:tblCellMar>
          <w:top w:w="0" w:type="dxa"/>
          <w:left w:w="0" w:type="dxa"/>
          <w:bottom w:w="0" w:type="dxa"/>
          <w:right w:w="0" w:type="dxa"/>
        </w:tblCellMar>
      </w:tblPr>
      <w:tr>
        <w:trPr>
          <w:trHeight w:val="181"/>
        </w:trPr>
        <w:tc>
          <w:tcPr>
            <w:tcW w:w="840" w:type="dxa"/>
            <w:vAlign w:val="bottom"/>
            <w:tcBorders>
              <w:bottom w:val="single" w:sz="8" w:color="auto"/>
            </w:tcBorders>
            <w:gridSpan w:val="6"/>
          </w:tcPr>
          <w:p>
            <w:pPr>
              <w:ind w:left="80"/>
              <w:spacing w:after="0"/>
              <w:rPr>
                <w:sz w:val="20"/>
                <w:szCs w:val="20"/>
                <w:color w:val="auto"/>
              </w:rPr>
            </w:pPr>
            <w:r>
              <w:rPr>
                <w:rFonts w:ascii="Arial" w:cs="Arial" w:eastAsia="Arial" w:hAnsi="Arial"/>
                <w:sz w:val="13"/>
                <w:szCs w:val="13"/>
                <w:b w:val="1"/>
                <w:bCs w:val="1"/>
                <w:color w:val="auto"/>
              </w:rPr>
              <w:t>Exhibit No.</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980" w:type="dxa"/>
            <w:vAlign w:val="bottom"/>
            <w:tcBorders>
              <w:bottom w:val="single" w:sz="8" w:color="auto"/>
            </w:tcBorders>
            <w:gridSpan w:val="128"/>
          </w:tcPr>
          <w:p>
            <w:pPr>
              <w:spacing w:after="0"/>
              <w:rPr>
                <w:sz w:val="20"/>
                <w:szCs w:val="20"/>
                <w:color w:val="auto"/>
              </w:rPr>
            </w:pPr>
            <w:r>
              <w:rPr>
                <w:rFonts w:ascii="Arial" w:cs="Arial" w:eastAsia="Arial" w:hAnsi="Arial"/>
                <w:sz w:val="13"/>
                <w:szCs w:val="13"/>
                <w:b w:val="1"/>
                <w:bCs w:val="1"/>
                <w:color w:val="auto"/>
              </w:rPr>
              <w:t>Description of Exhibit</w:t>
            </w:r>
          </w:p>
        </w:tc>
        <w:tc>
          <w:tcPr>
            <w:tcW w:w="0" w:type="dxa"/>
            <w:vAlign w:val="bottom"/>
          </w:tcPr>
          <w:p>
            <w:pPr>
              <w:spacing w:after="0"/>
              <w:rPr>
                <w:sz w:val="1"/>
                <w:szCs w:val="1"/>
                <w:color w:val="auto"/>
              </w:rPr>
            </w:pPr>
          </w:p>
        </w:tc>
      </w:tr>
      <w:tr>
        <w:trPr>
          <w:trHeight w:val="119"/>
        </w:trPr>
        <w:tc>
          <w:tcPr>
            <w:tcW w:w="340" w:type="dxa"/>
            <w:vAlign w:val="bottom"/>
            <w:gridSpan w:val="3"/>
          </w:tcPr>
          <w:p>
            <w:pPr>
              <w:spacing w:after="0"/>
              <w:rPr>
                <w:sz w:val="10"/>
                <w:szCs w:val="10"/>
                <w:color w:val="auto"/>
              </w:rPr>
            </w:pPr>
          </w:p>
        </w:tc>
        <w:tc>
          <w:tcPr>
            <w:tcW w:w="180" w:type="dxa"/>
            <w:vAlign w:val="bottom"/>
          </w:tcPr>
          <w:p>
            <w:pPr>
              <w:jc w:val="center"/>
              <w:spacing w:after="0" w:line="119" w:lineRule="exact"/>
              <w:rPr>
                <w:rFonts w:ascii="Arial" w:cs="Arial" w:eastAsia="Arial" w:hAnsi="Arial"/>
                <w:sz w:val="13"/>
                <w:szCs w:val="13"/>
                <w:color w:val="0000FF"/>
                <w:w w:val="99"/>
              </w:rPr>
            </w:pPr>
            <w:hyperlink r:id="rId61">
              <w:r>
                <w:rPr>
                  <w:rFonts w:ascii="Arial" w:cs="Arial" w:eastAsia="Arial" w:hAnsi="Arial"/>
                  <w:sz w:val="13"/>
                  <w:szCs w:val="13"/>
                  <w:color w:val="0000FF"/>
                  <w:w w:val="99"/>
                </w:rPr>
                <w:t>2.</w:t>
              </w:r>
              <w:r>
                <w:rPr>
                  <w:rFonts w:ascii="Arial" w:cs="Arial" w:eastAsia="Arial" w:hAnsi="Arial"/>
                  <w:sz w:val="13"/>
                  <w:szCs w:val="13"/>
                  <w:u w:val="single" w:color="auto"/>
                  <w:color w:val="0000FF"/>
                  <w:w w:val="99"/>
                </w:rPr>
                <w:t>1</w:t>
              </w:r>
            </w:hyperlink>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980" w:type="dxa"/>
            <w:vAlign w:val="bottom"/>
            <w:gridSpan w:val="128"/>
          </w:tcPr>
          <w:p>
            <w:pPr>
              <w:spacing w:after="0" w:line="119" w:lineRule="exact"/>
              <w:rPr>
                <w:rFonts w:ascii="Arial" w:cs="Arial" w:eastAsia="Arial" w:hAnsi="Arial"/>
                <w:sz w:val="13"/>
                <w:szCs w:val="13"/>
                <w:color w:val="0000FF"/>
              </w:rPr>
            </w:pPr>
            <w:hyperlink r:id="rId61">
              <w:r>
                <w:rPr>
                  <w:rFonts w:ascii="Arial" w:cs="Arial" w:eastAsia="Arial" w:hAnsi="Arial"/>
                  <w:sz w:val="13"/>
                  <w:szCs w:val="13"/>
                  <w:color w:val="0000FF"/>
                </w:rPr>
                <w:t>Agreement and Plan of Share Exchange, dated December 27, 2021, by and between U.S. Century Bank and USCB</w:t>
              </w:r>
            </w:hyperlink>
          </w:p>
        </w:tc>
        <w:tc>
          <w:tcPr>
            <w:tcW w:w="0" w:type="dxa"/>
            <w:vAlign w:val="bottom"/>
          </w:tcPr>
          <w:p>
            <w:pPr>
              <w:spacing w:after="0"/>
              <w:rPr>
                <w:sz w:val="1"/>
                <w:szCs w:val="1"/>
                <w:color w:val="auto"/>
              </w:rPr>
            </w:pPr>
          </w:p>
        </w:tc>
      </w:tr>
      <w:tr>
        <w:trPr>
          <w:trHeight w:val="20"/>
        </w:trPr>
        <w:tc>
          <w:tcPr>
            <w:tcW w:w="1440" w:type="dxa"/>
            <w:vAlign w:val="bottom"/>
            <w:tcBorders>
              <w:right w:val="single" w:sz="8" w:color="0000FF"/>
            </w:tcBorders>
            <w:gridSpan w:val="10"/>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gridSpan w:val="8"/>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28"/>
          </w:tcPr>
          <w:p>
            <w:pPr>
              <w:spacing w:after="0" w:line="129" w:lineRule="exact"/>
              <w:rPr>
                <w:rFonts w:ascii="Arial" w:cs="Arial" w:eastAsia="Arial" w:hAnsi="Arial"/>
                <w:sz w:val="13"/>
                <w:szCs w:val="13"/>
                <w:color w:val="0000FF"/>
              </w:rPr>
            </w:pPr>
            <w:hyperlink r:id="rId61">
              <w:r>
                <w:rPr>
                  <w:rFonts w:ascii="Arial" w:cs="Arial" w:eastAsia="Arial" w:hAnsi="Arial"/>
                  <w:sz w:val="13"/>
                  <w:szCs w:val="13"/>
                  <w:color w:val="0000FF"/>
                </w:rPr>
                <w:t>Financial Holdings, Inc. (incorporated by reference to Exhibit 2.1 to the Registrant’s Current Report on Form 8-K (File No.</w:t>
              </w:r>
            </w:hyperlink>
          </w:p>
        </w:tc>
        <w:tc>
          <w:tcPr>
            <w:tcW w:w="0" w:type="dxa"/>
            <w:vAlign w:val="bottom"/>
          </w:tcPr>
          <w:p>
            <w:pPr>
              <w:spacing w:after="0"/>
              <w:rPr>
                <w:sz w:val="1"/>
                <w:szCs w:val="1"/>
                <w:color w:val="auto"/>
              </w:rPr>
            </w:pPr>
          </w:p>
        </w:tc>
      </w:tr>
      <w:tr>
        <w:trPr>
          <w:trHeight w:val="20"/>
        </w:trPr>
        <w:tc>
          <w:tcPr>
            <w:tcW w:w="1440" w:type="dxa"/>
            <w:vAlign w:val="bottom"/>
            <w:tcBorders>
              <w:right w:val="single" w:sz="8" w:color="0000FF"/>
            </w:tcBorders>
            <w:gridSpan w:val="10"/>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40" w:type="dxa"/>
            <w:vAlign w:val="bottom"/>
            <w:gridSpan w:val="3"/>
            <w:vMerge w:val="restart"/>
          </w:tcPr>
          <w:p>
            <w:pPr>
              <w:spacing w:after="0"/>
              <w:rPr>
                <w:sz w:val="10"/>
                <w:szCs w:val="10"/>
                <w:color w:val="auto"/>
              </w:rPr>
            </w:pPr>
          </w:p>
        </w:tc>
        <w:tc>
          <w:tcPr>
            <w:tcW w:w="180" w:type="dxa"/>
            <w:vAlign w:val="bottom"/>
            <w:vMerge w:val="restart"/>
          </w:tcPr>
          <w:p>
            <w:pPr>
              <w:jc w:val="center"/>
              <w:spacing w:after="0"/>
              <w:rPr>
                <w:rFonts w:ascii="Arial" w:cs="Arial" w:eastAsia="Arial" w:hAnsi="Arial"/>
                <w:sz w:val="13"/>
                <w:szCs w:val="13"/>
                <w:color w:val="0000FF"/>
                <w:w w:val="99"/>
              </w:rPr>
            </w:pPr>
            <w:hyperlink r:id="rId62">
              <w:r>
                <w:rPr>
                  <w:rFonts w:ascii="Arial" w:cs="Arial" w:eastAsia="Arial" w:hAnsi="Arial"/>
                  <w:sz w:val="13"/>
                  <w:szCs w:val="13"/>
                  <w:color w:val="0000FF"/>
                  <w:w w:val="99"/>
                </w:rPr>
                <w:t>3.</w:t>
              </w:r>
              <w:r>
                <w:rPr>
                  <w:rFonts w:ascii="Arial" w:cs="Arial" w:eastAsia="Arial" w:hAnsi="Arial"/>
                  <w:sz w:val="13"/>
                  <w:szCs w:val="13"/>
                  <w:u w:val="single" w:color="auto"/>
                  <w:color w:val="0000FF"/>
                  <w:w w:val="99"/>
                </w:rPr>
                <w:t>1</w:t>
              </w:r>
            </w:hyperlink>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60" w:type="dxa"/>
            <w:vAlign w:val="bottom"/>
            <w:tcBorders>
              <w:bottom w:val="single" w:sz="8" w:color="0000FF"/>
            </w:tcBorders>
            <w:gridSpan w:val="87"/>
          </w:tcPr>
          <w:p>
            <w:pPr>
              <w:spacing w:after="0" w:line="119" w:lineRule="exact"/>
              <w:rPr>
                <w:rFonts w:ascii="Arial" w:cs="Arial" w:eastAsia="Arial" w:hAnsi="Arial"/>
                <w:sz w:val="13"/>
                <w:szCs w:val="13"/>
                <w:color w:val="0000FF"/>
                <w:w w:val="98"/>
              </w:rPr>
            </w:pPr>
            <w:hyperlink r:id="rId61">
              <w:r>
                <w:rPr>
                  <w:rFonts w:ascii="Arial" w:cs="Arial" w:eastAsia="Arial" w:hAnsi="Arial"/>
                  <w:sz w:val="13"/>
                  <w:szCs w:val="13"/>
                  <w:color w:val="0000FF"/>
                  <w:w w:val="98"/>
                </w:rPr>
                <w:t>001-41196) filed with the Securities and Exchange Commission on December 30, 2021).</w:t>
              </w:r>
            </w:hyperlink>
          </w:p>
        </w:tc>
        <w:tc>
          <w:tcPr>
            <w:tcW w:w="1920" w:type="dxa"/>
            <w:vAlign w:val="bottom"/>
            <w:gridSpan w:val="41"/>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40" w:type="dxa"/>
            <w:vAlign w:val="bottom"/>
            <w:gridSpan w:val="3"/>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28"/>
          </w:tcPr>
          <w:p>
            <w:pPr>
              <w:spacing w:after="0" w:line="129" w:lineRule="exact"/>
              <w:rPr>
                <w:rFonts w:ascii="Arial" w:cs="Arial" w:eastAsia="Arial" w:hAnsi="Arial"/>
                <w:sz w:val="13"/>
                <w:szCs w:val="13"/>
                <w:color w:val="0000FF"/>
              </w:rPr>
            </w:pPr>
            <w:hyperlink r:id="rId62">
              <w:r>
                <w:rPr>
                  <w:rFonts w:ascii="Arial" w:cs="Arial" w:eastAsia="Arial" w:hAnsi="Arial"/>
                  <w:sz w:val="13"/>
                  <w:szCs w:val="13"/>
                  <w:color w:val="0000FF"/>
                </w:rPr>
                <w:t>Articles of Incorporation, as amended, of USCB Financial Holdings, Inc. (incorporated by reference to Exhibit 3.1 to the</w:t>
              </w:r>
            </w:hyperlink>
          </w:p>
        </w:tc>
        <w:tc>
          <w:tcPr>
            <w:tcW w:w="0" w:type="dxa"/>
            <w:vAlign w:val="bottom"/>
          </w:tcPr>
          <w:p>
            <w:pPr>
              <w:spacing w:after="0"/>
              <w:rPr>
                <w:sz w:val="1"/>
                <w:szCs w:val="1"/>
                <w:color w:val="auto"/>
              </w:rPr>
            </w:pPr>
          </w:p>
        </w:tc>
      </w:tr>
      <w:tr>
        <w:trPr>
          <w:trHeight w:val="20"/>
        </w:trPr>
        <w:tc>
          <w:tcPr>
            <w:tcW w:w="1440" w:type="dxa"/>
            <w:vAlign w:val="bottom"/>
            <w:tcBorders>
              <w:right w:val="single" w:sz="8" w:color="0000FF"/>
            </w:tcBorders>
            <w:gridSpan w:val="10"/>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gridSpan w:val="8"/>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28"/>
          </w:tcPr>
          <w:p>
            <w:pPr>
              <w:spacing w:after="0" w:line="129" w:lineRule="exact"/>
              <w:rPr>
                <w:rFonts w:ascii="Arial" w:cs="Arial" w:eastAsia="Arial" w:hAnsi="Arial"/>
                <w:sz w:val="13"/>
                <w:szCs w:val="13"/>
                <w:color w:val="0000FF"/>
                <w:w w:val="99"/>
              </w:rPr>
            </w:pPr>
            <w:hyperlink r:id="rId62">
              <w:r>
                <w:rPr>
                  <w:rFonts w:ascii="Arial" w:cs="Arial" w:eastAsia="Arial" w:hAnsi="Arial"/>
                  <w:sz w:val="13"/>
                  <w:szCs w:val="13"/>
                  <w:color w:val="0000FF"/>
                  <w:w w:val="99"/>
                </w:rPr>
                <w:t>Registrant's Quarterly Report on Form 10-Q for the quarter ended September 30, 2023 (File No. 001-41196) filed with the</w:t>
              </w:r>
            </w:hyperlink>
          </w:p>
        </w:tc>
        <w:tc>
          <w:tcPr>
            <w:tcW w:w="0" w:type="dxa"/>
            <w:vAlign w:val="bottom"/>
          </w:tcPr>
          <w:p>
            <w:pPr>
              <w:spacing w:after="0"/>
              <w:rPr>
                <w:sz w:val="1"/>
                <w:szCs w:val="1"/>
                <w:color w:val="auto"/>
              </w:rPr>
            </w:pPr>
          </w:p>
        </w:tc>
      </w:tr>
      <w:tr>
        <w:trPr>
          <w:trHeight w:val="129"/>
        </w:trPr>
        <w:tc>
          <w:tcPr>
            <w:tcW w:w="340" w:type="dxa"/>
            <w:vAlign w:val="bottom"/>
            <w:gridSpan w:val="3"/>
            <w:vMerge w:val="restart"/>
          </w:tcPr>
          <w:p>
            <w:pPr>
              <w:spacing w:after="0"/>
              <w:rPr>
                <w:sz w:val="11"/>
                <w:szCs w:val="11"/>
                <w:color w:val="auto"/>
              </w:rPr>
            </w:pPr>
          </w:p>
        </w:tc>
        <w:tc>
          <w:tcPr>
            <w:tcW w:w="180" w:type="dxa"/>
            <w:vAlign w:val="bottom"/>
            <w:vMerge w:val="restart"/>
          </w:tcPr>
          <w:p>
            <w:pPr>
              <w:jc w:val="center"/>
              <w:spacing w:after="0"/>
              <w:rPr>
                <w:rFonts w:ascii="Arial" w:cs="Arial" w:eastAsia="Arial" w:hAnsi="Arial"/>
                <w:sz w:val="13"/>
                <w:szCs w:val="13"/>
                <w:color w:val="0000FF"/>
                <w:w w:val="99"/>
              </w:rPr>
            </w:pPr>
            <w:hyperlink r:id="rId63">
              <w:r>
                <w:rPr>
                  <w:rFonts w:ascii="Arial" w:cs="Arial" w:eastAsia="Arial" w:hAnsi="Arial"/>
                  <w:sz w:val="13"/>
                  <w:szCs w:val="13"/>
                  <w:color w:val="0000FF"/>
                  <w:w w:val="99"/>
                </w:rPr>
                <w:t>3.</w:t>
              </w:r>
              <w:r>
                <w:rPr>
                  <w:rFonts w:ascii="Arial" w:cs="Arial" w:eastAsia="Arial" w:hAnsi="Arial"/>
                  <w:sz w:val="13"/>
                  <w:szCs w:val="13"/>
                  <w:u w:val="single" w:color="auto"/>
                  <w:color w:val="0000FF"/>
                  <w:w w:val="99"/>
                </w:rPr>
                <w:t>2</w:t>
              </w:r>
            </w:hyperlink>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20" w:type="dxa"/>
            <w:vAlign w:val="bottom"/>
            <w:tcBorders>
              <w:top w:val="single" w:sz="8" w:color="0000FF"/>
            </w:tcBorders>
            <w:gridSpan w:val="72"/>
          </w:tcPr>
          <w:p>
            <w:pPr>
              <w:spacing w:after="0" w:line="129" w:lineRule="exact"/>
              <w:rPr>
                <w:rFonts w:ascii="Arial" w:cs="Arial" w:eastAsia="Arial" w:hAnsi="Arial"/>
                <w:sz w:val="13"/>
                <w:szCs w:val="13"/>
                <w:color w:val="0000FF"/>
              </w:rPr>
            </w:pPr>
            <w:hyperlink r:id="rId62">
              <w:r>
                <w:rPr>
                  <w:rFonts w:ascii="Arial" w:cs="Arial" w:eastAsia="Arial" w:hAnsi="Arial"/>
                  <w:sz w:val="13"/>
                  <w:szCs w:val="13"/>
                  <w:color w:val="0000FF"/>
                </w:rPr>
                <w:t>Securities and Exchange Commission on August 11, 2023).</w:t>
              </w:r>
            </w:hyperlink>
          </w:p>
        </w:tc>
        <w:tc>
          <w:tcPr>
            <w:tcW w:w="20" w:type="dxa"/>
            <w:vAlign w:val="bottom"/>
          </w:tcPr>
          <w:p>
            <w:pPr>
              <w:spacing w:after="0"/>
              <w:rPr>
                <w:sz w:val="11"/>
                <w:szCs w:val="11"/>
                <w:color w:val="auto"/>
              </w:rPr>
            </w:pPr>
          </w:p>
        </w:tc>
        <w:tc>
          <w:tcPr>
            <w:tcW w:w="1740" w:type="dxa"/>
            <w:vAlign w:val="bottom"/>
            <w:tcBorders>
              <w:top w:val="single" w:sz="8" w:color="0000FF"/>
            </w:tcBorders>
            <w:gridSpan w:val="36"/>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Borders>
              <w:top w:val="single" w:sz="8" w:color="0000FF"/>
            </w:tcBorders>
            <w:gridSpan w:val="15"/>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 w:type="dxa"/>
            <w:vAlign w:val="bottom"/>
            <w:gridSpan w:val="3"/>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920" w:type="dxa"/>
            <w:vAlign w:val="bottom"/>
            <w:tcBorders>
              <w:right w:val="single" w:sz="8" w:color="0000FF"/>
            </w:tcBorders>
            <w:gridSpan w:val="6"/>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620" w:type="dxa"/>
            <w:vAlign w:val="bottom"/>
            <w:gridSpan w:val="7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0" w:type="dxa"/>
            <w:vAlign w:val="bottom"/>
            <w:gridSpan w:val="3"/>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28"/>
          </w:tcPr>
          <w:p>
            <w:pPr>
              <w:spacing w:after="0" w:line="129" w:lineRule="exact"/>
              <w:rPr>
                <w:rFonts w:ascii="Arial" w:cs="Arial" w:eastAsia="Arial" w:hAnsi="Arial"/>
                <w:sz w:val="13"/>
                <w:szCs w:val="13"/>
                <w:color w:val="0000FF"/>
                <w:w w:val="97"/>
              </w:rPr>
            </w:pPr>
            <w:hyperlink r:id="rId63">
              <w:r>
                <w:rPr>
                  <w:rFonts w:ascii="Arial" w:cs="Arial" w:eastAsia="Arial" w:hAnsi="Arial"/>
                  <w:sz w:val="13"/>
                  <w:szCs w:val="13"/>
                  <w:color w:val="0000FF"/>
                  <w:w w:val="97"/>
                </w:rPr>
                <w:t>Amended and Restated Bylaws of USCB Financial Holdings, Inc. (incorporated by reference to Exhibit 3.1 to the Registrant’s</w:t>
              </w:r>
            </w:hyperlink>
          </w:p>
        </w:tc>
        <w:tc>
          <w:tcPr>
            <w:tcW w:w="0" w:type="dxa"/>
            <w:vAlign w:val="bottom"/>
          </w:tcPr>
          <w:p>
            <w:pPr>
              <w:spacing w:after="0"/>
              <w:rPr>
                <w:sz w:val="1"/>
                <w:szCs w:val="1"/>
                <w:color w:val="auto"/>
              </w:rPr>
            </w:pPr>
          </w:p>
        </w:tc>
      </w:tr>
      <w:tr>
        <w:trPr>
          <w:trHeight w:val="20"/>
        </w:trPr>
        <w:tc>
          <w:tcPr>
            <w:tcW w:w="1440" w:type="dxa"/>
            <w:vAlign w:val="bottom"/>
            <w:tcBorders>
              <w:right w:val="single" w:sz="8" w:color="0000FF"/>
            </w:tcBorders>
            <w:gridSpan w:val="10"/>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40" w:type="dxa"/>
            <w:vAlign w:val="bottom"/>
            <w:gridSpan w:val="3"/>
            <w:vMerge w:val="restart"/>
          </w:tcPr>
          <w:p>
            <w:pPr>
              <w:spacing w:after="0"/>
              <w:rPr>
                <w:sz w:val="10"/>
                <w:szCs w:val="10"/>
                <w:color w:val="auto"/>
              </w:rPr>
            </w:pPr>
          </w:p>
        </w:tc>
        <w:tc>
          <w:tcPr>
            <w:tcW w:w="180" w:type="dxa"/>
            <w:vAlign w:val="bottom"/>
            <w:vMerge w:val="restart"/>
          </w:tcPr>
          <w:p>
            <w:pPr>
              <w:jc w:val="center"/>
              <w:spacing w:after="0"/>
              <w:rPr>
                <w:rFonts w:ascii="Arial" w:cs="Arial" w:eastAsia="Arial" w:hAnsi="Arial"/>
                <w:sz w:val="13"/>
                <w:szCs w:val="13"/>
                <w:color w:val="0000FF"/>
                <w:w w:val="99"/>
              </w:rPr>
            </w:pPr>
            <w:hyperlink r:id="rId64">
              <w:r>
                <w:rPr>
                  <w:rFonts w:ascii="Arial" w:cs="Arial" w:eastAsia="Arial" w:hAnsi="Arial"/>
                  <w:sz w:val="13"/>
                  <w:szCs w:val="13"/>
                  <w:color w:val="0000FF"/>
                  <w:w w:val="99"/>
                </w:rPr>
                <w:t>4.</w:t>
              </w:r>
              <w:r>
                <w:rPr>
                  <w:rFonts w:ascii="Arial" w:cs="Arial" w:eastAsia="Arial" w:hAnsi="Arial"/>
                  <w:sz w:val="13"/>
                  <w:szCs w:val="13"/>
                  <w:u w:val="single" w:color="auto"/>
                  <w:color w:val="0000FF"/>
                  <w:w w:val="99"/>
                </w:rPr>
                <w:t>1</w:t>
              </w:r>
            </w:hyperlink>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80" w:type="dxa"/>
            <w:vAlign w:val="bottom"/>
            <w:tcBorders>
              <w:bottom w:val="single" w:sz="8" w:color="0000FF"/>
            </w:tcBorders>
            <w:gridSpan w:val="53"/>
          </w:tcPr>
          <w:p>
            <w:pPr>
              <w:spacing w:after="0" w:line="119" w:lineRule="exact"/>
              <w:rPr>
                <w:rFonts w:ascii="Arial" w:cs="Arial" w:eastAsia="Arial" w:hAnsi="Arial"/>
                <w:sz w:val="13"/>
                <w:szCs w:val="13"/>
                <w:color w:val="0000FF"/>
                <w:w w:val="99"/>
              </w:rPr>
            </w:pPr>
            <w:hyperlink r:id="rId63">
              <w:r>
                <w:rPr>
                  <w:rFonts w:ascii="Arial" w:cs="Arial" w:eastAsia="Arial" w:hAnsi="Arial"/>
                  <w:sz w:val="13"/>
                  <w:szCs w:val="13"/>
                  <w:color w:val="0000FF"/>
                  <w:w w:val="99"/>
                </w:rPr>
                <w:t>Current Report on Form 8-K (File No. 001-41196) filed with</w:t>
              </w:r>
            </w:hyperlink>
          </w:p>
        </w:tc>
        <w:tc>
          <w:tcPr>
            <w:tcW w:w="1060" w:type="dxa"/>
            <w:vAlign w:val="bottom"/>
            <w:tcBorders>
              <w:bottom w:val="single" w:sz="8" w:color="0000FF"/>
            </w:tcBorders>
            <w:gridSpan w:val="20"/>
          </w:tcPr>
          <w:p>
            <w:pPr>
              <w:spacing w:after="0" w:line="119" w:lineRule="exact"/>
              <w:rPr>
                <w:rFonts w:ascii="Arial" w:cs="Arial" w:eastAsia="Arial" w:hAnsi="Arial"/>
                <w:sz w:val="13"/>
                <w:szCs w:val="13"/>
                <w:color w:val="0000FF"/>
                <w:w w:val="99"/>
              </w:rPr>
            </w:pPr>
            <w:hyperlink r:id="rId63">
              <w:r>
                <w:rPr>
                  <w:rFonts w:ascii="Arial" w:cs="Arial" w:eastAsia="Arial" w:hAnsi="Arial"/>
                  <w:sz w:val="13"/>
                  <w:szCs w:val="13"/>
                  <w:color w:val="0000FF"/>
                  <w:w w:val="99"/>
                </w:rPr>
                <w:t>the Securities and</w:t>
              </w:r>
            </w:hyperlink>
          </w:p>
        </w:tc>
        <w:tc>
          <w:tcPr>
            <w:tcW w:w="2340" w:type="dxa"/>
            <w:vAlign w:val="bottom"/>
            <w:tcBorders>
              <w:bottom w:val="single" w:sz="8" w:color="0000FF"/>
            </w:tcBorders>
            <w:gridSpan w:val="50"/>
          </w:tcPr>
          <w:p>
            <w:pPr>
              <w:spacing w:after="0" w:line="119" w:lineRule="exact"/>
              <w:rPr>
                <w:rFonts w:ascii="Arial" w:cs="Arial" w:eastAsia="Arial" w:hAnsi="Arial"/>
                <w:sz w:val="13"/>
                <w:szCs w:val="13"/>
                <w:color w:val="0000FF"/>
                <w:w w:val="96"/>
              </w:rPr>
            </w:pPr>
            <w:hyperlink r:id="rId63">
              <w:r>
                <w:rPr>
                  <w:rFonts w:ascii="Arial" w:cs="Arial" w:eastAsia="Arial" w:hAnsi="Arial"/>
                  <w:sz w:val="13"/>
                  <w:szCs w:val="13"/>
                  <w:color w:val="0000FF"/>
                  <w:w w:val="96"/>
                </w:rPr>
                <w:t>Exchange Commission on July 26, 2023).</w:t>
              </w:r>
            </w:hyperlink>
          </w:p>
        </w:tc>
        <w:tc>
          <w:tcPr>
            <w:tcW w:w="180" w:type="dxa"/>
            <w:vAlign w:val="bottom"/>
            <w:gridSpan w:val="4"/>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40" w:type="dxa"/>
            <w:vAlign w:val="bottom"/>
            <w:gridSpan w:val="3"/>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28"/>
          </w:tcPr>
          <w:p>
            <w:pPr>
              <w:spacing w:after="0" w:line="129" w:lineRule="exact"/>
              <w:rPr>
                <w:rFonts w:ascii="Arial" w:cs="Arial" w:eastAsia="Arial" w:hAnsi="Arial"/>
                <w:sz w:val="13"/>
                <w:szCs w:val="13"/>
                <w:color w:val="0000FF"/>
              </w:rPr>
            </w:pPr>
            <w:hyperlink r:id="rId64">
              <w:r>
                <w:rPr>
                  <w:rFonts w:ascii="Arial" w:cs="Arial" w:eastAsia="Arial" w:hAnsi="Arial"/>
                  <w:sz w:val="13"/>
                  <w:szCs w:val="13"/>
                  <w:color w:val="0000FF"/>
                </w:rPr>
                <w:t>Side Letter Agreement, dated December 30, 2021, between USCB Financial Holdings, Inc., U.S. Century Bank, Priam</w:t>
              </w:r>
            </w:hyperlink>
          </w:p>
        </w:tc>
        <w:tc>
          <w:tcPr>
            <w:tcW w:w="0" w:type="dxa"/>
            <w:vAlign w:val="bottom"/>
          </w:tcPr>
          <w:p>
            <w:pPr>
              <w:spacing w:after="0"/>
              <w:rPr>
                <w:sz w:val="1"/>
                <w:szCs w:val="1"/>
                <w:color w:val="auto"/>
              </w:rPr>
            </w:pPr>
          </w:p>
        </w:tc>
      </w:tr>
      <w:tr>
        <w:trPr>
          <w:trHeight w:val="20"/>
        </w:trPr>
        <w:tc>
          <w:tcPr>
            <w:tcW w:w="1440" w:type="dxa"/>
            <w:vAlign w:val="bottom"/>
            <w:tcBorders>
              <w:right w:val="single" w:sz="8" w:color="0000FF"/>
            </w:tcBorders>
            <w:gridSpan w:val="10"/>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28"/>
          </w:tcPr>
          <w:p>
            <w:pPr>
              <w:spacing w:after="0" w:line="129" w:lineRule="exact"/>
              <w:rPr>
                <w:rFonts w:ascii="Arial" w:cs="Arial" w:eastAsia="Arial" w:hAnsi="Arial"/>
                <w:sz w:val="13"/>
                <w:szCs w:val="13"/>
                <w:color w:val="0000FF"/>
              </w:rPr>
            </w:pPr>
            <w:hyperlink r:id="rId64">
              <w:r>
                <w:rPr>
                  <w:rFonts w:ascii="Arial" w:cs="Arial" w:eastAsia="Arial" w:hAnsi="Arial"/>
                  <w:sz w:val="13"/>
                  <w:szCs w:val="13"/>
                  <w:color w:val="0000FF"/>
                </w:rPr>
                <w:t>Capital Fund II, LP, Patriot Financial Partners II, L.P. and Patriot Financial Partners Parallel II, L.P. (incorporated by</w:t>
              </w:r>
            </w:hyperlink>
          </w:p>
        </w:tc>
        <w:tc>
          <w:tcPr>
            <w:tcW w:w="0" w:type="dxa"/>
            <w:vAlign w:val="bottom"/>
          </w:tcPr>
          <w:p>
            <w:pPr>
              <w:spacing w:after="0"/>
              <w:rPr>
                <w:sz w:val="1"/>
                <w:szCs w:val="1"/>
                <w:color w:val="auto"/>
              </w:rPr>
            </w:pPr>
          </w:p>
        </w:tc>
      </w:tr>
      <w:tr>
        <w:trPr>
          <w:trHeight w:val="20"/>
        </w:trPr>
        <w:tc>
          <w:tcPr>
            <w:tcW w:w="1440" w:type="dxa"/>
            <w:vAlign w:val="bottom"/>
            <w:tcBorders>
              <w:right w:val="single" w:sz="8" w:color="0000FF"/>
            </w:tcBorders>
            <w:gridSpan w:val="10"/>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right w:val="single" w:sz="8" w:color="0000FF"/>
            </w:tcBorders>
            <w:gridSpan w:val="2"/>
          </w:tcPr>
          <w:p>
            <w:pPr>
              <w:spacing w:after="0" w:line="20" w:lineRule="exact"/>
              <w:rPr>
                <w:sz w:val="1"/>
                <w:szCs w:val="1"/>
                <w:color w:val="auto"/>
              </w:rPr>
            </w:pPr>
          </w:p>
        </w:tc>
        <w:tc>
          <w:tcPr>
            <w:tcW w:w="50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gridSpan w:val="2"/>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gridSpan w:val="4"/>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28"/>
          </w:tcPr>
          <w:p>
            <w:pPr>
              <w:spacing w:after="0" w:line="129" w:lineRule="exact"/>
              <w:rPr>
                <w:rFonts w:ascii="Arial" w:cs="Arial" w:eastAsia="Arial" w:hAnsi="Arial"/>
                <w:sz w:val="13"/>
                <w:szCs w:val="13"/>
                <w:color w:val="0000FF"/>
              </w:rPr>
            </w:pPr>
            <w:hyperlink r:id="rId64">
              <w:r>
                <w:rPr>
                  <w:rFonts w:ascii="Arial" w:cs="Arial" w:eastAsia="Arial" w:hAnsi="Arial"/>
                  <w:sz w:val="13"/>
                  <w:szCs w:val="13"/>
                  <w:color w:val="0000FF"/>
                </w:rPr>
                <w:t>reference to Exhibit 4.1 to the Registrant’s Current Report on Form 8-K (File No. 001-41196) filed with the Securities and</w:t>
              </w:r>
            </w:hyperlink>
          </w:p>
        </w:tc>
        <w:tc>
          <w:tcPr>
            <w:tcW w:w="0" w:type="dxa"/>
            <w:vAlign w:val="bottom"/>
          </w:tcPr>
          <w:p>
            <w:pPr>
              <w:spacing w:after="0"/>
              <w:rPr>
                <w:sz w:val="1"/>
                <w:szCs w:val="1"/>
                <w:color w:val="auto"/>
              </w:rPr>
            </w:pPr>
          </w:p>
        </w:tc>
      </w:tr>
      <w:tr>
        <w:trPr>
          <w:trHeight w:val="20"/>
        </w:trPr>
        <w:tc>
          <w:tcPr>
            <w:tcW w:w="1440" w:type="dxa"/>
            <w:vAlign w:val="bottom"/>
            <w:tcBorders>
              <w:right w:val="single" w:sz="8" w:color="0000FF"/>
            </w:tcBorders>
            <w:gridSpan w:val="10"/>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0" w:type="dxa"/>
            <w:vAlign w:val="bottom"/>
            <w:gridSpan w:val="3"/>
            <w:vMerge w:val="restart"/>
          </w:tcPr>
          <w:p>
            <w:pPr>
              <w:spacing w:after="0"/>
              <w:rPr>
                <w:sz w:val="11"/>
                <w:szCs w:val="11"/>
                <w:color w:val="auto"/>
              </w:rPr>
            </w:pPr>
          </w:p>
        </w:tc>
        <w:tc>
          <w:tcPr>
            <w:tcW w:w="180" w:type="dxa"/>
            <w:vAlign w:val="bottom"/>
            <w:vMerge w:val="restart"/>
          </w:tcPr>
          <w:p>
            <w:pPr>
              <w:jc w:val="center"/>
              <w:spacing w:after="0"/>
              <w:rPr>
                <w:rFonts w:ascii="Arial" w:cs="Arial" w:eastAsia="Arial" w:hAnsi="Arial"/>
                <w:sz w:val="13"/>
                <w:szCs w:val="13"/>
                <w:color w:val="0000FF"/>
                <w:w w:val="99"/>
              </w:rPr>
            </w:pPr>
            <w:hyperlink r:id="rId65">
              <w:r>
                <w:rPr>
                  <w:rFonts w:ascii="Arial" w:cs="Arial" w:eastAsia="Arial" w:hAnsi="Arial"/>
                  <w:sz w:val="13"/>
                  <w:szCs w:val="13"/>
                  <w:color w:val="0000FF"/>
                  <w:w w:val="99"/>
                </w:rPr>
                <w:t>4.</w:t>
              </w:r>
              <w:r>
                <w:rPr>
                  <w:rFonts w:ascii="Arial" w:cs="Arial" w:eastAsia="Arial" w:hAnsi="Arial"/>
                  <w:sz w:val="13"/>
                  <w:szCs w:val="13"/>
                  <w:u w:val="single" w:color="auto"/>
                  <w:color w:val="0000FF"/>
                  <w:w w:val="99"/>
                </w:rPr>
                <w:t>2</w:t>
              </w:r>
            </w:hyperlink>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20" w:type="dxa"/>
            <w:vAlign w:val="bottom"/>
            <w:tcBorders>
              <w:bottom w:val="single" w:sz="8" w:color="0000FF"/>
            </w:tcBorders>
            <w:gridSpan w:val="42"/>
          </w:tcPr>
          <w:p>
            <w:pPr>
              <w:spacing w:after="0" w:line="129" w:lineRule="exact"/>
              <w:rPr>
                <w:rFonts w:ascii="Arial" w:cs="Arial" w:eastAsia="Arial" w:hAnsi="Arial"/>
                <w:sz w:val="13"/>
                <w:szCs w:val="13"/>
                <w:color w:val="0000FF"/>
                <w:w w:val="96"/>
              </w:rPr>
            </w:pPr>
            <w:hyperlink r:id="rId64">
              <w:r>
                <w:rPr>
                  <w:rFonts w:ascii="Arial" w:cs="Arial" w:eastAsia="Arial" w:hAnsi="Arial"/>
                  <w:sz w:val="13"/>
                  <w:szCs w:val="13"/>
                  <w:color w:val="0000FF"/>
                  <w:w w:val="96"/>
                </w:rPr>
                <w:t>Exchange Commission on December 30, 2021).</w:t>
              </w:r>
            </w:hyperlink>
          </w:p>
        </w:tc>
        <w:tc>
          <w:tcPr>
            <w:tcW w:w="4260" w:type="dxa"/>
            <w:vAlign w:val="bottom"/>
            <w:gridSpan w:val="86"/>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340" w:type="dxa"/>
            <w:vAlign w:val="bottom"/>
            <w:gridSpan w:val="3"/>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980" w:type="dxa"/>
            <w:vAlign w:val="bottom"/>
            <w:gridSpan w:val="128"/>
          </w:tcPr>
          <w:p>
            <w:pPr>
              <w:spacing w:after="0" w:line="119" w:lineRule="exact"/>
              <w:rPr>
                <w:rFonts w:ascii="Arial" w:cs="Arial" w:eastAsia="Arial" w:hAnsi="Arial"/>
                <w:sz w:val="13"/>
                <w:szCs w:val="13"/>
                <w:color w:val="0000FF"/>
              </w:rPr>
            </w:pPr>
            <w:hyperlink r:id="rId65">
              <w:r>
                <w:rPr>
                  <w:rFonts w:ascii="Arial" w:cs="Arial" w:eastAsia="Arial" w:hAnsi="Arial"/>
                  <w:sz w:val="13"/>
                  <w:szCs w:val="13"/>
                  <w:color w:val="0000FF"/>
                </w:rPr>
                <w:t>Registration Rights Agreement, dated March 17, 2015, between U.S. Century Bank, Priam Capital Fund II, LP, Patriot</w:t>
              </w:r>
            </w:hyperlink>
          </w:p>
        </w:tc>
        <w:tc>
          <w:tcPr>
            <w:tcW w:w="0" w:type="dxa"/>
            <w:vAlign w:val="bottom"/>
          </w:tcPr>
          <w:p>
            <w:pPr>
              <w:spacing w:after="0"/>
              <w:rPr>
                <w:sz w:val="1"/>
                <w:szCs w:val="1"/>
                <w:color w:val="auto"/>
              </w:rPr>
            </w:pPr>
          </w:p>
        </w:tc>
      </w:tr>
      <w:tr>
        <w:trPr>
          <w:trHeight w:val="20"/>
        </w:trPr>
        <w:tc>
          <w:tcPr>
            <w:tcW w:w="1440" w:type="dxa"/>
            <w:vAlign w:val="bottom"/>
            <w:tcBorders>
              <w:right w:val="single" w:sz="8" w:color="0000FF"/>
            </w:tcBorders>
            <w:gridSpan w:val="10"/>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80" w:type="dxa"/>
            <w:vAlign w:val="bottom"/>
            <w:tcBorders>
              <w:right w:val="single" w:sz="8" w:color="0000FF"/>
            </w:tcBorders>
            <w:gridSpan w:val="6"/>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3"/>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gridSpan w:val="3"/>
          </w:tcPr>
          <w:p>
            <w:pPr>
              <w:spacing w:after="0" w:line="20" w:lineRule="exact"/>
              <w:rPr>
                <w:sz w:val="1"/>
                <w:szCs w:val="1"/>
                <w:color w:val="auto"/>
              </w:rPr>
            </w:pPr>
          </w:p>
        </w:tc>
        <w:tc>
          <w:tcPr>
            <w:tcW w:w="2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gridSpan w:val="4"/>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4"/>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28"/>
          </w:tcPr>
          <w:p>
            <w:pPr>
              <w:spacing w:after="0" w:line="129" w:lineRule="exact"/>
              <w:rPr>
                <w:rFonts w:ascii="Arial" w:cs="Arial" w:eastAsia="Arial" w:hAnsi="Arial"/>
                <w:sz w:val="13"/>
                <w:szCs w:val="13"/>
                <w:color w:val="0000FF"/>
                <w:w w:val="99"/>
              </w:rPr>
            </w:pPr>
            <w:hyperlink r:id="rId65">
              <w:r>
                <w:rPr>
                  <w:rFonts w:ascii="Arial" w:cs="Arial" w:eastAsia="Arial" w:hAnsi="Arial"/>
                  <w:sz w:val="13"/>
                  <w:szCs w:val="13"/>
                  <w:color w:val="0000FF"/>
                  <w:w w:val="99"/>
                </w:rPr>
                <w:t>Financial Partners II, L.P., Patriot Financial Partners Parallel II, L.P., and certain other shareholders of U.S. Century Bank</w:t>
              </w:r>
            </w:hyperlink>
          </w:p>
        </w:tc>
        <w:tc>
          <w:tcPr>
            <w:tcW w:w="0" w:type="dxa"/>
            <w:vAlign w:val="bottom"/>
          </w:tcPr>
          <w:p>
            <w:pPr>
              <w:spacing w:after="0"/>
              <w:rPr>
                <w:sz w:val="1"/>
                <w:szCs w:val="1"/>
                <w:color w:val="auto"/>
              </w:rPr>
            </w:pPr>
          </w:p>
        </w:tc>
      </w:tr>
      <w:tr>
        <w:trPr>
          <w:trHeight w:val="20"/>
        </w:trPr>
        <w:tc>
          <w:tcPr>
            <w:tcW w:w="1440" w:type="dxa"/>
            <w:vAlign w:val="bottom"/>
            <w:tcBorders>
              <w:right w:val="single" w:sz="8" w:color="0000FF"/>
            </w:tcBorders>
            <w:gridSpan w:val="10"/>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80" w:type="dxa"/>
            <w:vAlign w:val="bottom"/>
            <w:tcBorders>
              <w:right w:val="single" w:sz="8" w:color="0000FF"/>
            </w:tcBorders>
            <w:gridSpan w:val="6"/>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32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7"/>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gridSpan w:val="4"/>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20" w:type="dxa"/>
            <w:vAlign w:val="bottom"/>
            <w:tcBorders>
              <w:bottom w:val="single" w:sz="8" w:color="0000FF"/>
            </w:tcBorders>
            <w:gridSpan w:val="125"/>
          </w:tcPr>
          <w:p>
            <w:pPr>
              <w:spacing w:after="0" w:line="129" w:lineRule="exact"/>
              <w:rPr>
                <w:rFonts w:ascii="Arial" w:cs="Arial" w:eastAsia="Arial" w:hAnsi="Arial"/>
                <w:sz w:val="13"/>
                <w:szCs w:val="13"/>
                <w:color w:val="0000FF"/>
                <w:w w:val="97"/>
              </w:rPr>
            </w:pPr>
            <w:hyperlink r:id="rId65">
              <w:r>
                <w:rPr>
                  <w:rFonts w:ascii="Arial" w:cs="Arial" w:eastAsia="Arial" w:hAnsi="Arial"/>
                  <w:sz w:val="13"/>
                  <w:szCs w:val="13"/>
                  <w:color w:val="0000FF"/>
                  <w:w w:val="97"/>
                </w:rPr>
                <w:t>(incorporated by reference to Exhibit 4.2 to the Registrant’s Current Report on Form 8-K (File No. 001-41196) filed with the</w:t>
              </w:r>
            </w:hyperlink>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0" w:type="dxa"/>
            <w:vAlign w:val="bottom"/>
            <w:gridSpan w:val="3"/>
            <w:vMerge w:val="restart"/>
          </w:tcPr>
          <w:p>
            <w:pPr>
              <w:spacing w:after="0"/>
              <w:rPr>
                <w:sz w:val="11"/>
                <w:szCs w:val="11"/>
                <w:color w:val="auto"/>
              </w:rPr>
            </w:pPr>
          </w:p>
        </w:tc>
        <w:tc>
          <w:tcPr>
            <w:tcW w:w="180" w:type="dxa"/>
            <w:vAlign w:val="bottom"/>
            <w:vMerge w:val="restart"/>
          </w:tcPr>
          <w:p>
            <w:pPr>
              <w:jc w:val="center"/>
              <w:spacing w:after="0"/>
              <w:rPr>
                <w:rFonts w:ascii="Arial" w:cs="Arial" w:eastAsia="Arial" w:hAnsi="Arial"/>
                <w:sz w:val="13"/>
                <w:szCs w:val="13"/>
                <w:color w:val="0000FF"/>
                <w:w w:val="99"/>
              </w:rPr>
            </w:pPr>
            <w:hyperlink r:id="rId66">
              <w:r>
                <w:rPr>
                  <w:rFonts w:ascii="Arial" w:cs="Arial" w:eastAsia="Arial" w:hAnsi="Arial"/>
                  <w:sz w:val="13"/>
                  <w:szCs w:val="13"/>
                  <w:color w:val="0000FF"/>
                  <w:w w:val="99"/>
                </w:rPr>
                <w:t>4.</w:t>
              </w:r>
              <w:r>
                <w:rPr>
                  <w:rFonts w:ascii="Arial" w:cs="Arial" w:eastAsia="Arial" w:hAnsi="Arial"/>
                  <w:sz w:val="13"/>
                  <w:szCs w:val="13"/>
                  <w:u w:val="single" w:color="auto"/>
                  <w:color w:val="0000FF"/>
                  <w:w w:val="99"/>
                </w:rPr>
                <w:t>3</w:t>
              </w:r>
            </w:hyperlink>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28"/>
          </w:tcPr>
          <w:p>
            <w:pPr>
              <w:spacing w:after="0" w:line="129" w:lineRule="exact"/>
              <w:rPr>
                <w:rFonts w:ascii="Arial" w:cs="Arial" w:eastAsia="Arial" w:hAnsi="Arial"/>
                <w:sz w:val="13"/>
                <w:szCs w:val="13"/>
                <w:color w:val="0000FF"/>
              </w:rPr>
            </w:pPr>
            <w:hyperlink r:id="rId65">
              <w:r>
                <w:rPr>
                  <w:rFonts w:ascii="Arial" w:cs="Arial" w:eastAsia="Arial" w:hAnsi="Arial"/>
                  <w:sz w:val="13"/>
                  <w:szCs w:val="13"/>
                  <w:color w:val="0000FF"/>
                </w:rPr>
                <w:t>Securities and Exchange Commission on December 30, 2021).</w:t>
              </w:r>
            </w:hyperlink>
          </w:p>
        </w:tc>
        <w:tc>
          <w:tcPr>
            <w:tcW w:w="0" w:type="dxa"/>
            <w:vAlign w:val="bottom"/>
          </w:tcPr>
          <w:p>
            <w:pPr>
              <w:spacing w:after="0"/>
              <w:rPr>
                <w:sz w:val="1"/>
                <w:szCs w:val="1"/>
                <w:color w:val="auto"/>
              </w:rPr>
            </w:pPr>
          </w:p>
        </w:tc>
      </w:tr>
      <w:tr>
        <w:trPr>
          <w:trHeight w:val="20"/>
        </w:trPr>
        <w:tc>
          <w:tcPr>
            <w:tcW w:w="340" w:type="dxa"/>
            <w:vAlign w:val="bottom"/>
            <w:gridSpan w:val="3"/>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920" w:type="dxa"/>
            <w:vAlign w:val="bottom"/>
            <w:tcBorders>
              <w:right w:val="single" w:sz="8" w:color="0000FF"/>
            </w:tcBorders>
            <w:gridSpan w:val="6"/>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80" w:type="dxa"/>
            <w:vAlign w:val="bottom"/>
            <w:tcBorders>
              <w:right w:val="single" w:sz="8" w:color="0000FF"/>
            </w:tcBorders>
            <w:gridSpan w:val="6"/>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32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3480" w:type="dxa"/>
            <w:vAlign w:val="bottom"/>
            <w:gridSpan w:val="7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0" w:type="dxa"/>
            <w:vAlign w:val="bottom"/>
            <w:gridSpan w:val="3"/>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28"/>
          </w:tcPr>
          <w:p>
            <w:pPr>
              <w:spacing w:after="0" w:line="129" w:lineRule="exact"/>
              <w:rPr>
                <w:rFonts w:ascii="Arial" w:cs="Arial" w:eastAsia="Arial" w:hAnsi="Arial"/>
                <w:sz w:val="13"/>
                <w:szCs w:val="13"/>
                <w:color w:val="0000FF"/>
              </w:rPr>
            </w:pPr>
            <w:hyperlink r:id="rId66">
              <w:r>
                <w:rPr>
                  <w:rFonts w:ascii="Arial" w:cs="Arial" w:eastAsia="Arial" w:hAnsi="Arial"/>
                  <w:sz w:val="13"/>
                  <w:szCs w:val="13"/>
                  <w:color w:val="0000FF"/>
                </w:rPr>
                <w:t>Assignment and Assumption of Agreement, dated December 30, 2021, between U.S. Century Bank and USCB Financial</w:t>
              </w:r>
            </w:hyperlink>
          </w:p>
        </w:tc>
        <w:tc>
          <w:tcPr>
            <w:tcW w:w="0" w:type="dxa"/>
            <w:vAlign w:val="bottom"/>
          </w:tcPr>
          <w:p>
            <w:pPr>
              <w:spacing w:after="0"/>
              <w:rPr>
                <w:sz w:val="1"/>
                <w:szCs w:val="1"/>
                <w:color w:val="auto"/>
              </w:rPr>
            </w:pPr>
          </w:p>
        </w:tc>
      </w:tr>
      <w:tr>
        <w:trPr>
          <w:trHeight w:val="20"/>
        </w:trPr>
        <w:tc>
          <w:tcPr>
            <w:tcW w:w="1440" w:type="dxa"/>
            <w:vAlign w:val="bottom"/>
            <w:tcBorders>
              <w:right w:val="single" w:sz="8" w:color="0000FF"/>
            </w:tcBorders>
            <w:gridSpan w:val="10"/>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80" w:type="dxa"/>
            <w:vAlign w:val="bottom"/>
            <w:tcBorders>
              <w:right w:val="single" w:sz="8" w:color="0000FF"/>
            </w:tcBorders>
            <w:gridSpan w:val="6"/>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32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7"/>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gridSpan w:val="4"/>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28"/>
          </w:tcPr>
          <w:p>
            <w:pPr>
              <w:spacing w:after="0" w:line="129" w:lineRule="exact"/>
              <w:rPr>
                <w:rFonts w:ascii="Arial" w:cs="Arial" w:eastAsia="Arial" w:hAnsi="Arial"/>
                <w:sz w:val="13"/>
                <w:szCs w:val="13"/>
                <w:color w:val="0000FF"/>
                <w:w w:val="97"/>
              </w:rPr>
            </w:pPr>
            <w:hyperlink r:id="rId66">
              <w:r>
                <w:rPr>
                  <w:rFonts w:ascii="Arial" w:cs="Arial" w:eastAsia="Arial" w:hAnsi="Arial"/>
                  <w:sz w:val="13"/>
                  <w:szCs w:val="13"/>
                  <w:color w:val="0000FF"/>
                  <w:w w:val="97"/>
                </w:rPr>
                <w:t>Holdings, Inc. (incorporated by reference to Exhibit 4.3 to the Registrant’s Current Report on Form 8-K (File No. 001-41196)</w:t>
              </w:r>
            </w:hyperlink>
          </w:p>
        </w:tc>
        <w:tc>
          <w:tcPr>
            <w:tcW w:w="0" w:type="dxa"/>
            <w:vAlign w:val="bottom"/>
          </w:tcPr>
          <w:p>
            <w:pPr>
              <w:spacing w:after="0"/>
              <w:rPr>
                <w:sz w:val="1"/>
                <w:szCs w:val="1"/>
                <w:color w:val="auto"/>
              </w:rPr>
            </w:pPr>
          </w:p>
        </w:tc>
      </w:tr>
      <w:tr>
        <w:trPr>
          <w:trHeight w:val="119"/>
        </w:trPr>
        <w:tc>
          <w:tcPr>
            <w:tcW w:w="340" w:type="dxa"/>
            <w:vAlign w:val="bottom"/>
            <w:gridSpan w:val="3"/>
            <w:vMerge w:val="restart"/>
          </w:tcPr>
          <w:p>
            <w:pPr>
              <w:spacing w:after="0"/>
              <w:rPr>
                <w:sz w:val="10"/>
                <w:szCs w:val="10"/>
                <w:color w:val="auto"/>
              </w:rPr>
            </w:pPr>
          </w:p>
        </w:tc>
        <w:tc>
          <w:tcPr>
            <w:tcW w:w="180" w:type="dxa"/>
            <w:vAlign w:val="bottom"/>
            <w:vMerge w:val="restart"/>
          </w:tcPr>
          <w:p>
            <w:pPr>
              <w:jc w:val="center"/>
              <w:spacing w:after="0"/>
              <w:rPr>
                <w:rFonts w:ascii="Arial" w:cs="Arial" w:eastAsia="Arial" w:hAnsi="Arial"/>
                <w:sz w:val="13"/>
                <w:szCs w:val="13"/>
                <w:color w:val="0000FF"/>
                <w:w w:val="99"/>
              </w:rPr>
            </w:pPr>
            <w:hyperlink r:id="rId67">
              <w:r>
                <w:rPr>
                  <w:rFonts w:ascii="Arial" w:cs="Arial" w:eastAsia="Arial" w:hAnsi="Arial"/>
                  <w:sz w:val="13"/>
                  <w:szCs w:val="13"/>
                  <w:color w:val="0000FF"/>
                  <w:w w:val="99"/>
                </w:rPr>
                <w:t>4.</w:t>
              </w:r>
              <w:r>
                <w:rPr>
                  <w:rFonts w:ascii="Arial" w:cs="Arial" w:eastAsia="Arial" w:hAnsi="Arial"/>
                  <w:sz w:val="13"/>
                  <w:szCs w:val="13"/>
                  <w:u w:val="single" w:color="auto"/>
                  <w:color w:val="0000FF"/>
                  <w:w w:val="99"/>
                </w:rPr>
                <w:t>4</w:t>
              </w:r>
            </w:hyperlink>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360" w:type="dxa"/>
            <w:vAlign w:val="bottom"/>
            <w:tcBorders>
              <w:top w:val="single" w:sz="8" w:color="0000FF"/>
              <w:bottom w:val="single" w:sz="8" w:color="0000FF"/>
            </w:tcBorders>
            <w:gridSpan w:val="70"/>
          </w:tcPr>
          <w:p>
            <w:pPr>
              <w:spacing w:after="0" w:line="119" w:lineRule="exact"/>
              <w:rPr>
                <w:rFonts w:ascii="Arial" w:cs="Arial" w:eastAsia="Arial" w:hAnsi="Arial"/>
                <w:sz w:val="13"/>
                <w:szCs w:val="13"/>
                <w:color w:val="0000FF"/>
                <w:w w:val="98"/>
              </w:rPr>
            </w:pPr>
            <w:hyperlink r:id="rId66">
              <w:r>
                <w:rPr>
                  <w:rFonts w:ascii="Arial" w:cs="Arial" w:eastAsia="Arial" w:hAnsi="Arial"/>
                  <w:sz w:val="13"/>
                  <w:szCs w:val="13"/>
                  <w:color w:val="0000FF"/>
                  <w:w w:val="98"/>
                </w:rPr>
                <w:t>filed with the Securities and Exchange Commission on December 30, 2021).</w:t>
              </w:r>
            </w:hyperlink>
          </w:p>
        </w:tc>
        <w:tc>
          <w:tcPr>
            <w:tcW w:w="2580" w:type="dxa"/>
            <w:vAlign w:val="bottom"/>
            <w:tcBorders>
              <w:top w:val="single" w:sz="8" w:color="0000FF"/>
            </w:tcBorders>
            <w:gridSpan w:val="56"/>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40" w:type="dxa"/>
            <w:vAlign w:val="bottom"/>
            <w:gridSpan w:val="3"/>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28"/>
          </w:tcPr>
          <w:p>
            <w:pPr>
              <w:spacing w:after="0" w:line="129" w:lineRule="exact"/>
              <w:rPr>
                <w:rFonts w:ascii="Arial" w:cs="Arial" w:eastAsia="Arial" w:hAnsi="Arial"/>
                <w:sz w:val="13"/>
                <w:szCs w:val="13"/>
                <w:color w:val="0000FF"/>
                <w:w w:val="97"/>
              </w:rPr>
            </w:pPr>
            <w:hyperlink r:id="rId68">
              <w:r>
                <w:rPr>
                  <w:rFonts w:ascii="Arial" w:cs="Arial" w:eastAsia="Arial" w:hAnsi="Arial"/>
                  <w:sz w:val="13"/>
                  <w:szCs w:val="13"/>
                  <w:color w:val="0000FF"/>
                  <w:w w:val="97"/>
                </w:rPr>
                <w:t>Description of USCB Financial Holdings, Inc.’s securities (incorporated by reference to Exhibit 4.4 to the Registrant's Annual</w:t>
              </w:r>
            </w:hyperlink>
          </w:p>
        </w:tc>
        <w:tc>
          <w:tcPr>
            <w:tcW w:w="0" w:type="dxa"/>
            <w:vAlign w:val="bottom"/>
          </w:tcPr>
          <w:p>
            <w:pPr>
              <w:spacing w:after="0"/>
              <w:rPr>
                <w:sz w:val="1"/>
                <w:szCs w:val="1"/>
                <w:color w:val="auto"/>
              </w:rPr>
            </w:pPr>
          </w:p>
        </w:tc>
      </w:tr>
      <w:tr>
        <w:trPr>
          <w:trHeight w:val="20"/>
        </w:trPr>
        <w:tc>
          <w:tcPr>
            <w:tcW w:w="1440" w:type="dxa"/>
            <w:vAlign w:val="bottom"/>
            <w:tcBorders>
              <w:right w:val="single" w:sz="8" w:color="0000FF"/>
            </w:tcBorders>
            <w:gridSpan w:val="10"/>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60" w:type="dxa"/>
            <w:vAlign w:val="bottom"/>
            <w:gridSpan w:val="5"/>
            <w:vMerge w:val="restart"/>
          </w:tcPr>
          <w:p>
            <w:pPr>
              <w:jc w:val="center"/>
              <w:ind w:left="253"/>
              <w:spacing w:after="0"/>
              <w:rPr>
                <w:sz w:val="20"/>
                <w:szCs w:val="20"/>
                <w:color w:val="auto"/>
              </w:rPr>
            </w:pPr>
            <w:r>
              <w:rPr>
                <w:rFonts w:ascii="Arial" w:cs="Arial" w:eastAsia="Arial" w:hAnsi="Arial"/>
                <w:sz w:val="14"/>
                <w:szCs w:val="14"/>
                <w:color w:val="0000FF"/>
              </w:rPr>
              <w:t>4.</w:t>
            </w:r>
            <w:r>
              <w:rPr>
                <w:rFonts w:ascii="Arial" w:cs="Arial" w:eastAsia="Arial" w:hAnsi="Arial"/>
                <w:sz w:val="14"/>
                <w:szCs w:val="14"/>
                <w:u w:val="single" w:color="auto"/>
                <w:color w:val="0000FF"/>
              </w:rPr>
              <w:t>5</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520" w:type="dxa"/>
            <w:vAlign w:val="bottom"/>
            <w:tcBorders>
              <w:bottom w:val="single" w:sz="8" w:color="0000FF"/>
            </w:tcBorders>
            <w:gridSpan w:val="116"/>
          </w:tcPr>
          <w:p>
            <w:pPr>
              <w:spacing w:after="0" w:line="129" w:lineRule="exact"/>
              <w:rPr>
                <w:rFonts w:ascii="Arial" w:cs="Arial" w:eastAsia="Arial" w:hAnsi="Arial"/>
                <w:sz w:val="13"/>
                <w:szCs w:val="13"/>
                <w:color w:val="0000FF"/>
                <w:w w:val="97"/>
              </w:rPr>
            </w:pPr>
            <w:hyperlink r:id="rId68">
              <w:r>
                <w:rPr>
                  <w:rFonts w:ascii="Arial" w:cs="Arial" w:eastAsia="Arial" w:hAnsi="Arial"/>
                  <w:sz w:val="13"/>
                  <w:szCs w:val="13"/>
                  <w:color w:val="0000FF"/>
                  <w:w w:val="97"/>
                </w:rPr>
                <w:t>Report on Form 10-K (File No. 001-41196) filed with the Securities and Exchange Commission on March 22, 2024).</w:t>
              </w:r>
            </w:hyperlink>
          </w:p>
        </w:tc>
        <w:tc>
          <w:tcPr>
            <w:tcW w:w="460" w:type="dxa"/>
            <w:vAlign w:val="bottom"/>
            <w:gridSpan w:val="1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6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920" w:type="dxa"/>
            <w:vAlign w:val="bottom"/>
            <w:tcBorders>
              <w:bottom w:val="single" w:sz="8" w:color="0000FF"/>
            </w:tcBorders>
            <w:gridSpan w:val="125"/>
          </w:tcPr>
          <w:p>
            <w:pPr>
              <w:spacing w:after="0" w:line="119" w:lineRule="exact"/>
              <w:rPr>
                <w:rFonts w:ascii="Arial" w:cs="Arial" w:eastAsia="Arial" w:hAnsi="Arial"/>
                <w:sz w:val="13"/>
                <w:szCs w:val="13"/>
                <w:color w:val="0000FF"/>
                <w:w w:val="97"/>
              </w:rPr>
            </w:pPr>
            <w:hyperlink r:id="rId69">
              <w:r>
                <w:rPr>
                  <w:rFonts w:ascii="Arial" w:cs="Arial" w:eastAsia="Arial" w:hAnsi="Arial"/>
                  <w:sz w:val="13"/>
                  <w:szCs w:val="13"/>
                  <w:color w:val="0000FF"/>
                  <w:w w:val="97"/>
                </w:rPr>
                <w:t>Indenture, dated August 14, by and between USCB Financial Holdings, Inc. and Wilmington Trust, National Association, as</w:t>
              </w:r>
            </w:hyperlink>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980" w:type="dxa"/>
            <w:vAlign w:val="bottom"/>
            <w:gridSpan w:val="128"/>
          </w:tcPr>
          <w:p>
            <w:pPr>
              <w:spacing w:after="0" w:line="110" w:lineRule="exact"/>
              <w:rPr>
                <w:rFonts w:ascii="Arial" w:cs="Arial" w:eastAsia="Arial" w:hAnsi="Arial"/>
                <w:sz w:val="12"/>
                <w:szCs w:val="12"/>
                <w:color w:val="0000FF"/>
              </w:rPr>
            </w:pPr>
            <w:hyperlink r:id="rId69">
              <w:r>
                <w:rPr>
                  <w:rFonts w:ascii="Arial" w:cs="Arial" w:eastAsia="Arial" w:hAnsi="Arial"/>
                  <w:sz w:val="12"/>
                  <w:szCs w:val="12"/>
                  <w:color w:val="0000FF"/>
                </w:rPr>
                <w:t>trustee (incorporated by reference to Exhibit 4.1 to the Registrant’s Current Report on Form 8-K (File No. 001-41196) filed</w:t>
              </w:r>
            </w:hyperlink>
          </w:p>
        </w:tc>
        <w:tc>
          <w:tcPr>
            <w:tcW w:w="0" w:type="dxa"/>
            <w:vAlign w:val="bottom"/>
          </w:tcPr>
          <w:p>
            <w:pPr>
              <w:spacing w:after="0"/>
              <w:rPr>
                <w:sz w:val="1"/>
                <w:szCs w:val="1"/>
                <w:color w:val="auto"/>
              </w:rPr>
            </w:pPr>
          </w:p>
        </w:tc>
      </w:tr>
      <w:tr>
        <w:trPr>
          <w:trHeight w:val="119"/>
        </w:trPr>
        <w:tc>
          <w:tcPr>
            <w:tcW w:w="560" w:type="dxa"/>
            <w:vAlign w:val="bottom"/>
            <w:gridSpan w:val="5"/>
            <w:vMerge w:val="restart"/>
          </w:tcPr>
          <w:p>
            <w:pPr>
              <w:jc w:val="center"/>
              <w:ind w:left="253"/>
              <w:spacing w:after="0"/>
              <w:rPr>
                <w:sz w:val="20"/>
                <w:szCs w:val="20"/>
                <w:color w:val="auto"/>
              </w:rPr>
            </w:pPr>
            <w:r>
              <w:rPr>
                <w:rFonts w:ascii="Arial" w:cs="Arial" w:eastAsia="Arial" w:hAnsi="Arial"/>
                <w:sz w:val="14"/>
                <w:szCs w:val="14"/>
                <w:color w:val="0000FF"/>
              </w:rPr>
              <w:t>4.</w:t>
            </w:r>
            <w:r>
              <w:rPr>
                <w:rFonts w:ascii="Arial" w:cs="Arial" w:eastAsia="Arial" w:hAnsi="Arial"/>
                <w:sz w:val="14"/>
                <w:szCs w:val="14"/>
                <w:u w:val="single" w:color="auto"/>
                <w:color w:val="0000FF"/>
              </w:rPr>
              <w:t>6</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00" w:type="dxa"/>
            <w:vAlign w:val="bottom"/>
            <w:tcBorders>
              <w:top w:val="single" w:sz="8" w:color="0000FF"/>
              <w:bottom w:val="single" w:sz="8" w:color="0000FF"/>
            </w:tcBorders>
            <w:gridSpan w:val="44"/>
          </w:tcPr>
          <w:p>
            <w:pPr>
              <w:spacing w:after="0" w:line="119" w:lineRule="exact"/>
              <w:rPr>
                <w:rFonts w:ascii="Arial" w:cs="Arial" w:eastAsia="Arial" w:hAnsi="Arial"/>
                <w:sz w:val="13"/>
                <w:szCs w:val="13"/>
                <w:color w:val="0000FF"/>
              </w:rPr>
            </w:pPr>
            <w:hyperlink r:id="rId69">
              <w:r>
                <w:rPr>
                  <w:rFonts w:ascii="Arial" w:cs="Arial" w:eastAsia="Arial" w:hAnsi="Arial"/>
                  <w:sz w:val="13"/>
                  <w:szCs w:val="13"/>
                  <w:color w:val="0000FF"/>
                </w:rPr>
                <w:t>with the Securities and Exchange Commission on</w:t>
              </w:r>
            </w:hyperlink>
          </w:p>
        </w:tc>
        <w:tc>
          <w:tcPr>
            <w:tcW w:w="960" w:type="dxa"/>
            <w:vAlign w:val="bottom"/>
            <w:tcBorders>
              <w:top w:val="single" w:sz="8" w:color="0000FF"/>
              <w:bottom w:val="single" w:sz="8" w:color="0000FF"/>
            </w:tcBorders>
            <w:gridSpan w:val="19"/>
          </w:tcPr>
          <w:p>
            <w:pPr>
              <w:spacing w:after="0" w:line="119" w:lineRule="exact"/>
              <w:rPr>
                <w:rFonts w:ascii="Arial" w:cs="Arial" w:eastAsia="Arial" w:hAnsi="Arial"/>
                <w:sz w:val="13"/>
                <w:szCs w:val="13"/>
                <w:color w:val="0000FF"/>
                <w:w w:val="91"/>
              </w:rPr>
            </w:pPr>
            <w:hyperlink r:id="rId69">
              <w:r>
                <w:rPr>
                  <w:rFonts w:ascii="Arial" w:cs="Arial" w:eastAsia="Arial" w:hAnsi="Arial"/>
                  <w:sz w:val="13"/>
                  <w:szCs w:val="13"/>
                  <w:color w:val="0000FF"/>
                  <w:w w:val="91"/>
                </w:rPr>
                <w:t>August 14, 2025).</w:t>
              </w:r>
            </w:hyperlink>
          </w:p>
        </w:tc>
        <w:tc>
          <w:tcPr>
            <w:tcW w:w="1620" w:type="dxa"/>
            <w:vAlign w:val="bottom"/>
            <w:tcBorders>
              <w:top w:val="single" w:sz="8" w:color="0000FF"/>
            </w:tcBorders>
            <w:gridSpan w:val="32"/>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gridSpan w:val="4"/>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gridSpan w:val="2"/>
          </w:tcPr>
          <w:p>
            <w:pPr>
              <w:spacing w:after="0"/>
              <w:rPr>
                <w:sz w:val="10"/>
                <w:szCs w:val="10"/>
                <w:color w:val="auto"/>
              </w:rPr>
            </w:pPr>
          </w:p>
        </w:tc>
        <w:tc>
          <w:tcPr>
            <w:tcW w:w="260" w:type="dxa"/>
            <w:vAlign w:val="bottom"/>
            <w:tcBorders>
              <w:top w:val="single" w:sz="8" w:color="0000FF"/>
            </w:tcBorders>
            <w:gridSpan w:val="6"/>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gridSpan w:val="3"/>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gridSpan w:val="2"/>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560" w:type="dxa"/>
            <w:vAlign w:val="bottom"/>
            <w:gridSpan w:val="5"/>
            <w:vMerge w:val="continue"/>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28"/>
          </w:tcPr>
          <w:p>
            <w:pPr>
              <w:spacing w:after="0" w:line="119" w:lineRule="exact"/>
              <w:rPr>
                <w:rFonts w:ascii="Arial" w:cs="Arial" w:eastAsia="Arial" w:hAnsi="Arial"/>
                <w:sz w:val="13"/>
                <w:szCs w:val="13"/>
                <w:color w:val="0000FF"/>
              </w:rPr>
            </w:pPr>
            <w:hyperlink r:id="rId69">
              <w:r>
                <w:rPr>
                  <w:rFonts w:ascii="Arial" w:cs="Arial" w:eastAsia="Arial" w:hAnsi="Arial"/>
                  <w:sz w:val="13"/>
                  <w:szCs w:val="13"/>
                  <w:color w:val="0000FF"/>
                </w:rPr>
                <w:t>Form of 7.625% Fixed-to-Floating Rate Subordinated Note due 2035 (included as Exhibit A-1 and Exhibit A-2 to the</w:t>
              </w:r>
            </w:hyperlink>
          </w:p>
        </w:tc>
        <w:tc>
          <w:tcPr>
            <w:tcW w:w="0" w:type="dxa"/>
            <w:vAlign w:val="bottom"/>
          </w:tcPr>
          <w:p>
            <w:pPr>
              <w:spacing w:after="0"/>
              <w:rPr>
                <w:sz w:val="1"/>
                <w:szCs w:val="1"/>
                <w:color w:val="auto"/>
              </w:rPr>
            </w:pPr>
          </w:p>
        </w:tc>
      </w:tr>
      <w:tr>
        <w:trPr>
          <w:trHeight w:val="20"/>
        </w:trPr>
        <w:tc>
          <w:tcPr>
            <w:tcW w:w="340" w:type="dxa"/>
            <w:vAlign w:val="bottom"/>
            <w:gridSpan w:val="3"/>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920" w:type="dxa"/>
            <w:vAlign w:val="bottom"/>
            <w:tcBorders>
              <w:right w:val="single" w:sz="8" w:color="0000FF"/>
            </w:tcBorders>
            <w:gridSpan w:val="6"/>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80" w:type="dxa"/>
            <w:vAlign w:val="bottom"/>
            <w:tcBorders>
              <w:right w:val="single" w:sz="8" w:color="0000FF"/>
            </w:tcBorders>
            <w:gridSpan w:val="6"/>
          </w:tcPr>
          <w:p>
            <w:pPr>
              <w:spacing w:after="0" w:line="20" w:lineRule="exact"/>
              <w:rPr>
                <w:sz w:val="1"/>
                <w:szCs w:val="1"/>
                <w:color w:val="auto"/>
              </w:rPr>
            </w:pPr>
          </w:p>
        </w:tc>
        <w:tc>
          <w:tcPr>
            <w:tcW w:w="50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32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gridSpan w:val="2"/>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5"/>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tcBorders>
              <w:left w:val="single" w:sz="8" w:color="0000FF"/>
            </w:tcBorders>
            <w:gridSpan w:val="4"/>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980" w:type="dxa"/>
            <w:vAlign w:val="bottom"/>
            <w:gridSpan w:val="128"/>
          </w:tcPr>
          <w:p>
            <w:pPr>
              <w:spacing w:after="0" w:line="110" w:lineRule="exact"/>
              <w:rPr>
                <w:rFonts w:ascii="Arial" w:cs="Arial" w:eastAsia="Arial" w:hAnsi="Arial"/>
                <w:sz w:val="12"/>
                <w:szCs w:val="12"/>
                <w:color w:val="0000FF"/>
              </w:rPr>
            </w:pPr>
            <w:hyperlink r:id="rId69">
              <w:r>
                <w:rPr>
                  <w:rFonts w:ascii="Arial" w:cs="Arial" w:eastAsia="Arial" w:hAnsi="Arial"/>
                  <w:sz w:val="12"/>
                  <w:szCs w:val="12"/>
                  <w:color w:val="0000FF"/>
                </w:rPr>
                <w:t>Indenture referenced in Exhibit 4.5 hereto (incorporated by reference to Exhibit 4.1 to the Registrant’s Current Report on</w:t>
              </w:r>
            </w:hyperlink>
          </w:p>
        </w:tc>
        <w:tc>
          <w:tcPr>
            <w:tcW w:w="0" w:type="dxa"/>
            <w:vAlign w:val="bottom"/>
          </w:tcPr>
          <w:p>
            <w:pPr>
              <w:spacing w:after="0"/>
              <w:rPr>
                <w:sz w:val="1"/>
                <w:szCs w:val="1"/>
                <w:color w:val="auto"/>
              </w:rPr>
            </w:pPr>
          </w:p>
        </w:tc>
      </w:tr>
      <w:tr>
        <w:trPr>
          <w:trHeight w:val="20"/>
        </w:trPr>
        <w:tc>
          <w:tcPr>
            <w:tcW w:w="1600" w:type="dxa"/>
            <w:vAlign w:val="bottom"/>
            <w:tcBorders>
              <w:right w:val="single" w:sz="8" w:color="0000FF"/>
            </w:tcBorders>
            <w:gridSpan w:val="12"/>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32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60" w:type="dxa"/>
            <w:vAlign w:val="bottom"/>
            <w:gridSpan w:val="5"/>
            <w:vMerge w:val="restart"/>
          </w:tcPr>
          <w:p>
            <w:pPr>
              <w:jc w:val="center"/>
              <w:ind w:left="253"/>
              <w:spacing w:after="0"/>
              <w:rPr>
                <w:rFonts w:ascii="Arial" w:cs="Arial" w:eastAsia="Arial" w:hAnsi="Arial"/>
                <w:sz w:val="14"/>
                <w:szCs w:val="14"/>
                <w:color w:val="0000FF"/>
              </w:rPr>
            </w:pPr>
            <w:hyperlink r:id="rId70">
              <w:r>
                <w:rPr>
                  <w:rFonts w:ascii="Arial" w:cs="Arial" w:eastAsia="Arial" w:hAnsi="Arial"/>
                  <w:sz w:val="14"/>
                  <w:szCs w:val="14"/>
                  <w:color w:val="0000FF"/>
                </w:rPr>
                <w:t>4.</w:t>
              </w:r>
              <w:r>
                <w:rPr>
                  <w:rFonts w:ascii="Arial" w:cs="Arial" w:eastAsia="Arial" w:hAnsi="Arial"/>
                  <w:sz w:val="14"/>
                  <w:szCs w:val="14"/>
                  <w:u w:val="single" w:color="auto"/>
                  <w:color w:val="0000FF"/>
                </w:rPr>
                <w:t>7</w:t>
              </w:r>
            </w:hyperlink>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920" w:type="dxa"/>
            <w:vAlign w:val="bottom"/>
            <w:tcBorders>
              <w:bottom w:val="single" w:sz="8" w:color="0000FF"/>
            </w:tcBorders>
            <w:gridSpan w:val="103"/>
          </w:tcPr>
          <w:p>
            <w:pPr>
              <w:spacing w:after="0" w:line="129" w:lineRule="exact"/>
              <w:rPr>
                <w:rFonts w:ascii="Arial" w:cs="Arial" w:eastAsia="Arial" w:hAnsi="Arial"/>
                <w:sz w:val="13"/>
                <w:szCs w:val="13"/>
                <w:color w:val="0000FF"/>
                <w:w w:val="98"/>
              </w:rPr>
            </w:pPr>
            <w:hyperlink r:id="rId69">
              <w:r>
                <w:rPr>
                  <w:rFonts w:ascii="Arial" w:cs="Arial" w:eastAsia="Arial" w:hAnsi="Arial"/>
                  <w:sz w:val="13"/>
                  <w:szCs w:val="13"/>
                  <w:color w:val="0000FF"/>
                  <w:w w:val="98"/>
                </w:rPr>
                <w:t>Form 8-K (File No. 001-41196) filed with the Securities and Exchange Commission on August 14, 2025).</w:t>
              </w:r>
            </w:hyperlink>
          </w:p>
        </w:tc>
        <w:tc>
          <w:tcPr>
            <w:tcW w:w="1060" w:type="dxa"/>
            <w:vAlign w:val="bottom"/>
            <w:gridSpan w:val="25"/>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56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980" w:type="dxa"/>
            <w:vAlign w:val="bottom"/>
            <w:gridSpan w:val="128"/>
          </w:tcPr>
          <w:p>
            <w:pPr>
              <w:spacing w:after="0" w:line="140" w:lineRule="exact"/>
              <w:rPr>
                <w:rFonts w:ascii="Arial" w:cs="Arial" w:eastAsia="Arial" w:hAnsi="Arial"/>
                <w:sz w:val="14"/>
                <w:szCs w:val="14"/>
                <w:color w:val="0000FF"/>
              </w:rPr>
            </w:pPr>
            <w:hyperlink r:id="rId70">
              <w:r>
                <w:rPr>
                  <w:rFonts w:ascii="Arial" w:cs="Arial" w:eastAsia="Arial" w:hAnsi="Arial"/>
                  <w:sz w:val="14"/>
                  <w:szCs w:val="14"/>
                  <w:color w:val="0000FF"/>
                </w:rPr>
                <w:t>Mutual Termination Agreement, dated as of April 29, 2026, between USCB Financial Holdings, Inc., U.S.</w:t>
              </w:r>
            </w:hyperlink>
          </w:p>
        </w:tc>
        <w:tc>
          <w:tcPr>
            <w:tcW w:w="0" w:type="dxa"/>
            <w:vAlign w:val="bottom"/>
          </w:tcPr>
          <w:p>
            <w:pPr>
              <w:spacing w:after="0"/>
              <w:rPr>
                <w:sz w:val="1"/>
                <w:szCs w:val="1"/>
                <w:color w:val="auto"/>
              </w:rPr>
            </w:pPr>
          </w:p>
        </w:tc>
      </w:tr>
      <w:tr>
        <w:trPr>
          <w:trHeight w:val="20"/>
        </w:trPr>
        <w:tc>
          <w:tcPr>
            <w:tcW w:w="520" w:type="dxa"/>
            <w:vAlign w:val="bottom"/>
            <w:gridSpan w:val="4"/>
          </w:tcPr>
          <w:p>
            <w:pPr>
              <w:spacing w:after="0" w:line="20" w:lineRule="exact"/>
              <w:rPr>
                <w:sz w:val="1"/>
                <w:szCs w:val="1"/>
                <w:color w:val="auto"/>
              </w:rPr>
            </w:pPr>
          </w:p>
        </w:tc>
        <w:tc>
          <w:tcPr>
            <w:tcW w:w="1080" w:type="dxa"/>
            <w:vAlign w:val="bottom"/>
            <w:tcBorders>
              <w:left w:val="single" w:sz="8" w:color="0000FF"/>
              <w:right w:val="single" w:sz="8" w:color="0000FF"/>
            </w:tcBorders>
            <w:gridSpan w:val="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60" w:type="dxa"/>
            <w:vAlign w:val="bottom"/>
            <w:tcBorders>
              <w:right w:val="single" w:sz="8" w:color="0000FF"/>
            </w:tcBorders>
            <w:gridSpan w:val="8"/>
            <w:shd w:val="clear" w:color="auto" w:fill="0000FF"/>
          </w:tcPr>
          <w:p>
            <w:pPr>
              <w:spacing w:after="0" w:line="20" w:lineRule="exact"/>
              <w:rPr>
                <w:sz w:val="1"/>
                <w:szCs w:val="1"/>
                <w:color w:val="auto"/>
              </w:rPr>
            </w:pPr>
          </w:p>
        </w:tc>
        <w:tc>
          <w:tcPr>
            <w:tcW w:w="32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5"/>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FF"/>
            </w:tcBorders>
            <w:gridSpan w:val="5"/>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32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gridSpan w:val="8"/>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4"/>
          </w:tcPr>
          <w:p>
            <w:pPr>
              <w:spacing w:after="0" w:line="140" w:lineRule="exact"/>
              <w:rPr>
                <w:rFonts w:ascii="Arial" w:cs="Arial" w:eastAsia="Arial" w:hAnsi="Arial"/>
                <w:sz w:val="14"/>
                <w:szCs w:val="14"/>
                <w:color w:val="0000FF"/>
                <w:w w:val="89"/>
              </w:rPr>
            </w:pPr>
            <w:hyperlink r:id="rId70">
              <w:r>
                <w:rPr>
                  <w:rFonts w:ascii="Arial" w:cs="Arial" w:eastAsia="Arial" w:hAnsi="Arial"/>
                  <w:sz w:val="14"/>
                  <w:szCs w:val="14"/>
                  <w:color w:val="0000FF"/>
                  <w:w w:val="89"/>
                </w:rPr>
                <w:t>Century</w:t>
              </w:r>
            </w:hyperlink>
          </w:p>
        </w:tc>
        <w:tc>
          <w:tcPr>
            <w:tcW w:w="20" w:type="dxa"/>
            <w:vAlign w:val="bottom"/>
            <w:vMerge w:val="continue"/>
          </w:tcPr>
          <w:p>
            <w:pPr>
              <w:spacing w:after="0"/>
              <w:rPr>
                <w:sz w:val="12"/>
                <w:szCs w:val="12"/>
                <w:color w:val="auto"/>
              </w:rPr>
            </w:pPr>
          </w:p>
        </w:tc>
        <w:tc>
          <w:tcPr>
            <w:tcW w:w="760" w:type="dxa"/>
            <w:vAlign w:val="bottom"/>
            <w:gridSpan w:val="13"/>
          </w:tcPr>
          <w:p>
            <w:pPr>
              <w:ind w:left="20"/>
              <w:spacing w:after="0" w:line="140" w:lineRule="exact"/>
              <w:rPr>
                <w:rFonts w:ascii="Arial" w:cs="Arial" w:eastAsia="Arial" w:hAnsi="Arial"/>
                <w:sz w:val="14"/>
                <w:szCs w:val="14"/>
                <w:color w:val="0000FF"/>
                <w:w w:val="87"/>
              </w:rPr>
            </w:pPr>
            <w:hyperlink r:id="rId70">
              <w:r>
                <w:rPr>
                  <w:rFonts w:ascii="Arial" w:cs="Arial" w:eastAsia="Arial" w:hAnsi="Arial"/>
                  <w:sz w:val="14"/>
                  <w:szCs w:val="14"/>
                  <w:color w:val="0000FF"/>
                  <w:w w:val="87"/>
                </w:rPr>
                <w:t>Bank, Patriot</w:t>
              </w:r>
            </w:hyperlink>
          </w:p>
        </w:tc>
        <w:tc>
          <w:tcPr>
            <w:tcW w:w="40" w:type="dxa"/>
            <w:vAlign w:val="bottom"/>
            <w:vMerge w:val="continue"/>
          </w:tcPr>
          <w:p>
            <w:pPr>
              <w:spacing w:after="0"/>
              <w:rPr>
                <w:sz w:val="12"/>
                <w:szCs w:val="12"/>
                <w:color w:val="auto"/>
              </w:rPr>
            </w:pPr>
          </w:p>
        </w:tc>
        <w:tc>
          <w:tcPr>
            <w:tcW w:w="780" w:type="dxa"/>
            <w:vAlign w:val="bottom"/>
            <w:gridSpan w:val="12"/>
          </w:tcPr>
          <w:p>
            <w:pPr>
              <w:ind w:left="80"/>
              <w:spacing w:after="0" w:line="140" w:lineRule="exact"/>
              <w:rPr>
                <w:rFonts w:ascii="Arial" w:cs="Arial" w:eastAsia="Arial" w:hAnsi="Arial"/>
                <w:sz w:val="14"/>
                <w:szCs w:val="14"/>
                <w:color w:val="0000FF"/>
              </w:rPr>
            </w:pPr>
            <w:hyperlink r:id="rId70">
              <w:r>
                <w:rPr>
                  <w:rFonts w:ascii="Arial" w:cs="Arial" w:eastAsia="Arial" w:hAnsi="Arial"/>
                  <w:sz w:val="14"/>
                  <w:szCs w:val="14"/>
                  <w:color w:val="0000FF"/>
                </w:rPr>
                <w:t>Financial</w:t>
              </w:r>
            </w:hyperlink>
          </w:p>
        </w:tc>
        <w:tc>
          <w:tcPr>
            <w:tcW w:w="20" w:type="dxa"/>
            <w:vAlign w:val="bottom"/>
            <w:vMerge w:val="continue"/>
          </w:tcPr>
          <w:p>
            <w:pPr>
              <w:spacing w:after="0"/>
              <w:rPr>
                <w:sz w:val="12"/>
                <w:szCs w:val="12"/>
                <w:color w:val="auto"/>
              </w:rPr>
            </w:pPr>
          </w:p>
        </w:tc>
        <w:tc>
          <w:tcPr>
            <w:tcW w:w="380" w:type="dxa"/>
            <w:vAlign w:val="bottom"/>
            <w:gridSpan w:val="6"/>
          </w:tcPr>
          <w:p>
            <w:pPr>
              <w:spacing w:after="0"/>
              <w:rPr>
                <w:rFonts w:ascii="Arial" w:cs="Arial" w:eastAsia="Arial" w:hAnsi="Arial"/>
                <w:sz w:val="12"/>
                <w:szCs w:val="12"/>
                <w:color w:val="0000FF"/>
                <w:w w:val="74"/>
              </w:rPr>
            </w:pPr>
            <w:hyperlink r:id="rId70">
              <w:r>
                <w:rPr>
                  <w:rFonts w:ascii="Arial" w:cs="Arial" w:eastAsia="Arial" w:hAnsi="Arial"/>
                  <w:sz w:val="12"/>
                  <w:szCs w:val="12"/>
                  <w:color w:val="0000FF"/>
                  <w:w w:val="74"/>
                </w:rPr>
                <w:t>Partners</w:t>
              </w:r>
            </w:hyperlink>
          </w:p>
        </w:tc>
        <w:tc>
          <w:tcPr>
            <w:tcW w:w="40" w:type="dxa"/>
            <w:vAlign w:val="bottom"/>
            <w:vMerge w:val="continue"/>
          </w:tcPr>
          <w:p>
            <w:pPr>
              <w:spacing w:after="0"/>
              <w:rPr>
                <w:sz w:val="12"/>
                <w:szCs w:val="12"/>
                <w:color w:val="auto"/>
              </w:rPr>
            </w:pPr>
          </w:p>
        </w:tc>
        <w:tc>
          <w:tcPr>
            <w:tcW w:w="180" w:type="dxa"/>
            <w:vAlign w:val="bottom"/>
            <w:gridSpan w:val="2"/>
          </w:tcPr>
          <w:p>
            <w:pPr>
              <w:ind w:left="40"/>
              <w:spacing w:after="0" w:line="140" w:lineRule="exact"/>
              <w:rPr>
                <w:rFonts w:ascii="Arial" w:cs="Arial" w:eastAsia="Arial" w:hAnsi="Arial"/>
                <w:sz w:val="14"/>
                <w:szCs w:val="14"/>
                <w:color w:val="0000FF"/>
                <w:w w:val="85"/>
              </w:rPr>
            </w:pPr>
            <w:hyperlink r:id="rId70">
              <w:r>
                <w:rPr>
                  <w:rFonts w:ascii="Arial" w:cs="Arial" w:eastAsia="Arial" w:hAnsi="Arial"/>
                  <w:sz w:val="14"/>
                  <w:szCs w:val="14"/>
                  <w:color w:val="0000FF"/>
                  <w:w w:val="85"/>
                </w:rPr>
                <w:t>II,</w:t>
              </w:r>
            </w:hyperlink>
          </w:p>
        </w:tc>
        <w:tc>
          <w:tcPr>
            <w:tcW w:w="20" w:type="dxa"/>
            <w:vAlign w:val="bottom"/>
            <w:vMerge w:val="continue"/>
          </w:tcPr>
          <w:p>
            <w:pPr>
              <w:spacing w:after="0"/>
              <w:rPr>
                <w:sz w:val="12"/>
                <w:szCs w:val="12"/>
                <w:color w:val="auto"/>
              </w:rPr>
            </w:pPr>
          </w:p>
        </w:tc>
        <w:tc>
          <w:tcPr>
            <w:tcW w:w="4260" w:type="dxa"/>
            <w:vAlign w:val="bottom"/>
            <w:gridSpan w:val="86"/>
          </w:tcPr>
          <w:p>
            <w:pPr>
              <w:spacing w:after="0" w:line="140" w:lineRule="exact"/>
              <w:rPr>
                <w:rFonts w:ascii="Arial" w:cs="Arial" w:eastAsia="Arial" w:hAnsi="Arial"/>
                <w:sz w:val="14"/>
                <w:szCs w:val="14"/>
                <w:color w:val="0000FF"/>
              </w:rPr>
            </w:pPr>
            <w:hyperlink r:id="rId70">
              <w:r>
                <w:rPr>
                  <w:rFonts w:ascii="Arial" w:cs="Arial" w:eastAsia="Arial" w:hAnsi="Arial"/>
                  <w:sz w:val="14"/>
                  <w:szCs w:val="14"/>
                  <w:color w:val="0000FF"/>
                </w:rPr>
                <w:t>L.P. and Patriot Financial Partners Parallel II, L.P. (incorporated by</w:t>
              </w:r>
            </w:hyperlink>
          </w:p>
        </w:tc>
        <w:tc>
          <w:tcPr>
            <w:tcW w:w="0" w:type="dxa"/>
            <w:vAlign w:val="bottom"/>
          </w:tcPr>
          <w:p>
            <w:pPr>
              <w:spacing w:after="0"/>
              <w:rPr>
                <w:sz w:val="1"/>
                <w:szCs w:val="1"/>
                <w:color w:val="auto"/>
              </w:rPr>
            </w:pPr>
          </w:p>
        </w:tc>
      </w:tr>
      <w:tr>
        <w:trPr>
          <w:trHeight w:val="20"/>
        </w:trPr>
        <w:tc>
          <w:tcPr>
            <w:tcW w:w="1600" w:type="dxa"/>
            <w:vAlign w:val="bottom"/>
            <w:tcBorders>
              <w:right w:val="single" w:sz="8" w:color="0000FF"/>
            </w:tcBorders>
            <w:gridSpan w:val="12"/>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960" w:type="dxa"/>
            <w:vAlign w:val="bottom"/>
            <w:gridSpan w:val="15"/>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7"/>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28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gridSpan w:val="2"/>
          </w:tcPr>
          <w:p>
            <w:pPr>
              <w:spacing w:after="0" w:line="20" w:lineRule="exact"/>
              <w:rPr>
                <w:sz w:val="1"/>
                <w:szCs w:val="1"/>
                <w:color w:val="auto"/>
              </w:rPr>
            </w:pPr>
          </w:p>
        </w:tc>
        <w:tc>
          <w:tcPr>
            <w:tcW w:w="34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980" w:type="dxa"/>
            <w:vAlign w:val="bottom"/>
            <w:gridSpan w:val="128"/>
          </w:tcPr>
          <w:p>
            <w:pPr>
              <w:spacing w:after="0" w:line="140" w:lineRule="exact"/>
              <w:rPr>
                <w:rFonts w:ascii="Arial" w:cs="Arial" w:eastAsia="Arial" w:hAnsi="Arial"/>
                <w:sz w:val="14"/>
                <w:szCs w:val="14"/>
                <w:color w:val="0000FF"/>
              </w:rPr>
            </w:pPr>
            <w:hyperlink r:id="rId70">
              <w:r>
                <w:rPr>
                  <w:rFonts w:ascii="Arial" w:cs="Arial" w:eastAsia="Arial" w:hAnsi="Arial"/>
                  <w:sz w:val="14"/>
                  <w:szCs w:val="14"/>
                  <w:color w:val="0000FF"/>
                </w:rPr>
                <w:t>reference to Exhibit 4.2 to the Registrant’s Current Report on Form 8-K (File No. 001-41196) filed with the</w:t>
              </w:r>
            </w:hyperlink>
          </w:p>
        </w:tc>
        <w:tc>
          <w:tcPr>
            <w:tcW w:w="0" w:type="dxa"/>
            <w:vAlign w:val="bottom"/>
          </w:tcPr>
          <w:p>
            <w:pPr>
              <w:spacing w:after="0"/>
              <w:rPr>
                <w:sz w:val="1"/>
                <w:szCs w:val="1"/>
                <w:color w:val="auto"/>
              </w:rPr>
            </w:pPr>
          </w:p>
        </w:tc>
      </w:tr>
      <w:tr>
        <w:trPr>
          <w:trHeight w:val="20"/>
        </w:trPr>
        <w:tc>
          <w:tcPr>
            <w:tcW w:w="1600" w:type="dxa"/>
            <w:vAlign w:val="bottom"/>
            <w:tcBorders>
              <w:right w:val="single" w:sz="8" w:color="0000FF"/>
            </w:tcBorders>
            <w:gridSpan w:val="12"/>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9"/>
          </w:tcPr>
          <w:p>
            <w:pPr>
              <w:spacing w:after="0" w:line="20" w:lineRule="exact"/>
              <w:rPr>
                <w:sz w:val="1"/>
                <w:szCs w:val="1"/>
                <w:color w:val="auto"/>
              </w:rPr>
            </w:pPr>
          </w:p>
        </w:tc>
        <w:tc>
          <w:tcPr>
            <w:tcW w:w="50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960" w:type="dxa"/>
            <w:vAlign w:val="bottom"/>
            <w:gridSpan w:val="15"/>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7"/>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28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gridSpan w:val="3"/>
          </w:tcPr>
          <w:p>
            <w:pPr>
              <w:spacing w:after="0" w:line="20" w:lineRule="exact"/>
              <w:rPr>
                <w:sz w:val="1"/>
                <w:szCs w:val="1"/>
                <w:color w:val="auto"/>
              </w:rPr>
            </w:pPr>
          </w:p>
        </w:tc>
        <w:tc>
          <w:tcPr>
            <w:tcW w:w="280" w:type="dxa"/>
            <w:vAlign w:val="bottom"/>
            <w:gridSpan w:val="8"/>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40" w:type="dxa"/>
            <w:vAlign w:val="bottom"/>
            <w:gridSpan w:val="6"/>
            <w:vMerge w:val="restart"/>
          </w:tcPr>
          <w:p>
            <w:pPr>
              <w:jc w:val="center"/>
              <w:spacing w:after="0"/>
              <w:rPr>
                <w:sz w:val="20"/>
                <w:szCs w:val="20"/>
                <w:color w:val="auto"/>
              </w:rPr>
            </w:pPr>
            <w:r>
              <w:rPr>
                <w:rFonts w:ascii="Arial" w:cs="Arial" w:eastAsia="Arial" w:hAnsi="Arial"/>
                <w:sz w:val="14"/>
                <w:szCs w:val="14"/>
                <w:color w:val="0000FF"/>
                <w:w w:val="95"/>
              </w:rPr>
              <w:t>10.</w:t>
            </w:r>
            <w:r>
              <w:rPr>
                <w:rFonts w:ascii="Arial" w:cs="Arial" w:eastAsia="Arial" w:hAnsi="Arial"/>
                <w:sz w:val="14"/>
                <w:szCs w:val="14"/>
                <w:u w:val="single" w:color="auto"/>
                <w:color w:val="0000FF"/>
                <w:w w:val="95"/>
              </w:rPr>
              <w:t>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00" w:type="dxa"/>
            <w:vAlign w:val="bottom"/>
            <w:tcBorders>
              <w:bottom w:val="single" w:sz="8" w:color="0000FF"/>
            </w:tcBorders>
            <w:gridSpan w:val="55"/>
          </w:tcPr>
          <w:p>
            <w:pPr>
              <w:spacing w:after="0" w:line="151" w:lineRule="exact"/>
              <w:rPr>
                <w:rFonts w:ascii="Arial" w:cs="Arial" w:eastAsia="Arial" w:hAnsi="Arial"/>
                <w:sz w:val="14"/>
                <w:szCs w:val="14"/>
                <w:color w:val="0000FF"/>
              </w:rPr>
            </w:pPr>
            <w:hyperlink r:id="rId70">
              <w:r>
                <w:rPr>
                  <w:rFonts w:ascii="Arial" w:cs="Arial" w:eastAsia="Arial" w:hAnsi="Arial"/>
                  <w:sz w:val="14"/>
                  <w:szCs w:val="14"/>
                  <w:color w:val="0000FF"/>
                </w:rPr>
                <w:t>Securities and Exchange Commission on May 1, 2026).</w:t>
              </w:r>
            </w:hyperlink>
          </w:p>
        </w:tc>
        <w:tc>
          <w:tcPr>
            <w:tcW w:w="3480" w:type="dxa"/>
            <w:vAlign w:val="bottom"/>
            <w:gridSpan w:val="73"/>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840" w:type="dxa"/>
            <w:vAlign w:val="bottom"/>
            <w:gridSpan w:val="6"/>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28"/>
          </w:tcPr>
          <w:p>
            <w:pPr>
              <w:spacing w:after="0" w:line="119" w:lineRule="exact"/>
              <w:rPr>
                <w:rFonts w:ascii="Arial" w:cs="Arial" w:eastAsia="Arial" w:hAnsi="Arial"/>
                <w:sz w:val="13"/>
                <w:szCs w:val="13"/>
                <w:color w:val="0000FF"/>
              </w:rPr>
            </w:pPr>
            <w:hyperlink r:id="rId71">
              <w:r>
                <w:rPr>
                  <w:rFonts w:ascii="Arial" w:cs="Arial" w:eastAsia="Arial" w:hAnsi="Arial"/>
                  <w:sz w:val="13"/>
                  <w:szCs w:val="13"/>
                  <w:color w:val="0000FF"/>
                </w:rPr>
                <w:t>Form of Subordinated Note Purchase Agreement, dated August 14, 2024, by and among USCB Financial Holdings, Inc.</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16"/>
            <w:shd w:val="clear" w:color="auto" w:fill="0000FF"/>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1040" w:type="dxa"/>
            <w:vAlign w:val="bottom"/>
            <w:tcBorders>
              <w:right w:val="single" w:sz="8" w:color="0000FF"/>
            </w:tcBorders>
            <w:gridSpan w:val="15"/>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8"/>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12"/>
            <w:shd w:val="clear" w:color="auto" w:fill="0000FF"/>
          </w:tcPr>
          <w:p>
            <w:pPr>
              <w:spacing w:after="0" w:line="20" w:lineRule="exact"/>
              <w:rPr>
                <w:sz w:val="1"/>
                <w:szCs w:val="1"/>
                <w:color w:val="auto"/>
              </w:rPr>
            </w:pPr>
          </w:p>
        </w:tc>
        <w:tc>
          <w:tcPr>
            <w:tcW w:w="28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980" w:type="dxa"/>
            <w:vAlign w:val="bottom"/>
            <w:gridSpan w:val="128"/>
          </w:tcPr>
          <w:p>
            <w:pPr>
              <w:spacing w:after="0" w:line="110" w:lineRule="exact"/>
              <w:rPr>
                <w:rFonts w:ascii="Arial" w:cs="Arial" w:eastAsia="Arial" w:hAnsi="Arial"/>
                <w:sz w:val="12"/>
                <w:szCs w:val="12"/>
                <w:color w:val="0000FF"/>
              </w:rPr>
            </w:pPr>
            <w:hyperlink r:id="rId71">
              <w:r>
                <w:rPr>
                  <w:rFonts w:ascii="Arial" w:cs="Arial" w:eastAsia="Arial" w:hAnsi="Arial"/>
                  <w:sz w:val="12"/>
                  <w:szCs w:val="12"/>
                  <w:color w:val="0000FF"/>
                </w:rPr>
                <w:t>and certain qualified institutional buyers (incorporated by reference to Exhibit 10.1 to the Registrant’s Current Report on</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right w:val="single" w:sz="8" w:color="0000FF"/>
            </w:tcBorders>
            <w:gridSpan w:val="7"/>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21"/>
            <w:shd w:val="clear" w:color="auto" w:fill="0000FF"/>
          </w:tcPr>
          <w:p>
            <w:pPr>
              <w:spacing w:after="0" w:line="20" w:lineRule="exact"/>
              <w:rPr>
                <w:sz w:val="1"/>
                <w:szCs w:val="1"/>
                <w:color w:val="auto"/>
              </w:rPr>
            </w:pPr>
          </w:p>
        </w:tc>
        <w:tc>
          <w:tcPr>
            <w:tcW w:w="1240" w:type="dxa"/>
            <w:vAlign w:val="bottom"/>
            <w:gridSpan w:val="18"/>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11"/>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24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0000FF"/>
            </w:tcBorders>
            <w:gridSpan w:val="17"/>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9"/>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840" w:type="dxa"/>
            <w:vAlign w:val="bottom"/>
            <w:gridSpan w:val="6"/>
            <w:vMerge w:val="restart"/>
          </w:tcPr>
          <w:p>
            <w:pPr>
              <w:jc w:val="center"/>
              <w:spacing w:after="0"/>
              <w:rPr>
                <w:sz w:val="20"/>
                <w:szCs w:val="20"/>
                <w:color w:val="auto"/>
              </w:rPr>
            </w:pPr>
            <w:r>
              <w:rPr>
                <w:rFonts w:ascii="Arial" w:cs="Arial" w:eastAsia="Arial" w:hAnsi="Arial"/>
                <w:sz w:val="14"/>
                <w:szCs w:val="14"/>
                <w:color w:val="0000FF"/>
                <w:w w:val="95"/>
              </w:rPr>
              <w:t>10.</w:t>
            </w:r>
            <w:r>
              <w:rPr>
                <w:rFonts w:ascii="Arial" w:cs="Arial" w:eastAsia="Arial" w:hAnsi="Arial"/>
                <w:sz w:val="14"/>
                <w:szCs w:val="14"/>
                <w:u w:val="single" w:color="auto"/>
                <w:color w:val="0000FF"/>
                <w:w w:val="95"/>
              </w:rPr>
              <w:t>2</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920" w:type="dxa"/>
            <w:vAlign w:val="bottom"/>
            <w:tcBorders>
              <w:bottom w:val="single" w:sz="8" w:color="0000FF"/>
            </w:tcBorders>
            <w:gridSpan w:val="103"/>
          </w:tcPr>
          <w:p>
            <w:pPr>
              <w:spacing w:after="0" w:line="119" w:lineRule="exact"/>
              <w:rPr>
                <w:rFonts w:ascii="Arial" w:cs="Arial" w:eastAsia="Arial" w:hAnsi="Arial"/>
                <w:sz w:val="13"/>
                <w:szCs w:val="13"/>
                <w:color w:val="0000FF"/>
                <w:w w:val="98"/>
              </w:rPr>
            </w:pPr>
            <w:hyperlink r:id="rId71">
              <w:r>
                <w:rPr>
                  <w:rFonts w:ascii="Arial" w:cs="Arial" w:eastAsia="Arial" w:hAnsi="Arial"/>
                  <w:sz w:val="13"/>
                  <w:szCs w:val="13"/>
                  <w:color w:val="0000FF"/>
                  <w:w w:val="98"/>
                </w:rPr>
                <w:t>Form 8-K (File No. 001-41196) filed with the Securities and Exchange Commission on August 14, 2025).</w:t>
              </w:r>
            </w:hyperlink>
          </w:p>
        </w:tc>
        <w:tc>
          <w:tcPr>
            <w:tcW w:w="1060" w:type="dxa"/>
            <w:vAlign w:val="bottom"/>
            <w:gridSpan w:val="25"/>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40" w:type="dxa"/>
            <w:vAlign w:val="bottom"/>
            <w:gridSpan w:val="6"/>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28"/>
          </w:tcPr>
          <w:p>
            <w:pPr>
              <w:spacing w:after="0" w:line="119" w:lineRule="exact"/>
              <w:rPr>
                <w:rFonts w:ascii="Arial" w:cs="Arial" w:eastAsia="Arial" w:hAnsi="Arial"/>
                <w:sz w:val="13"/>
                <w:szCs w:val="13"/>
                <w:color w:val="0000FF"/>
                <w:w w:val="99"/>
              </w:rPr>
            </w:pPr>
            <w:hyperlink r:id="rId72">
              <w:r>
                <w:rPr>
                  <w:rFonts w:ascii="Arial" w:cs="Arial" w:eastAsia="Arial" w:hAnsi="Arial"/>
                  <w:sz w:val="13"/>
                  <w:szCs w:val="13"/>
                  <w:color w:val="0000FF"/>
                  <w:w w:val="99"/>
                </w:rPr>
                <w:t>Form of Registration Rights Agreement, dated August 14, 2025, by and among USCB Financial Holdings, Inc. and certain</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tcBorders>
              <w:right w:val="single" w:sz="8" w:color="0000FF"/>
            </w:tcBorders>
            <w:gridSpan w:val="51"/>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40" w:type="dxa"/>
            <w:vAlign w:val="bottom"/>
            <w:tcBorders>
              <w:right w:val="single" w:sz="8" w:color="0000FF"/>
            </w:tcBorders>
            <w:gridSpan w:val="17"/>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1340" w:type="dxa"/>
            <w:vAlign w:val="bottom"/>
            <w:tcBorders>
              <w:right w:val="single" w:sz="8" w:color="0000FF"/>
            </w:tcBorders>
            <w:gridSpan w:val="26"/>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620" w:type="dxa"/>
            <w:vAlign w:val="bottom"/>
            <w:gridSpan w:val="13"/>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920" w:type="dxa"/>
            <w:vAlign w:val="bottom"/>
            <w:tcBorders>
              <w:bottom w:val="single" w:sz="8" w:color="0000FF"/>
            </w:tcBorders>
            <w:gridSpan w:val="125"/>
          </w:tcPr>
          <w:p>
            <w:pPr>
              <w:spacing w:after="0" w:line="110" w:lineRule="exact"/>
              <w:rPr>
                <w:rFonts w:ascii="Arial" w:cs="Arial" w:eastAsia="Arial" w:hAnsi="Arial"/>
                <w:sz w:val="12"/>
                <w:szCs w:val="12"/>
                <w:color w:val="0000FF"/>
              </w:rPr>
            </w:pPr>
            <w:hyperlink r:id="rId72">
              <w:r>
                <w:rPr>
                  <w:rFonts w:ascii="Arial" w:cs="Arial" w:eastAsia="Arial" w:hAnsi="Arial"/>
                  <w:sz w:val="12"/>
                  <w:szCs w:val="12"/>
                  <w:color w:val="0000FF"/>
                </w:rPr>
                <w:t>institutional buyers (incorporated by reference to Exhibit 10.2 to the Registrant’s Current Report on Form 8-K (File No. 001-</w:t>
              </w:r>
            </w:hyperlink>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560" w:type="dxa"/>
            <w:vAlign w:val="bottom"/>
            <w:gridSpan w:val="5"/>
            <w:vMerge w:val="restart"/>
          </w:tcPr>
          <w:p>
            <w:pPr>
              <w:jc w:val="center"/>
              <w:ind w:left="233"/>
              <w:spacing w:after="0"/>
              <w:rPr>
                <w:sz w:val="20"/>
                <w:szCs w:val="20"/>
                <w:color w:val="auto"/>
              </w:rPr>
            </w:pPr>
            <w:r>
              <w:rPr>
                <w:rFonts w:ascii="Arial" w:cs="Arial" w:eastAsia="Arial" w:hAnsi="Arial"/>
                <w:sz w:val="13"/>
                <w:szCs w:val="13"/>
                <w:color w:val="0000FF"/>
              </w:rPr>
              <w:t>31.</w:t>
            </w:r>
            <w:r>
              <w:rPr>
                <w:rFonts w:ascii="Arial" w:cs="Arial" w:eastAsia="Arial" w:hAnsi="Arial"/>
                <w:sz w:val="13"/>
                <w:szCs w:val="13"/>
                <w:u w:val="single" w:color="auto"/>
                <w:color w:val="0000FF"/>
              </w:rPr>
              <w:t>1</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580" w:type="dxa"/>
            <w:vAlign w:val="bottom"/>
            <w:tcBorders>
              <w:bottom w:val="single" w:sz="8" w:color="0000FF"/>
            </w:tcBorders>
            <w:gridSpan w:val="77"/>
          </w:tcPr>
          <w:p>
            <w:pPr>
              <w:spacing w:after="0" w:line="129" w:lineRule="exact"/>
              <w:rPr>
                <w:rFonts w:ascii="Arial" w:cs="Arial" w:eastAsia="Arial" w:hAnsi="Arial"/>
                <w:sz w:val="13"/>
                <w:szCs w:val="13"/>
                <w:color w:val="0000FF"/>
                <w:w w:val="98"/>
              </w:rPr>
            </w:pPr>
            <w:hyperlink r:id="rId72">
              <w:r>
                <w:rPr>
                  <w:rFonts w:ascii="Arial" w:cs="Arial" w:eastAsia="Arial" w:hAnsi="Arial"/>
                  <w:sz w:val="13"/>
                  <w:szCs w:val="13"/>
                  <w:color w:val="0000FF"/>
                  <w:w w:val="98"/>
                </w:rPr>
                <w:t>41196) filed with the Securities and Exchange Commission on August 14, 2025).</w:t>
              </w:r>
            </w:hyperlink>
          </w:p>
        </w:tc>
        <w:tc>
          <w:tcPr>
            <w:tcW w:w="2400" w:type="dxa"/>
            <w:vAlign w:val="bottom"/>
            <w:gridSpan w:val="51"/>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60" w:type="dxa"/>
            <w:vAlign w:val="bottom"/>
            <w:gridSpan w:val="5"/>
            <w:vMerge w:val="continue"/>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28"/>
          </w:tcPr>
          <w:p>
            <w:pPr>
              <w:spacing w:after="0" w:line="129" w:lineRule="exact"/>
              <w:rPr>
                <w:sz w:val="20"/>
                <w:szCs w:val="20"/>
                <w:color w:val="auto"/>
              </w:rPr>
            </w:pPr>
            <w:r>
              <w:rPr>
                <w:rFonts w:ascii="Arial" w:cs="Arial" w:eastAsia="Arial" w:hAnsi="Arial"/>
                <w:sz w:val="13"/>
                <w:szCs w:val="13"/>
                <w:color w:val="0000FF"/>
              </w:rPr>
              <w:t>Certification of Chief Executive Officer pursuant to Rule 13a-14(a) of the Securities Exchange Act of 1934.</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tcBorders>
              <w:right w:val="single" w:sz="8" w:color="0000FF"/>
            </w:tcBorders>
            <w:gridSpan w:val="69"/>
            <w:shd w:val="clear" w:color="auto" w:fill="0000FF"/>
          </w:tcPr>
          <w:p>
            <w:pPr>
              <w:spacing w:after="0" w:line="20" w:lineRule="exact"/>
              <w:rPr>
                <w:sz w:val="1"/>
                <w:szCs w:val="1"/>
                <w:color w:val="auto"/>
              </w:rPr>
            </w:pPr>
          </w:p>
        </w:tc>
        <w:tc>
          <w:tcPr>
            <w:tcW w:w="1720" w:type="dxa"/>
            <w:vAlign w:val="bottom"/>
            <w:tcBorders>
              <w:left w:val="single" w:sz="8" w:color="0000FF"/>
              <w:right w:val="single" w:sz="8" w:color="0000FF"/>
            </w:tcBorders>
            <w:gridSpan w:val="34"/>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980" w:type="dxa"/>
            <w:vAlign w:val="bottom"/>
            <w:gridSpan w:val="2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60" w:type="dxa"/>
            <w:vAlign w:val="bottom"/>
            <w:gridSpan w:val="5"/>
          </w:tcPr>
          <w:p>
            <w:pPr>
              <w:jc w:val="center"/>
              <w:ind w:left="233"/>
              <w:spacing w:after="0" w:line="140" w:lineRule="exact"/>
              <w:rPr>
                <w:sz w:val="20"/>
                <w:szCs w:val="20"/>
                <w:color w:val="auto"/>
              </w:rPr>
            </w:pPr>
            <w:r>
              <w:rPr>
                <w:rFonts w:ascii="Arial" w:cs="Arial" w:eastAsia="Arial" w:hAnsi="Arial"/>
                <w:sz w:val="13"/>
                <w:szCs w:val="13"/>
                <w:color w:val="0000FF"/>
              </w:rPr>
              <w:t>31.</w:t>
            </w:r>
            <w:r>
              <w:rPr>
                <w:rFonts w:ascii="Arial" w:cs="Arial" w:eastAsia="Arial" w:hAnsi="Arial"/>
                <w:sz w:val="13"/>
                <w:szCs w:val="13"/>
                <w:u w:val="single" w:color="auto"/>
                <w:color w:val="0000FF"/>
              </w:rPr>
              <w:t>2</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980" w:type="dxa"/>
            <w:vAlign w:val="bottom"/>
            <w:gridSpan w:val="128"/>
          </w:tcPr>
          <w:p>
            <w:pPr>
              <w:spacing w:after="0" w:line="140" w:lineRule="exact"/>
              <w:rPr>
                <w:sz w:val="20"/>
                <w:szCs w:val="20"/>
                <w:color w:val="auto"/>
              </w:rPr>
            </w:pPr>
            <w:r>
              <w:rPr>
                <w:rFonts w:ascii="Arial" w:cs="Arial" w:eastAsia="Arial" w:hAnsi="Arial"/>
                <w:sz w:val="13"/>
                <w:szCs w:val="13"/>
                <w:color w:val="0000FF"/>
              </w:rPr>
              <w:t>Certification of Chief Financial Officer pursuant to Rule 13a-14(a) of the Securities Exchange Act of 1934.</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tcBorders>
              <w:right w:val="single" w:sz="8" w:color="0000FF"/>
            </w:tcBorders>
            <w:gridSpan w:val="69"/>
            <w:shd w:val="clear" w:color="auto" w:fill="0000FF"/>
          </w:tcPr>
          <w:p>
            <w:pPr>
              <w:spacing w:after="0" w:line="20" w:lineRule="exact"/>
              <w:rPr>
                <w:sz w:val="1"/>
                <w:szCs w:val="1"/>
                <w:color w:val="auto"/>
              </w:rPr>
            </w:pPr>
          </w:p>
        </w:tc>
        <w:tc>
          <w:tcPr>
            <w:tcW w:w="1720" w:type="dxa"/>
            <w:vAlign w:val="bottom"/>
            <w:tcBorders>
              <w:left w:val="single" w:sz="8" w:color="0000FF"/>
              <w:right w:val="single" w:sz="8" w:color="0000FF"/>
            </w:tcBorders>
            <w:gridSpan w:val="34"/>
            <w:shd w:val="clear" w:color="auto" w:fill="0000FF"/>
          </w:tcPr>
          <w:p>
            <w:pPr>
              <w:spacing w:after="0" w:line="20" w:lineRule="exact"/>
              <w:rPr>
                <w:sz w:val="1"/>
                <w:szCs w:val="1"/>
                <w:color w:val="auto"/>
              </w:rPr>
            </w:pPr>
          </w:p>
        </w:tc>
        <w:tc>
          <w:tcPr>
            <w:tcW w:w="1060" w:type="dxa"/>
            <w:vAlign w:val="bottom"/>
            <w:tcBorders>
              <w:left w:val="single" w:sz="8" w:color="0000FF"/>
            </w:tcBorders>
            <w:gridSpan w:val="2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60" w:type="dxa"/>
            <w:vAlign w:val="bottom"/>
            <w:gridSpan w:val="5"/>
          </w:tcPr>
          <w:p>
            <w:pPr>
              <w:jc w:val="center"/>
              <w:ind w:left="233"/>
              <w:spacing w:after="0" w:line="140" w:lineRule="exact"/>
              <w:rPr>
                <w:sz w:val="20"/>
                <w:szCs w:val="20"/>
                <w:color w:val="auto"/>
              </w:rPr>
            </w:pPr>
            <w:r>
              <w:rPr>
                <w:rFonts w:ascii="Arial" w:cs="Arial" w:eastAsia="Arial" w:hAnsi="Arial"/>
                <w:sz w:val="13"/>
                <w:szCs w:val="13"/>
                <w:color w:val="0000FF"/>
              </w:rPr>
              <w:t>32.</w:t>
            </w:r>
            <w:r>
              <w:rPr>
                <w:rFonts w:ascii="Arial" w:cs="Arial" w:eastAsia="Arial" w:hAnsi="Arial"/>
                <w:sz w:val="13"/>
                <w:szCs w:val="13"/>
                <w:u w:val="single" w:color="auto"/>
                <w:color w:val="0000FF"/>
              </w:rPr>
              <w:t>1</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980" w:type="dxa"/>
            <w:vAlign w:val="bottom"/>
            <w:gridSpan w:val="128"/>
          </w:tcPr>
          <w:p>
            <w:pPr>
              <w:spacing w:after="0" w:line="140" w:lineRule="exact"/>
              <w:rPr>
                <w:sz w:val="20"/>
                <w:szCs w:val="20"/>
                <w:color w:val="auto"/>
              </w:rPr>
            </w:pPr>
            <w:r>
              <w:rPr>
                <w:rFonts w:ascii="Arial" w:cs="Arial" w:eastAsia="Arial" w:hAnsi="Arial"/>
                <w:sz w:val="13"/>
                <w:szCs w:val="13"/>
                <w:color w:val="0000FF"/>
              </w:rPr>
              <w:t>Certification of Chief Executive Officer pursuant to 18 U.S.C. Section 1350.</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tcBorders>
              <w:right w:val="single" w:sz="8" w:color="0000FF"/>
            </w:tcBorders>
            <w:gridSpan w:val="69"/>
            <w:shd w:val="clear" w:color="auto" w:fill="0000FF"/>
          </w:tcPr>
          <w:p>
            <w:pPr>
              <w:spacing w:after="0" w:line="20" w:lineRule="exact"/>
              <w:rPr>
                <w:sz w:val="1"/>
                <w:szCs w:val="1"/>
                <w:color w:val="auto"/>
              </w:rPr>
            </w:pPr>
          </w:p>
        </w:tc>
        <w:tc>
          <w:tcPr>
            <w:tcW w:w="2780" w:type="dxa"/>
            <w:vAlign w:val="bottom"/>
            <w:gridSpan w:val="5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60" w:type="dxa"/>
            <w:vAlign w:val="bottom"/>
            <w:gridSpan w:val="5"/>
          </w:tcPr>
          <w:p>
            <w:pPr>
              <w:jc w:val="center"/>
              <w:ind w:left="233"/>
              <w:spacing w:after="0"/>
              <w:rPr>
                <w:sz w:val="20"/>
                <w:szCs w:val="20"/>
                <w:color w:val="auto"/>
              </w:rPr>
            </w:pPr>
            <w:r>
              <w:rPr>
                <w:rFonts w:ascii="Arial" w:cs="Arial" w:eastAsia="Arial" w:hAnsi="Arial"/>
                <w:sz w:val="13"/>
                <w:szCs w:val="13"/>
                <w:color w:val="0000FF"/>
              </w:rPr>
              <w:t>32.</w:t>
            </w:r>
            <w:r>
              <w:rPr>
                <w:rFonts w:ascii="Arial" w:cs="Arial" w:eastAsia="Arial" w:hAnsi="Arial"/>
                <w:sz w:val="13"/>
                <w:szCs w:val="13"/>
                <w:u w:val="single" w:color="auto"/>
                <w:color w:val="0000FF"/>
              </w:rPr>
              <w:t>2</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980" w:type="dxa"/>
            <w:vAlign w:val="bottom"/>
            <w:gridSpan w:val="128"/>
          </w:tcPr>
          <w:p>
            <w:pPr>
              <w:spacing w:after="0"/>
              <w:rPr>
                <w:sz w:val="20"/>
                <w:szCs w:val="20"/>
                <w:color w:val="auto"/>
              </w:rPr>
            </w:pPr>
            <w:r>
              <w:rPr>
                <w:rFonts w:ascii="Arial" w:cs="Arial" w:eastAsia="Arial" w:hAnsi="Arial"/>
                <w:sz w:val="13"/>
                <w:szCs w:val="13"/>
                <w:color w:val="0000FF"/>
              </w:rPr>
              <w:t>Certification of Chief Financial Officer pursuant to 18 U.S.C. Section 1350.</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tcBorders>
              <w:right w:val="single" w:sz="8" w:color="0000FF"/>
            </w:tcBorders>
            <w:gridSpan w:val="69"/>
            <w:shd w:val="clear" w:color="auto" w:fill="0000FF"/>
          </w:tcPr>
          <w:p>
            <w:pPr>
              <w:spacing w:after="0" w:line="20" w:lineRule="exact"/>
              <w:rPr>
                <w:sz w:val="1"/>
                <w:szCs w:val="1"/>
                <w:color w:val="auto"/>
              </w:rPr>
            </w:pPr>
          </w:p>
        </w:tc>
        <w:tc>
          <w:tcPr>
            <w:tcW w:w="2780" w:type="dxa"/>
            <w:vAlign w:val="bottom"/>
            <w:gridSpan w:val="5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20" w:type="dxa"/>
            <w:vAlign w:val="bottom"/>
            <w:gridSpan w:val="2"/>
          </w:tcPr>
          <w:p>
            <w:pPr>
              <w:spacing w:after="0"/>
              <w:rPr>
                <w:sz w:val="13"/>
                <w:szCs w:val="13"/>
                <w:color w:val="auto"/>
              </w:rPr>
            </w:pPr>
          </w:p>
        </w:tc>
        <w:tc>
          <w:tcPr>
            <w:tcW w:w="240" w:type="dxa"/>
            <w:vAlign w:val="bottom"/>
            <w:gridSpan w:val="3"/>
          </w:tcPr>
          <w:p>
            <w:pPr>
              <w:jc w:val="center"/>
              <w:ind w:right="20"/>
              <w:spacing w:after="0"/>
              <w:rPr>
                <w:sz w:val="20"/>
                <w:szCs w:val="20"/>
                <w:color w:val="auto"/>
              </w:rPr>
            </w:pPr>
            <w:r>
              <w:rPr>
                <w:rFonts w:ascii="Arial" w:cs="Arial" w:eastAsia="Arial" w:hAnsi="Arial"/>
                <w:sz w:val="13"/>
                <w:szCs w:val="13"/>
                <w:color w:val="auto"/>
              </w:rPr>
              <w:t>101</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980" w:type="dxa"/>
            <w:vAlign w:val="bottom"/>
            <w:gridSpan w:val="128"/>
          </w:tcPr>
          <w:p>
            <w:pPr>
              <w:spacing w:after="0"/>
              <w:rPr>
                <w:sz w:val="20"/>
                <w:szCs w:val="20"/>
                <w:color w:val="auto"/>
              </w:rPr>
            </w:pPr>
            <w:r>
              <w:rPr>
                <w:rFonts w:ascii="Arial" w:cs="Arial" w:eastAsia="Arial" w:hAnsi="Arial"/>
                <w:sz w:val="13"/>
                <w:szCs w:val="13"/>
                <w:color w:val="auto"/>
              </w:rPr>
              <w:t>The following financial statements from the Company’s Quarterly Report on Form 10-Q for the quarter ended March 31,</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980" w:type="dxa"/>
            <w:vAlign w:val="bottom"/>
            <w:gridSpan w:val="128"/>
          </w:tcPr>
          <w:p>
            <w:pPr>
              <w:spacing w:after="0"/>
              <w:rPr>
                <w:sz w:val="20"/>
                <w:szCs w:val="20"/>
                <w:color w:val="auto"/>
              </w:rPr>
            </w:pPr>
            <w:r>
              <w:rPr>
                <w:rFonts w:ascii="Arial" w:cs="Arial" w:eastAsia="Arial" w:hAnsi="Arial"/>
                <w:sz w:val="13"/>
                <w:szCs w:val="13"/>
                <w:color w:val="auto"/>
              </w:rPr>
              <w:t>2026 formatted in Inline XBRL: (i) Consolidated Balance Sheets (unaudited), (ii) Consolidated Statements of Operations</w:t>
            </w:r>
          </w:p>
        </w:tc>
        <w:tc>
          <w:tcPr>
            <w:tcW w:w="0" w:type="dxa"/>
            <w:vAlign w:val="bottom"/>
          </w:tcPr>
          <w:p>
            <w:pPr>
              <w:spacing w:after="0"/>
              <w:rPr>
                <w:sz w:val="1"/>
                <w:szCs w:val="1"/>
                <w:color w:val="auto"/>
              </w:rPr>
            </w:pPr>
          </w:p>
        </w:tc>
      </w:tr>
    </w:tbl>
    <w:p>
      <w:pPr>
        <w:jc w:val="both"/>
        <w:ind w:left="1480" w:right="619"/>
        <w:spacing w:after="0" w:line="234" w:lineRule="auto"/>
        <w:rPr>
          <w:sz w:val="20"/>
          <w:szCs w:val="20"/>
          <w:color w:val="auto"/>
        </w:rPr>
      </w:pPr>
      <w:r>
        <w:rPr>
          <w:rFonts w:ascii="Arial" w:cs="Arial" w:eastAsia="Arial" w:hAnsi="Arial"/>
          <w:sz w:val="13"/>
          <w:szCs w:val="13"/>
          <w:color w:val="auto"/>
        </w:rPr>
        <w:t>(unaudited), (iii) Consolidated Statements of Comprehensive Income (unaudited), (iv) Consolidated Statements of Changes in Stockholders’ Equity (unaudited), (v) Consolidated Statements of Cash Flows (unaudited), (vi) Notes to Consolidated Financial Statements (unaudited).</w:t>
      </w:r>
    </w:p>
    <w:p>
      <w:pPr>
        <w:ind w:left="1280" w:right="2499" w:hanging="596"/>
        <w:spacing w:after="0" w:line="376" w:lineRule="auto"/>
        <w:tabs>
          <w:tab w:leader="none" w:pos="1483" w:val="left"/>
        </w:tabs>
        <w:numPr>
          <w:ilvl w:val="0"/>
          <w:numId w:val="31"/>
        </w:numPr>
        <w:rPr>
          <w:rFonts w:ascii="Arial" w:cs="Arial" w:eastAsia="Arial" w:hAnsi="Arial"/>
          <w:sz w:val="13"/>
          <w:szCs w:val="13"/>
          <w:color w:val="auto"/>
        </w:rPr>
      </w:pPr>
      <w:r>
        <w:rPr>
          <w:rFonts w:ascii="Arial" w:cs="Arial" w:eastAsia="Arial" w:hAnsi="Arial"/>
          <w:sz w:val="13"/>
          <w:szCs w:val="13"/>
          <w:color w:val="auto"/>
        </w:rPr>
        <w:t>Cover Page Interactive Data File (formatted as Inline XBRL and contained in Exhibit 101) * Management Contract or Compensatory plan or arrangement.</w:t>
      </w:r>
    </w:p>
    <w:p>
      <w:pPr>
        <w:spacing w:after="0" w:line="1" w:lineRule="exact"/>
        <w:rPr>
          <w:rFonts w:ascii="Arial" w:cs="Arial" w:eastAsia="Arial" w:hAnsi="Arial"/>
          <w:sz w:val="13"/>
          <w:szCs w:val="13"/>
          <w:color w:val="auto"/>
        </w:rPr>
      </w:pPr>
    </w:p>
    <w:p>
      <w:pPr>
        <w:ind w:left="1480" w:hanging="251"/>
        <w:spacing w:after="0"/>
        <w:tabs>
          <w:tab w:leader="none" w:pos="1480" w:val="left"/>
        </w:tabs>
        <w:numPr>
          <w:ilvl w:val="1"/>
          <w:numId w:val="32"/>
        </w:numPr>
        <w:rPr>
          <w:rFonts w:ascii="Arial" w:cs="Arial" w:eastAsia="Arial" w:hAnsi="Arial"/>
          <w:sz w:val="13"/>
          <w:szCs w:val="13"/>
          <w:color w:val="auto"/>
        </w:rPr>
      </w:pPr>
      <w:r>
        <w:rPr>
          <w:rFonts w:ascii="Arial" w:cs="Arial" w:eastAsia="Arial" w:hAnsi="Arial"/>
          <w:sz w:val="13"/>
          <w:szCs w:val="13"/>
          <w:color w:val="auto"/>
        </w:rPr>
        <w:t>Filed herewith.</w:t>
      </w:r>
    </w:p>
    <w:p>
      <w:pPr>
        <w:ind w:left="1480" w:hanging="305"/>
        <w:spacing w:after="0"/>
        <w:tabs>
          <w:tab w:leader="none" w:pos="1480" w:val="left"/>
        </w:tabs>
        <w:numPr>
          <w:ilvl w:val="1"/>
          <w:numId w:val="33"/>
        </w:numPr>
        <w:rPr>
          <w:rFonts w:ascii="Arial" w:cs="Arial" w:eastAsia="Arial" w:hAnsi="Arial"/>
          <w:sz w:val="13"/>
          <w:szCs w:val="13"/>
          <w:color w:val="auto"/>
        </w:rPr>
      </w:pPr>
      <w:r>
        <w:rPr>
          <w:rFonts w:ascii="Arial" w:cs="Arial" w:eastAsia="Arial" w:hAnsi="Arial"/>
          <w:sz w:val="13"/>
          <w:szCs w:val="13"/>
          <w:color w:val="auto"/>
        </w:rPr>
        <w:t>Furnished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53</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53" w:name="page54"/>
    <w:bookmarkEnd w:id="5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Table of Contents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SIGNATURES</w:t>
      </w:r>
    </w:p>
    <w:p>
      <w:pPr>
        <w:spacing w:after="0" w:line="170"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110" w:lineRule="exact"/>
        <w:rPr>
          <w:sz w:val="20"/>
          <w:szCs w:val="20"/>
          <w:color w:val="auto"/>
        </w:rPr>
      </w:pPr>
    </w:p>
    <w:tbl>
      <w:tblPr>
        <w:tblLayout w:type="fixed"/>
        <w:tblInd w:w="7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520" w:type="dxa"/>
            <w:vAlign w:val="bottom"/>
            <w:gridSpan w:val="3"/>
          </w:tcPr>
          <w:p>
            <w:pPr>
              <w:ind w:left="60"/>
              <w:spacing w:after="0"/>
              <w:rPr>
                <w:sz w:val="20"/>
                <w:szCs w:val="20"/>
                <w:color w:val="auto"/>
              </w:rPr>
            </w:pPr>
            <w:r>
              <w:rPr>
                <w:rFonts w:ascii="Arial" w:cs="Arial" w:eastAsia="Arial" w:hAnsi="Arial"/>
                <w:sz w:val="14"/>
                <w:szCs w:val="14"/>
                <w:color w:val="auto"/>
              </w:rPr>
              <w:t>USCB FINANCIAL HOLDINGS, INC.</w:t>
            </w:r>
          </w:p>
        </w:tc>
      </w:tr>
      <w:tr>
        <w:trPr>
          <w:trHeight w:val="186"/>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Pr>
          <w:p>
            <w:pPr>
              <w:ind w:left="400"/>
              <w:spacing w:after="0"/>
              <w:rPr>
                <w:sz w:val="20"/>
                <w:szCs w:val="20"/>
                <w:color w:val="auto"/>
              </w:rPr>
            </w:pPr>
            <w:r>
              <w:rPr>
                <w:rFonts w:ascii="Arial" w:cs="Arial" w:eastAsia="Arial" w:hAnsi="Arial"/>
                <w:sz w:val="14"/>
                <w:szCs w:val="14"/>
                <w:color w:val="auto"/>
              </w:rPr>
              <w:t>(Registrant)</w:t>
            </w:r>
          </w:p>
        </w:tc>
      </w:tr>
      <w:tr>
        <w:trPr>
          <w:trHeight w:val="377"/>
        </w:trPr>
        <w:tc>
          <w:tcPr>
            <w:tcW w:w="20" w:type="dxa"/>
            <w:vAlign w:val="bottom"/>
          </w:tcPr>
          <w:p>
            <w:pPr>
              <w:spacing w:after="0"/>
              <w:rPr>
                <w:sz w:val="24"/>
                <w:szCs w:val="24"/>
                <w:color w:val="auto"/>
              </w:rPr>
            </w:pPr>
          </w:p>
        </w:tc>
        <w:tc>
          <w:tcPr>
            <w:tcW w:w="200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Signature</w:t>
            </w:r>
          </w:p>
        </w:tc>
        <w:tc>
          <w:tcPr>
            <w:tcW w:w="180" w:type="dxa"/>
            <w:vAlign w:val="bottom"/>
          </w:tcPr>
          <w:p>
            <w:pPr>
              <w:spacing w:after="0"/>
              <w:rPr>
                <w:sz w:val="24"/>
                <w:szCs w:val="24"/>
                <w:color w:val="auto"/>
              </w:rPr>
            </w:pPr>
          </w:p>
        </w:tc>
        <w:tc>
          <w:tcPr>
            <w:tcW w:w="272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Title</w:t>
            </w:r>
          </w:p>
        </w:tc>
        <w:tc>
          <w:tcPr>
            <w:tcW w:w="4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r>
      <w:tr>
        <w:trPr>
          <w:trHeight w:val="356"/>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tcPr>
          <w:p>
            <w:pPr>
              <w:ind w:left="60"/>
              <w:spacing w:after="0"/>
              <w:rPr>
                <w:sz w:val="20"/>
                <w:szCs w:val="20"/>
                <w:color w:val="auto"/>
              </w:rPr>
            </w:pPr>
            <w:r>
              <w:rPr>
                <w:rFonts w:ascii="Arial" w:cs="Arial" w:eastAsia="Arial" w:hAnsi="Arial"/>
                <w:sz w:val="14"/>
                <w:szCs w:val="14"/>
                <w:color w:val="auto"/>
              </w:rPr>
              <w:t>Chairman, President and Chief Executive</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64"/>
        </w:trPr>
        <w:tc>
          <w:tcPr>
            <w:tcW w:w="20" w:type="dxa"/>
            <w:vAlign w:val="bottom"/>
          </w:tcPr>
          <w:p>
            <w:pPr>
              <w:spacing w:after="0"/>
              <w:rPr>
                <w:sz w:val="14"/>
                <w:szCs w:val="14"/>
                <w:color w:val="auto"/>
              </w:rPr>
            </w:pPr>
          </w:p>
        </w:tc>
        <w:tc>
          <w:tcPr>
            <w:tcW w:w="2000" w:type="dxa"/>
            <w:vAlign w:val="bottom"/>
            <w:gridSpan w:val="2"/>
          </w:tcPr>
          <w:p>
            <w:pPr>
              <w:ind w:left="60"/>
              <w:spacing w:after="0"/>
              <w:rPr>
                <w:sz w:val="20"/>
                <w:szCs w:val="20"/>
                <w:color w:val="auto"/>
              </w:rPr>
            </w:pPr>
            <w:r>
              <w:rPr>
                <w:rFonts w:ascii="Arial" w:cs="Arial" w:eastAsia="Arial" w:hAnsi="Arial"/>
                <w:sz w:val="14"/>
                <w:szCs w:val="14"/>
                <w:color w:val="auto"/>
              </w:rPr>
              <w:t>/s/ Luis de la Aguilera</w:t>
            </w:r>
          </w:p>
        </w:tc>
        <w:tc>
          <w:tcPr>
            <w:tcW w:w="180" w:type="dxa"/>
            <w:vAlign w:val="bottom"/>
          </w:tcPr>
          <w:p>
            <w:pPr>
              <w:spacing w:after="0"/>
              <w:rPr>
                <w:sz w:val="14"/>
                <w:szCs w:val="14"/>
                <w:color w:val="auto"/>
              </w:rPr>
            </w:pPr>
          </w:p>
        </w:tc>
        <w:tc>
          <w:tcPr>
            <w:tcW w:w="2720" w:type="dxa"/>
            <w:vAlign w:val="bottom"/>
          </w:tcPr>
          <w:p>
            <w:pPr>
              <w:ind w:left="60"/>
              <w:spacing w:after="0"/>
              <w:rPr>
                <w:sz w:val="20"/>
                <w:szCs w:val="20"/>
                <w:color w:val="auto"/>
              </w:rPr>
            </w:pPr>
            <w:r>
              <w:rPr>
                <w:rFonts w:ascii="Arial" w:cs="Arial" w:eastAsia="Arial" w:hAnsi="Arial"/>
                <w:sz w:val="14"/>
                <w:szCs w:val="14"/>
                <w:color w:val="auto"/>
              </w:rPr>
              <w:t>Officer</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rPr>
              <w:t>May 8, 2026</w:t>
            </w:r>
          </w:p>
        </w:tc>
      </w:tr>
      <w:tr>
        <w:trPr>
          <w:trHeight w:val="177"/>
        </w:trPr>
        <w:tc>
          <w:tcPr>
            <w:tcW w:w="2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Luis de la Aguilera</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20" w:type="dxa"/>
            <w:vAlign w:val="bottom"/>
          </w:tcPr>
          <w:p>
            <w:pPr>
              <w:ind w:left="60"/>
              <w:spacing w:after="0"/>
              <w:rPr>
                <w:sz w:val="20"/>
                <w:szCs w:val="20"/>
                <w:color w:val="auto"/>
              </w:rPr>
            </w:pPr>
            <w:r>
              <w:rPr>
                <w:rFonts w:ascii="Arial" w:cs="Arial" w:eastAsia="Arial" w:hAnsi="Arial"/>
                <w:sz w:val="14"/>
                <w:szCs w:val="14"/>
                <w:color w:val="auto"/>
              </w:rPr>
              <w:t>(Principal Executive Officer)</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333"/>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40" w:type="dxa"/>
            <w:vAlign w:val="bottom"/>
            <w:gridSpan w:val="4"/>
          </w:tcPr>
          <w:p>
            <w:pPr>
              <w:ind w:left="60"/>
              <w:spacing w:after="0"/>
              <w:rPr>
                <w:sz w:val="20"/>
                <w:szCs w:val="20"/>
                <w:color w:val="auto"/>
              </w:rPr>
            </w:pPr>
            <w:r>
              <w:rPr>
                <w:rFonts w:ascii="Arial" w:cs="Arial" w:eastAsia="Arial" w:hAnsi="Arial"/>
                <w:sz w:val="14"/>
                <w:szCs w:val="14"/>
                <w:color w:val="auto"/>
              </w:rPr>
              <w:t>Executive Vice President and Chief Financial</w:t>
            </w:r>
          </w:p>
        </w:tc>
      </w:tr>
      <w:tr>
        <w:trPr>
          <w:trHeight w:val="174"/>
        </w:trPr>
        <w:tc>
          <w:tcPr>
            <w:tcW w:w="20" w:type="dxa"/>
            <w:vAlign w:val="bottom"/>
          </w:tcPr>
          <w:p>
            <w:pPr>
              <w:spacing w:after="0"/>
              <w:rPr>
                <w:sz w:val="15"/>
                <w:szCs w:val="15"/>
                <w:color w:val="auto"/>
              </w:rPr>
            </w:pPr>
          </w:p>
        </w:tc>
        <w:tc>
          <w:tcPr>
            <w:tcW w:w="2000" w:type="dxa"/>
            <w:vAlign w:val="bottom"/>
            <w:gridSpan w:val="2"/>
          </w:tcPr>
          <w:p>
            <w:pPr>
              <w:ind w:left="60"/>
              <w:spacing w:after="0"/>
              <w:rPr>
                <w:sz w:val="20"/>
                <w:szCs w:val="20"/>
                <w:color w:val="auto"/>
              </w:rPr>
            </w:pPr>
            <w:r>
              <w:rPr>
                <w:rFonts w:ascii="Arial" w:cs="Arial" w:eastAsia="Arial" w:hAnsi="Arial"/>
                <w:sz w:val="14"/>
                <w:szCs w:val="14"/>
                <w:color w:val="auto"/>
              </w:rPr>
              <w:t>/s/ Robert Anderson</w:t>
            </w:r>
          </w:p>
        </w:tc>
        <w:tc>
          <w:tcPr>
            <w:tcW w:w="180" w:type="dxa"/>
            <w:vAlign w:val="bottom"/>
          </w:tcPr>
          <w:p>
            <w:pPr>
              <w:spacing w:after="0"/>
              <w:rPr>
                <w:sz w:val="15"/>
                <w:szCs w:val="15"/>
                <w:color w:val="auto"/>
              </w:rPr>
            </w:pPr>
          </w:p>
        </w:tc>
        <w:tc>
          <w:tcPr>
            <w:tcW w:w="2720" w:type="dxa"/>
            <w:vAlign w:val="bottom"/>
          </w:tcPr>
          <w:p>
            <w:pPr>
              <w:ind w:left="60"/>
              <w:spacing w:after="0"/>
              <w:rPr>
                <w:sz w:val="20"/>
                <w:szCs w:val="20"/>
                <w:color w:val="auto"/>
              </w:rPr>
            </w:pPr>
            <w:r>
              <w:rPr>
                <w:rFonts w:ascii="Arial" w:cs="Arial" w:eastAsia="Arial" w:hAnsi="Arial"/>
                <w:sz w:val="14"/>
                <w:szCs w:val="14"/>
                <w:color w:val="auto"/>
              </w:rPr>
              <w:t>Officer</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rPr>
              <w:t>May 8, 2026</w:t>
            </w:r>
          </w:p>
        </w:tc>
      </w:tr>
      <w:tr>
        <w:trPr>
          <w:trHeight w:val="147"/>
        </w:trPr>
        <w:tc>
          <w:tcPr>
            <w:tcW w:w="2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tcPr>
          <w:p>
            <w:pPr>
              <w:ind w:left="60"/>
              <w:spacing w:after="0" w:line="147" w:lineRule="exact"/>
              <w:rPr>
                <w:sz w:val="20"/>
                <w:szCs w:val="20"/>
                <w:color w:val="auto"/>
              </w:rPr>
            </w:pPr>
            <w:r>
              <w:rPr>
                <w:rFonts w:ascii="Arial" w:cs="Arial" w:eastAsia="Arial" w:hAnsi="Arial"/>
                <w:sz w:val="14"/>
                <w:szCs w:val="14"/>
                <w:color w:val="auto"/>
              </w:rPr>
              <w:t>Robert Anderson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20" w:type="dxa"/>
            <w:vAlign w:val="bottom"/>
          </w:tcPr>
          <w:p>
            <w:pPr>
              <w:ind w:left="60"/>
              <w:spacing w:after="0" w:line="147" w:lineRule="exact"/>
              <w:rPr>
                <w:sz w:val="20"/>
                <w:szCs w:val="20"/>
                <w:color w:val="auto"/>
              </w:rPr>
            </w:pPr>
            <w:r>
              <w:rPr>
                <w:rFonts w:ascii="Arial" w:cs="Arial" w:eastAsia="Arial" w:hAnsi="Arial"/>
                <w:sz w:val="14"/>
                <w:szCs w:val="14"/>
                <w:color w:val="auto"/>
              </w:rPr>
              <w:t>(Principal Financial Officer and Principal</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tcPr>
          <w:p>
            <w:pPr>
              <w:spacing w:after="0"/>
              <w:rPr>
                <w:sz w:val="12"/>
                <w:szCs w:val="12"/>
                <w:color w:val="auto"/>
              </w:rPr>
            </w:pPr>
          </w:p>
        </w:tc>
      </w:tr>
      <w:tr>
        <w:trPr>
          <w:trHeight w:val="186"/>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tcPr>
          <w:p>
            <w:pPr>
              <w:ind w:left="60"/>
              <w:spacing w:after="0"/>
              <w:rPr>
                <w:sz w:val="20"/>
                <w:szCs w:val="20"/>
                <w:color w:val="auto"/>
              </w:rPr>
            </w:pPr>
            <w:r>
              <w:rPr>
                <w:rFonts w:ascii="Arial" w:cs="Arial" w:eastAsia="Arial" w:hAnsi="Arial"/>
                <w:sz w:val="14"/>
                <w:szCs w:val="14"/>
                <w:color w:val="auto"/>
              </w:rPr>
              <w:t>Accounting Officer)</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54</w:t>
      </w:r>
      <w:r>
        <w:rPr>
          <w:sz w:val="20"/>
          <w:szCs w:val="20"/>
          <w:color w:val="auto"/>
        </w:rPr>
        <w:tab/>
      </w:r>
      <w:r>
        <w:rPr>
          <w:rFonts w:ascii="Arial" w:cs="Arial" w:eastAsia="Arial" w:hAnsi="Arial"/>
          <w:sz w:val="14"/>
          <w:szCs w:val="14"/>
          <w:color w:val="auto"/>
        </w:rPr>
        <w:t>USCB Financial Holdings, Inc.</w:t>
        <w:tab/>
        <w:t>Q1 2026 Form 10-Q</w:t>
      </w:r>
    </w:p>
    <w:p>
      <w:pPr>
        <w:sectPr>
          <w:pgSz w:w="11900" w:h="16838" w:orient="portrait"/>
          <w:cols w:equalWidth="0" w:num="1">
            <w:col w:w="9019"/>
          </w:cols>
          <w:pgMar w:left="1440" w:top="477" w:right="1440" w:bottom="1440" w:gutter="0" w:footer="0" w:header="0"/>
        </w:sectPr>
      </w:pPr>
    </w:p>
    <w:bookmarkStart w:id="54" w:name="page55"/>
    <w:bookmarkEnd w:id="54"/>
    <w:p>
      <w:pPr>
        <w:ind w:left="75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31.1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 Luis de la Aguilera, certify that:</w:t>
      </w:r>
    </w:p>
    <w:p>
      <w:pPr>
        <w:spacing w:after="0" w:line="170" w:lineRule="exact"/>
        <w:rPr>
          <w:sz w:val="20"/>
          <w:szCs w:val="20"/>
          <w:color w:val="auto"/>
        </w:rPr>
      </w:pPr>
    </w:p>
    <w:p>
      <w:pPr>
        <w:ind w:left="640" w:hanging="233"/>
        <w:spacing w:after="0"/>
        <w:tabs>
          <w:tab w:leader="none" w:pos="6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USCB Financial Holdings, Inc.;</w:t>
      </w:r>
    </w:p>
    <w:p>
      <w:pPr>
        <w:spacing w:after="0" w:line="159" w:lineRule="exact"/>
        <w:rPr>
          <w:rFonts w:ascii="Arial" w:cs="Arial" w:eastAsia="Arial" w:hAnsi="Arial"/>
          <w:sz w:val="14"/>
          <w:szCs w:val="14"/>
          <w:color w:val="auto"/>
        </w:rPr>
      </w:pPr>
    </w:p>
    <w:p>
      <w:pPr>
        <w:jc w:val="both"/>
        <w:ind w:left="660" w:right="679" w:hanging="253"/>
        <w:spacing w:after="0" w:line="265" w:lineRule="auto"/>
        <w:tabs>
          <w:tab w:leader="none" w:pos="641" w:val="left"/>
        </w:tabs>
        <w:numPr>
          <w:ilvl w:val="0"/>
          <w:numId w:val="3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4"/>
          <w:szCs w:val="14"/>
          <w:color w:val="auto"/>
        </w:rPr>
      </w:pPr>
    </w:p>
    <w:p>
      <w:pPr>
        <w:jc w:val="both"/>
        <w:ind w:left="660" w:right="679" w:hanging="253"/>
        <w:spacing w:after="0" w:line="257" w:lineRule="auto"/>
        <w:tabs>
          <w:tab w:leader="none" w:pos="641" w:val="left"/>
        </w:tabs>
        <w:numPr>
          <w:ilvl w:val="0"/>
          <w:numId w:val="3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jc w:val="both"/>
        <w:ind w:left="660" w:right="679" w:hanging="253"/>
        <w:spacing w:after="0" w:line="265" w:lineRule="auto"/>
        <w:tabs>
          <w:tab w:leader="none" w:pos="639"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34"/>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34"/>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4"/>
          <w:szCs w:val="14"/>
          <w:color w:val="auto"/>
        </w:rPr>
      </w:pPr>
    </w:p>
    <w:p>
      <w:pPr>
        <w:jc w:val="both"/>
        <w:ind w:left="1180" w:right="679" w:hanging="261"/>
        <w:spacing w:after="0" w:line="257" w:lineRule="auto"/>
        <w:tabs>
          <w:tab w:leader="none" w:pos="1180" w:val="left"/>
        </w:tabs>
        <w:numPr>
          <w:ilvl w:val="1"/>
          <w:numId w:val="3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34"/>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rFonts w:ascii="Arial" w:cs="Arial" w:eastAsia="Arial" w:hAnsi="Arial"/>
          <w:sz w:val="14"/>
          <w:szCs w:val="14"/>
          <w:color w:val="auto"/>
        </w:rPr>
      </w:pPr>
    </w:p>
    <w:p>
      <w:pPr>
        <w:jc w:val="both"/>
        <w:ind w:left="660" w:right="679" w:hanging="253"/>
        <w:spacing w:after="0" w:line="257" w:lineRule="auto"/>
        <w:tabs>
          <w:tab w:leader="none" w:pos="639"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jc w:val="both"/>
        <w:ind w:left="1180" w:right="679" w:hanging="261"/>
        <w:spacing w:after="0" w:line="265" w:lineRule="auto"/>
        <w:tabs>
          <w:tab w:leader="none" w:pos="1168" w:val="left"/>
        </w:tabs>
        <w:numPr>
          <w:ilvl w:val="1"/>
          <w:numId w:val="3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Arial" w:cs="Arial" w:eastAsia="Arial" w:hAnsi="Arial"/>
          <w:sz w:val="14"/>
          <w:szCs w:val="14"/>
          <w:color w:val="auto"/>
        </w:rPr>
      </w:pPr>
    </w:p>
    <w:p>
      <w:pPr>
        <w:ind w:left="1180" w:right="679" w:hanging="261"/>
        <w:spacing w:after="0" w:line="292" w:lineRule="auto"/>
        <w:tabs>
          <w:tab w:leader="none" w:pos="1180" w:val="left"/>
        </w:tabs>
        <w:numPr>
          <w:ilvl w:val="1"/>
          <w:numId w:val="34"/>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Chairman, President and Chief Executive Officer</w:t>
      </w:r>
    </w:p>
    <w:p>
      <w:pPr>
        <w:spacing w:after="0" w:line="20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Date: May 8, 2026</w:t>
      </w:r>
    </w:p>
    <w:p>
      <w:pPr>
        <w:sectPr>
          <w:pgSz w:w="11900" w:h="16838" w:orient="portrait"/>
          <w:cols w:equalWidth="0" w:num="1">
            <w:col w:w="9019"/>
          </w:cols>
          <w:pgMar w:left="1440" w:top="723" w:right="1440" w:bottom="1440" w:gutter="0" w:footer="0" w:header="0"/>
        </w:sectPr>
      </w:pPr>
    </w:p>
    <w:bookmarkStart w:id="55" w:name="page56"/>
    <w:bookmarkEnd w:id="55"/>
    <w:p>
      <w:pPr>
        <w:ind w:left="75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31.2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Financial Officer</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 Robert Anderson, certify that:</w:t>
      </w:r>
    </w:p>
    <w:p>
      <w:pPr>
        <w:spacing w:after="0" w:line="170" w:lineRule="exact"/>
        <w:rPr>
          <w:sz w:val="20"/>
          <w:szCs w:val="20"/>
          <w:color w:val="auto"/>
        </w:rPr>
      </w:pPr>
    </w:p>
    <w:p>
      <w:pPr>
        <w:ind w:left="660" w:hanging="253"/>
        <w:spacing w:after="0"/>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USCB Financial Holdings, Inc.;</w:t>
      </w:r>
    </w:p>
    <w:p>
      <w:pPr>
        <w:spacing w:after="0" w:line="159" w:lineRule="exact"/>
        <w:rPr>
          <w:rFonts w:ascii="Arial" w:cs="Arial" w:eastAsia="Arial" w:hAnsi="Arial"/>
          <w:sz w:val="14"/>
          <w:szCs w:val="14"/>
          <w:color w:val="auto"/>
        </w:rPr>
      </w:pPr>
    </w:p>
    <w:p>
      <w:pPr>
        <w:jc w:val="both"/>
        <w:ind w:left="660" w:right="679" w:hanging="253"/>
        <w:spacing w:after="0" w:line="265" w:lineRule="auto"/>
        <w:tabs>
          <w:tab w:leader="none" w:pos="641" w:val="left"/>
        </w:tabs>
        <w:numPr>
          <w:ilvl w:val="0"/>
          <w:numId w:val="3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4"/>
          <w:szCs w:val="14"/>
          <w:color w:val="auto"/>
        </w:rPr>
      </w:pPr>
    </w:p>
    <w:p>
      <w:pPr>
        <w:jc w:val="both"/>
        <w:ind w:left="660" w:right="679" w:hanging="253"/>
        <w:spacing w:after="0" w:line="257" w:lineRule="auto"/>
        <w:tabs>
          <w:tab w:leader="none" w:pos="641" w:val="left"/>
        </w:tabs>
        <w:numPr>
          <w:ilvl w:val="0"/>
          <w:numId w:val="35"/>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jc w:val="both"/>
        <w:ind w:left="660" w:right="679" w:hanging="253"/>
        <w:spacing w:after="0" w:line="265" w:lineRule="auto"/>
        <w:tabs>
          <w:tab w:leader="none" w:pos="639"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35"/>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35"/>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4"/>
          <w:szCs w:val="14"/>
          <w:color w:val="auto"/>
        </w:rPr>
      </w:pPr>
    </w:p>
    <w:p>
      <w:pPr>
        <w:jc w:val="both"/>
        <w:ind w:left="1180" w:right="679" w:hanging="261"/>
        <w:spacing w:after="0" w:line="265" w:lineRule="auto"/>
        <w:tabs>
          <w:tab w:leader="none" w:pos="1180" w:val="left"/>
        </w:tabs>
        <w:numPr>
          <w:ilvl w:val="1"/>
          <w:numId w:val="3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35"/>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rFonts w:ascii="Arial" w:cs="Arial" w:eastAsia="Arial" w:hAnsi="Arial"/>
          <w:sz w:val="14"/>
          <w:szCs w:val="14"/>
          <w:color w:val="auto"/>
        </w:rPr>
      </w:pPr>
    </w:p>
    <w:p>
      <w:pPr>
        <w:jc w:val="both"/>
        <w:ind w:left="660" w:right="679" w:hanging="253"/>
        <w:spacing w:after="0" w:line="265" w:lineRule="auto"/>
        <w:tabs>
          <w:tab w:leader="none" w:pos="639"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Arial" w:cs="Arial" w:eastAsia="Arial" w:hAnsi="Arial"/>
          <w:sz w:val="14"/>
          <w:szCs w:val="14"/>
          <w:color w:val="auto"/>
        </w:rPr>
      </w:pPr>
    </w:p>
    <w:p>
      <w:pPr>
        <w:jc w:val="both"/>
        <w:ind w:left="1180" w:right="679" w:hanging="261"/>
        <w:spacing w:after="0" w:line="265" w:lineRule="auto"/>
        <w:tabs>
          <w:tab w:leader="none" w:pos="1168" w:val="left"/>
        </w:tabs>
        <w:numPr>
          <w:ilvl w:val="1"/>
          <w:numId w:val="3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4"/>
          <w:szCs w:val="14"/>
          <w:color w:val="auto"/>
        </w:rPr>
      </w:pPr>
    </w:p>
    <w:p>
      <w:pPr>
        <w:ind w:left="1180" w:right="679" w:hanging="261"/>
        <w:spacing w:after="0" w:line="276" w:lineRule="auto"/>
        <w:tabs>
          <w:tab w:leader="none" w:pos="1168" w:val="left"/>
        </w:tabs>
        <w:numPr>
          <w:ilvl w:val="1"/>
          <w:numId w:val="3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Robert Anderson</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Robert Anderson</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Chief Financial Officer</w:t>
      </w:r>
    </w:p>
    <w:p>
      <w:pPr>
        <w:spacing w:after="0" w:line="21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Date: May 8, 2026</w:t>
      </w:r>
    </w:p>
    <w:p>
      <w:pPr>
        <w:sectPr>
          <w:pgSz w:w="11900" w:h="16838" w:orient="portrait"/>
          <w:cols w:equalWidth="0" w:num="1">
            <w:col w:w="9019"/>
          </w:cols>
          <w:pgMar w:left="1440" w:top="723" w:right="1440" w:bottom="1440" w:gutter="0" w:footer="0" w:header="0"/>
        </w:sectPr>
      </w:pPr>
    </w:p>
    <w:bookmarkStart w:id="56" w:name="page57"/>
    <w:bookmarkEnd w:id="56"/>
    <w:p>
      <w:pPr>
        <w:jc w:val="right"/>
        <w:ind w:right="6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32.1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Executive Officer Pursuant to 18 U.S.C. Section 1350</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 Section 906 of the Sarbanes -Oxley Act of 2002</w:t>
      </w:r>
    </w:p>
    <w:p>
      <w:pPr>
        <w:spacing w:after="0" w:line="156"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In connection with the Quarterly Report of USCB Financial Holdings, Inc. (the “Company”) on Form 10-Q for the quarter ended March 31, 2026, as filed with the Securities and Exchange Commission on the date hereof (the “Report”), I, Luis de la Aguilera, as President and Chief Executive Officer of the Company, certify, to the best of my knowledge, pursuant to 18 U.S.C. §1350, as adopted pursuant to Section 906 of the Sarbanes -Oxley Act of 2002, that:</w:t>
      </w:r>
    </w:p>
    <w:p>
      <w:pPr>
        <w:spacing w:after="0" w:line="135" w:lineRule="exact"/>
        <w:rPr>
          <w:sz w:val="20"/>
          <w:szCs w:val="20"/>
          <w:color w:val="auto"/>
        </w:rPr>
      </w:pPr>
    </w:p>
    <w:p>
      <w:pPr>
        <w:ind w:left="1440" w:right="679" w:hanging="265"/>
        <w:spacing w:after="0" w:line="276" w:lineRule="auto"/>
        <w:tabs>
          <w:tab w:leader="none" w:pos="1428"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as applicable, of the Securities Exchange Act of 1934; and</w:t>
      </w:r>
    </w:p>
    <w:p>
      <w:pPr>
        <w:spacing w:after="0" w:line="120" w:lineRule="exact"/>
        <w:rPr>
          <w:rFonts w:ascii="Arial" w:cs="Arial" w:eastAsia="Arial" w:hAnsi="Arial"/>
          <w:sz w:val="14"/>
          <w:szCs w:val="14"/>
          <w:color w:val="auto"/>
        </w:rPr>
      </w:pPr>
    </w:p>
    <w:p>
      <w:pPr>
        <w:ind w:left="1440" w:right="679" w:hanging="265"/>
        <w:spacing w:after="0" w:line="276" w:lineRule="auto"/>
        <w:tabs>
          <w:tab w:leader="none" w:pos="1428"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Chairman, President and Chief Executive Officer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Date: May 8, 2026</w:t>
      </w:r>
    </w:p>
    <w:p>
      <w:pPr>
        <w:sectPr>
          <w:pgSz w:w="11900" w:h="16838" w:orient="portrait"/>
          <w:cols w:equalWidth="0" w:num="1">
            <w:col w:w="9019"/>
          </w:cols>
          <w:pgMar w:left="1440" w:top="723" w:right="1440" w:bottom="1440" w:gutter="0" w:footer="0" w:header="0"/>
        </w:sectPr>
      </w:pPr>
    </w:p>
    <w:bookmarkStart w:id="57" w:name="page58"/>
    <w:bookmarkEnd w:id="57"/>
    <w:p>
      <w:pPr>
        <w:jc w:val="right"/>
        <w:ind w:right="6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32.2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Financial Officer Pursuant to 18 U.S.C. Section 1350</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 Section 906 of the Sarbanes -Oxley Act of 2002</w:t>
      </w:r>
    </w:p>
    <w:p>
      <w:pPr>
        <w:spacing w:after="0" w:line="156"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In connection with the Quarterly Report of USCB Financial Holdings, Inc. (the “Company”) on Form 10-Q for the quarter ended March 31, 2026, as filed with the Securities and Exchange Commission on the date hereof (the “Report”), I, Robert Anderson, as Chief Financial Officer of the Company, certify, to the best of my knowledge, pursuant to 18 U.S.C. §1350, as adopted pursuant to Section 906 of the Sarbanes-Oxley Act of 2002, that:</w:t>
      </w:r>
    </w:p>
    <w:p>
      <w:pPr>
        <w:spacing w:after="0" w:line="135" w:lineRule="exact"/>
        <w:rPr>
          <w:sz w:val="20"/>
          <w:szCs w:val="20"/>
          <w:color w:val="auto"/>
        </w:rPr>
      </w:pPr>
    </w:p>
    <w:p>
      <w:pPr>
        <w:ind w:left="1440" w:right="679" w:hanging="265"/>
        <w:spacing w:after="0" w:line="276" w:lineRule="auto"/>
        <w:tabs>
          <w:tab w:leader="none" w:pos="1428"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as applicable, of the Securities Exchange Act of 1934; and</w:t>
      </w:r>
    </w:p>
    <w:p>
      <w:pPr>
        <w:spacing w:after="0" w:line="120" w:lineRule="exact"/>
        <w:rPr>
          <w:rFonts w:ascii="Arial" w:cs="Arial" w:eastAsia="Arial" w:hAnsi="Arial"/>
          <w:sz w:val="14"/>
          <w:szCs w:val="14"/>
          <w:color w:val="auto"/>
        </w:rPr>
      </w:pPr>
    </w:p>
    <w:p>
      <w:pPr>
        <w:ind w:left="1440" w:right="679" w:hanging="265"/>
        <w:spacing w:after="0" w:line="276" w:lineRule="auto"/>
        <w:tabs>
          <w:tab w:leader="none" w:pos="1428"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Robert Anderson</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Robert Anderson</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Chief Financial Officer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Date: May 8, 2026</w:t>
      </w:r>
    </w:p>
    <w:p>
      <w:pPr>
        <w:sectPr>
          <w:pgSz w:w="11900" w:h="16838" w:orient="portrait"/>
          <w:cols w:equalWidth="0" w:num="1">
            <w:col w:w="9019"/>
          </w:cols>
          <w:pgMar w:left="1440" w:top="723" w:right="1440" w:bottom="1440" w:gutter="0" w:footer="0" w:header="0"/>
        </w:sectPr>
      </w:pPr>
    </w:p>
    <w:bookmarkStart w:id="58" w:name="page59"/>
    <w:bookmarkEnd w:id="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2"/>
    </w:lvl>
  </w:abstractNum>
  <w:abstractNum w:abstractNumId="3">
    <w:nsid w:val="436C6125"/>
    <w:multiLevelType w:val="hybridMultilevel"/>
    <w:lvl w:ilvl="0">
      <w:lvlJc w:val="left"/>
      <w:lvlText w:val="%1."/>
      <w:numFmt w:val="decimal"/>
      <w:start w:val="3"/>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4"/>
    </w:lvl>
  </w:abstractNum>
  <w:abstractNum w:abstractNumId="8">
    <w:nsid w:val="2D1D5AE9"/>
    <w:multiLevelType w:val="hybridMultilevel"/>
    <w:lvl w:ilvl="0">
      <w:lvlJc w:val="left"/>
      <w:lvlText w:val="%1."/>
      <w:numFmt w:val="decimal"/>
      <w:start w:val="5"/>
    </w:lvl>
  </w:abstractNum>
  <w:abstractNum w:abstractNumId="9">
    <w:nsid w:val="6763845E"/>
    <w:multiLevelType w:val="hybridMultilevel"/>
    <w:lvl w:ilvl="0">
      <w:lvlJc w:val="left"/>
      <w:lvlText w:val="%1."/>
      <w:numFmt w:val="decimal"/>
      <w:start w:val="6"/>
    </w:lvl>
  </w:abstractNum>
  <w:abstractNum w:abstractNumId="10">
    <w:nsid w:val="75A2A8D4"/>
    <w:multiLevelType w:val="hybridMultilevel"/>
    <w:lvl w:ilvl="0">
      <w:lvlJc w:val="left"/>
      <w:lvlText w:val="%1."/>
      <w:numFmt w:val="decimal"/>
      <w:start w:val="7"/>
    </w:lvl>
  </w:abstractNum>
  <w:abstractNum w:abstractNumId="11">
    <w:nsid w:val="8EDBDAB"/>
    <w:multiLevelType w:val="hybridMultilevel"/>
    <w:lvl w:ilvl="0">
      <w:lvlJc w:val="left"/>
      <w:lvlText w:val="%1."/>
      <w:numFmt w:val="decimal"/>
      <w:start w:val="8"/>
    </w:lvl>
  </w:abstractNum>
  <w:abstractNum w:abstractNumId="12">
    <w:nsid w:val="79838CB2"/>
    <w:multiLevelType w:val="hybridMultilevel"/>
    <w:lvl w:ilvl="0">
      <w:lvlJc w:val="left"/>
      <w:lvlText w:val="%1."/>
      <w:numFmt w:val="decimal"/>
      <w:start w:val="9"/>
    </w:lvl>
  </w:abstractNum>
  <w:abstractNum w:abstractNumId="13">
    <w:nsid w:val="4353D0CD"/>
    <w:multiLevelType w:val="hybridMultilevel"/>
    <w:lvl w:ilvl="0">
      <w:lvlJc w:val="left"/>
      <w:lvlText w:val="%1."/>
      <w:numFmt w:val="decimal"/>
      <w:start w:val="10"/>
    </w:lvl>
  </w:abstractNum>
  <w:abstractNum w:abstractNumId="14">
    <w:nsid w:val="B03E0C6"/>
    <w:multiLevelType w:val="hybridMultilevel"/>
    <w:lvl w:ilvl="0">
      <w:lvlJc w:val="left"/>
      <w:lvlText w:val="%1."/>
      <w:numFmt w:val="decimal"/>
      <w:start w:val="1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lowerLetter"/>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1)"/>
      <w:numFmt w:val="lowerLetter"/>
      <w:start w:val="1"/>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lowerLetter"/>
      <w:start w:val="3"/>
    </w:lvl>
  </w:abstractNum>
  <w:abstractNum w:abstractNumId="30">
    <w:nsid w:val="614FD4A1"/>
    <w:multiLevelType w:val="hybridMultilevel"/>
    <w:lvl w:ilvl="0">
      <w:lvlJc w:val="left"/>
      <w:lvlText w:val="%1"/>
      <w:numFmt w:val="decimal"/>
      <w:start w:val="104"/>
    </w:lvl>
    <w:lvl w:ilvl="1">
      <w:lvlJc w:val="left"/>
      <w:lvlText w:val="*"/>
      <w:numFmt w:val="bullet"/>
      <w:start w:val="1"/>
    </w:lvl>
  </w:abstractNum>
  <w:abstractNum w:abstractNumId="31">
    <w:nsid w:val="419AC241"/>
    <w:multiLevelType w:val="hybridMultilevel"/>
    <w:lvl w:ilvl="0">
      <w:lvlJc w:val="left"/>
      <w:lvlText w:val="%1"/>
      <w:numFmt w:val="decimal"/>
      <w:start w:val="1"/>
    </w:lvl>
    <w:lvl w:ilvl="1">
      <w:lvlJc w:val="left"/>
      <w:lvlText w:val="**"/>
      <w:numFmt w:val="bullet"/>
      <w:start w:val="1"/>
    </w:lvl>
  </w:abstractNum>
  <w:abstractNum w:abstractNumId="32">
    <w:nsid w:val="5577F8E1"/>
    <w:multiLevelType w:val="hybridMultilevel"/>
    <w:lvl w:ilvl="0">
      <w:lvlJc w:val="left"/>
      <w:lvlText w:val="%1"/>
      <w:numFmt w:val="decimal"/>
      <w:start w:val="1"/>
    </w:lvl>
    <w:lvl w:ilvl="1">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61" Type="http://schemas.openxmlformats.org/officeDocument/2006/relationships/hyperlink" Target="http://www.sec.gov/Archives/edgar/data/0001901637/000119312521369812/d628417dex21.htm" TargetMode="External"/><Relationship Id="rId62" Type="http://schemas.openxmlformats.org/officeDocument/2006/relationships/hyperlink" Target="http://www.sec.gov/Archives/edgar/data/1901637/000156276223000333/exhibit31.htm" TargetMode="External"/><Relationship Id="rId63" Type="http://schemas.openxmlformats.org/officeDocument/2006/relationships/hyperlink" Target="http://www.sec.gov/Archives/edgar/data/1901637/000092708923000110/ex_549234.htm" TargetMode="External"/><Relationship Id="rId64" Type="http://schemas.openxmlformats.org/officeDocument/2006/relationships/hyperlink" Target="http://www.sec.gov/Archives/edgar/data/0001901637/000119312521369812/d628417dex41.htm" TargetMode="External"/><Relationship Id="rId65" Type="http://schemas.openxmlformats.org/officeDocument/2006/relationships/hyperlink" Target="http://www.sec.gov/Archives/edgar/data/0001901637/000119312521369812/d628417dex42.htm" TargetMode="External"/><Relationship Id="rId66" Type="http://schemas.openxmlformats.org/officeDocument/2006/relationships/hyperlink" Target="http://www.sec.gov/Archives/edgar/data/0001901637/000119312521369812/d628417dex43.htm" TargetMode="External"/><Relationship Id="rId67" Type="http://schemas.openxmlformats.org/officeDocument/2006/relationships/hyperlink" Target="http://www.sec.gov/Archives/edgar/data/1901637/000156276222000137/exhibit44.htm" TargetMode="External"/><Relationship Id="rId68" Type="http://schemas.openxmlformats.org/officeDocument/2006/relationships/hyperlink" Target="http://www.sec.gov/Archives/edgar/data/1901637/000156276224000061/exhibit44.htm" TargetMode="External"/><Relationship Id="rId69" Type="http://schemas.openxmlformats.org/officeDocument/2006/relationships/hyperlink" Target="http://www.sec.gov/Archives/edgar/data/1901637/000119312525180879/d23435dex41.htm" TargetMode="External"/><Relationship Id="rId70" Type="http://schemas.openxmlformats.org/officeDocument/2006/relationships/hyperlink" Target="https://www.sec.gov/ix?doc=/Archives/edgar/data/0001901637/000092708926000084/uscbf20260427_8k.htm" TargetMode="External"/><Relationship Id="rId71" Type="http://schemas.openxmlformats.org/officeDocument/2006/relationships/hyperlink" Target="http://www.sec.gov/Archives/edgar/data/1901637/000119312525180879/d23435dex101.htm" TargetMode="External"/><Relationship Id="rId72" Type="http://schemas.openxmlformats.org/officeDocument/2006/relationships/hyperlink" Target="http://www.sec.gov/Archives/edgar/data/1901637/000119312525180879/d23435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2026-05-08T12:01:20Z</dcterms:created>
  <dcterms:modified xsi:type="dcterms:W3CDTF">2026-05-08T12:01:20Z</dcterms:modified>
</cp:coreProperties>
</file>