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-240665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80" w:type="dxa"/>
            <w:vAlign w:val="bottom"/>
          </w:tcPr>
          <w:p>
            <w:pPr>
              <w:jc w:val="center"/>
              <w:ind w:right="11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80" w:type="dxa"/>
            <w:vAlign w:val="bottom"/>
            <w:vMerge w:val="restart"/>
          </w:tcPr>
          <w:p>
            <w:pPr>
              <w:jc w:val="center"/>
              <w:ind w:right="9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8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5314315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-1583690</wp:posOffset>
            </wp:positionH>
            <wp:positionV relativeFrom="paragraph">
              <wp:posOffset>26035</wp:posOffset>
            </wp:positionV>
            <wp:extent cx="6990715" cy="6304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630428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180" w:space="300"/>
            <w:col w:w="8600"/>
          </w:cols>
          <w:pgMar w:left="460" w:top="218" w:right="359" w:bottom="1440" w:gutter="0" w:footer="0" w:header="0"/>
        </w:sectPr>
      </w:pPr>
    </w:p>
    <w:p>
      <w:pPr>
        <w:spacing w:after="0" w:line="1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ABADIN RAMON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40"/>
        <w:spacing w:after="0" w:line="357" w:lineRule="auto"/>
        <w:rPr>
          <w:sz w:val="20"/>
          <w:szCs w:val="20"/>
          <w:color w:val="auto"/>
        </w:rPr>
      </w:pPr>
      <w:r>
        <w:rPr>
          <w:rFonts w:ascii="Times New Roman" w:cs="Times New Roman" w:eastAsia="Times New Roman" w:hAnsi="Times New Roman"/>
          <w:sz w:val="17"/>
          <w:szCs w:val="17"/>
          <w:color w:val="0000FF"/>
        </w:rPr>
        <w:t>C/O USCB FINANCIAL HOLDINGS, INC. 2301 N.W. 87TH AVENUE</w:t>
      </w:r>
    </w:p>
    <w:p>
      <w:pPr>
        <w:spacing w:after="0" w:line="170"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4"/>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DORAL</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52"/>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3760" w:type="dxa"/>
            <w:vAlign w:val="bottom"/>
            <w:gridSpan w:val="3"/>
          </w:tcPr>
          <w:p>
            <w:pPr>
              <w:spacing w:after="0" w:line="145"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376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ind w:left="60"/>
              <w:spacing w:after="0" w:line="51" w:lineRule="exact"/>
              <w:rPr>
                <w:sz w:val="20"/>
                <w:szCs w:val="20"/>
                <w:color w:val="auto"/>
              </w:rPr>
            </w:pPr>
            <w:r>
              <w:rPr>
                <w:rFonts w:ascii="Times New Roman" w:cs="Times New Roman" w:eastAsia="Times New Roman" w:hAnsi="Times New Roman"/>
                <w:sz w:val="5"/>
                <w:szCs w:val="5"/>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60" w:type="dxa"/>
            <w:vAlign w:val="bottom"/>
          </w:tcPr>
          <w:p>
            <w:pPr>
              <w:spacing w:after="0" w:line="20" w:lineRule="exact"/>
              <w:rPr>
                <w:sz w:val="1"/>
                <w:szCs w:val="1"/>
                <w:color w:val="auto"/>
              </w:rPr>
            </w:pPr>
          </w:p>
        </w:tc>
        <w:tc>
          <w:tcPr>
            <w:tcW w:w="3400" w:type="dxa"/>
            <w:vAlign w:val="bottom"/>
            <w:gridSpan w:val="2"/>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USCB </w:t>
              </w:r>
              <w:r>
                <w:rPr>
                  <w:rFonts w:ascii="Times New Roman" w:cs="Times New Roman" w:eastAsia="Times New Roman" w:hAnsi="Times New Roman"/>
                  <w:sz w:val="1"/>
                  <w:szCs w:val="1"/>
                  <w:color w:val="000000"/>
                </w:rPr>
                <w:t>]</w:t>
              </w:r>
            </w:hyperlink>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32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3"/>
        </w:trPr>
        <w:tc>
          <w:tcPr>
            <w:tcW w:w="3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11/29/2022</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1" w:lineRule="exact"/>
        <w:rPr>
          <w:sz w:val="20"/>
          <w:szCs w:val="20"/>
          <w:color w:val="auto"/>
        </w:rPr>
      </w:pPr>
    </w:p>
    <w:p>
      <w:pPr>
        <w:ind w:left="4100"/>
        <w:spacing w:after="0"/>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21" w:lineRule="exact"/>
        <w:rPr>
          <w:sz w:val="20"/>
          <w:szCs w:val="20"/>
          <w:color w:val="auto"/>
        </w:rPr>
      </w:pPr>
    </w:p>
    <w:p>
      <w:pPr>
        <w:ind w:left="340" w:right="500"/>
        <w:spacing w:after="0" w:line="25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740" w:space="10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540"/>
              <w:spacing w:after="0" w:line="132"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60" w:type="dxa"/>
            <w:vAlign w:val="bottom"/>
            <w:gridSpan w:val="2"/>
          </w:tcPr>
          <w:p>
            <w:pPr>
              <w:ind w:left="54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60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5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11/29/2022</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P</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2,500</w:t>
            </w:r>
          </w:p>
        </w:tc>
        <w:tc>
          <w:tcPr>
            <w:tcW w:w="50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13.36</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26,133</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56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03/15/2023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P</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5,990</w:t>
            </w:r>
          </w:p>
        </w:tc>
        <w:tc>
          <w:tcPr>
            <w:tcW w:w="5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2"/>
          </w:tcPr>
          <w:p>
            <w:pPr>
              <w:jc w:val="center"/>
              <w:ind w:left="191"/>
              <w:spacing w:after="0" w:line="316" w:lineRule="exact"/>
              <w:rPr>
                <w:sz w:val="20"/>
                <w:szCs w:val="20"/>
                <w:color w:val="auto"/>
              </w:rPr>
            </w:pPr>
            <w:r>
              <w:rPr>
                <w:rFonts w:ascii="Arial" w:cs="Arial" w:eastAsia="Arial" w:hAnsi="Arial"/>
                <w:sz w:val="34"/>
                <w:szCs w:val="34"/>
                <w:color w:val="000000"/>
                <w:w w:val="78"/>
                <w:vertAlign w:val="subscript"/>
              </w:rPr>
              <w:t>$</w:t>
            </w:r>
            <w:r>
              <w:rPr>
                <w:rFonts w:ascii="Times New Roman" w:cs="Times New Roman" w:eastAsia="Times New Roman" w:hAnsi="Times New Roman"/>
                <w:sz w:val="34"/>
                <w:szCs w:val="34"/>
                <w:color w:val="0000FF"/>
                <w:w w:val="78"/>
                <w:vertAlign w:val="subscript"/>
              </w:rPr>
              <w:t>11</w:t>
            </w:r>
            <w:r>
              <w:rPr>
                <w:rFonts w:ascii="Times New Roman" w:cs="Times New Roman" w:eastAsia="Times New Roman" w:hAnsi="Times New Roman"/>
                <w:sz w:val="11"/>
                <w:szCs w:val="11"/>
                <w:color w:val="008000"/>
                <w:w w:val="78"/>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32,123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56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09/14/2023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P</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1,990</w:t>
            </w:r>
          </w:p>
        </w:tc>
        <w:tc>
          <w:tcPr>
            <w:tcW w:w="5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10.86</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31,113</w:t>
            </w:r>
            <w:r>
              <w:rPr>
                <w:rFonts w:ascii="Times New Roman" w:cs="Times New Roman" w:eastAsia="Times New Roman" w:hAnsi="Times New Roman"/>
                <w:sz w:val="21"/>
                <w:szCs w:val="21"/>
                <w:color w:val="008000"/>
                <w:w w:val="91"/>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jc w:val="center"/>
              <w:ind w:left="83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40" w:type="dxa"/>
            <w:vAlign w:val="bottom"/>
            <w:gridSpan w:val="9"/>
          </w:tcPr>
          <w:p>
            <w:pPr>
              <w:jc w:val="center"/>
              <w:ind w:left="43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2"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28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2"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jc w:val="center"/>
              <w:ind w:right="20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7.5</w:t>
            </w: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01/23/2018</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01/23/2027</w:t>
            </w:r>
          </w:p>
        </w:tc>
        <w:tc>
          <w:tcPr>
            <w:tcW w:w="50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5,000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5,000</w:t>
            </w:r>
          </w:p>
        </w:tc>
        <w:tc>
          <w:tcPr>
            <w:tcW w:w="920" w:type="dxa"/>
            <w:vAlign w:val="bottom"/>
            <w:vMerge w:val="restart"/>
          </w:tcPr>
          <w:p>
            <w:pPr>
              <w:ind w:left="56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00" w:type="dxa"/>
            <w:vAlign w:val="bottom"/>
          </w:tcPr>
          <w:p>
            <w:pPr>
              <w:ind w:left="80"/>
              <w:spacing w:after="0" w:line="145" w:lineRule="exact"/>
              <w:rPr>
                <w:sz w:val="20"/>
                <w:szCs w:val="20"/>
                <w:color w:val="auto"/>
              </w:rPr>
            </w:pPr>
            <w:r>
              <w:rPr>
                <w:rFonts w:ascii="Times New Roman" w:cs="Times New Roman" w:eastAsia="Times New Roman" w:hAnsi="Times New Roman"/>
                <w:sz w:val="13"/>
                <w:szCs w:val="13"/>
                <w:color w:val="0000FF"/>
              </w:rPr>
              <w:t>Voting</w:t>
            </w: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jc w:val="center"/>
              <w:ind w:right="14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11.35</w:t>
            </w: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09/23/2020</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09/23/2029</w:t>
            </w:r>
          </w:p>
        </w:tc>
        <w:tc>
          <w:tcPr>
            <w:tcW w:w="50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4,000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4,000</w:t>
            </w:r>
          </w:p>
        </w:tc>
        <w:tc>
          <w:tcPr>
            <w:tcW w:w="920" w:type="dxa"/>
            <w:vAlign w:val="bottom"/>
            <w:vMerge w:val="restart"/>
          </w:tcPr>
          <w:p>
            <w:pPr>
              <w:ind w:left="56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00" w:type="dxa"/>
            <w:vAlign w:val="bottom"/>
          </w:tcPr>
          <w:p>
            <w:pPr>
              <w:ind w:left="80"/>
              <w:spacing w:after="0" w:line="145" w:lineRule="exact"/>
              <w:rPr>
                <w:sz w:val="20"/>
                <w:szCs w:val="20"/>
                <w:color w:val="auto"/>
              </w:rPr>
            </w:pPr>
            <w:r>
              <w:rPr>
                <w:rFonts w:ascii="Times New Roman" w:cs="Times New Roman" w:eastAsia="Times New Roman" w:hAnsi="Times New Roman"/>
                <w:sz w:val="13"/>
                <w:szCs w:val="13"/>
                <w:color w:val="0000FF"/>
              </w:rPr>
              <w:t>Voting</w:t>
            </w: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-2682875</wp:posOffset>
            </wp:positionV>
            <wp:extent cx="29210" cy="2687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8732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right="240" w:firstLine="5"/>
        <w:spacing w:after="0" w:line="250" w:lineRule="auto"/>
        <w:tabs>
          <w:tab w:leader="none" w:pos="172"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at prices ranging from $10.96 to $11.01, inclusive. The reporting person undertakes to provide to USCB Financial Holdings, Inc. ("USCB"), any securities holder of USCB, or the staff of the Securities and Exchange Commission, upon request, full information regarding the number of shares sold at each separate price within the ranges set forth in footnotes (1) and (2) to this Form 4.</w:t>
      </w:r>
    </w:p>
    <w:p>
      <w:pPr>
        <w:spacing w:after="0" w:line="20" w:lineRule="exact"/>
        <w:rPr>
          <w:rFonts w:ascii="Times New Roman" w:cs="Times New Roman" w:eastAsia="Times New Roman" w:hAnsi="Times New Roman"/>
          <w:sz w:val="13"/>
          <w:szCs w:val="13"/>
          <w:color w:val="008000"/>
        </w:rPr>
      </w:pPr>
    </w:p>
    <w:p>
      <w:pPr>
        <w:ind w:left="180" w:hanging="135"/>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at prices ranging from $10.85 to $10.95, inclusive.</w:t>
      </w:r>
    </w:p>
    <w:p>
      <w:pPr>
        <w:spacing w:after="0" w:line="48" w:lineRule="exact"/>
        <w:rPr>
          <w:rFonts w:ascii="Times New Roman" w:cs="Times New Roman" w:eastAsia="Times New Roman" w:hAnsi="Times New Roman"/>
          <w:sz w:val="13"/>
          <w:szCs w:val="13"/>
          <w:color w:val="008000"/>
        </w:rPr>
      </w:pPr>
    </w:p>
    <w:p>
      <w:pPr>
        <w:ind w:left="180" w:hanging="135"/>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27, 2023, the reporting person transferred 3,000 shares of USCB Class A Voting Common Stock to his ex-wife pursuant to a domestic relations order.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Robert Anderson by P.O.A.  </w:t>
      </w:r>
      <w:r>
        <w:rPr>
          <w:rFonts w:ascii="Times New Roman" w:cs="Times New Roman" w:eastAsia="Times New Roman" w:hAnsi="Times New Roman"/>
          <w:sz w:val="34"/>
          <w:szCs w:val="34"/>
          <w:color w:val="0000FF"/>
          <w:vertAlign w:val="subscript"/>
        </w:rPr>
        <w:t>03/12/2024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-27305</wp:posOffset>
            </wp:positionV>
            <wp:extent cx="132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Ramon Abadin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-18415</wp:posOffset>
            </wp:positionV>
            <wp:extent cx="815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5975"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-85090</wp:posOffset>
            </wp:positionV>
            <wp:extent cx="495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3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20" w:firstLine="5"/>
        <w:spacing w:after="0" w:line="317"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16995" TargetMode="External"/><Relationship Id="rId13"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2024-03-12T16:08:13Z</dcterms:created>
  <dcterms:modified xsi:type="dcterms:W3CDTF">2024-03-12T16:08:13Z</dcterms:modified>
</cp:coreProperties>
</file>