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8663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866394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Feinglass Howard</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2000 SALZEDO STREET, SUITE 1514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CORAL</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33134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GABLES</w:t>
            </w:r>
          </w:p>
        </w:tc>
        <w:tc>
          <w:tcPr>
            <w:tcW w:w="10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USCB FINANCIAL HOLDINGS, INC. </w:t>
              </w:r>
            </w:hyperlink>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33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4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334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2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3"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4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32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2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4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3" w:lineRule="exact"/>
        <w:rPr>
          <w:sz w:val="24"/>
          <w:szCs w:val="24"/>
          <w:color w:val="auto"/>
        </w:rPr>
      </w:pPr>
    </w:p>
    <w:p>
      <w:pPr>
        <w:sectPr>
          <w:pgSz w:w="11900" w:h="16838"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56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560" w:type="dxa"/>
            <w:vAlign w:val="bottom"/>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9"/>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0000FF"/>
              </w:rPr>
              <w:t>12/01/2025</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7,500</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right"/>
              <w:ind w:right="8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1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0000FF"/>
              </w:rPr>
              <w:t>13,814</w:t>
            </w: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Priam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0000FF"/>
              </w:rPr>
              <w:t>3,968,309</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 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line="272" w:lineRule="exact"/>
              <w:rPr>
                <w:sz w:val="20"/>
                <w:szCs w:val="20"/>
                <w:color w:val="auto"/>
              </w:rPr>
            </w:pPr>
            <w:r>
              <w:rPr>
                <w:rFonts w:ascii="Times New Roman" w:cs="Times New Roman" w:eastAsia="Times New Roman" w:hAnsi="Times New Roman"/>
                <w:sz w:val="31"/>
                <w:szCs w:val="31"/>
                <w:color w:val="0000FF"/>
                <w:vertAlign w:val="subscript"/>
              </w:rPr>
              <w:t>LP</w:t>
            </w:r>
            <w:r>
              <w:rPr>
                <w:rFonts w:ascii="Times New Roman" w:cs="Times New Roman" w:eastAsia="Times New Roman" w:hAnsi="Times New Roman"/>
                <w:sz w:val="10"/>
                <w:szCs w:val="10"/>
                <w:color w:val="008000"/>
              </w:rPr>
              <w:t>(1)</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Conversion</w:t>
            </w:r>
          </w:p>
        </w:tc>
        <w:tc>
          <w:tcPr>
            <w:tcW w:w="11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Purchase</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Class A</w:t>
            </w: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vMerge w:val="continue"/>
          </w:tcPr>
          <w:p>
            <w:pPr>
              <w:spacing w:after="0"/>
              <w:rPr>
                <w:sz w:val="5"/>
                <w:szCs w:val="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vMerge w:val="restart"/>
          </w:tcPr>
          <w:p>
            <w:pPr>
              <w:ind w:left="260"/>
              <w:spacing w:after="0" w:line="207"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1"/>
                <w:szCs w:val="11"/>
                <w:color w:val="008000"/>
              </w:rPr>
              <w:t>(2)</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4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7.5</w:t>
            </w:r>
          </w:p>
        </w:tc>
        <w:tc>
          <w:tcPr>
            <w:tcW w:w="1160" w:type="dxa"/>
            <w:vAlign w:val="bottom"/>
            <w:gridSpan w:val="2"/>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12/01/2025</w:t>
            </w:r>
          </w:p>
        </w:tc>
        <w:tc>
          <w:tcPr>
            <w:tcW w:w="1060" w:type="dxa"/>
            <w:vAlign w:val="bottom"/>
          </w:tcPr>
          <w:p>
            <w:pPr>
              <w:spacing w:after="0"/>
              <w:rPr>
                <w:sz w:val="6"/>
                <w:szCs w:val="6"/>
                <w:color w:val="auto"/>
              </w:rPr>
            </w:pPr>
          </w:p>
        </w:tc>
        <w:tc>
          <w:tcPr>
            <w:tcW w:w="800" w:type="dxa"/>
            <w:vAlign w:val="bottom"/>
            <w:gridSpan w:val="3"/>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7,500</w:t>
            </w:r>
          </w:p>
        </w:tc>
        <w:tc>
          <w:tcPr>
            <w:tcW w:w="80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03/01/2016</w:t>
            </w:r>
          </w:p>
        </w:tc>
        <w:tc>
          <w:tcPr>
            <w:tcW w:w="720" w:type="dxa"/>
            <w:vAlign w:val="bottom"/>
            <w:vMerge w:val="continue"/>
          </w:tcPr>
          <w:p>
            <w:pPr>
              <w:spacing w:after="0"/>
              <w:rPr>
                <w:sz w:val="6"/>
                <w:szCs w:val="6"/>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right"/>
              <w:ind w:righ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Voting</w:t>
            </w:r>
          </w:p>
        </w:tc>
        <w:tc>
          <w:tcPr>
            <w:tcW w:w="74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Purchase</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Class A</w:t>
            </w: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vMerge w:val="continue"/>
          </w:tcPr>
          <w:p>
            <w:pPr>
              <w:spacing w:after="0"/>
              <w:rPr>
                <w:sz w:val="5"/>
                <w:szCs w:val="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vMerge w:val="restart"/>
          </w:tcPr>
          <w:p>
            <w:pPr>
              <w:ind w:left="260"/>
              <w:spacing w:after="0" w:line="207"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1"/>
                <w:szCs w:val="11"/>
                <w:color w:val="008000"/>
              </w:rPr>
              <w:t>(2)</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40" w:type="dxa"/>
            <w:vAlign w:val="bottom"/>
            <w:vMerge w:val="restart"/>
          </w:tcPr>
          <w:p>
            <w:pPr>
              <w:jc w:val="center"/>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11.35</w:t>
            </w: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09/23/2019</w:t>
            </w:r>
          </w:p>
        </w:tc>
        <w:tc>
          <w:tcPr>
            <w:tcW w:w="720" w:type="dxa"/>
            <w:vAlign w:val="bottom"/>
            <w:vMerge w:val="continue"/>
          </w:tcPr>
          <w:p>
            <w:pPr>
              <w:spacing w:after="0"/>
              <w:rPr>
                <w:sz w:val="6"/>
                <w:szCs w:val="6"/>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right"/>
              <w:ind w:right="260"/>
              <w:spacing w:after="0" w:line="143" w:lineRule="exact"/>
              <w:rPr>
                <w:sz w:val="20"/>
                <w:szCs w:val="20"/>
                <w:color w:val="auto"/>
              </w:rPr>
            </w:pPr>
            <w:r>
              <w:rPr>
                <w:rFonts w:ascii="Times New Roman" w:cs="Times New Roman" w:eastAsia="Times New Roman" w:hAnsi="Times New Roman"/>
                <w:sz w:val="13"/>
                <w:szCs w:val="13"/>
                <w:color w:val="0000FF"/>
              </w:rPr>
              <w:t>4,000</w:t>
            </w: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Voting</w:t>
            </w: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6"/>
          </w:tcPr>
          <w:p>
            <w:pPr>
              <w:ind w:left="60"/>
              <w:spacing w:after="0" w:line="23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gridSpan w:val="4"/>
          </w:tcPr>
          <w:p>
            <w:pPr>
              <w:spacing w:after="0" w:line="22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Feinglass Howard</w:t>
              </w:r>
            </w:hyperlink>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00"/>
              <w:spacing w:after="0"/>
              <w:rPr>
                <w:sz w:val="20"/>
                <w:szCs w:val="20"/>
                <w:color w:val="auto"/>
              </w:rPr>
            </w:pPr>
            <w:r>
              <w:rPr>
                <w:rFonts w:ascii="Arial" w:cs="Arial" w:eastAsia="Arial" w:hAnsi="Arial"/>
                <w:sz w:val="13"/>
                <w:szCs w:val="13"/>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2000 SALZEDO STREET, SUITE 1514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CORAL GABLES</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FL</w:t>
            </w:r>
          </w:p>
        </w:tc>
        <w:tc>
          <w:tcPr>
            <w:tcW w:w="10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33134</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0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080"/>
          </w:cols>
          <w:pgMar w:left="460" w:top="216" w:right="359" w:bottom="0" w:gutter="0" w:footer="0" w:header="0"/>
          <w:type w:val="continuous"/>
        </w:sectPr>
      </w:pPr>
    </w:p>
    <w:p>
      <w:pPr>
        <w:ind w:left="120"/>
        <w:spacing w:after="0"/>
        <w:rPr>
          <w:rFonts w:ascii="Times New Roman" w:cs="Times New Roman" w:eastAsia="Times New Roman" w:hAnsi="Times New Roman"/>
          <w:sz w:val="20"/>
          <w:szCs w:val="20"/>
          <w:u w:val="single" w:color="auto"/>
          <w:color w:val="0000EE"/>
        </w:rPr>
      </w:pPr>
      <w:hyperlink r:id="rId15">
        <w:r>
          <w:rPr>
            <w:rFonts w:ascii="Times New Roman" w:cs="Times New Roman" w:eastAsia="Times New Roman" w:hAnsi="Times New Roman"/>
            <w:sz w:val="20"/>
            <w:szCs w:val="20"/>
            <w:u w:val="single" w:color="auto"/>
            <w:color w:val="0000EE"/>
          </w:rPr>
          <w:t>Priam Capital Fund II, L.P.</w:t>
        </w:r>
      </w:hyperlink>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32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9"/>
              </w:rPr>
              <w:t>2000 SALZEDO STREET, SUITE 1514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3"/>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7"/>
                <w:szCs w:val="17"/>
                <w:color w:val="0000FF"/>
              </w:rPr>
              <w:t>CORAL GABLES</w:t>
            </w: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FL</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33134</w:t>
            </w:r>
          </w:p>
        </w:tc>
        <w:tc>
          <w:tcPr>
            <w:tcW w:w="100" w:type="dxa"/>
            <w:vAlign w:val="bottom"/>
          </w:tcPr>
          <w:p>
            <w:pPr>
              <w:spacing w:after="0"/>
              <w:rPr>
                <w:sz w:val="19"/>
                <w:szCs w:val="19"/>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3"/>
          </w:tcPr>
          <w:p>
            <w:pPr>
              <w:spacing w:after="0" w:line="222"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Priam Capital Associates II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40" w:type="dxa"/>
            <w:vAlign w:val="bottom"/>
            <w:tcBorders>
              <w:top w:val="single" w:sz="8" w:color="0000EE"/>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32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9"/>
              </w:rPr>
              <w:t>2000 SALZEDO STREET, SUITE 1514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3"/>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7"/>
                <w:szCs w:val="17"/>
                <w:color w:val="0000FF"/>
              </w:rPr>
              <w:t>CORAL GABLES</w:t>
            </w: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FL</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33134</w:t>
            </w:r>
          </w:p>
        </w:tc>
        <w:tc>
          <w:tcPr>
            <w:tcW w:w="100" w:type="dxa"/>
            <w:vAlign w:val="bottom"/>
          </w:tcPr>
          <w:p>
            <w:pPr>
              <w:spacing w:after="0"/>
              <w:rPr>
                <w:sz w:val="19"/>
                <w:szCs w:val="19"/>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2807335" cy="2811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7335" cy="28111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20" w:firstLine="3"/>
        <w:spacing w:after="0" w:line="237"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Priam Capital Fund II, L.P. ("Priam Capital II") directly holds the indicated number of shares of the Issuer's Class A Voting Common Stock. Priam Capital Associates II LLC ("Priam Capital Associates") is the general partner of Priam Capital II. Howard P. Feinglass is the managing member of Priam Capital Associates. By virtue of such relationships, Priam Capital Associates and Mr. Feinglass may be deemed to have voting and dispositive power over securities held by Priam Capital II and, as a result, may be deemed to have beneficial ownership of such securities. Priam Capital Associates and Mr. Feinglass disclaim beneficial ownership of the reported securities, except to the extent of their respective pecuniary interest therein, and this report shall not be deemed an admission that they are beneficial owners of such securities for the purposes of Section 16.</w:t>
      </w:r>
    </w:p>
    <w:p>
      <w:pPr>
        <w:spacing w:after="0" w:line="28" w:lineRule="exact"/>
        <w:rPr>
          <w:rFonts w:ascii="Times New Roman" w:cs="Times New Roman" w:eastAsia="Times New Roman" w:hAnsi="Times New Roman"/>
          <w:sz w:val="13"/>
          <w:szCs w:val="13"/>
          <w:color w:val="008000"/>
        </w:rPr>
      </w:pPr>
    </w:p>
    <w:p>
      <w:pPr>
        <w:ind w:left="20" w:right="20" w:firstLine="3"/>
        <w:spacing w:after="0" w:line="25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were previously granted to Mr. Feinglass as a director of the Issuer. Each option to purchase Class A Voting Common Stock remains exercisable until the earlier of (a) ten (10) years after its date of grant or (b) three (3) months after the date Mr. Feinglass ceases to serve as a non-employee of the Issuer.</w:t>
      </w:r>
    </w:p>
    <w:p>
      <w:pPr>
        <w:sectPr>
          <w:pgSz w:w="11900" w:h="16838" w:orient="portrait"/>
          <w:cols w:equalWidth="0" w:num="1">
            <w:col w:w="10900"/>
          </w:cols>
          <w:pgMar w:left="480" w:top="283" w:right="519" w:bottom="1440" w:gutter="0" w:footer="0" w:header="0"/>
        </w:sectPr>
      </w:pPr>
    </w:p>
    <w:p>
      <w:pPr>
        <w:spacing w:after="0" w:line="4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Robert Anderson by P.O.A.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-8255</wp:posOffset>
            </wp:positionV>
            <wp:extent cx="13087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for Howard P. Feinglass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031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31240" cy="8255"/>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Priam Capital Associates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-8255</wp:posOffset>
            </wp:positionV>
            <wp:extent cx="1305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LLC Robert Anderson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0998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P.O.A. for Howard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909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9093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Feinglass,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0401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0401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member of Priam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0877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Associates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813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813435" cy="8255"/>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Priam Capital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-8255</wp:posOffset>
            </wp:positionV>
            <wp:extent cx="12877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Robert Anderson by P.O.A.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-7620</wp:posOffset>
            </wp:positionV>
            <wp:extent cx="13322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Howard P. Feinglass,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0642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managing member of Priam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2007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Capital Associates II,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-7620</wp:posOffset>
            </wp:positionV>
            <wp:extent cx="13354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general partner of Priam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0458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Capital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8763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876300" cy="8255"/>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0"/>
          <w:szCs w:val="20"/>
          <w:color w:val="auto"/>
        </w:rPr>
      </w:pPr>
    </w:p>
    <w:p>
      <w:pPr>
        <w:sectPr>
          <w:pgSz w:w="11900" w:h="16838" w:orient="portrait"/>
          <w:cols w:equalWidth="0" w:num="2">
            <w:col w:w="8680" w:space="100"/>
            <w:col w:w="2120"/>
          </w:cols>
          <w:pgMar w:left="480" w:top="283" w:right="5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20" w:right="3380" w:firstLine="3"/>
        <w:spacing w:after="0" w:line="339"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283"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13" Type="http://schemas.openxmlformats.org/officeDocument/2006/relationships/hyperlink" Target="http://www.sec.gov/cgi-bin/browse-edgar?action=getcompany&amp;CIK=0001732866" TargetMode="External"/><Relationship Id="rId14" Type="http://schemas.openxmlformats.org/officeDocument/2006/relationships/hyperlink" Target="http://www.sec.gov/cgi-bin/browse-edgar?action=getcompany&amp;CIK=0001901637" TargetMode="External"/><Relationship Id="rId15" Type="http://schemas.openxmlformats.org/officeDocument/2006/relationships/hyperlink" Target="http://www.sec.gov/cgi-bin/browse-edgar?action=getcompany&amp;CIK=0001874961" TargetMode="External"/><Relationship Id="rId16" Type="http://schemas.openxmlformats.org/officeDocument/2006/relationships/hyperlink" Target="http://www.sec.gov/cgi-bin/browse-edgar?action=getcompany&amp;CIK=00018751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2025-12-02T11:21:16Z</dcterms:created>
  <dcterms:modified xsi:type="dcterms:W3CDTF">2025-12-02T11:21:16Z</dcterms:modified>
</cp:coreProperties>
</file>