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COLLAZO ANDRES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Operations &amp; 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8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948 shares of restricted stock from a grant of 2,846 shares which commenced vesting at a rate of one-third per year on January 22, 2025, 10,000 shares of restricted stock from a grant of 15,000 shares which commenced vesting at a rate of one-third per year on October 28, 2025, 4,042 shares of restricted stock from a grant of 6,064 shares which commenced vesting at a rate of one-third per year commencing on January 21, 2026 and 6,123 shares of restricted stock which vest at a rate of one-third per year commencing on January 27, 2027.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Andres Collazo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17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6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2026-06-08T14:45:41Z</dcterms:created>
  <dcterms:modified xsi:type="dcterms:W3CDTF">2026-06-08T14:45:41Z</dcterms:modified>
</cp:coreProperties>
</file>