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4"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March 31, 2024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2" w:lineRule="exact"/>
        <w:rPr>
          <w:sz w:val="24"/>
          <w:szCs w:val="24"/>
          <w:color w:val="auto"/>
        </w:rPr>
      </w:pPr>
    </w:p>
    <w:p>
      <w:pPr>
        <w:ind w:left="1600" w:hanging="542"/>
        <w:spacing w:after="0"/>
        <w:tabs>
          <w:tab w:leader="none" w:pos="16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49"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9" w:right="1440" w:bottom="1440" w:gutter="0" w:footer="0" w:header="0"/>
        </w:sectPr>
      </w:pPr>
    </w:p>
    <w:p>
      <w:pPr>
        <w:spacing w:after="0" w:line="244"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6" w:lineRule="exact"/>
        <w:rPr>
          <w:sz w:val="24"/>
          <w:szCs w:val="24"/>
          <w:color w:val="auto"/>
        </w:rPr>
      </w:pPr>
    </w:p>
    <w:p>
      <w:pPr>
        <w:sectPr>
          <w:pgSz w:w="11900" w:h="16838" w:orient="portrait"/>
          <w:cols w:equalWidth="0" w:num="2">
            <w:col w:w="6020" w:space="720"/>
            <w:col w:w="2279"/>
          </w:cols>
          <w:pgMar w:left="1440" w:top="799"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1"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106" w:lineRule="exact"/>
        <w:rPr>
          <w:sz w:val="24"/>
          <w:szCs w:val="24"/>
          <w:color w:val="auto"/>
        </w:rPr>
      </w:pPr>
    </w:p>
    <w:p>
      <w:pPr>
        <w:sectPr>
          <w:pgSz w:w="11900" w:h="16838" w:orient="portrait"/>
          <w:cols w:equalWidth="0" w:num="2">
            <w:col w:w="5860" w:space="720"/>
            <w:col w:w="2439"/>
          </w:cols>
          <w:pgMar w:left="1440" w:top="79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Doral, FL 33172</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(305) 715-5200</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60"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2"/>
                <w:szCs w:val="12"/>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91"/>
        </w:trPr>
        <w:tc>
          <w:tcPr>
            <w:tcW w:w="3060" w:type="dxa"/>
            <w:vAlign w:val="bottom"/>
            <w:gridSpan w:val="3"/>
          </w:tcPr>
          <w:p>
            <w:pPr>
              <w:jc w:val="center"/>
              <w:ind w:right="22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59" w:lineRule="exact"/>
        <w:rPr>
          <w:sz w:val="24"/>
          <w:szCs w:val="24"/>
          <w:color w:val="auto"/>
        </w:rPr>
      </w:pPr>
    </w:p>
    <w:p>
      <w:pPr>
        <w:jc w:val="both"/>
        <w:ind w:left="660" w:right="659"/>
        <w:spacing w:after="0" w:line="159"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2" w:lineRule="exact"/>
        <w:rPr>
          <w:sz w:val="24"/>
          <w:szCs w:val="24"/>
          <w:color w:val="auto"/>
        </w:rPr>
      </w:pPr>
    </w:p>
    <w:p>
      <w:pPr>
        <w:jc w:val="both"/>
        <w:ind w:left="660" w:right="679"/>
        <w:spacing w:after="0" w:line="267"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1"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2" w:lineRule="exact"/>
        <w:rPr>
          <w:sz w:val="24"/>
          <w:szCs w:val="24"/>
          <w:color w:val="auto"/>
        </w:rPr>
      </w:pPr>
    </w:p>
    <w:p>
      <w:pPr>
        <w:jc w:val="both"/>
        <w:ind w:left="660" w:right="659"/>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11" w:lineRule="exact"/>
        <w:rPr>
          <w:sz w:val="24"/>
          <w:szCs w:val="24"/>
          <w:color w:val="auto"/>
        </w:rPr>
      </w:pPr>
    </w:p>
    <w:p>
      <w:pPr>
        <w:ind w:left="660"/>
        <w:spacing w:after="0" w:line="150" w:lineRule="exact"/>
        <w:tabs>
          <w:tab w:leader="none" w:pos="22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2" w:lineRule="exact"/>
        <w:rPr>
          <w:sz w:val="24"/>
          <w:szCs w:val="24"/>
          <w:color w:val="auto"/>
        </w:rPr>
      </w:pPr>
    </w:p>
    <w:p>
      <w:pPr>
        <w:jc w:val="both"/>
        <w:ind w:left="660" w:right="659"/>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4"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April 30, 2024 the registrant had 19,655,632 of Class A common stock outstanding.</w:t>
      </w:r>
    </w:p>
    <w:p>
      <w:pPr>
        <w:sectPr>
          <w:pgSz w:w="11900" w:h="16838" w:orient="portrait"/>
          <w:cols w:equalWidth="0" w:num="1">
            <w:col w:w="9019"/>
          </w:cols>
          <w:pgMar w:left="1440" w:top="799"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FORM 10-Q</w:t>
      </w:r>
    </w:p>
    <w:p>
      <w:pPr>
        <w:spacing w:after="0" w:line="13"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March 31, 2024</w:t>
      </w:r>
    </w:p>
    <w:p>
      <w:pPr>
        <w:spacing w:after="0" w:line="156"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color w:val="0000FF"/>
                <w:w w:val="85"/>
              </w:rPr>
              <w:t>PART I</w:t>
            </w:r>
          </w:p>
        </w:tc>
        <w:tc>
          <w:tcPr>
            <w:tcW w:w="1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5"/>
          </w:tcPr>
          <w:p>
            <w:pPr>
              <w:spacing w:after="0"/>
              <w:rPr>
                <w:sz w:val="20"/>
                <w:szCs w:val="20"/>
                <w:color w:val="auto"/>
              </w:rPr>
            </w:pPr>
            <w:r>
              <w:rPr>
                <w:rFonts w:ascii="Arial" w:cs="Arial" w:eastAsia="Arial" w:hAnsi="Arial"/>
                <w:sz w:val="13"/>
                <w:szCs w:val="13"/>
                <w:color w:val="0000FF"/>
                <w:w w:val="97"/>
              </w:rPr>
              <w:t>Financial Statements</w:t>
            </w:r>
          </w:p>
        </w:tc>
        <w:tc>
          <w:tcPr>
            <w:tcW w:w="5320" w:type="dxa"/>
            <w:vAlign w:val="bottom"/>
            <w:gridSpan w:val="13"/>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rPr>
              <w:t>Consolidated Balance Sheets as of March 31, 2024 (Unaudited) and December 31, 2023</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0" w:type="dxa"/>
            <w:vAlign w:val="bottom"/>
            <w:gridSpan w:val="14"/>
          </w:tcPr>
          <w:p>
            <w:pPr>
              <w:spacing w:after="0" w:line="129" w:lineRule="exact"/>
              <w:rPr>
                <w:sz w:val="20"/>
                <w:szCs w:val="20"/>
                <w:color w:val="auto"/>
              </w:rPr>
            </w:pPr>
            <w:r>
              <w:rPr>
                <w:rFonts w:ascii="Arial" w:cs="Arial" w:eastAsia="Arial" w:hAnsi="Arial"/>
                <w:sz w:val="13"/>
                <w:szCs w:val="13"/>
                <w:color w:val="0000FF"/>
                <w:w w:val="98"/>
              </w:rPr>
              <w:t>Consolidated Statements of Operations for the three months ended March 31, 2024 and 2023 (Unaudited)</w:t>
            </w:r>
          </w:p>
        </w:tc>
        <w:tc>
          <w:tcPr>
            <w:tcW w:w="200" w:type="dxa"/>
            <w:vAlign w:val="bottom"/>
            <w:gridSpan w:val="3"/>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w w:val="99"/>
              </w:rPr>
              <w:t>Consolidated Statements of Comprehensive Income (Loss) for the three months ended March 31, 2024 and</w:t>
            </w: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100" w:type="dxa"/>
            <w:vAlign w:val="bottom"/>
            <w:tcBorders>
              <w:top w:val="single" w:sz="8" w:color="0000FF"/>
            </w:tcBorders>
            <w:gridSpan w:val="16"/>
          </w:tcPr>
          <w:p>
            <w:pPr>
              <w:spacing w:after="0" w:line="119" w:lineRule="exact"/>
              <w:rPr>
                <w:sz w:val="20"/>
                <w:szCs w:val="20"/>
                <w:color w:val="auto"/>
              </w:rPr>
            </w:pPr>
            <w:r>
              <w:rPr>
                <w:rFonts w:ascii="Arial" w:cs="Arial" w:eastAsia="Arial" w:hAnsi="Arial"/>
                <w:sz w:val="13"/>
                <w:szCs w:val="13"/>
                <w:color w:val="0000FF"/>
              </w:rPr>
              <w:t>2023 (Unaudited)</w:t>
            </w: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tcBorders>
              <w:bottom w:val="single" w:sz="8" w:color="0000FF"/>
            </w:tcBorders>
            <w:gridSpan w:val="17"/>
          </w:tcPr>
          <w:p>
            <w:pPr>
              <w:spacing w:after="0" w:line="129" w:lineRule="exact"/>
              <w:rPr>
                <w:sz w:val="20"/>
                <w:szCs w:val="20"/>
                <w:color w:val="auto"/>
              </w:rPr>
            </w:pPr>
            <w:r>
              <w:rPr>
                <w:rFonts w:ascii="Arial" w:cs="Arial" w:eastAsia="Arial" w:hAnsi="Arial"/>
                <w:sz w:val="13"/>
                <w:szCs w:val="13"/>
                <w:color w:val="0000FF"/>
                <w:w w:val="98"/>
              </w:rPr>
              <w:t>Consolidated Statements of Changes in Stockholders’ Equity for the three months ended March 31, 2024 and</w:t>
            </w: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rPr>
              <w:t>2023 (Unaudited)</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7"/>
          </w:tcPr>
          <w:p>
            <w:pPr>
              <w:spacing w:after="0" w:line="129" w:lineRule="exact"/>
              <w:rPr>
                <w:sz w:val="20"/>
                <w:szCs w:val="20"/>
                <w:color w:val="auto"/>
              </w:rPr>
            </w:pPr>
            <w:r>
              <w:rPr>
                <w:rFonts w:ascii="Arial" w:cs="Arial" w:eastAsia="Arial" w:hAnsi="Arial"/>
                <w:sz w:val="13"/>
                <w:szCs w:val="13"/>
                <w:color w:val="0000FF"/>
              </w:rPr>
              <w:t>Consolidated Statements of Cash Flows for the three months ended March 31, 2024 and 2023 (Unaudited)</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2.</w:t>
            </w:r>
          </w:p>
        </w:tc>
        <w:tc>
          <w:tcPr>
            <w:tcW w:w="160" w:type="dxa"/>
            <w:vAlign w:val="bottom"/>
            <w:gridSpan w:val="3"/>
            <w:vMerge w:val="restart"/>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40" w:type="dxa"/>
            <w:vAlign w:val="bottom"/>
            <w:gridSpan w:val="15"/>
          </w:tcPr>
          <w:p>
            <w:pPr>
              <w:spacing w:after="0" w:line="129" w:lineRule="exact"/>
              <w:rPr>
                <w:sz w:val="20"/>
                <w:szCs w:val="20"/>
                <w:color w:val="auto"/>
              </w:rPr>
            </w:pPr>
            <w:r>
              <w:rPr>
                <w:rFonts w:ascii="Arial" w:cs="Arial" w:eastAsia="Arial" w:hAnsi="Arial"/>
                <w:sz w:val="13"/>
                <w:szCs w:val="13"/>
                <w:color w:val="0000FF"/>
              </w:rPr>
              <w:t>Notes to the Consolidated Financial Statements (Unaudited)</w:t>
            </w:r>
          </w:p>
        </w:tc>
        <w:tc>
          <w:tcPr>
            <w:tcW w:w="160" w:type="dxa"/>
            <w:vAlign w:val="bottom"/>
            <w:gridSpan w:val="2"/>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w w:val="97"/>
              </w:rPr>
              <w:t>Results of Operations</w:t>
            </w:r>
          </w:p>
        </w:tc>
        <w:tc>
          <w:tcPr>
            <w:tcW w:w="1480" w:type="dxa"/>
            <w:vAlign w:val="bottom"/>
            <w:gridSpan w:val="5"/>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Borders>
              <w:bottom w:val="single" w:sz="8" w:color="0000FF"/>
            </w:tcBorders>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720" w:type="dxa"/>
            <w:vAlign w:val="bottom"/>
            <w:tcBorders>
              <w:bottom w:val="single" w:sz="8" w:color="0000FF"/>
            </w:tcBorders>
            <w:gridSpan w:val="12"/>
          </w:tcPr>
          <w:p>
            <w:pPr>
              <w:spacing w:after="0" w:line="119" w:lineRule="exact"/>
              <w:rPr>
                <w:sz w:val="20"/>
                <w:szCs w:val="20"/>
                <w:color w:val="auto"/>
              </w:rPr>
            </w:pPr>
            <w:r>
              <w:rPr>
                <w:rFonts w:ascii="Arial" w:cs="Arial" w:eastAsia="Arial" w:hAnsi="Arial"/>
                <w:sz w:val="13"/>
                <w:szCs w:val="13"/>
                <w:color w:val="0000FF"/>
                <w:w w:val="96"/>
              </w:rPr>
              <w:t>Management's Discussion and Analysis of Financial Condition and</w:t>
            </w:r>
          </w:p>
        </w:tc>
        <w:tc>
          <w:tcPr>
            <w:tcW w:w="1320" w:type="dxa"/>
            <w:vAlign w:val="bottom"/>
            <w:tcBorders>
              <w:bottom w:val="single" w:sz="8" w:color="0000FF"/>
            </w:tcBorders>
            <w:vMerge w:val="continue"/>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tcBorders>
              <w:bottom w:val="single" w:sz="8" w:color="0000FF"/>
            </w:tcBorders>
            <w:gridSpan w:val="10"/>
          </w:tcPr>
          <w:p>
            <w:pPr>
              <w:spacing w:after="0" w:line="12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3160" w:type="dxa"/>
            <w:vAlign w:val="bottom"/>
            <w:gridSpan w:val="8"/>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5100" w:type="dxa"/>
            <w:vAlign w:val="bottom"/>
            <w:gridSpan w:val="10"/>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2"/>
              </w:rPr>
              <w:t>PART II</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6520" w:type="dxa"/>
            <w:vAlign w:val="bottom"/>
            <w:gridSpan w:val="18"/>
          </w:tcPr>
          <w:p>
            <w:pPr>
              <w:spacing w:after="0"/>
              <w:rPr>
                <w:sz w:val="20"/>
                <w:szCs w:val="20"/>
                <w:color w:val="auto"/>
              </w:rPr>
            </w:pPr>
            <w:r>
              <w:rPr>
                <w:rFonts w:ascii="Arial" w:cs="Arial" w:eastAsia="Arial" w:hAnsi="Arial"/>
                <w:sz w:val="13"/>
                <w:szCs w:val="13"/>
                <w:color w:val="0000FF"/>
              </w:rPr>
              <w:t>Legal Proceedings</w:t>
            </w: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0000FF"/>
              </w:rPr>
              <w:t>50</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4"/>
              </w:rPr>
              <w:t>Item 1A.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Risk Factors</w:t>
            </w:r>
          </w:p>
        </w:tc>
        <w:tc>
          <w:tcPr>
            <w:tcW w:w="5800" w:type="dxa"/>
            <w:vAlign w:val="bottom"/>
            <w:gridSpan w:val="16"/>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bottom w:val="single" w:sz="8" w:color="0000FF"/>
            </w:tcBorders>
            <w:gridSpan w:val="11"/>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306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0000FF"/>
            </w:tcBorders>
          </w:tcPr>
          <w:p>
            <w:pPr>
              <w:jc w:val="right"/>
              <w:spacing w:after="0" w:line="140"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Borders>
              <w:bottom w:val="single" w:sz="8" w:color="0000FF"/>
            </w:tcBorders>
            <w:gridSpan w:val="9"/>
          </w:tcPr>
          <w:p>
            <w:pPr>
              <w:spacing w:after="0" w:line="129" w:lineRule="exact"/>
              <w:rPr>
                <w:sz w:val="20"/>
                <w:szCs w:val="20"/>
                <w:color w:val="auto"/>
              </w:rPr>
            </w:pPr>
            <w:r>
              <w:rPr>
                <w:rFonts w:ascii="Arial" w:cs="Arial" w:eastAsia="Arial" w:hAnsi="Arial"/>
                <w:sz w:val="13"/>
                <w:szCs w:val="13"/>
                <w:color w:val="0000FF"/>
                <w:w w:val="97"/>
              </w:rPr>
              <w:t>Defaults Upon Senior Securities</w:t>
            </w:r>
          </w:p>
        </w:tc>
        <w:tc>
          <w:tcPr>
            <w:tcW w:w="4700" w:type="dxa"/>
            <w:vAlign w:val="bottom"/>
            <w:gridSpan w:val="9"/>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60" w:type="dxa"/>
            <w:vAlign w:val="bottom"/>
            <w:gridSpan w:val="4"/>
          </w:tcPr>
          <w:p>
            <w:pPr>
              <w:spacing w:after="0" w:line="129" w:lineRule="exact"/>
              <w:rPr>
                <w:sz w:val="20"/>
                <w:szCs w:val="20"/>
                <w:color w:val="auto"/>
              </w:rPr>
            </w:pPr>
            <w:r>
              <w:rPr>
                <w:rFonts w:ascii="Arial" w:cs="Arial" w:eastAsia="Arial" w:hAnsi="Arial"/>
                <w:sz w:val="13"/>
                <w:szCs w:val="13"/>
                <w:color w:val="0000FF"/>
              </w:rPr>
              <w:t>Item 4.</w:t>
            </w:r>
          </w:p>
        </w:tc>
        <w:tc>
          <w:tcPr>
            <w:tcW w:w="6600" w:type="dxa"/>
            <w:vAlign w:val="bottom"/>
            <w:gridSpan w:val="19"/>
          </w:tcPr>
          <w:p>
            <w:pPr>
              <w:ind w:left="80"/>
              <w:spacing w:after="0" w:line="129" w:lineRule="exact"/>
              <w:rPr>
                <w:sz w:val="20"/>
                <w:szCs w:val="20"/>
                <w:color w:val="auto"/>
              </w:rPr>
            </w:pPr>
            <w:r>
              <w:rPr>
                <w:rFonts w:ascii="Arial" w:cs="Arial" w:eastAsia="Arial" w:hAnsi="Arial"/>
                <w:sz w:val="13"/>
                <w:szCs w:val="13"/>
                <w:color w:val="0000FF"/>
              </w:rPr>
              <w:t>Mine Safety Disclosures</w:t>
            </w:r>
          </w:p>
        </w:tc>
        <w:tc>
          <w:tcPr>
            <w:tcW w:w="54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51</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5.</w:t>
            </w: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top w:val="single" w:sz="8" w:color="0000FF"/>
              <w:bottom w:val="single" w:sz="8" w:color="0000FF"/>
            </w:tcBorders>
            <w:gridSpan w:val="4"/>
          </w:tcPr>
          <w:p>
            <w:pPr>
              <w:spacing w:after="0" w:line="119" w:lineRule="exact"/>
              <w:rPr>
                <w:sz w:val="20"/>
                <w:szCs w:val="20"/>
                <w:color w:val="auto"/>
              </w:rPr>
            </w:pPr>
            <w:r>
              <w:rPr>
                <w:rFonts w:ascii="Arial" w:cs="Arial" w:eastAsia="Arial" w:hAnsi="Arial"/>
                <w:sz w:val="13"/>
                <w:szCs w:val="13"/>
                <w:color w:val="0000FF"/>
              </w:rPr>
              <w:t>Other Information</w:t>
            </w:r>
          </w:p>
        </w:tc>
        <w:tc>
          <w:tcPr>
            <w:tcW w:w="320" w:type="dxa"/>
            <w:vAlign w:val="bottom"/>
            <w:tcBorders>
              <w:top w:val="single" w:sz="8" w:color="0000FF"/>
            </w:tcBorders>
            <w:gridSpan w:val="3"/>
          </w:tcPr>
          <w:p>
            <w:pPr>
              <w:spacing w:after="0"/>
              <w:rPr>
                <w:sz w:val="10"/>
                <w:szCs w:val="10"/>
                <w:color w:val="auto"/>
              </w:rPr>
            </w:pPr>
          </w:p>
        </w:tc>
        <w:tc>
          <w:tcPr>
            <w:tcW w:w="5140" w:type="dxa"/>
            <w:vAlign w:val="bottom"/>
            <w:gridSpan w:val="11"/>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780" w:type="dxa"/>
            <w:vAlign w:val="bottom"/>
            <w:gridSpan w:val="15"/>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8"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PART I</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Item 1. Financial Statements</w:t>
      </w:r>
    </w:p>
    <w:p>
      <w:pPr>
        <w:jc w:val="center"/>
        <w:ind w:right="19"/>
        <w:spacing w:after="0"/>
        <w:rPr>
          <w:sz w:val="20"/>
          <w:szCs w:val="20"/>
          <w:color w:val="auto"/>
        </w:rPr>
      </w:pPr>
      <w:r>
        <w:rPr>
          <w:rFonts w:ascii="Arial" w:cs="Arial" w:eastAsia="Arial" w:hAnsi="Arial"/>
          <w:sz w:val="14"/>
          <w:szCs w:val="14"/>
          <w:color w:val="auto"/>
        </w:rPr>
        <w:t>USCB FINANCIAL HOLDINGS, INC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27"/>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43"/>
              <w:spacing w:after="0"/>
              <w:rPr>
                <w:sz w:val="20"/>
                <w:szCs w:val="20"/>
                <w:color w:val="auto"/>
              </w:rPr>
            </w:pPr>
            <w:r>
              <w:rPr>
                <w:rFonts w:ascii="Arial" w:cs="Arial" w:eastAsia="Arial" w:hAnsi="Arial"/>
                <w:sz w:val="11"/>
                <w:szCs w:val="11"/>
                <w:b w:val="1"/>
                <w:bCs w:val="1"/>
                <w:color w:val="auto"/>
              </w:rPr>
              <w:t>March 31, 2024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December 31, 2023</w:t>
            </w: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9,601</w:t>
            </w: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8,019</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116,945</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33,043</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126,546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41,062</w:t>
            </w:r>
          </w:p>
        </w:tc>
        <w:tc>
          <w:tcPr>
            <w:tcW w:w="20" w:type="dxa"/>
            <w:vAlign w:val="bottom"/>
          </w:tcPr>
          <w:p>
            <w:pPr>
              <w:spacing w:after="0"/>
              <w:rPr>
                <w:sz w:val="13"/>
                <w:szCs w:val="13"/>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of $12 and $8, respectively (fair value $152,156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and $155,510, respectively)</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173,038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174,974</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259,992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229,329</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5,532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10,153</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$21,454 and $21,084, respectively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1,799,742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1,759,743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11,579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10,688</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4,787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4,836</w:t>
            </w:r>
          </w:p>
        </w:tc>
        <w:tc>
          <w:tcPr>
            <w:tcW w:w="20" w:type="dxa"/>
            <w:vAlign w:val="bottom"/>
          </w:tcPr>
          <w:p>
            <w:pPr>
              <w:spacing w:after="0"/>
              <w:rPr>
                <w:sz w:val="14"/>
                <w:szCs w:val="14"/>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52,192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36,249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37,282</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10,680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8,805</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7,822</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2,489,142</w:t>
            </w:r>
          </w:p>
        </w:tc>
        <w:tc>
          <w:tcPr>
            <w:tcW w:w="6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576,626</w:t>
            </w:r>
          </w:p>
        </w:tc>
        <w:tc>
          <w:tcPr>
            <w:tcW w:w="6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552,762</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1,141,422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1,048,272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57,839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47,702</w:t>
            </w:r>
          </w:p>
        </w:tc>
        <w:tc>
          <w:tcPr>
            <w:tcW w:w="20" w:type="dxa"/>
            <w:vAlign w:val="bottom"/>
            <w:shd w:val="clear" w:color="auto" w:fill="CCEEFF"/>
          </w:tcPr>
          <w:p>
            <w:pPr>
              <w:spacing w:after="0"/>
              <w:rPr>
                <w:sz w:val="13"/>
                <w:szCs w:val="13"/>
                <w:color w:val="auto"/>
              </w:rPr>
            </w:pPr>
          </w:p>
        </w:tc>
      </w:tr>
      <w:tr>
        <w:trPr>
          <w:trHeight w:val="180"/>
        </w:trPr>
        <w:tc>
          <w:tcPr>
            <w:tcW w:w="5240" w:type="dxa"/>
            <w:vAlign w:val="bottom"/>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326,907</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288,403</w:t>
            </w:r>
          </w:p>
        </w:tc>
        <w:tc>
          <w:tcPr>
            <w:tcW w:w="20" w:type="dxa"/>
            <w:vAlign w:val="bottom"/>
          </w:tcPr>
          <w:p>
            <w:pPr>
              <w:spacing w:after="0"/>
              <w:rPr>
                <w:sz w:val="15"/>
                <w:szCs w:val="15"/>
                <w:color w:val="auto"/>
              </w:rPr>
            </w:pPr>
          </w:p>
        </w:tc>
      </w:tr>
      <w:tr>
        <w:trPr>
          <w:trHeight w:val="141"/>
        </w:trPr>
        <w:tc>
          <w:tcPr>
            <w:tcW w:w="5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2,102,794</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1,937,139</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 and other borrowings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162,000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183,000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20" w:type="dxa"/>
            <w:vAlign w:val="bottom"/>
            <w:shd w:val="clear" w:color="auto" w:fill="CCEEFF"/>
          </w:tcPr>
          <w:p>
            <w:pPr>
              <w:spacing w:after="0"/>
              <w:rPr>
                <w:sz w:val="13"/>
                <w:szCs w:val="13"/>
                <w:color w:val="auto"/>
              </w:rPr>
            </w:pPr>
          </w:p>
        </w:tc>
      </w:tr>
      <w:tr>
        <w:trPr>
          <w:trHeight w:val="180"/>
        </w:trPr>
        <w:tc>
          <w:tcPr>
            <w:tcW w:w="5240" w:type="dxa"/>
            <w:vAlign w:val="bottom"/>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18,657</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15,563</w:t>
            </w:r>
          </w:p>
        </w:tc>
        <w:tc>
          <w:tcPr>
            <w:tcW w:w="20" w:type="dxa"/>
            <w:vAlign w:val="bottom"/>
          </w:tcPr>
          <w:p>
            <w:pPr>
              <w:spacing w:after="0"/>
              <w:rPr>
                <w:sz w:val="15"/>
                <w:szCs w:val="15"/>
                <w:color w:val="auto"/>
              </w:rPr>
            </w:pPr>
          </w:p>
        </w:tc>
      </w:tr>
      <w:tr>
        <w:trPr>
          <w:trHeight w:val="14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2,294,131</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2,147,125</w:t>
            </w:r>
          </w:p>
        </w:tc>
        <w:tc>
          <w:tcPr>
            <w:tcW w:w="20" w:type="dxa"/>
            <w:vAlign w:val="bottom"/>
            <w:shd w:val="clear" w:color="auto" w:fill="CCEEFF"/>
          </w:tcPr>
          <w:p>
            <w:pPr>
              <w:spacing w:after="0"/>
              <w:rPr>
                <w:sz w:val="12"/>
                <w:szCs w:val="12"/>
                <w:color w:val="auto"/>
              </w:rPr>
            </w:pPr>
          </w:p>
        </w:tc>
      </w:tr>
      <w:tr>
        <w:trPr>
          <w:trHeight w:val="96"/>
        </w:trPr>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85"/>
        </w:trPr>
        <w:tc>
          <w:tcPr>
            <w:tcW w:w="5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81"/>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March 31, 2024 and December 31, 2023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33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March 31, 2024 and December 31, 2023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313"/>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March 31, 2024 and December 31, 2023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352"/>
        </w:trPr>
        <w:tc>
          <w:tcPr>
            <w:tcW w:w="5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19,650,463 issued and</w:t>
            </w: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March 31, 2024, 19,575,435 issued and outstanding as of December 31, 2023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19,650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19,575</w:t>
            </w:r>
          </w:p>
        </w:tc>
        <w:tc>
          <w:tcPr>
            <w:tcW w:w="20" w:type="dxa"/>
            <w:vAlign w:val="bottom"/>
            <w:shd w:val="clear" w:color="auto" w:fill="CCEEFF"/>
          </w:tcPr>
          <w:p>
            <w:pPr>
              <w:spacing w:after="0"/>
              <w:rPr>
                <w:sz w:val="11"/>
                <w:szCs w:val="1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outstanding as of March 31, 2024 and December 31, 2023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305,740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305,212</w:t>
            </w:r>
          </w:p>
        </w:tc>
        <w:tc>
          <w:tcPr>
            <w:tcW w:w="20" w:type="dxa"/>
            <w:vAlign w:val="bottom"/>
            <w:shd w:val="clear" w:color="auto" w:fill="CCEEFF"/>
          </w:tcPr>
          <w:p>
            <w:pPr>
              <w:spacing w:after="0"/>
              <w:rPr>
                <w:sz w:val="14"/>
                <w:szCs w:val="14"/>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(84,952)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1"/>
                <w:szCs w:val="11"/>
                <w:color w:val="auto"/>
              </w:rPr>
              <w:t>(88,548)</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(45,427)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(44,271)</w:t>
            </w:r>
          </w:p>
        </w:tc>
      </w:tr>
      <w:tr>
        <w:trPr>
          <w:trHeight w:val="15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195,011</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191,968</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2,489,142</w:t>
            </w:r>
          </w:p>
        </w:tc>
        <w:tc>
          <w:tcPr>
            <w:tcW w:w="6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6"/>
          </w:tcPr>
          <w:p>
            <w:pPr>
              <w:jc w:val="right"/>
              <w:ind w:right="100"/>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51"/>
        </w:trPr>
        <w:tc>
          <w:tcPr>
            <w:tcW w:w="53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26,643</w:t>
            </w: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19,711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1,433</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30,887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22,379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10,394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1,672</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15,729</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6,382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40" w:type="dxa"/>
            <w:vAlign w:val="bottom"/>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15,158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15,997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40" w:type="dxa"/>
            <w:vAlign w:val="bottom"/>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14,748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15,796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gain on sale of securities available for sale,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71"/>
        </w:trPr>
        <w:tc>
          <w:tcPr>
            <w:tcW w:w="534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746</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40" w:type="dxa"/>
            <w:vAlign w:val="bottom"/>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6,310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6,377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2,018</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11,174</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7,690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4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5,809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basic</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0.23</w:t>
            </w:r>
          </w:p>
        </w:tc>
        <w:tc>
          <w:tcPr>
            <w:tcW w:w="4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200"/>
              <w:spacing w:after="0"/>
              <w:rPr>
                <w:sz w:val="20"/>
                <w:szCs w:val="20"/>
                <w:color w:val="auto"/>
              </w:rPr>
            </w:pPr>
            <w:r>
              <w:rPr>
                <w:rFonts w:ascii="Arial" w:cs="Arial" w:eastAsia="Arial" w:hAnsi="Arial"/>
                <w:sz w:val="11"/>
                <w:szCs w:val="11"/>
                <w:color w:val="auto"/>
              </w:rPr>
              <w:t>Net income per share, diluted</w:t>
            </w: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0.23</w:t>
            </w: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0.29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dividend declared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4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tcPr>
          <w:p>
            <w:pPr>
              <w:jc w:val="right"/>
              <w:ind w:right="100"/>
              <w:spacing w:after="0"/>
              <w:rPr>
                <w:sz w:val="20"/>
                <w:szCs w:val="20"/>
                <w:color w:val="auto"/>
              </w:rPr>
            </w:pPr>
            <w:r>
              <w:rPr>
                <w:rFonts w:ascii="Arial" w:cs="Arial" w:eastAsia="Arial" w:hAnsi="Arial"/>
                <w:sz w:val="11"/>
                <w:szCs w:val="11"/>
                <w:b w:val="1"/>
                <w:bCs w:val="1"/>
                <w:color w:val="auto"/>
              </w:rPr>
              <w:t>Three Months Ended March 31,</w:t>
            </w:r>
          </w:p>
        </w:tc>
      </w:tr>
      <w:tr>
        <w:trPr>
          <w:trHeight w:val="140"/>
        </w:trPr>
        <w:tc>
          <w:tcPr>
            <w:tcW w:w="57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2"/>
                <w:szCs w:val="12"/>
                <w:color w:val="auto"/>
              </w:rPr>
            </w:pPr>
          </w:p>
        </w:tc>
      </w:tr>
      <w:tr>
        <w:trPr>
          <w:trHeight w:val="151"/>
        </w:trPr>
        <w:tc>
          <w:tcPr>
            <w:tcW w:w="57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5,809</w:t>
            </w:r>
          </w:p>
        </w:tc>
        <w:tc>
          <w:tcPr>
            <w:tcW w:w="20" w:type="dxa"/>
            <w:vAlign w:val="bottom"/>
            <w:shd w:val="clear" w:color="auto" w:fill="CCEEFF"/>
          </w:tcPr>
          <w:p>
            <w:pPr>
              <w:spacing w:after="0"/>
              <w:rPr>
                <w:sz w:val="13"/>
                <w:szCs w:val="13"/>
                <w:color w:val="auto"/>
              </w:rPr>
            </w:pPr>
          </w:p>
        </w:tc>
      </w:tr>
      <w:tr>
        <w:trPr>
          <w:trHeight w:val="171"/>
        </w:trPr>
        <w:tc>
          <w:tcPr>
            <w:tcW w:w="576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57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Unrealized gain (loss) on investment securities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3,637</w:t>
            </w:r>
          </w:p>
        </w:tc>
        <w:tc>
          <w:tcPr>
            <w:tcW w:w="20" w:type="dxa"/>
            <w:vAlign w:val="bottom"/>
            <w:shd w:val="clear" w:color="auto" w:fill="CCEEFF"/>
          </w:tcPr>
          <w:p>
            <w:pPr>
              <w:spacing w:after="0"/>
              <w:rPr>
                <w:sz w:val="13"/>
                <w:szCs w:val="13"/>
                <w:color w:val="auto"/>
              </w:rPr>
            </w:pPr>
          </w:p>
        </w:tc>
      </w:tr>
      <w:tr>
        <w:trPr>
          <w:trHeight w:val="160"/>
        </w:trPr>
        <w:tc>
          <w:tcPr>
            <w:tcW w:w="5760" w:type="dxa"/>
            <w:vAlign w:val="bottom"/>
          </w:tcPr>
          <w:p>
            <w:pPr>
              <w:ind w:left="100"/>
              <w:spacing w:after="0"/>
              <w:rPr>
                <w:sz w:val="20"/>
                <w:szCs w:val="20"/>
                <w:color w:val="auto"/>
              </w:rPr>
            </w:pPr>
            <w:r>
              <w:rPr>
                <w:rFonts w:ascii="Arial" w:cs="Arial" w:eastAsia="Arial" w:hAnsi="Arial"/>
                <w:sz w:val="11"/>
                <w:szCs w:val="11"/>
                <w:color w:val="auto"/>
              </w:rPr>
              <w:t>Amortization of net unrealized gain (loss) on securitiestransferred from available-for-sale to held-to-maturity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(60)</w:t>
            </w:r>
          </w:p>
        </w:tc>
      </w:tr>
      <w:tr>
        <w:trPr>
          <w:trHeight w:val="160"/>
        </w:trPr>
        <w:tc>
          <w:tcPr>
            <w:tcW w:w="57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(gain) loss included in net income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3"/>
                <w:szCs w:val="13"/>
                <w:color w:val="auto"/>
              </w:rPr>
            </w:pPr>
          </w:p>
        </w:tc>
      </w:tr>
      <w:tr>
        <w:trPr>
          <w:trHeight w:val="160"/>
        </w:trPr>
        <w:tc>
          <w:tcPr>
            <w:tcW w:w="5760" w:type="dxa"/>
            <w:vAlign w:val="bottom"/>
          </w:tcPr>
          <w:p>
            <w:pPr>
              <w:ind w:left="100"/>
              <w:spacing w:after="0"/>
              <w:rPr>
                <w:sz w:val="20"/>
                <w:szCs w:val="20"/>
                <w:color w:val="auto"/>
              </w:rPr>
            </w:pPr>
            <w:r>
              <w:rPr>
                <w:rFonts w:ascii="Arial" w:cs="Arial" w:eastAsia="Arial" w:hAnsi="Arial"/>
                <w:sz w:val="11"/>
                <w:szCs w:val="11"/>
                <w:color w:val="auto"/>
              </w:rPr>
              <w:t>Unrealized gain on cash flow hedge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519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7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Tax effect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(912)</w:t>
            </w:r>
          </w:p>
        </w:tc>
      </w:tr>
      <w:tr>
        <w:trPr>
          <w:trHeight w:val="171"/>
        </w:trPr>
        <w:tc>
          <w:tcPr>
            <w:tcW w:w="5760" w:type="dxa"/>
            <w:vAlign w:val="bottom"/>
            <w:tcBorders>
              <w:top w:val="single" w:sz="8" w:color="CCEEFF"/>
            </w:tcBorders>
          </w:tcPr>
          <w:p>
            <w:pPr>
              <w:spacing w:after="0"/>
              <w:rPr>
                <w:sz w:val="20"/>
                <w:szCs w:val="20"/>
                <w:color w:val="auto"/>
              </w:rPr>
            </w:pPr>
            <w:r>
              <w:rPr>
                <w:rFonts w:ascii="Arial" w:cs="Arial" w:eastAsia="Arial" w:hAnsi="Arial"/>
                <w:sz w:val="11"/>
                <w:szCs w:val="11"/>
                <w:color w:val="auto"/>
              </w:rPr>
              <w:t>Total other comprehensive income (loss), net of tax</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(1,156)</w:t>
            </w: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2,686</w:t>
            </w:r>
          </w:p>
        </w:tc>
        <w:tc>
          <w:tcPr>
            <w:tcW w:w="20" w:type="dxa"/>
            <w:vAlign w:val="bottom"/>
            <w:tcBorders>
              <w:top w:val="single" w:sz="8" w:color="CCEEFF"/>
            </w:tcBorders>
          </w:tcPr>
          <w:p>
            <w:pPr>
              <w:spacing w:after="0"/>
              <w:rPr>
                <w:sz w:val="14"/>
                <w:szCs w:val="14"/>
                <w:color w:val="auto"/>
              </w:rPr>
            </w:pPr>
          </w:p>
        </w:tc>
      </w:tr>
      <w:tr>
        <w:trPr>
          <w:trHeight w:val="141"/>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comprehensive income</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3,456</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8,495</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(Dollars 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6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w w:val="96"/>
              </w:rPr>
              <w:t>Common Stock</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1"/>
        </w:trPr>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96"/>
              </w:rPr>
              <w:t>Additional Paid-in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6"/>
              </w:rPr>
              <w:t>Accumulated Other</w:t>
            </w:r>
          </w:p>
        </w:tc>
        <w:tc>
          <w:tcPr>
            <w:tcW w:w="120" w:type="dxa"/>
            <w:vAlign w:val="bottom"/>
          </w:tcPr>
          <w:p>
            <w:pPr>
              <w:spacing w:after="0"/>
              <w:rPr>
                <w:sz w:val="13"/>
                <w:szCs w:val="13"/>
                <w:color w:val="auto"/>
              </w:rPr>
            </w:pPr>
          </w:p>
        </w:tc>
        <w:tc>
          <w:tcPr>
            <w:tcW w:w="92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r>
      <w:tr>
        <w:trPr>
          <w:trHeight w:val="128"/>
        </w:trPr>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Capital on Common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11"/>
                <w:szCs w:val="11"/>
                <w:color w:val="auto"/>
              </w:rPr>
            </w:pPr>
          </w:p>
        </w:tc>
        <w:tc>
          <w:tcPr>
            <w:tcW w:w="920" w:type="dxa"/>
            <w:vAlign w:val="bottom"/>
          </w:tcPr>
          <w:p>
            <w:pPr>
              <w:jc w:val="center"/>
              <w:ind w:right="66"/>
              <w:spacing w:after="0"/>
              <w:rPr>
                <w:sz w:val="20"/>
                <w:szCs w:val="20"/>
                <w:color w:val="auto"/>
              </w:rPr>
            </w:pPr>
            <w:r>
              <w:rPr>
                <w:rFonts w:ascii="Arial" w:cs="Arial" w:eastAsia="Arial" w:hAnsi="Arial"/>
                <w:sz w:val="11"/>
                <w:szCs w:val="11"/>
                <w:b w:val="1"/>
                <w:bCs w:val="1"/>
                <w:color w:val="auto"/>
                <w:w w:val="99"/>
              </w:rPr>
              <w:t>Stockholders'</w:t>
            </w:r>
          </w:p>
        </w:tc>
      </w:tr>
      <w:tr>
        <w:trPr>
          <w:trHeight w:val="129"/>
        </w:trPr>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96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Stock</w:t>
            </w:r>
          </w:p>
        </w:tc>
        <w:tc>
          <w:tcPr>
            <w:tcW w:w="1100" w:type="dxa"/>
            <w:vAlign w:val="bottom"/>
            <w:gridSpan w:val="4"/>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0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1"/>
                <w:szCs w:val="11"/>
                <w:color w:val="auto"/>
              </w:rPr>
            </w:pPr>
          </w:p>
        </w:tc>
        <w:tc>
          <w:tcPr>
            <w:tcW w:w="920" w:type="dxa"/>
            <w:vAlign w:val="bottom"/>
          </w:tcPr>
          <w:p>
            <w:pPr>
              <w:jc w:val="center"/>
              <w:ind w:right="86"/>
              <w:spacing w:after="0"/>
              <w:rPr>
                <w:sz w:val="20"/>
                <w:szCs w:val="20"/>
                <w:color w:val="auto"/>
              </w:rPr>
            </w:pPr>
            <w:r>
              <w:rPr>
                <w:rFonts w:ascii="Arial" w:cs="Arial" w:eastAsia="Arial" w:hAnsi="Arial"/>
                <w:sz w:val="11"/>
                <w:szCs w:val="11"/>
                <w:b w:val="1"/>
                <w:bCs w:val="1"/>
                <w:color w:val="auto"/>
              </w:rPr>
              <w:t>Equity</w:t>
            </w:r>
          </w:p>
        </w:tc>
      </w:tr>
      <w:tr>
        <w:trPr>
          <w:trHeight w:val="119"/>
        </w:trPr>
        <w:tc>
          <w:tcPr>
            <w:tcW w:w="3840" w:type="dxa"/>
            <w:vAlign w:val="bottom"/>
            <w:tcBorders>
              <w:top w:val="single" w:sz="8" w:color="CCEEFF"/>
            </w:tcBorders>
            <w:gridSpan w:val="2"/>
            <w:shd w:val="clear" w:color="auto" w:fill="CCEEFF"/>
          </w:tcPr>
          <w:p>
            <w:pPr>
              <w:spacing w:after="0" w:line="119" w:lineRule="exact"/>
              <w:rPr>
                <w:sz w:val="20"/>
                <w:szCs w:val="20"/>
                <w:color w:val="auto"/>
              </w:rPr>
            </w:pPr>
            <w:r>
              <w:rPr>
                <w:rFonts w:ascii="Arial" w:cs="Arial" w:eastAsia="Arial" w:hAnsi="Arial"/>
                <w:sz w:val="11"/>
                <w:szCs w:val="11"/>
                <w:color w:val="auto"/>
              </w:rPr>
              <w:t>Balance at December 31, 2023</w:t>
            </w:r>
          </w:p>
        </w:tc>
        <w:tc>
          <w:tcPr>
            <w:tcW w:w="9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19,575,435</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center"/>
              <w:ind w:right="2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19,575</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305,212</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9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(88,548)</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(44,271)</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191,968</w:t>
            </w:r>
          </w:p>
        </w:tc>
      </w:tr>
      <w:tr>
        <w:trPr>
          <w:trHeight w:val="160"/>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4,612</w:t>
            </w:r>
          </w:p>
        </w:tc>
      </w:tr>
      <w:tr>
        <w:trPr>
          <w:trHeight w:val="160"/>
        </w:trPr>
        <w:tc>
          <w:tcPr>
            <w:tcW w:w="10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w:t>
            </w:r>
          </w:p>
        </w:tc>
      </w:tr>
      <w:tr>
        <w:trPr>
          <w:trHeight w:val="139"/>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Repurchase of Class A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(7,100)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(79)</w:t>
            </w:r>
          </w:p>
        </w:tc>
      </w:tr>
      <w:tr>
        <w:trPr>
          <w:trHeight w:val="14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Restricted stock issued</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52,753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Restricted stock forfeiture</w:t>
            </w:r>
          </w:p>
        </w:tc>
        <w:tc>
          <w:tcPr>
            <w:tcW w:w="920" w:type="dxa"/>
            <w:vAlign w:val="bottom"/>
          </w:tcPr>
          <w:p>
            <w:pPr>
              <w:jc w:val="right"/>
              <w:spacing w:after="0"/>
              <w:rPr>
                <w:sz w:val="20"/>
                <w:szCs w:val="20"/>
                <w:color w:val="auto"/>
              </w:rPr>
            </w:pPr>
            <w:r>
              <w:rPr>
                <w:rFonts w:ascii="Arial" w:cs="Arial" w:eastAsia="Arial" w:hAnsi="Arial"/>
                <w:sz w:val="11"/>
                <w:szCs w:val="11"/>
                <w:color w:val="auto"/>
              </w:rPr>
              <w:t>(8,625)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w:t>
            </w:r>
          </w:p>
        </w:tc>
      </w:tr>
      <w:tr>
        <w:trPr>
          <w:trHeight w:val="139"/>
        </w:trPr>
        <w:tc>
          <w:tcPr>
            <w:tcW w:w="10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Arial" w:cs="Arial" w:eastAsia="Arial" w:hAnsi="Arial"/>
                <w:sz w:val="11"/>
                <w:szCs w:val="11"/>
                <w:color w:val="auto"/>
              </w:rPr>
              <w:t>Dividend payment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(1,016)</w:t>
            </w:r>
          </w:p>
        </w:tc>
      </w:tr>
      <w:tr>
        <w:trPr>
          <w:trHeight w:val="128"/>
        </w:trPr>
        <w:tc>
          <w:tcPr>
            <w:tcW w:w="100" w:type="dxa"/>
            <w:vAlign w:val="bottom"/>
            <w:shd w:val="clear" w:color="auto" w:fill="CCEEFF"/>
          </w:tcPr>
          <w:p>
            <w:pPr>
              <w:spacing w:after="0"/>
              <w:rPr>
                <w:sz w:val="11"/>
                <w:szCs w:val="1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w:t>
            </w:r>
          </w:p>
        </w:tc>
      </w:tr>
      <w:tr>
        <w:trPr>
          <w:trHeight w:val="159"/>
        </w:trPr>
        <w:tc>
          <w:tcPr>
            <w:tcW w:w="100" w:type="dxa"/>
            <w:vAlign w:val="bottom"/>
            <w:tcBorders>
              <w:bottom w:val="single" w:sz="8" w:color="CCEEFF"/>
            </w:tcBorders>
          </w:tcPr>
          <w:p>
            <w:pPr>
              <w:spacing w:after="0"/>
              <w:rPr>
                <w:sz w:val="13"/>
                <w:szCs w:val="13"/>
                <w:color w:val="auto"/>
              </w:rPr>
            </w:pPr>
          </w:p>
        </w:tc>
        <w:tc>
          <w:tcPr>
            <w:tcW w:w="374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Balance at March 31, 2024</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19,650,463</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center"/>
              <w:ind w:right="2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19,650</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305,740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(84,952)</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(45,427)</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195,011</w:t>
            </w:r>
          </w:p>
        </w:tc>
      </w:tr>
      <w:tr>
        <w:trPr>
          <w:trHeight w:val="79"/>
        </w:trPr>
        <w:tc>
          <w:tcPr>
            <w:tcW w:w="3840" w:type="dxa"/>
            <w:vAlign w:val="bottom"/>
            <w:gridSpan w:val="2"/>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139"/>
        </w:trPr>
        <w:tc>
          <w:tcPr>
            <w:tcW w:w="3840" w:type="dxa"/>
            <w:vAlign w:val="bottom"/>
            <w:gridSpan w:val="2"/>
          </w:tcPr>
          <w:p>
            <w:pPr>
              <w:spacing w:after="0"/>
              <w:rPr>
                <w:sz w:val="20"/>
                <w:szCs w:val="20"/>
                <w:color w:val="auto"/>
              </w:rPr>
            </w:pPr>
            <w:r>
              <w:rPr>
                <w:rFonts w:ascii="Arial" w:cs="Arial" w:eastAsia="Arial" w:hAnsi="Arial"/>
                <w:sz w:val="11"/>
                <w:szCs w:val="11"/>
                <w:color w:val="auto"/>
              </w:rPr>
              <w:t>Balance at December 31, 2022</w:t>
            </w:r>
          </w:p>
        </w:tc>
        <w:tc>
          <w:tcPr>
            <w:tcW w:w="920" w:type="dxa"/>
            <w:vAlign w:val="bottom"/>
          </w:tcPr>
          <w:p>
            <w:pPr>
              <w:jc w:val="right"/>
              <w:spacing w:after="0"/>
              <w:rPr>
                <w:sz w:val="20"/>
                <w:szCs w:val="20"/>
                <w:color w:val="auto"/>
              </w:rPr>
            </w:pPr>
            <w:r>
              <w:rPr>
                <w:rFonts w:ascii="Arial" w:cs="Arial" w:eastAsia="Arial" w:hAnsi="Arial"/>
                <w:sz w:val="11"/>
                <w:szCs w:val="11"/>
                <w:color w:val="auto"/>
              </w:rPr>
              <w:t>20,000,753</w:t>
            </w:r>
          </w:p>
        </w:tc>
        <w:tc>
          <w:tcPr>
            <w:tcW w:w="40" w:type="dxa"/>
            <w:vAlign w:val="bottom"/>
          </w:tcPr>
          <w:p>
            <w:pPr>
              <w:spacing w:after="0"/>
              <w:rPr>
                <w:sz w:val="12"/>
                <w:szCs w:val="12"/>
                <w:color w:val="auto"/>
              </w:rPr>
            </w:pPr>
          </w:p>
        </w:tc>
        <w:tc>
          <w:tcPr>
            <w:tcW w:w="140" w:type="dxa"/>
            <w:vAlign w:val="bottom"/>
          </w:tcPr>
          <w:p>
            <w:pPr>
              <w:jc w:val="center"/>
              <w:ind w:right="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20,001</w:t>
            </w:r>
          </w:p>
        </w:tc>
        <w:tc>
          <w:tcPr>
            <w:tcW w:w="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tcPr>
          <w:p>
            <w:pPr>
              <w:spacing w:after="0"/>
              <w:rPr>
                <w:sz w:val="12"/>
                <w:szCs w:val="12"/>
                <w:color w:val="auto"/>
              </w:rPr>
            </w:pPr>
          </w:p>
        </w:tc>
        <w:tc>
          <w:tcPr>
            <w:tcW w:w="1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(104,104)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(44,751)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182,428</w:t>
            </w:r>
          </w:p>
        </w:tc>
      </w:tr>
      <w:tr>
        <w:trPr>
          <w:trHeight w:val="160"/>
        </w:trPr>
        <w:tc>
          <w:tcPr>
            <w:tcW w:w="10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Cumulative effect of adoption of accounting principlerelated to ASC 326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(1,325)</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(1,325)</w:t>
            </w:r>
          </w:p>
        </w:tc>
      </w:tr>
      <w:tr>
        <w:trPr>
          <w:trHeight w:val="151"/>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Adjusted beginning balance after cumulativeeffect adjustment</w:t>
            </w:r>
          </w:p>
        </w:tc>
        <w:tc>
          <w:tcPr>
            <w:tcW w:w="920" w:type="dxa"/>
            <w:vAlign w:val="bottom"/>
          </w:tcPr>
          <w:p>
            <w:pPr>
              <w:jc w:val="right"/>
              <w:spacing w:after="0"/>
              <w:rPr>
                <w:sz w:val="20"/>
                <w:szCs w:val="20"/>
                <w:color w:val="auto"/>
              </w:rPr>
            </w:pPr>
            <w:r>
              <w:rPr>
                <w:rFonts w:ascii="Arial" w:cs="Arial" w:eastAsia="Arial" w:hAnsi="Arial"/>
                <w:sz w:val="11"/>
                <w:szCs w:val="11"/>
                <w:color w:val="auto"/>
              </w:rPr>
              <w:t>20,000,753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20,001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(105,429)</w:t>
            </w:r>
          </w:p>
        </w:tc>
        <w:tc>
          <w:tcPr>
            <w:tcW w:w="10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(44,751)</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181,103</w:t>
            </w: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5,809</w:t>
            </w:r>
          </w:p>
        </w:tc>
      </w:tr>
      <w:tr>
        <w:trPr>
          <w:trHeight w:val="139"/>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2,686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2,686</w:t>
            </w: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Repurchase of Class A common stock</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(500)</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(5,367)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(5,867)</w:t>
            </w:r>
          </w:p>
        </w:tc>
      </w:tr>
      <w:tr>
        <w:trPr>
          <w:trHeight w:val="160"/>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Restricted stock issued</w:t>
            </w:r>
          </w:p>
        </w:tc>
        <w:tc>
          <w:tcPr>
            <w:tcW w:w="920" w:type="dxa"/>
            <w:vAlign w:val="bottom"/>
          </w:tcPr>
          <w:p>
            <w:pPr>
              <w:jc w:val="right"/>
              <w:spacing w:after="0"/>
              <w:rPr>
                <w:sz w:val="20"/>
                <w:szCs w:val="20"/>
                <w:color w:val="auto"/>
              </w:rPr>
            </w:pPr>
            <w:r>
              <w:rPr>
                <w:rFonts w:ascii="Arial" w:cs="Arial" w:eastAsia="Arial" w:hAnsi="Arial"/>
                <w:sz w:val="11"/>
                <w:szCs w:val="11"/>
                <w:color w:val="auto"/>
              </w:rPr>
              <w:t>121,627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1"/>
                <w:szCs w:val="11"/>
                <w:color w:val="auto"/>
              </w:rPr>
              <w:t>(121)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10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w:t>
            </w:r>
          </w:p>
        </w:tc>
      </w:tr>
      <w:tr>
        <w:trPr>
          <w:trHeight w:val="119"/>
        </w:trPr>
        <w:tc>
          <w:tcPr>
            <w:tcW w:w="3840" w:type="dxa"/>
            <w:vAlign w:val="bottom"/>
            <w:gridSpan w:val="2"/>
          </w:tcPr>
          <w:p>
            <w:pPr>
              <w:spacing w:after="0" w:line="119" w:lineRule="exact"/>
              <w:rPr>
                <w:sz w:val="20"/>
                <w:szCs w:val="20"/>
                <w:color w:val="auto"/>
              </w:rPr>
            </w:pPr>
            <w:r>
              <w:rPr>
                <w:rFonts w:ascii="Arial" w:cs="Arial" w:eastAsia="Arial" w:hAnsi="Arial"/>
                <w:sz w:val="11"/>
                <w:szCs w:val="11"/>
                <w:color w:val="auto"/>
              </w:rPr>
              <w:t>Balance at March 31, 2023</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19,622,380</w:t>
            </w:r>
          </w:p>
        </w:tc>
        <w:tc>
          <w:tcPr>
            <w:tcW w:w="40" w:type="dxa"/>
            <w:vAlign w:val="bottom"/>
          </w:tcPr>
          <w:p>
            <w:pPr>
              <w:spacing w:after="0"/>
              <w:rPr>
                <w:sz w:val="10"/>
                <w:szCs w:val="10"/>
                <w:color w:val="auto"/>
              </w:rPr>
            </w:pPr>
          </w:p>
        </w:tc>
        <w:tc>
          <w:tcPr>
            <w:tcW w:w="140" w:type="dxa"/>
            <w:vAlign w:val="bottom"/>
            <w:tcBorders>
              <w:bottom w:val="single" w:sz="8" w:color="auto"/>
            </w:tcBorders>
          </w:tcPr>
          <w:p>
            <w:pPr>
              <w:jc w:val="center"/>
              <w:ind w:right="2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19,622</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305,921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(99,620)</w:t>
            </w:r>
          </w:p>
        </w:tc>
        <w:tc>
          <w:tcPr>
            <w:tcW w:w="4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(42,065)</w:t>
            </w:r>
          </w:p>
        </w:tc>
        <w:tc>
          <w:tcPr>
            <w:tcW w:w="60" w:type="dxa"/>
            <w:vAlign w:val="bottom"/>
          </w:tcPr>
          <w:p>
            <w:pPr>
              <w:spacing w:after="0"/>
              <w:rPr>
                <w:sz w:val="10"/>
                <w:szCs w:val="10"/>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183,858</w:t>
            </w:r>
          </w:p>
        </w:tc>
      </w:tr>
      <w:tr>
        <w:trPr>
          <w:trHeight w:val="20"/>
        </w:trPr>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9"/>
        </w:trPr>
        <w:tc>
          <w:tcPr>
            <w:tcW w:w="10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10200"/>
          </w:cols>
          <w:pgMar w:left="900" w:top="477" w:right="79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9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3"/>
          </w:tcPr>
          <w:p>
            <w:pPr>
              <w:jc w:val="right"/>
              <w:spacing w:after="0" w:line="119" w:lineRule="exact"/>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gridSpan w:val="3"/>
          </w:tcPr>
          <w:p>
            <w:pPr>
              <w:jc w:val="right"/>
              <w:ind w:right="60"/>
              <w:spacing w:after="0" w:line="119" w:lineRule="exact"/>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gridSpan w:val="4"/>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4,612</w:t>
            </w:r>
          </w:p>
        </w:tc>
        <w:tc>
          <w:tcPr>
            <w:tcW w:w="20" w:type="dxa"/>
            <w:vAlign w:val="bottom"/>
          </w:tcPr>
          <w:p>
            <w:pPr>
              <w:spacing w:after="0"/>
              <w:rPr>
                <w:sz w:val="12"/>
                <w:szCs w:val="12"/>
                <w:color w:val="auto"/>
              </w:rPr>
            </w:pP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Adjustments to reconcile net incometo net cash provided by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410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(Accretion) amortization of premiums on securities,net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(135)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Accretion of deferred loan fees,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360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(gain) on sale of available for sale securities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Gain on sale of loans held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Increase in cash surrender value of bank ownedlife insurance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1"/>
                <w:szCs w:val="11"/>
                <w:color w:val="auto"/>
              </w:rPr>
              <w:t>Decrease in deferred tax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1,424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change in operating assets and 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Accrued interest receivable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(891)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(670)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140" w:type="dxa"/>
            <w:vAlign w:val="bottom"/>
            <w:tcBorders>
              <w:bottom w:val="single" w:sz="8" w:color="CCEEFF"/>
            </w:tcBorders>
            <w:gridSpan w:val="3"/>
          </w:tcPr>
          <w:p>
            <w:pPr>
              <w:ind w:left="100"/>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3,051</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940" w:type="dxa"/>
            <w:vAlign w:val="bottom"/>
            <w:shd w:val="clear" w:color="auto" w:fill="CCEEFF"/>
          </w:tcPr>
          <w:p>
            <w:pPr>
              <w:ind w:left="80"/>
              <w:spacing w:after="0" w:line="119" w:lineRule="exact"/>
              <w:rPr>
                <w:sz w:val="20"/>
                <w:szCs w:val="20"/>
                <w:color w:val="auto"/>
              </w:rPr>
            </w:pPr>
            <w:r>
              <w:rPr>
                <w:rFonts w:ascii="Arial" w:cs="Arial" w:eastAsia="Arial" w:hAnsi="Arial"/>
                <w:sz w:val="11"/>
                <w:szCs w:val="11"/>
                <w:color w:val="auto"/>
              </w:rPr>
              <w:t>Net cash provided by operating activities</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8,026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9,001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80" w:type="dxa"/>
            <w:vAlign w:val="bottom"/>
            <w:gridSpan w:val="3"/>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1,987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 of investment securities availablefor 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(36,927)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(7,667)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4,278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Proceeds from sales of investment securitiesavailable for 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8,617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spacing w:after="0"/>
              <w:rPr>
                <w:sz w:val="20"/>
                <w:szCs w:val="20"/>
                <w:color w:val="auto"/>
              </w:rPr>
            </w:pPr>
            <w:r>
              <w:rPr>
                <w:rFonts w:ascii="Arial" w:cs="Arial" w:eastAsia="Arial" w:hAnsi="Arial"/>
                <w:sz w:val="11"/>
                <w:szCs w:val="11"/>
                <w:color w:val="auto"/>
              </w:rPr>
              <w:t>Net increase in loans held for investment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(15,830)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(77,413)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 of loans held for investment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(25,249)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Additions to premises and equipment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Proceeds from the sale of loans held for 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spacing w:after="0"/>
              <w:rPr>
                <w:sz w:val="20"/>
                <w:szCs w:val="20"/>
                <w:color w:val="auto"/>
              </w:rPr>
            </w:pPr>
            <w:r>
              <w:rPr>
                <w:rFonts w:ascii="Arial" w:cs="Arial" w:eastAsia="Arial" w:hAnsi="Arial"/>
                <w:sz w:val="11"/>
                <w:szCs w:val="11"/>
                <w:color w:val="auto"/>
              </w:rPr>
              <w:t>Proceeds from the redemption of FederalHome Loan Bank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4,798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3,570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 of Federal Home Loan Bank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(6,831)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40" w:type="dxa"/>
            <w:vAlign w:val="bottom"/>
            <w:gridSpan w:val="2"/>
          </w:tcPr>
          <w:p>
            <w:pPr>
              <w:ind w:left="100"/>
              <w:spacing w:after="0" w:line="119" w:lineRule="exact"/>
              <w:rPr>
                <w:sz w:val="20"/>
                <w:szCs w:val="20"/>
                <w:color w:val="auto"/>
              </w:rPr>
            </w:pPr>
            <w:r>
              <w:rPr>
                <w:rFonts w:ascii="Arial" w:cs="Arial" w:eastAsia="Arial" w:hAnsi="Arial"/>
                <w:sz w:val="11"/>
                <w:szCs w:val="11"/>
                <w:color w:val="auto"/>
              </w:rPr>
              <w:t>Net cash used in investment activities</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(66,424)</w:t>
            </w: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w w:val="97"/>
              </w:rPr>
              <w:t>(69,232)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80" w:type="dxa"/>
            <w:vAlign w:val="bottom"/>
            <w:gridSpan w:val="3"/>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4"/>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Proceeds from issuance of Class A commonstock,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spacing w:after="0"/>
              <w:rPr>
                <w:sz w:val="20"/>
                <w:szCs w:val="20"/>
                <w:color w:val="auto"/>
              </w:rPr>
            </w:pPr>
            <w:r>
              <w:rPr>
                <w:rFonts w:ascii="Arial" w:cs="Arial" w:eastAsia="Arial" w:hAnsi="Arial"/>
                <w:sz w:val="11"/>
                <w:szCs w:val="11"/>
                <w:color w:val="auto"/>
              </w:rPr>
              <w:t>Cash dividends paid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Repurchase of Class A common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(5,867)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Net increase in deposits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165,655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Proceeds from other borrowings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158,000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3"/>
          </w:tcPr>
          <w:p>
            <w:pPr>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w w:val="89"/>
              </w:rPr>
              <w:t>(101,000)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(84,000)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94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1"/>
                <w:szCs w:val="11"/>
                <w:color w:val="auto"/>
              </w:rPr>
              <w:t>Net cash provided by financing activities</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right w:val="single" w:sz="8" w:color="CCEEFF"/>
            </w:tcBorders>
            <w:shd w:val="clear" w:color="auto" w:fill="CCEEFF"/>
          </w:tcPr>
          <w:p>
            <w:pPr>
              <w:jc w:val="right"/>
              <w:ind w:right="6"/>
              <w:spacing w:after="0" w:line="117" w:lineRule="exact"/>
              <w:rPr>
                <w:sz w:val="20"/>
                <w:szCs w:val="20"/>
                <w:color w:val="auto"/>
              </w:rPr>
            </w:pPr>
            <w:r>
              <w:rPr>
                <w:rFonts w:ascii="Arial" w:cs="Arial" w:eastAsia="Arial" w:hAnsi="Arial"/>
                <w:sz w:val="11"/>
                <w:szCs w:val="11"/>
                <w:color w:val="auto"/>
              </w:rPr>
              <w:t>143,882</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69,314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24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Net increase in cash and cash equivalents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85,484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40" w:type="dxa"/>
            <w:vAlign w:val="bottom"/>
            <w:gridSpan w:val="5"/>
          </w:tcPr>
          <w:p>
            <w:pPr>
              <w:spacing w:after="0"/>
              <w:rPr>
                <w:sz w:val="20"/>
                <w:szCs w:val="20"/>
                <w:color w:val="auto"/>
              </w:rPr>
            </w:pPr>
            <w:r>
              <w:rPr>
                <w:rFonts w:ascii="Arial" w:cs="Arial" w:eastAsia="Arial" w:hAnsi="Arial"/>
                <w:sz w:val="11"/>
                <w:szCs w:val="11"/>
                <w:color w:val="auto"/>
              </w:rPr>
              <w:t>Cash and cash equivalents at beginningof period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41,062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54,168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Borders>
              <w:top w:val="single" w:sz="8" w:color="CCEEFF"/>
            </w:tcBorders>
            <w:gridSpan w:val="4"/>
            <w:shd w:val="clear" w:color="auto" w:fill="CCEEFF"/>
          </w:tcPr>
          <w:p>
            <w:pPr>
              <w:spacing w:after="0" w:line="119" w:lineRule="exact"/>
              <w:rPr>
                <w:sz w:val="20"/>
                <w:szCs w:val="20"/>
                <w:color w:val="auto"/>
              </w:rPr>
            </w:pPr>
            <w:r>
              <w:rPr>
                <w:rFonts w:ascii="Arial" w:cs="Arial" w:eastAsia="Arial" w:hAnsi="Arial"/>
                <w:sz w:val="11"/>
                <w:szCs w:val="11"/>
                <w:color w:val="auto"/>
              </w:rPr>
              <w:t>Cash and cash equivalents at end of period</w:t>
            </w: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right w:val="single" w:sz="8" w:color="CCEEFF"/>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126,546</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63,251</w:t>
            </w:r>
          </w:p>
        </w:tc>
        <w:tc>
          <w:tcPr>
            <w:tcW w:w="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vMerge w:val="restart"/>
          </w:tcPr>
          <w:p>
            <w:pPr>
              <w:spacing w:after="0"/>
              <w:rPr>
                <w:sz w:val="6"/>
                <w:szCs w:val="6"/>
                <w:color w:val="auto"/>
              </w:rPr>
            </w:pPr>
          </w:p>
        </w:tc>
        <w:tc>
          <w:tcPr>
            <w:tcW w:w="5220" w:type="dxa"/>
            <w:vAlign w:val="bottom"/>
            <w:gridSpan w:val="4"/>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Supplemental disclosure of cash flowinformation: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Interest paid</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14,624</w:t>
            </w:r>
          </w:p>
        </w:tc>
        <w:tc>
          <w:tcPr>
            <w:tcW w:w="20" w:type="dxa"/>
            <w:vAlign w:val="bottom"/>
          </w:tcPr>
          <w:p>
            <w:pPr>
              <w:spacing w:after="0"/>
              <w:rPr>
                <w:sz w:val="15"/>
                <w:szCs w:val="15"/>
                <w:color w:val="auto"/>
              </w:rPr>
            </w:pP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6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6,044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220" w:type="dxa"/>
            <w:vAlign w:val="bottom"/>
            <w:tcBorders>
              <w:top w:val="single" w:sz="8" w:color="CCEEFF"/>
            </w:tcBorders>
            <w:gridSpan w:val="4"/>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4"/>
          </w:tcPr>
          <w:p>
            <w:pPr>
              <w:spacing w:after="0"/>
              <w:rPr>
                <w:sz w:val="20"/>
                <w:szCs w:val="20"/>
                <w:color w:val="auto"/>
              </w:rPr>
            </w:pPr>
            <w:r>
              <w:rPr>
                <w:rFonts w:ascii="Arial" w:cs="Arial" w:eastAsia="Arial" w:hAnsi="Arial"/>
                <w:sz w:val="11"/>
                <w:szCs w:val="11"/>
                <w:b w:val="1"/>
                <w:bCs w:val="1"/>
                <w:color w:val="auto"/>
              </w:rPr>
              <w:t>Supplemental schedule of non-cash investingand financing activities: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Transfer of loans held for investment to loans heldfor sale</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1. 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Title LLC began operations in 2021.</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Basis of Presentation</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consolidated financial statements and related notes appearing in the Company’s Annual Report on Form 10-K for the year ended December 31, 2023.</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estimates impacting the Company’s consolidated financial statements are the allowance for credit losses (“ACL”) and income taxes.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Reclassifications had no impact on the net income or stockholders’ equity of the Company.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Adoption of New Accounting Standards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Reference Rate Reform</w:t>
      </w:r>
    </w:p>
    <w:p>
      <w:pPr>
        <w:spacing w:after="0" w:line="17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In March 2020, the Financial Accounting Standards Board (“FASB”) issued ASU 2020-04, Reference Rate Reform (Topic 848), aiming to facilitate the impacts of reference rate reform on financial reporting. This initiative was subsequently clarified in January 2021 through ASU 2021-01, providing optional directives for a designated timeframe to alleviate challenges associated with accounting for, or acknowledging the effects of, reference rate reform on financial reporting. These amendments offer discretionary guidance for a defined period to alleviate potential accounting complexities associated with reference rate reform in financial reporting. The expedients and exceptions provided by these amendments are not applicable to contract modifications executed and hedging relationships initiated or reviewed after December 31, 2022, except for pre-existing hedging relationships as of December 31, 2022, for which an entity has opted for specific optional expedients, and which are retained until the conclusion of the hedging relationship. Additionally, the amendments permit entities to make a one-time choice to divest, transfer, or both divest and transfer debt securities categorized as held to maturity, referencing a rate impacted by reference rate reform, and classified as held to maturity prior to January 1, 2020. In December 2022, the FASB issued new guidance extending the expiration date of this guidance from December 31, 2022, to December 31, 2024, after which entities will no longer be authorized to apply the relief provided under this guidance.</w:t>
      </w:r>
    </w:p>
    <w:p>
      <w:pPr>
        <w:spacing w:after="0" w:line="172"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spacing w:after="0" w:line="252" w:lineRule="auto"/>
        <w:rPr>
          <w:sz w:val="20"/>
          <w:szCs w:val="20"/>
          <w:color w:val="auto"/>
        </w:rPr>
      </w:pPr>
      <w:r>
        <w:rPr>
          <w:rFonts w:ascii="Arial" w:cs="Arial" w:eastAsia="Arial" w:hAnsi="Arial"/>
          <w:sz w:val="14"/>
          <w:szCs w:val="14"/>
          <w:color w:val="auto"/>
        </w:rPr>
        <w:t>Before this recent guidance, these amendments were effective for all entities from March 12, 2020, to December 31, 2022. The Company executed its transition strategy in preparation for the cessation of the London Intrabank Offered Rate (“LIBOR”) and the adjustment of its existing financial instruments affected by LIBOR, whether directly or indirectly. LIBOR-based originations were ceased as of June 30, 2023, and for existing LIBOR-based transactions, the Company substituted Secured Overnight Financing Rate (“SOFR”) for LIBOR. The Company has completed its transition away from LIBOR for its loan and other financial instruments.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Issued and Not Yet Adopted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Improvements to Income Tax Disclosures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 December 2023, the FASB issued Accounting Standards Update (ASU) 2023-09, Income Taxes (Topic 740): Improvements to Income Tax Disclosures. This ASU pertains to disclosures regarding effective tax rates and cash income taxes paid with the goal of providing stakeholders with more transparent and relevant information. This ASU is effective for public business entities for annual periods beginning after Dec. 15, 2024. The Company is currently assessing the potential impact of this ASU on its financial reporting and has not yet concluded whether the changes will materially affect its business operations or consolidated financial statements.</w:t>
      </w:r>
    </w:p>
    <w:p>
      <w:pPr>
        <w:spacing w:after="0" w:line="139" w:lineRule="exact"/>
        <w:rPr>
          <w:sz w:val="20"/>
          <w:szCs w:val="20"/>
          <w:color w:val="auto"/>
        </w:rPr>
      </w:pPr>
    </w:p>
    <w:p>
      <w:pPr>
        <w:ind w:left="1040" w:hanging="377"/>
        <w:spacing w:after="0"/>
        <w:tabs>
          <w:tab w:leader="none" w:pos="1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measurement of expected credit losses under the current expected credit loss (“CECL”) methodology is applicable to financial assets measured at amortized cost, including loan receivables and held-to-maturity debt securities. The accounting for available-for-sale debt securities credit losses is presented as an allowance rather than as a write-down. Management does not intend to sell or believes that it is more likely they will not be required to sell AFS securities.</w:t>
      </w:r>
    </w:p>
    <w:p>
      <w:pPr>
        <w:spacing w:after="0" w:line="13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CECL requires a loss reserve for securities classified as held-to-maturity (“HTM”). The reserve should reflect historical credit performance as well as the impact of projected economic forecast. For U.S. Government bonds and U.S. Agency issued bonds classified as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4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monitors the credit quality of held to maturity securities through the use of credit ratings. Credit ratings are monitored by the Company on at least a quarterly basis. As of March 31, 2024 and December 31, 2023, all HTM securities held by the Company were rated investment grade.</w:t>
      </w:r>
    </w:p>
    <w:p>
      <w:pPr>
        <w:spacing w:after="0" w:line="11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quarter end, HTM securities included $163.7 million of U.S. Government and U.S. Agency issued bonds and mortgage-backed securities. Because of the explicit and/or implicit guarantee on these bonds, the Company holds no reserves on these holdings. The remaining portion of the HTM portfolio is made up of $ 9.4 million in investment grade corporate bonds. The required reserve for these holdings is determined each quarter using the model described above. For the portion of the HTM exposed to non-government credit risk, the Company utilized the PD/LGD methodology to estimate a $12 thousand Allowance for credit losses (“ACL”) as of March 31, 2024. The book value for debt securities classified as HTM represents amortized cost less ACL.</w:t>
      </w:r>
    </w:p>
    <w:p>
      <w:pPr>
        <w:spacing w:after="0" w:line="138"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Company determined that an ACL on its debt securities available for sale as of March 31, 2024 and December 31, 2023 was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3"/>
                <w:szCs w:val="13"/>
                <w:b w:val="1"/>
                <w:bCs w:val="1"/>
                <w:color w:val="auto"/>
              </w:rPr>
              <w:t>March 31, 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79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9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Gains</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50" w:type="dxa"/>
            <w:vAlign w:val="bottom"/>
            <w:tcBorders>
              <w:bottom w:val="single" w:sz="8" w:color="auto"/>
            </w:tcBorders>
          </w:tcPr>
          <w:p>
            <w:pPr>
              <w:spacing w:after="0"/>
              <w:rPr>
                <w:sz w:val="12"/>
                <w:szCs w:val="12"/>
                <w:color w:val="auto"/>
              </w:rPr>
            </w:pPr>
          </w:p>
        </w:tc>
        <w:tc>
          <w:tcPr>
            <w:tcW w:w="79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17,168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15,549</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130,533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(24,165)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16"/>
              <w:spacing w:after="0"/>
              <w:rPr>
                <w:sz w:val="20"/>
                <w:szCs w:val="20"/>
                <w:color w:val="auto"/>
              </w:rPr>
            </w:pPr>
            <w:r>
              <w:rPr>
                <w:rFonts w:ascii="Arial" w:cs="Arial" w:eastAsia="Arial" w:hAnsi="Arial"/>
                <w:sz w:val="13"/>
                <w:szCs w:val="13"/>
                <w:color w:val="auto"/>
              </w:rPr>
              <w:t>106,369</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62,734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50,337</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48,182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41,702</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24,985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19,061</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28,622</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50" w:type="dxa"/>
            <w:vAlign w:val="bottom"/>
            <w:tcBorders>
              <w:bottom w:val="single" w:sz="8" w:color="auto"/>
            </w:tcBorders>
          </w:tcPr>
          <w:p>
            <w:pPr>
              <w:spacing w:after="0"/>
              <w:rPr>
                <w:sz w:val="14"/>
                <w:szCs w:val="14"/>
                <w:color w:val="auto"/>
              </w:rPr>
            </w:pPr>
          </w:p>
        </w:tc>
        <w:tc>
          <w:tcPr>
            <w:tcW w:w="79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26,974</w:t>
            </w: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312,224</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(52,799)</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259,992</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 w:type="dxa"/>
            <w:vAlign w:val="bottom"/>
          </w:tcPr>
          <w:p>
            <w:pPr>
              <w:spacing w:after="0"/>
              <w:rPr>
                <w:sz w:val="10"/>
                <w:szCs w:val="10"/>
                <w:color w:val="auto"/>
              </w:rPr>
            </w:pPr>
          </w:p>
        </w:tc>
        <w:tc>
          <w:tcPr>
            <w:tcW w:w="79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43,439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(5,816)</w:t>
            </w:r>
          </w:p>
        </w:tc>
        <w:tc>
          <w:tcPr>
            <w:tcW w:w="80" w:type="dxa"/>
            <w:vAlign w:val="bottom"/>
            <w:gridSpan w:val="2"/>
            <w:shd w:val="clear" w:color="auto" w:fill="CCEEFF"/>
          </w:tcPr>
          <w:p>
            <w:pPr>
              <w:spacing w:after="0"/>
              <w:rPr>
                <w:sz w:val="14"/>
                <w:szCs w:val="14"/>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37,623</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61,465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(8,336)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53,131</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43,383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(4,930)</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38,613</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15,409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790" w:type="dxa"/>
            <w:vAlign w:val="bottom"/>
          </w:tcPr>
          <w:p>
            <w:pPr>
              <w:jc w:val="right"/>
              <w:ind w:right="36"/>
              <w:spacing w:after="0"/>
              <w:rPr>
                <w:sz w:val="20"/>
                <w:szCs w:val="20"/>
                <w:color w:val="auto"/>
              </w:rPr>
            </w:pPr>
            <w:r>
              <w:rPr>
                <w:rFonts w:ascii="Arial" w:cs="Arial" w:eastAsia="Arial" w:hAnsi="Arial"/>
                <w:sz w:val="13"/>
                <w:szCs w:val="13"/>
                <w:color w:val="auto"/>
              </w:rPr>
              <w:t>14,108</w:t>
            </w:r>
          </w:p>
        </w:tc>
        <w:tc>
          <w:tcPr>
            <w:tcW w:w="0" w:type="dxa"/>
            <w:vAlign w:val="bottom"/>
          </w:tcPr>
          <w:p>
            <w:pPr>
              <w:spacing w:after="0"/>
              <w:rPr>
                <w:sz w:val="1"/>
                <w:szCs w:val="1"/>
                <w:color w:val="auto"/>
              </w:rPr>
            </w:pPr>
          </w:p>
        </w:tc>
      </w:tr>
      <w:tr>
        <w:trPr>
          <w:trHeight w:val="17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9,354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(673)</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50" w:type="dxa"/>
            <w:vAlign w:val="bottom"/>
            <w:tcBorders>
              <w:bottom w:val="single" w:sz="8" w:color="CCEEFF"/>
            </w:tcBorders>
            <w:shd w:val="clear" w:color="auto" w:fill="CCEEFF"/>
          </w:tcPr>
          <w:p>
            <w:pPr>
              <w:spacing w:after="0"/>
              <w:rPr>
                <w:sz w:val="14"/>
                <w:szCs w:val="14"/>
                <w:color w:val="auto"/>
              </w:rPr>
            </w:pPr>
          </w:p>
        </w:tc>
        <w:tc>
          <w:tcPr>
            <w:tcW w:w="79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8,681</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173,050</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(21,056)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9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152,156</w:t>
            </w:r>
          </w:p>
        </w:tc>
        <w:tc>
          <w:tcPr>
            <w:tcW w:w="0" w:type="dxa"/>
            <w:vAlign w:val="bottom"/>
          </w:tcPr>
          <w:p>
            <w:pPr>
              <w:spacing w:after="0"/>
              <w:rPr>
                <w:sz w:val="1"/>
                <w:szCs w:val="1"/>
                <w:color w:val="auto"/>
              </w:rPr>
            </w:pPr>
          </w:p>
        </w:tc>
      </w:tr>
      <w:tr>
        <w:trPr>
          <w:trHeight w:val="132"/>
        </w:trPr>
        <w:tc>
          <w:tcPr>
            <w:tcW w:w="380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79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Arial" w:cs="Arial" w:eastAsia="Arial" w:hAnsi="Arial"/>
                <w:sz w:val="13"/>
                <w:szCs w:val="13"/>
                <w:color w:val="auto"/>
              </w:rPr>
              <w:t>Securities held-to maturity, net of allowance for credit losses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00" w:type="dxa"/>
            <w:vAlign w:val="bottom"/>
            <w:vMerge w:val="continue"/>
          </w:tcPr>
          <w:p>
            <w:pPr>
              <w:spacing w:after="0"/>
              <w:rPr>
                <w:sz w:val="11"/>
                <w:szCs w:val="11"/>
                <w:color w:val="auto"/>
              </w:rPr>
            </w:pPr>
          </w:p>
        </w:tc>
        <w:tc>
          <w:tcPr>
            <w:tcW w:w="12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6"/>
              <w:spacing w:after="0" w:line="132" w:lineRule="exact"/>
              <w:rPr>
                <w:sz w:val="20"/>
                <w:szCs w:val="20"/>
                <w:color w:val="auto"/>
              </w:rPr>
            </w:pPr>
            <w:r>
              <w:rPr>
                <w:rFonts w:ascii="Arial" w:cs="Arial" w:eastAsia="Arial" w:hAnsi="Arial"/>
                <w:sz w:val="13"/>
                <w:szCs w:val="13"/>
                <w:color w:val="auto"/>
              </w:rPr>
              <w:t>173,038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79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9"/>
              </w:rPr>
              <w:t>December 31, 2023</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9"/>
        </w:trPr>
        <w:tc>
          <w:tcPr>
            <w:tcW w:w="380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60"/>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2"/>
                <w:szCs w:val="12"/>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Fair Value</w:t>
            </w:r>
          </w:p>
        </w:tc>
      </w:tr>
      <w:tr>
        <w:trPr>
          <w:trHeight w:val="151"/>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9,664</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8,173</w:t>
            </w: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103,645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7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(23,039)</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80,606</w:t>
            </w: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52,187</w:t>
            </w: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(6,504)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42,764</w:t>
            </w: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19,338</w:t>
            </w: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28,106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560"/>
              <w:spacing w:after="0"/>
              <w:rPr>
                <w:sz w:val="20"/>
                <w:szCs w:val="20"/>
                <w:color w:val="auto"/>
              </w:rPr>
            </w:pPr>
            <w:r>
              <w:rPr>
                <w:rFonts w:ascii="Arial" w:cs="Arial" w:eastAsia="Arial" w:hAnsi="Arial"/>
                <w:sz w:val="13"/>
                <w:szCs w:val="13"/>
                <w:color w:val="auto"/>
              </w:rPr>
              <w:t>188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26,261</w:t>
            </w: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8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279,427</w:t>
            </w:r>
          </w:p>
        </w:tc>
        <w:tc>
          <w:tcPr>
            <w:tcW w:w="4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560"/>
              <w:spacing w:after="0"/>
              <w:rPr>
                <w:sz w:val="20"/>
                <w:szCs w:val="20"/>
                <w:color w:val="auto"/>
              </w:rPr>
            </w:pPr>
            <w:r>
              <w:rPr>
                <w:rFonts w:ascii="Arial" w:cs="Arial" w:eastAsia="Arial" w:hAnsi="Arial"/>
                <w:sz w:val="13"/>
                <w:szCs w:val="13"/>
                <w:color w:val="auto"/>
              </w:rPr>
              <w:t>244</w:t>
            </w:r>
          </w:p>
        </w:tc>
        <w:tc>
          <w:tcPr>
            <w:tcW w:w="18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(50,342)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229,329</w:t>
            </w:r>
          </w:p>
        </w:tc>
      </w:tr>
      <w:tr>
        <w:trPr>
          <w:trHeight w:val="121"/>
        </w:trPr>
        <w:tc>
          <w:tcPr>
            <w:tcW w:w="38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43,626</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38,306</w:t>
            </w: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Treasury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62,735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7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(7,983)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54,752</w:t>
            </w: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43,784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348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(4,533)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39,599</w:t>
            </w: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7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(1,257)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14,182</w:t>
            </w: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9,398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(727)</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12"/>
        </w:trPr>
        <w:tc>
          <w:tcPr>
            <w:tcW w:w="3800" w:type="dxa"/>
            <w:vAlign w:val="bottom"/>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174,982</w:t>
            </w:r>
          </w:p>
        </w:tc>
        <w:tc>
          <w:tcPr>
            <w:tcW w:w="40" w:type="dxa"/>
            <w:vAlign w:val="bottom"/>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560"/>
              <w:spacing w:after="0"/>
              <w:rPr>
                <w:sz w:val="20"/>
                <w:szCs w:val="20"/>
                <w:color w:val="auto"/>
              </w:rPr>
            </w:pPr>
            <w:r>
              <w:rPr>
                <w:rFonts w:ascii="Arial" w:cs="Arial" w:eastAsia="Arial" w:hAnsi="Arial"/>
                <w:sz w:val="13"/>
                <w:szCs w:val="13"/>
                <w:color w:val="auto"/>
              </w:rPr>
              <w:t>350</w:t>
            </w:r>
          </w:p>
        </w:tc>
        <w:tc>
          <w:tcPr>
            <w:tcW w:w="18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(19,822)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155,510</w:t>
            </w:r>
          </w:p>
        </w:tc>
      </w:tr>
      <w:tr>
        <w:trPr>
          <w:trHeight w:val="132"/>
        </w:trPr>
        <w:tc>
          <w:tcPr>
            <w:tcW w:w="380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2"/>
        </w:trPr>
        <w:tc>
          <w:tcPr>
            <w:tcW w:w="3800" w:type="dxa"/>
            <w:vAlign w:val="bottom"/>
          </w:tcPr>
          <w:p>
            <w:pPr>
              <w:spacing w:after="0" w:line="132" w:lineRule="exact"/>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bottom w:val="single" w:sz="8" w:color="auto"/>
            </w:tcBorders>
            <w:gridSpan w:val="2"/>
          </w:tcPr>
          <w:p>
            <w:pPr>
              <w:jc w:val="right"/>
              <w:ind w:right="12"/>
              <w:spacing w:after="0" w:line="132"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174,974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quarter ended March 31, 2024 there were no investment securities that were transferred from available-for-sale (“AFS”) to HTM. For the three months ended March 31, 2024, total amortization out of Additional Other Comprehensive Income (“AOCI”) for net unrealized losses on securities transferred in 2022 from AFS to HTM was $67 thousand. The unamortized net unrealized loss as of March 31, 2024, was $9.5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three months ended March 31, 2024 and 2023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jc w:val="right"/>
              <w:ind w:right="216"/>
              <w:spacing w:after="0"/>
              <w:rPr>
                <w:sz w:val="20"/>
                <w:szCs w:val="20"/>
                <w:color w:val="auto"/>
              </w:rPr>
            </w:pPr>
            <w:r>
              <w:rPr>
                <w:rFonts w:ascii="Arial" w:cs="Arial" w:eastAsia="Arial" w:hAnsi="Arial"/>
                <w:sz w:val="13"/>
                <w:szCs w:val="13"/>
                <w:b w:val="1"/>
                <w:bCs w:val="1"/>
                <w:color w:val="auto"/>
              </w:rPr>
              <w:t>Three Months Ended March 31,</w:t>
            </w:r>
          </w:p>
        </w:tc>
      </w:tr>
      <w:tr>
        <w:trPr>
          <w:trHeight w:val="161"/>
        </w:trPr>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r>
      <w:tr>
        <w:trPr>
          <w:trHeight w:val="151"/>
        </w:trPr>
        <w:tc>
          <w:tcPr>
            <w:tcW w:w="52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Proceeds from sale and call of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8,617</w:t>
            </w:r>
          </w:p>
        </w:tc>
      </w:tr>
      <w:tr>
        <w:trPr>
          <w:trHeight w:val="171"/>
        </w:trPr>
        <w:tc>
          <w:tcPr>
            <w:tcW w:w="1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Gross losses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61"/>
        </w:trPr>
        <w:tc>
          <w:tcPr>
            <w:tcW w:w="100" w:type="dxa"/>
            <w:vAlign w:val="bottom"/>
            <w:tcBorders>
              <w:bottom w:val="single" w:sz="8" w:color="CCEEFF"/>
            </w:tcBorders>
            <w:shd w:val="clear" w:color="auto" w:fill="CCEEFF"/>
          </w:tcPr>
          <w:p>
            <w:pPr>
              <w:spacing w:after="0"/>
              <w:rPr>
                <w:sz w:val="14"/>
                <w:szCs w:val="14"/>
                <w:color w:val="auto"/>
              </w:rPr>
            </w:pPr>
          </w:p>
        </w:tc>
        <w:tc>
          <w:tcPr>
            <w:tcW w:w="514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Net realized (loss) gain</w:t>
            </w:r>
          </w:p>
        </w:tc>
        <w:tc>
          <w:tcPr>
            <w:tcW w:w="14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(21)</w:t>
            </w:r>
          </w:p>
        </w:tc>
      </w:tr>
      <w:tr>
        <w:trPr>
          <w:trHeight w:val="20"/>
        </w:trPr>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54"/>
        </w:trPr>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March 31, 2024: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9,354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8,681</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12,840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9,666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43,439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37,623</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130,533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106,369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61,465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53,131</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50,337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38,613</w:t>
            </w:r>
          </w:p>
        </w:tc>
      </w:t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41,702</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15,409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14,108</w:t>
            </w:r>
          </w:p>
        </w:tc>
      </w:tr>
      <w:tr>
        <w:trPr>
          <w:trHeight w:val="161"/>
        </w:trPr>
        <w:tc>
          <w:tcPr>
            <w:tcW w:w="4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312,224</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259,992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173,050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152,156</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At March 31, 2024, there were no securities held in the portfolio from any one issuer in an amount greater than 10% of total stockholders’ equity other than the U.S. Government and Government Agency securities. All the collateralized mortgage obligations and mortgage-backed securities at March 31, 2024 and December 31, 2023 were issued by U.S. sponsored entities.</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March 31, 2024</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60"/>
        </w:trPr>
        <w:tc>
          <w:tcPr>
            <w:tcW w:w="24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4,601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45,668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(8,648)</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50,269</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(8,667)</w:t>
            </w: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Collateralized mortgage obligations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26,015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w w:val="97"/>
              </w:rPr>
              <w:t>131,005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(36,916)</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157,020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(37,001)</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8,043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80,907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(19,620)</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88,950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(19,749)</w:t>
            </w: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Mortgage-backed securities - commercial</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15,004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38,777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(9,062)</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53,781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(9,316)</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19,061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(5,924)</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19,061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Bank subordinated debt securities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3,198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(159)</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13,471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(1,960)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16,669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(2,119)</w:t>
            </w: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8,681</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8,681</w:t>
            </w: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77"/>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jc w:val="right"/>
              <w:ind w:right="1"/>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56,861</w:t>
            </w: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(646)</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6"/>
              <w:spacing w:after="0"/>
              <w:rPr>
                <w:sz w:val="20"/>
                <w:szCs w:val="20"/>
                <w:color w:val="auto"/>
              </w:rPr>
            </w:pPr>
            <w:r>
              <w:rPr>
                <w:rFonts w:ascii="Arial" w:cs="Arial" w:eastAsia="Arial" w:hAnsi="Arial"/>
                <w:sz w:val="13"/>
                <w:szCs w:val="13"/>
                <w:color w:val="auto"/>
                <w:w w:val="97"/>
              </w:rPr>
              <w:t>337,570</w:t>
            </w: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(82,517)</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394,431</w:t>
            </w:r>
          </w:p>
        </w:tc>
        <w:tc>
          <w:tcPr>
            <w:tcW w:w="38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(83,163)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80" w:val="left"/>
          <w:tab w:leader="none" w:pos="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Total</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7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Losses</w:t>
            </w: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Losses</w:t>
            </w:r>
          </w:p>
        </w:tc>
        <w:tc>
          <w:tcPr>
            <w:tcW w:w="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51"/>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46,479</w:t>
            </w: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(8,043)</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46,479</w:t>
            </w: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(8,043)</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135,358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(35,566)</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135,358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(35,566)</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83,484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88,774</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(18,412)</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20,292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rPr>
              <w:t>33,083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53,375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(9,234)</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19,338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(331)</w:t>
            </w: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rPr>
              <w:t>12,287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20,887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34,182</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(989)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338,700</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(78,373)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372,882</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(79,362)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unrealized losses associated with $128.5 million of investment securities transferred from the AFS portfolio to the HTM portfolio represent unrealized losses since the date of purchase, independent of the impact associated with changes in the cost basis of the securities upon transfer between portfolios.</w:t>
      </w:r>
    </w:p>
    <w:p>
      <w:pPr>
        <w:spacing w:after="0" w:line="118"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When evaluating AFS debt securities under ASC Topic 326, the Company has evaluated whether the decline in fair value is attributed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 over its holding period as it moves to maturity and the Company has the intent and ability to hold these securities to maturity if necessary. As a result of this evaluation, the Company concluded that no allowance was required on AFS securities.</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At March 31, 2024, the Company had $57.7 million of unrealized losses on mortgage-backed securities and collateralized mortgage obligations of U.S. government sponsored entities having a fair value of $304.3 million that were attributable to a combination of factors, including relative changes in interest rates since the time of purchase.</w:t>
      </w:r>
    </w:p>
    <w:p>
      <w:pPr>
        <w:spacing w:after="0" w:line="13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At December 31, 2023, the Company had $ 54.9 million of unrealized losses on mortgage backed securities and collateralized mortgage obligations of government sponsored entities having a fair value of $284.1 million that were attributable to a combination of factors, including relative changes in interest rates since the time of purchase.</w:t>
      </w:r>
    </w:p>
    <w:p>
      <w:pPr>
        <w:spacing w:after="0" w:line="118"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believed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26"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At March 31, 2024, the Company does not intend to sell debt securities that are in an unrealized loss position and it is more than likely not required to sell these securities before recovery of the amortized cost basis.</w:t>
      </w:r>
    </w:p>
    <w:p>
      <w:pPr>
        <w:spacing w:after="0" w:line="9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maintains a master repurchase agreement with a public banking institution for up to $ 20.0 million fully guaranteed with investment securities upon withdrawal. Any amounts borrowed would be at a variable interest rate based on prevailing rates at the time funding is requested. As of March 31, 2024, the Company did not have any securities pledged under this agreement.</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is a Qualified Public Depository (“QPD”) with the State of Florida. As a QPD, the Bank has the legal authority to maintain public deposits from cities, municipalities, and the State of Florida. These public deposits are secured by securities pledged to the State of Florida at a ratio of 50% of the outstanding uninsured deposits for March 31, 2024 and 25% for December 31, 2023. The Bank must also maintain a minimum amount of pledged securities to be in the public funds program.</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As of March 31, 2024, the Bank had a total of $249.6 million in deposits under the public funds program and pledged to the State of Florida for these public funds were fifty-one bonds with an aggregate fair value of $137.0 million.</w:t>
      </w:r>
    </w:p>
    <w:p>
      <w:pPr>
        <w:spacing w:after="0" w:line="120" w:lineRule="exact"/>
        <w:rPr>
          <w:sz w:val="20"/>
          <w:szCs w:val="20"/>
          <w:color w:val="auto"/>
        </w:rPr>
      </w:pPr>
    </w:p>
    <w:p>
      <w:pPr>
        <w:jc w:val="both"/>
        <w:ind w:left="660" w:right="659" w:firstLine="256"/>
        <w:spacing w:after="0" w:line="315" w:lineRule="auto"/>
        <w:rPr>
          <w:sz w:val="20"/>
          <w:szCs w:val="20"/>
          <w:color w:val="auto"/>
        </w:rPr>
      </w:pPr>
      <w:r>
        <w:rPr>
          <w:rFonts w:ascii="Arial" w:cs="Arial" w:eastAsia="Arial" w:hAnsi="Arial"/>
          <w:sz w:val="13"/>
          <w:szCs w:val="13"/>
          <w:color w:val="auto"/>
        </w:rPr>
        <w:t>As of December 31, 2023, the Bank had a total of $268.4 million in deposits under the public funds program and pledged to the State of Florida for these public funds were twenty-eight corporate bonds with an aggregate fair value of $86.9 million.</w:t>
      </w:r>
    </w:p>
    <w:p>
      <w:pPr>
        <w:spacing w:after="0" w:line="36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offers loans of up to one year in length to banks, savings associations, credit unions, and other eligible depository institutions pledging U.S. Treasuries, U.S. agency debt and mortgage-backed securities, and other qualifying assets as collateral. These assets will be valued at par.</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had $80 million in borrowings under the BTFP program as of March 31, 2024, and had pledged $ 130.3 million in securities measured at par to the Federal Reserve Bank of Atlanta for the BTFP program. The BTFP program ceased making new loans as of March 2024.</w:t>
      </w:r>
    </w:p>
    <w:p>
      <w:pPr>
        <w:spacing w:after="0" w:line="134" w:lineRule="exact"/>
        <w:rPr>
          <w:sz w:val="20"/>
          <w:szCs w:val="20"/>
          <w:color w:val="auto"/>
        </w:rPr>
      </w:pPr>
    </w:p>
    <w:p>
      <w:pPr>
        <w:ind w:left="1040" w:hanging="377"/>
        <w:spacing w:after="0"/>
        <w:tabs>
          <w:tab w:leader="none" w:pos="10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3"/>
                <w:szCs w:val="13"/>
                <w:b w:val="1"/>
                <w:bCs w:val="1"/>
                <w:color w:val="auto"/>
              </w:rPr>
              <w:t>March 31, 2024</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Borders>
              <w:bottom w:val="single" w:sz="8" w:color="auto"/>
            </w:tcBorders>
          </w:tcPr>
          <w:p>
            <w:pPr>
              <w:spacing w:after="0"/>
              <w:rPr>
                <w:sz w:val="13"/>
                <w:szCs w:val="13"/>
                <w:color w:val="auto"/>
              </w:rPr>
            </w:pPr>
          </w:p>
        </w:tc>
      </w:tr>
      <w:tr>
        <w:trPr>
          <w:trHeight w:val="194"/>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Percent of</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Percent of</w:t>
            </w:r>
          </w:p>
        </w:tc>
        <w:tc>
          <w:tcPr>
            <w:tcW w:w="200" w:type="dxa"/>
            <w:vAlign w:val="bottom"/>
          </w:tcPr>
          <w:p>
            <w:pPr>
              <w:spacing w:after="0"/>
              <w:rPr>
                <w:sz w:val="16"/>
                <w:szCs w:val="16"/>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2"/>
                <w:szCs w:val="12"/>
                <w:color w:val="auto"/>
              </w:rPr>
            </w:pPr>
          </w:p>
        </w:tc>
      </w:tr>
      <w:tr>
        <w:trPr>
          <w:trHeight w:val="15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237,906</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1,057,800</w:t>
            </w:r>
          </w:p>
        </w:tc>
        <w:tc>
          <w:tcPr>
            <w:tcW w:w="4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58.2 %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1,047,593</w:t>
            </w:r>
          </w:p>
        </w:tc>
        <w:tc>
          <w:tcPr>
            <w:tcW w:w="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58.8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228,045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100,182</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5.5 %</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6.5 %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1,818,258</w:t>
            </w:r>
          </w:p>
        </w:tc>
        <w:tc>
          <w:tcPr>
            <w:tcW w:w="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1,778,644</w:t>
            </w: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3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Plus: Deferred costs</w:t>
            </w: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86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2,938</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86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2,183</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r>
      <w:tr>
        <w:trPr>
          <w:trHeight w:val="15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 (costs)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1,821,196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1,780,827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21,454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1,799,742</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1,759,743</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March 31, 2024 and December 31, 2023, the Company had $567.7 million and $534.2 million, respectively, of commercial real estate and residential mortgage loans pledged as collateral for lines of credit with the FHLB and the Federal Reserve Bank of Atlanta.</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In general, the Company utilizes the Discounted Cash Flow (“DCF”) method or the Remaining Life (“WARM”) methodology to estimate the quantitative portion of the ACL for loan pools. The DCF uses a loss driver analysis (“LDA”) and discounted cash flow analyses. Management engaged advisors and consultants with expertise in CECL model development to assist in development of a loss driver analysis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or the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63" w:lineRule="exact"/>
        <w:rPr>
          <w:sz w:val="20"/>
          <w:szCs w:val="20"/>
          <w:color w:val="auto"/>
        </w:rPr>
      </w:pP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lending policies, procedures, and strategies</w:t>
      </w:r>
    </w:p>
    <w:p>
      <w:pPr>
        <w:spacing w:after="0" w:line="11" w:lineRule="exact"/>
        <w:rPr>
          <w:rFonts w:ascii="Arial" w:cs="Arial" w:eastAsia="Arial" w:hAnsi="Arial"/>
          <w:sz w:val="13"/>
          <w:szCs w:val="13"/>
          <w:color w:val="auto"/>
        </w:rPr>
      </w:pP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international, national, regional, and local conditions</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nature and volume of portfolio</w:t>
      </w:r>
    </w:p>
    <w:p>
      <w:pPr>
        <w:ind w:left="1180" w:hanging="261"/>
        <w:spacing w:after="0" w:line="222" w:lineRule="auto"/>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the volume and severity of past due loans and other similar conditions</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Concentration risk</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the value of underlying collateral</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 of other external factors: e.g., competition, legal, and regulatory requirements</w:t>
      </w:r>
    </w:p>
    <w:p>
      <w:pPr>
        <w:ind w:left="1180" w:hanging="261"/>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lending management,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Changes in the ACL for the three months ended March 31, 2024 and 2023 were as follows (in thousands):</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9"/>
        </w:trPr>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6"/>
              <w:spacing w:after="0"/>
              <w:rPr>
                <w:sz w:val="20"/>
                <w:szCs w:val="20"/>
                <w:color w:val="auto"/>
              </w:rPr>
            </w:pPr>
            <w:r>
              <w:rPr>
                <w:rFonts w:ascii="Arial" w:cs="Arial" w:eastAsia="Arial" w:hAnsi="Arial"/>
                <w:sz w:val="13"/>
                <w:szCs w:val="13"/>
                <w:b w:val="1"/>
                <w:bCs w:val="1"/>
                <w:color w:val="auto"/>
                <w:w w:val="94"/>
              </w:rPr>
              <w:t>and</w:t>
            </w:r>
          </w:p>
        </w:tc>
        <w:tc>
          <w:tcPr>
            <w:tcW w:w="60" w:type="dxa"/>
            <w:vAlign w:val="bottom"/>
          </w:tcPr>
          <w:p>
            <w:pPr>
              <w:spacing w:after="0"/>
              <w:rPr>
                <w:sz w:val="12"/>
                <w:szCs w:val="12"/>
                <w:color w:val="auto"/>
              </w:rPr>
            </w:pPr>
          </w:p>
        </w:tc>
        <w:tc>
          <w:tcPr>
            <w:tcW w:w="64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Foreign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Real Estate</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9"/>
              </w:rPr>
              <w:t>Industrial</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Banks</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8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Three Months Ended March 31, 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2,695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10,366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3,974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911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3,138</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21,084</w:t>
            </w:r>
          </w:p>
        </w:tc>
      </w:tr>
      <w:tr>
        <w:trPr>
          <w:trHeight w:val="192"/>
        </w:trPr>
        <w:tc>
          <w:tcPr>
            <w:tcW w:w="2580" w:type="dxa"/>
            <w:vAlign w:val="bottom"/>
            <w:shd w:val="clear" w:color="auto" w:fill="CCEEFF"/>
          </w:tcPr>
          <w:p>
            <w:pPr>
              <w:ind w:left="2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363</w:t>
            </w: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Recoveries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12</w:t>
            </w:r>
          </w:p>
        </w:tc>
      </w:tr>
      <w:tr>
        <w:trPr>
          <w:trHeight w:val="17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Charge-offs</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1"/>
        </w:trPr>
        <w:tc>
          <w:tcPr>
            <w:tcW w:w="258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2,930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10,302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4,272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794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3,156</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21,454</w:t>
            </w: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80" w:right="999" w:firstLine="4"/>
        <w:spacing w:after="0" w:line="269" w:lineRule="auto"/>
        <w:tabs>
          <w:tab w:leader="none" w:pos="872"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Provision for credit losses excludes a $43 thousand charge due to unfunded commitments included in other liabilities and a $4 thousand charge related to investment securities held to maturity.</w:t>
      </w:r>
    </w:p>
    <w:p>
      <w:pPr>
        <w:spacing w:after="0" w:line="358" w:lineRule="exact"/>
        <w:rPr>
          <w:sz w:val="20"/>
          <w:szCs w:val="20"/>
          <w:color w:val="auto"/>
        </w:rPr>
      </w:pPr>
    </w:p>
    <w:tbl>
      <w:tblPr>
        <w:tblLayout w:type="fixed"/>
        <w:tblInd w:w="3200" w:type="dxa"/>
        <w:tblCellMar>
          <w:top w:w="0" w:type="dxa"/>
          <w:left w:w="0" w:type="dxa"/>
          <w:bottom w:w="0" w:type="dxa"/>
          <w:right w:w="0" w:type="dxa"/>
        </w:tblCellMar>
      </w:tblPr>
      <w:tr>
        <w:trPr>
          <w:trHeight w:val="149"/>
        </w:trPr>
        <w:tc>
          <w:tcPr>
            <w:tcW w:w="860" w:type="dxa"/>
            <w:vAlign w:val="bottom"/>
          </w:tcPr>
          <w:p>
            <w:pPr>
              <w:ind w:left="80"/>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Foreign</w:t>
            </w:r>
          </w:p>
        </w:tc>
        <w:tc>
          <w:tcPr>
            <w:tcW w:w="6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Consumer</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Real Estate</w:t>
            </w:r>
          </w:p>
        </w:tc>
        <w:tc>
          <w:tcPr>
            <w:tcW w:w="6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and Industrial</w:t>
            </w:r>
          </w:p>
        </w:tc>
        <w:tc>
          <w:tcPr>
            <w:tcW w:w="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Banks</w:t>
            </w:r>
          </w:p>
        </w:tc>
        <w:tc>
          <w:tcPr>
            <w:tcW w:w="60" w:type="dxa"/>
            <w:vAlign w:val="bottom"/>
          </w:tcPr>
          <w:p>
            <w:pPr>
              <w:spacing w:after="0"/>
              <w:rPr>
                <w:sz w:val="12"/>
                <w:szCs w:val="12"/>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2"/>
                <w:szCs w:val="12"/>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Total</w:t>
            </w: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right="240"/>
        <w:spacing w:after="0" w:line="291" w:lineRule="auto"/>
        <w:rPr>
          <w:sz w:val="20"/>
          <w:szCs w:val="20"/>
          <w:color w:val="auto"/>
        </w:rPr>
      </w:pPr>
      <w:r>
        <w:rPr>
          <w:rFonts w:ascii="Arial" w:cs="Arial" w:eastAsia="Arial" w:hAnsi="Arial"/>
          <w:sz w:val="13"/>
          <w:szCs w:val="13"/>
          <w:b w:val="1"/>
          <w:bCs w:val="1"/>
          <w:color w:val="auto"/>
        </w:rPr>
        <w:t xml:space="preserve">Three Months Ended March 31, 2023 </w:t>
      </w:r>
      <w:r>
        <w:rPr>
          <w:rFonts w:ascii="Arial" w:cs="Arial" w:eastAsia="Arial" w:hAnsi="Arial"/>
          <w:sz w:val="13"/>
          <w:szCs w:val="13"/>
          <w:color w:val="auto"/>
        </w:rPr>
        <w:t>Beginning balance</w:t>
      </w:r>
    </w:p>
    <w:p>
      <w:pPr>
        <w:ind w:left="660"/>
        <w:spacing w:after="0" w:line="250" w:lineRule="auto"/>
        <w:rPr>
          <w:sz w:val="20"/>
          <w:szCs w:val="20"/>
          <w:color w:val="auto"/>
        </w:rPr>
      </w:pPr>
      <w:r>
        <w:rPr>
          <w:rFonts w:ascii="Arial" w:cs="Arial" w:eastAsia="Arial" w:hAnsi="Arial"/>
          <w:sz w:val="13"/>
          <w:szCs w:val="13"/>
          <w:color w:val="auto"/>
        </w:rPr>
        <w:t xml:space="preserve">Cumulative effect of adoption of accounting principle </w:t>
      </w:r>
      <w:r>
        <w:rPr>
          <w:rFonts w:ascii="Arial" w:cs="Arial" w:eastAsia="Arial" w:hAnsi="Arial"/>
          <w:sz w:val="17"/>
          <w:szCs w:val="17"/>
          <w:color w:val="auto"/>
          <w:vertAlign w:val="superscript"/>
        </w:rPr>
        <w:t>(1)</w:t>
      </w:r>
    </w:p>
    <w:p>
      <w:pPr>
        <w:ind w:left="660"/>
        <w:spacing w:after="0" w:line="228" w:lineRule="auto"/>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p>
      <w:pPr>
        <w:ind w:left="660"/>
        <w:spacing w:after="0"/>
        <w:rPr>
          <w:sz w:val="20"/>
          <w:szCs w:val="20"/>
          <w:color w:val="auto"/>
        </w:rPr>
      </w:pPr>
      <w:r>
        <w:rPr>
          <w:rFonts w:ascii="Arial" w:cs="Arial" w:eastAsia="Arial" w:hAnsi="Arial"/>
          <w:sz w:val="13"/>
          <w:szCs w:val="13"/>
          <w:color w:val="auto"/>
        </w:rPr>
        <w:t>Recoveries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Charge-offs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Ending Balance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8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10,143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4,163</w:t>
            </w:r>
          </w:p>
        </w:tc>
        <w:tc>
          <w:tcPr>
            <w:tcW w:w="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720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1,109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17,487</w:t>
            </w:r>
          </w:p>
        </w:tc>
        <w:tc>
          <w:tcPr>
            <w:tcW w:w="0" w:type="dxa"/>
            <w:vAlign w:val="bottom"/>
          </w:tcPr>
          <w:p>
            <w:pPr>
              <w:spacing w:after="0"/>
              <w:rPr>
                <w:sz w:val="1"/>
                <w:szCs w:val="1"/>
                <w:color w:val="auto"/>
              </w:rPr>
            </w:pPr>
          </w:p>
        </w:tc>
      </w:tr>
      <w:tr>
        <w:trPr>
          <w:trHeight w:val="184"/>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(2,158)</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100" w:type="dxa"/>
            <w:vAlign w:val="bottom"/>
            <w:tcBorders>
              <w:right w:val="single" w:sz="8" w:color="CCEEFF"/>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Borders>
              <w:right w:val="single" w:sz="8" w:color="CCEE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Borders>
              <w:left w:val="single" w:sz="8" w:color="CCEEFF"/>
            </w:tcBorders>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right w:val="single" w:sz="8" w:color="CCEEFF"/>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80" w:type="dxa"/>
            <w:vAlign w:val="bottom"/>
            <w:tcBorders>
              <w:right w:val="single" w:sz="8" w:color="CCEEFF"/>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8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(795)</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318</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512</w:t>
            </w: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39"/>
        </w:trPr>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w:t>
            </w:r>
          </w:p>
        </w:tc>
        <w:tc>
          <w:tcPr>
            <w:tcW w:w="100" w:type="dxa"/>
            <w:vAlign w:val="bottom"/>
            <w:tcBorders>
              <w:right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44</w:t>
            </w:r>
          </w:p>
        </w:tc>
        <w:tc>
          <w:tcPr>
            <w:tcW w:w="40" w:type="dxa"/>
            <w:vAlign w:val="bottom"/>
          </w:tcPr>
          <w:p>
            <w:pPr>
              <w:spacing w:after="0"/>
              <w:rPr>
                <w:sz w:val="12"/>
                <w:szCs w:val="12"/>
                <w:color w:val="auto"/>
              </w:rPr>
            </w:pPr>
          </w:p>
        </w:tc>
        <w:tc>
          <w:tcPr>
            <w:tcW w:w="180" w:type="dxa"/>
            <w:vAlign w:val="bottom"/>
            <w:tcBorders>
              <w:left w:val="single" w:sz="8" w:color="CCEEFF"/>
            </w:tcBorders>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w:t>
            </w:r>
          </w:p>
        </w:tc>
        <w:tc>
          <w:tcPr>
            <w:tcW w:w="80" w:type="dxa"/>
            <w:vAlign w:val="bottom"/>
            <w:tcBorders>
              <w:right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9"/>
        </w:trPr>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2,819</w:t>
            </w:r>
          </w:p>
        </w:tc>
        <w:tc>
          <w:tcPr>
            <w:tcW w:w="100" w:type="dxa"/>
            <w:vAlign w:val="bottom"/>
            <w:tcBorders>
              <w:right w:val="single" w:sz="8" w:color="CCEEFF"/>
            </w:tcBorders>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top w:val="single" w:sz="8" w:color="auto"/>
              <w:bottom w:val="single" w:sz="8" w:color="auto"/>
              <w:right w:val="single" w:sz="8" w:color="CCEEFF"/>
            </w:tcBorders>
            <w:gridSpan w:val="2"/>
          </w:tcPr>
          <w:p>
            <w:pPr>
              <w:jc w:val="right"/>
              <w:ind w:right="100"/>
              <w:spacing w:after="0" w:line="139" w:lineRule="exact"/>
              <w:rPr>
                <w:sz w:val="20"/>
                <w:szCs w:val="20"/>
                <w:color w:val="auto"/>
              </w:rPr>
            </w:pPr>
            <w:r>
              <w:rPr>
                <w:rFonts w:ascii="Arial" w:cs="Arial" w:eastAsia="Arial" w:hAnsi="Arial"/>
                <w:sz w:val="13"/>
                <w:szCs w:val="13"/>
                <w:color w:val="auto"/>
              </w:rPr>
              <w:t>10,453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2,367</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left w:val="single" w:sz="8" w:color="CCEEFF"/>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shd w:val="clear" w:color="auto" w:fill="CCEEFF"/>
              </w:rPr>
              <w:t>$</w:t>
            </w:r>
          </w:p>
        </w:tc>
        <w:tc>
          <w:tcPr>
            <w:tcW w:w="660" w:type="dxa"/>
            <w:vAlign w:val="bottom"/>
            <w:tcBorders>
              <w:top w:val="single" w:sz="8" w:color="auto"/>
              <w:bottom w:val="single" w:sz="8" w:color="auto"/>
              <w:right w:val="single" w:sz="8" w:color="CCEEFF"/>
            </w:tcBorders>
            <w:gridSpan w:val="2"/>
          </w:tcPr>
          <w:p>
            <w:pPr>
              <w:jc w:val="right"/>
              <w:ind w:right="100"/>
              <w:spacing w:after="0" w:line="139" w:lineRule="exact"/>
              <w:rPr>
                <w:sz w:val="20"/>
                <w:szCs w:val="20"/>
                <w:color w:val="auto"/>
              </w:rPr>
            </w:pPr>
            <w:r>
              <w:rPr>
                <w:rFonts w:ascii="Arial" w:cs="Arial" w:eastAsia="Arial" w:hAnsi="Arial"/>
                <w:sz w:val="13"/>
                <w:szCs w:val="13"/>
                <w:color w:val="auto"/>
              </w:rPr>
              <w:t>772</w:t>
            </w: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shd w:val="clear" w:color="auto" w:fill="CCEEFF"/>
              </w:rPr>
              <w:t>$</w:t>
            </w:r>
          </w:p>
        </w:tc>
        <w:tc>
          <w:tcPr>
            <w:tcW w:w="7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2,476</w:t>
            </w:r>
          </w:p>
        </w:tc>
        <w:tc>
          <w:tcPr>
            <w:tcW w:w="80" w:type="dxa"/>
            <w:vAlign w:val="bottom"/>
            <w:tcBorders>
              <w:top w:val="single" w:sz="8" w:color="auto"/>
              <w:bottom w:val="single" w:sz="8" w:color="auto"/>
              <w:right w:val="single" w:sz="8" w:color="CCEEFF"/>
            </w:tcBorders>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shd w:val="clear" w:color="auto" w:fill="CCEEFF"/>
              </w:rPr>
              <w:t>$</w:t>
            </w:r>
          </w:p>
        </w:tc>
        <w:tc>
          <w:tcPr>
            <w:tcW w:w="600" w:type="dxa"/>
            <w:vAlign w:val="bottom"/>
            <w:tcBorders>
              <w:top w:val="single" w:sz="8" w:color="auto"/>
              <w:bottom w:val="single" w:sz="8" w:color="auto"/>
            </w:tcBorders>
            <w:gridSpan w:val="2"/>
          </w:tcPr>
          <w:p>
            <w:pPr>
              <w:jc w:val="right"/>
              <w:ind w:right="60"/>
              <w:spacing w:after="0" w:line="139" w:lineRule="exact"/>
              <w:rPr>
                <w:sz w:val="20"/>
                <w:szCs w:val="20"/>
                <w:color w:val="auto"/>
              </w:rPr>
            </w:pPr>
            <w:r>
              <w:rPr>
                <w:rFonts w:ascii="Arial" w:cs="Arial" w:eastAsia="Arial" w:hAnsi="Arial"/>
                <w:sz w:val="13"/>
                <w:szCs w:val="13"/>
                <w:color w:val="auto"/>
              </w:rPr>
              <w:t>18,887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3">
            <w:col w:w="3120" w:space="80"/>
            <w:col w:w="60" w:space="60"/>
            <w:col w:w="5699"/>
          </w:cols>
          <w:pgMar w:left="1440" w:top="477" w:right="1440" w:bottom="1440" w:gutter="0" w:footer="0" w:header="0"/>
          <w:type w:val="continuous"/>
        </w:sectPr>
      </w:pPr>
    </w:p>
    <w:p>
      <w:pPr>
        <w:ind w:left="860" w:hanging="197"/>
        <w:spacing w:after="0"/>
        <w:tabs>
          <w:tab w:leader="none" w:pos="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31" w:lineRule="exact"/>
        <w:rPr>
          <w:rFonts w:ascii="Arial" w:cs="Arial" w:eastAsia="Arial" w:hAnsi="Arial"/>
          <w:sz w:val="13"/>
          <w:szCs w:val="13"/>
          <w:color w:val="auto"/>
        </w:rPr>
      </w:pPr>
    </w:p>
    <w:p>
      <w:pPr>
        <w:ind w:left="860" w:hanging="197"/>
        <w:spacing w:after="0"/>
        <w:tabs>
          <w:tab w:leader="none" w:pos="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a $84 thousand release due to unfunded commitments included in other liabilities.</w:t>
      </w:r>
    </w:p>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March 31, 2024, the ACL was $21.5 million compared to $21.1 million at December 31, 2023. The increase of $0.4 million was composed of a $363 thousand increase in the ACL for loan receivables due to loan growth and to net charge-offs.</w:t>
      </w:r>
    </w:p>
    <w:p>
      <w:pPr>
        <w:spacing w:after="0" w:line="118"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Company had charge offs totaling $5 thousand for the quarter ended March 31, 2024 related to loans that were all originated in 2024.</w:t>
      </w:r>
    </w:p>
    <w:p>
      <w:pPr>
        <w:spacing w:after="0" w:line="9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Company had charge offs totaling $ 5 thousand for the quarter ended as of March 31, 2023 on loans that were all originated in 2023.</w:t>
      </w:r>
    </w:p>
    <w:p>
      <w:pPr>
        <w:spacing w:after="0" w:line="99"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The Federal Open Market Committee (“FOMC”) economic forecasts as of March 31, 2024, showed moderate improvements in unemployment and a slower real GDP growth. Fannie Mae HPI forecast reflected important improvement in national housing prices over the next four quarters. The Company continued to adjust the HPI index effect on 1-4 Family loan portfolio with a qualitative factor because Florida housing prices are performing better than national levels. Q-Factors were reviewed and updated; maximum loss calculations are based on refreshed stress test and risk statuses were updated based on portfolio and external developments during the first quarter 2024.</w:t>
      </w:r>
    </w:p>
    <w:p>
      <w:pPr>
        <w:spacing w:after="0" w:line="13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March 31, 2024, for every 100 basis points increase in the HPI index, the forecast reduces reserves by approximately $200 thousand and about 1 basis point to the reserve coverage ratio, everything else being constant. This sensitivity analysis provides a hypothetical result to assess the sensitivity of the ACL and does not represent a change in management’s judgement.</w:t>
      </w:r>
    </w:p>
    <w:p>
      <w:pPr>
        <w:spacing w:after="0" w:line="13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As of March 31, 2024, we stress tested two qualitative factors in our commercial real estate loan pool, as it’s the largest segment in our portfolio. We evaluated the impact of a change in the qualitative factors from no risk to maximum loss to measure the sensitivity of the qualitative factors. The change from no risk to high risk resulted in a $6.1 million or 36.9%</w:t>
      </w:r>
    </w:p>
    <w:p>
      <w:pPr>
        <w:spacing w:after="0" w:line="18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type w:val="continuous"/>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increase in the allowance for credit losses. This sensitivity analysis provides a hypothetical result to assess the sensitivity of the ACL and does not represent a change in management’s judgement.</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ACL and the outstanding balances in the specified loan categories as of March 31, 2024 and December 31, 2023 are as follows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10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and Other</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4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2,883</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10,302</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4,195</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21,330</w:t>
            </w: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10,302</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4,272</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4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3,156</w:t>
            </w:r>
          </w:p>
        </w:tc>
        <w:tc>
          <w:tcPr>
            <w:tcW w:w="4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21,454</w:t>
            </w: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11"/>
        </w:trPr>
        <w:tc>
          <w:tcPr>
            <w:tcW w:w="2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6,934</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805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7,739</w:t>
            </w: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230,972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1,057,800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227,240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100,182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1,810,519</w:t>
            </w:r>
          </w:p>
        </w:tc>
      </w:tr>
      <w:tr>
        <w:trPr>
          <w:trHeight w:val="19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237,906</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1,057,800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228,045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100,182</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194,325</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1,818,258</w:t>
            </w:r>
          </w:p>
        </w:tc>
      </w:tr>
      <w:tr>
        <w:trPr>
          <w:trHeight w:val="111"/>
        </w:trPr>
        <w:tc>
          <w:tcPr>
            <w:tcW w:w="100" w:type="dxa"/>
            <w:vAlign w:val="bottom"/>
            <w:tcBorders>
              <w:top w:val="single" w:sz="8" w:color="CCEEFF"/>
            </w:tcBorders>
            <w:shd w:val="clear" w:color="auto" w:fill="CCEEFF"/>
          </w:tcPr>
          <w:p>
            <w:pPr>
              <w:spacing w:after="0"/>
              <w:rPr>
                <w:sz w:val="9"/>
                <w:szCs w:val="9"/>
                <w:color w:val="auto"/>
              </w:rPr>
            </w:pPr>
          </w:p>
        </w:tc>
        <w:tc>
          <w:tcPr>
            <w:tcW w:w="2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273</w:t>
            </w: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3,846</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20,811</w:t>
            </w:r>
          </w:p>
        </w:tc>
      </w:tr>
      <w:tr>
        <w:trPr>
          <w:trHeight w:val="19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2,695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10,366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3,974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911</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3,138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21,084</w:t>
            </w:r>
          </w:p>
        </w:tc>
      </w:tr>
      <w:tr>
        <w:trPr>
          <w:trHeight w:val="111"/>
        </w:trPr>
        <w:tc>
          <w:tcPr>
            <w:tcW w:w="100" w:type="dxa"/>
            <w:vAlign w:val="bottom"/>
            <w:tcBorders>
              <w:top w:val="single" w:sz="8" w:color="CCEEFF"/>
            </w:tcBorders>
            <w:shd w:val="clear" w:color="auto" w:fill="CCEEFF"/>
          </w:tcPr>
          <w:p>
            <w:pPr>
              <w:spacing w:after="0"/>
              <w:rPr>
                <w:sz w:val="9"/>
                <w:szCs w:val="9"/>
                <w:color w:val="auto"/>
              </w:rPr>
            </w:pPr>
          </w:p>
        </w:tc>
        <w:tc>
          <w:tcPr>
            <w:tcW w:w="2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6,994</w:t>
            </w:r>
          </w:p>
        </w:tc>
        <w:tc>
          <w:tcPr>
            <w:tcW w:w="4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8,662</w:t>
            </w:r>
          </w:p>
        </w:tc>
      </w:tr>
      <w:tr>
        <w:trPr>
          <w:trHeight w:val="171"/>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197,425</w:t>
            </w:r>
          </w:p>
        </w:tc>
        <w:tc>
          <w:tcPr>
            <w:tcW w:w="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218,089</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1,769,982</w:t>
            </w:r>
          </w:p>
        </w:tc>
      </w:tr>
      <w:tr>
        <w:trPr>
          <w:trHeight w:val="151"/>
        </w:trPr>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114,945</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1,778,644</w:t>
            </w: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7"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4"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3"/>
                <w:szCs w:val="13"/>
                <w:b w:val="1"/>
                <w:bCs w:val="1"/>
                <w:color w:val="auto"/>
              </w:rPr>
              <w:t>As of March 31, 2024</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13"/>
          </w:tcPr>
          <w:p>
            <w:pPr>
              <w:ind w:left="460"/>
              <w:spacing w:after="0"/>
              <w:rPr>
                <w:sz w:val="20"/>
                <w:szCs w:val="20"/>
                <w:color w:val="auto"/>
              </w:rPr>
            </w:pPr>
            <w:r>
              <w:rPr>
                <w:rFonts w:ascii="Arial" w:cs="Arial" w:eastAsia="Arial" w:hAnsi="Arial"/>
                <w:sz w:val="13"/>
                <w:szCs w:val="13"/>
                <w:b w:val="1"/>
                <w:bCs w:val="1"/>
                <w:color w:val="auto"/>
                <w:w w:val="99"/>
              </w:rPr>
              <w:t>Term Loans by Origination Year</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3"/>
              </w:rPr>
              <w:t>Revolving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36,295</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43,716</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36,336</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26,194</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5,885</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80,670</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8,530</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237,626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36,295</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43,716</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36,336</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26,194</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5,885</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80,950</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8,530</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237,906</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80" w:type="dxa"/>
            <w:vAlign w:val="bottom"/>
            <w:gridSpan w:val="2"/>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148,575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329,451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181,818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102,597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255,713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1,051,629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tcBorders>
              <w:bottom w:val="single" w:sz="8" w:color="CCEEFF"/>
            </w:tcBorders>
            <w:gridSpan w:val="3"/>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5,479</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692</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6,171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28,702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148,575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329,451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187,297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103,289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255,713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4,773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1,057,800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and</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industrial</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13,812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96,054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36,806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32,129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5,794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15,762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26,117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226,474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40"/>
              <w:spacing w:after="0" w:line="131" w:lineRule="exact"/>
              <w:rPr>
                <w:sz w:val="20"/>
                <w:szCs w:val="20"/>
                <w:color w:val="auto"/>
              </w:rPr>
            </w:pPr>
            <w:r>
              <w:rPr>
                <w:rFonts w:ascii="Arial" w:cs="Arial" w:eastAsia="Arial" w:hAnsi="Arial"/>
                <w:sz w:val="13"/>
                <w:szCs w:val="13"/>
                <w:color w:val="auto"/>
              </w:rPr>
              <w:t>13,812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40"/>
              <w:spacing w:after="0" w:line="131" w:lineRule="exact"/>
              <w:rPr>
                <w:sz w:val="20"/>
                <w:szCs w:val="20"/>
                <w:color w:val="auto"/>
              </w:rPr>
            </w:pPr>
            <w:r>
              <w:rPr>
                <w:rFonts w:ascii="Arial" w:cs="Arial" w:eastAsia="Arial" w:hAnsi="Arial"/>
                <w:sz w:val="13"/>
                <w:szCs w:val="13"/>
                <w:color w:val="auto"/>
              </w:rPr>
              <w:t>96,054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40"/>
              <w:spacing w:after="0" w:line="131" w:lineRule="exact"/>
              <w:rPr>
                <w:sz w:val="20"/>
                <w:szCs w:val="20"/>
                <w:color w:val="auto"/>
              </w:rPr>
            </w:pPr>
            <w:r>
              <w:rPr>
                <w:rFonts w:ascii="Arial" w:cs="Arial" w:eastAsia="Arial" w:hAnsi="Arial"/>
                <w:sz w:val="13"/>
                <w:szCs w:val="13"/>
                <w:color w:val="auto"/>
              </w:rPr>
              <w:t>36,806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40"/>
              <w:spacing w:after="0" w:line="131" w:lineRule="exact"/>
              <w:rPr>
                <w:sz w:val="20"/>
                <w:szCs w:val="20"/>
                <w:color w:val="auto"/>
              </w:rPr>
            </w:pPr>
            <w:r>
              <w:rPr>
                <w:rFonts w:ascii="Arial" w:cs="Arial" w:eastAsia="Arial" w:hAnsi="Arial"/>
                <w:sz w:val="13"/>
                <w:szCs w:val="13"/>
                <w:color w:val="auto"/>
              </w:rPr>
              <w:t>32,448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1" w:lineRule="exact"/>
              <w:rPr>
                <w:sz w:val="20"/>
                <w:szCs w:val="20"/>
                <w:color w:val="auto"/>
              </w:rPr>
            </w:pPr>
            <w:r>
              <w:rPr>
                <w:rFonts w:ascii="Arial" w:cs="Arial" w:eastAsia="Arial" w:hAnsi="Arial"/>
                <w:sz w:val="13"/>
                <w:szCs w:val="13"/>
                <w:color w:val="auto"/>
              </w:rPr>
              <w:t>5,794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40"/>
              <w:spacing w:after="0" w:line="131" w:lineRule="exact"/>
              <w:rPr>
                <w:sz w:val="20"/>
                <w:szCs w:val="20"/>
                <w:color w:val="auto"/>
              </w:rPr>
            </w:pPr>
            <w:r>
              <w:rPr>
                <w:rFonts w:ascii="Arial" w:cs="Arial" w:eastAsia="Arial" w:hAnsi="Arial"/>
                <w:sz w:val="13"/>
                <w:szCs w:val="13"/>
                <w:color w:val="auto"/>
              </w:rPr>
              <w:t>17,014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26,117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3"/>
                <w:szCs w:val="13"/>
                <w:color w:val="auto"/>
              </w:rPr>
              <w:t>228,045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34,864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65,318</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100,182</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34,864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65,318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100,182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00" w:type="dxa"/>
            <w:vAlign w:val="bottom"/>
            <w:gridSpan w:val="4"/>
          </w:tcPr>
          <w:p>
            <w:pPr>
              <w:spacing w:after="0"/>
              <w:rPr>
                <w:sz w:val="20"/>
                <w:szCs w:val="20"/>
                <w:color w:val="auto"/>
              </w:rPr>
            </w:pPr>
            <w:r>
              <w:rPr>
                <w:rFonts w:ascii="Arial" w:cs="Arial" w:eastAsia="Arial" w:hAnsi="Arial"/>
                <w:sz w:val="13"/>
                <w:szCs w:val="13"/>
                <w:color w:val="auto"/>
              </w:rPr>
              <w:t>Consumer and other</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gridSpan w:val="4"/>
          </w:tcPr>
          <w:p>
            <w:pPr>
              <w:spacing w:after="0"/>
              <w:rPr>
                <w:sz w:val="20"/>
                <w:szCs w:val="20"/>
                <w:color w:val="auto"/>
              </w:rPr>
            </w:pPr>
            <w:r>
              <w:rPr>
                <w:rFonts w:ascii="Arial" w:cs="Arial" w:eastAsia="Arial" w:hAnsi="Arial"/>
                <w:sz w:val="13"/>
                <w:szCs w:val="13"/>
                <w:color w:val="auto"/>
              </w:rPr>
              <w:t>loans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66,799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41,499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tcBorders>
              <w:bottom w:val="single" w:sz="8" w:color="CCEEFF"/>
            </w:tcBorders>
            <w:gridSpan w:val="3"/>
          </w:tcPr>
          <w:p>
            <w:pPr>
              <w:ind w:left="8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9,557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66,799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72,452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41,499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502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1,845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1,671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194,325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3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Loans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123,230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420,462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475,045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281,640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114,778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353,990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41,091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1,810,236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Substandard</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5,798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692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1,532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8,022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Doubtful</w:t>
            </w: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123,230</w:t>
            </w:r>
          </w:p>
        </w:tc>
        <w:tc>
          <w:tcPr>
            <w:tcW w:w="40" w:type="dxa"/>
            <w:vAlign w:val="bottom"/>
          </w:tcPr>
          <w:p>
            <w:pPr>
              <w:spacing w:after="0"/>
              <w:rPr>
                <w:sz w:val="13"/>
                <w:szCs w:val="13"/>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420,462</w:t>
            </w:r>
          </w:p>
        </w:tc>
        <w:tc>
          <w:tcPr>
            <w:tcW w:w="40" w:type="dxa"/>
            <w:vAlign w:val="bottom"/>
          </w:tcPr>
          <w:p>
            <w:pPr>
              <w:spacing w:after="0"/>
              <w:rPr>
                <w:sz w:val="13"/>
                <w:szCs w:val="1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475,045</w:t>
            </w:r>
          </w:p>
        </w:tc>
        <w:tc>
          <w:tcPr>
            <w:tcW w:w="40" w:type="dxa"/>
            <w:vAlign w:val="bottom"/>
          </w:tcPr>
          <w:p>
            <w:pPr>
              <w:spacing w:after="0"/>
              <w:rPr>
                <w:sz w:val="13"/>
                <w:szCs w:val="13"/>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287,438</w:t>
            </w:r>
          </w:p>
        </w:tc>
        <w:tc>
          <w:tcPr>
            <w:tcW w:w="60" w:type="dxa"/>
            <w:vAlign w:val="bottom"/>
          </w:tcPr>
          <w:p>
            <w:pPr>
              <w:spacing w:after="0"/>
              <w:rPr>
                <w:sz w:val="13"/>
                <w:szCs w:val="1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115,470</w:t>
            </w:r>
          </w:p>
        </w:tc>
        <w:tc>
          <w:tcPr>
            <w:tcW w:w="40" w:type="dxa"/>
            <w:vAlign w:val="bottom"/>
          </w:tcPr>
          <w:p>
            <w:pPr>
              <w:spacing w:after="0"/>
              <w:rPr>
                <w:sz w:val="13"/>
                <w:szCs w:val="13"/>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355,522</w:t>
            </w:r>
          </w:p>
        </w:tc>
        <w:tc>
          <w:tcPr>
            <w:tcW w:w="60" w:type="dxa"/>
            <w:vAlign w:val="bottom"/>
          </w:tcPr>
          <w:p>
            <w:pPr>
              <w:spacing w:after="0"/>
              <w:rPr>
                <w:sz w:val="13"/>
                <w:szCs w:val="13"/>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41,091</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1,818,258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3"/>
                <w:szCs w:val="13"/>
                <w:b w:val="1"/>
                <w:bCs w:val="1"/>
                <w:color w:val="auto"/>
                <w:w w:val="97"/>
              </w:rPr>
              <w:t>As of December 31, 2023</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5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425"/>
        </w:trPr>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Term Loans by Origination Year</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Revolving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49"/>
        </w:trPr>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65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6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44,365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36,325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26,180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6,080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9,325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75,654</w:t>
            </w:r>
          </w:p>
        </w:tc>
        <w:tc>
          <w:tcPr>
            <w:tcW w:w="13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6,198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204,127</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292</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292</w:t>
            </w:r>
          </w:p>
        </w:tc>
      </w:tr>
      <w:tr>
        <w:trPr>
          <w:trHeight w:val="151"/>
        </w:trPr>
        <w:tc>
          <w:tcPr>
            <w:tcW w:w="10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44,365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36,325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26,180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6,080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9,617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75,654</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6,198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204,419</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53"/>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6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88"/>
        </w:trPr>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 w:type="dxa"/>
            <w:vAlign w:val="bottom"/>
          </w:tcPr>
          <w:p>
            <w:pPr>
              <w:spacing w:after="0"/>
              <w:rPr>
                <w:sz w:val="7"/>
                <w:szCs w:val="7"/>
                <w:color w:val="auto"/>
              </w:rPr>
            </w:pPr>
          </w:p>
        </w:tc>
        <w:tc>
          <w:tcPr>
            <w:tcW w:w="65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148,311</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337,938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184,024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104,182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182,714</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4,710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1,040,032</w:t>
            </w:r>
          </w:p>
        </w:tc>
      </w:tr>
      <w:tr>
        <w:trPr>
          <w:trHeight w:val="171"/>
        </w:trPr>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6,867</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694</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65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7,561</w:t>
            </w:r>
          </w:p>
        </w:tc>
      </w:tr>
      <w:tr>
        <w:trPr>
          <w:trHeight w:val="151"/>
        </w:trPr>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148,311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337,938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190,891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104,876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182,714</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4,710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1,047,593</w:t>
            </w:r>
          </w:p>
        </w:tc>
      </w:tr>
      <w:tr>
        <w:trPr>
          <w:trHeight w:val="171"/>
        </w:trPr>
        <w:tc>
          <w:tcPr>
            <w:tcW w:w="14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0"/>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1"/>
        </w:trPr>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industrial</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65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34,090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13,706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218,129</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330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1,298</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1,628</w:t>
            </w:r>
          </w:p>
        </w:tc>
      </w:tr>
      <w:tr>
        <w:trPr>
          <w:trHeight w:val="151"/>
        </w:trPr>
        <w:tc>
          <w:tcPr>
            <w:tcW w:w="10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34,420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15,004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219,757</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114,945</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114,945</w:t>
            </w:r>
          </w:p>
        </w:tc>
      </w:tr>
      <w:tr>
        <w:trPr>
          <w:trHeight w:val="151"/>
        </w:trPr>
        <w:tc>
          <w:tcPr>
            <w:tcW w:w="10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114,945</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0"/>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Consumer and other</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5"/>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loans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71,593</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74,387</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41,966</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615</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1,337</w:t>
            </w:r>
          </w:p>
        </w:tc>
        <w:tc>
          <w:tcPr>
            <w:tcW w:w="20" w:type="dxa"/>
            <w:vAlign w:val="bottom"/>
            <w:shd w:val="clear" w:color="auto" w:fill="CCEEFF"/>
          </w:tcPr>
          <w:p>
            <w:pPr>
              <w:spacing w:after="0"/>
              <w:rPr>
                <w:sz w:val="15"/>
                <w:szCs w:val="15"/>
                <w:color w:val="auto"/>
              </w:rPr>
            </w:pPr>
          </w:p>
        </w:tc>
        <w:tc>
          <w:tcPr>
            <w:tcW w:w="110" w:type="dxa"/>
            <w:vAlign w:val="bottom"/>
            <w:tcBorders>
              <w:bottom w:val="single" w:sz="8" w:color="auto"/>
            </w:tcBorders>
            <w:shd w:val="clear" w:color="auto" w:fill="CCEEFF"/>
          </w:tcPr>
          <w:p>
            <w:pPr>
              <w:spacing w:after="0"/>
              <w:rPr>
                <w:sz w:val="15"/>
                <w:szCs w:val="15"/>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r>
      <w:tr>
        <w:trPr>
          <w:trHeight w:val="151"/>
        </w:trPr>
        <w:tc>
          <w:tcPr>
            <w:tcW w:w="10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71,593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74,387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41,966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615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1,337</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191,930</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1400" w:type="dxa"/>
            <w:vAlign w:val="bottom"/>
            <w:gridSpan w:val="2"/>
          </w:tcPr>
          <w:p>
            <w:pPr>
              <w:ind w:left="20"/>
              <w:spacing w:after="0"/>
              <w:rPr>
                <w:sz w:val="20"/>
                <w:szCs w:val="20"/>
                <w:color w:val="auto"/>
              </w:rPr>
            </w:pPr>
            <w:r>
              <w:rPr>
                <w:rFonts w:ascii="Arial" w:cs="Arial" w:eastAsia="Arial" w:hAnsi="Arial"/>
                <w:sz w:val="13"/>
                <w:szCs w:val="13"/>
                <w:color w:val="auto"/>
              </w:rPr>
              <w:t>Total Loans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486,064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286,260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117,376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101,744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262,818</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1,769,163</w:t>
            </w:r>
          </w:p>
        </w:tc>
      </w:tr>
      <w:tr>
        <w:trPr>
          <w:trHeight w:val="171"/>
        </w:trPr>
        <w:tc>
          <w:tcPr>
            <w:tcW w:w="1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Special Mention</w:t>
            </w: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7,197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694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1,590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9,481</w:t>
            </w:r>
          </w:p>
        </w:tc>
      </w:tr>
      <w:tr>
        <w:trPr>
          <w:trHeight w:val="171"/>
        </w:trPr>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Doubtful</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65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r>
      <w:tr>
        <w:trPr>
          <w:trHeight w:val="151"/>
        </w:trPr>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486,064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293,457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118,070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103,334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262,818</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1,778,644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 The following tables include an aging analysis of accruing loans and total non-accruing loans as of March 31, 2024 and December 31, 2023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Accruing</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19"/>
        </w:trPr>
        <w:tc>
          <w:tcPr>
            <w:tcW w:w="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Past Due 90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left="76"/>
              <w:spacing w:after="0"/>
              <w:rPr>
                <w:sz w:val="20"/>
                <w:szCs w:val="20"/>
                <w:color w:val="auto"/>
              </w:rPr>
            </w:pPr>
            <w:r>
              <w:rPr>
                <w:rFonts w:ascii="Arial" w:cs="Arial" w:eastAsia="Arial" w:hAnsi="Arial"/>
                <w:sz w:val="13"/>
                <w:szCs w:val="13"/>
                <w:b w:val="1"/>
                <w:bCs w:val="1"/>
                <w:color w:val="auto"/>
                <w:w w:val="98"/>
              </w:rPr>
              <w:t>Days or &gt;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Past Due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0"/>
        </w:trPr>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As of March 31, 2024</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89 Days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3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548</w:t>
            </w:r>
          </w:p>
        </w:tc>
        <w:tc>
          <w:tcPr>
            <w:tcW w:w="18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548</w:t>
            </w: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189,847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189,847</w:t>
            </w:r>
          </w:p>
        </w:tc>
      </w:tr>
      <w:tr>
        <w:trPr>
          <w:trHeight w:val="171"/>
        </w:trPr>
        <w:tc>
          <w:tcPr>
            <w:tcW w:w="2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43,452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4,059</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47,511</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47,511</w:t>
            </w:r>
          </w:p>
        </w:tc>
      </w:tr>
      <w:tr>
        <w:trPr>
          <w:trHeight w:val="151"/>
        </w:trPr>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227,825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237,906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237,906</w:t>
            </w:r>
          </w:p>
        </w:tc>
      </w:tr>
      <w:tr>
        <w:trPr>
          <w:trHeight w:val="169"/>
        </w:trPr>
        <w:tc>
          <w:tcPr>
            <w:tcW w:w="23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21,100</w:t>
            </w: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211,813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211,813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211,813</w:t>
            </w: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56,072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57,990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57,990</w:t>
            </w: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766,003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766,876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766,876</w:t>
            </w:r>
          </w:p>
        </w:tc>
      </w:tr>
      <w:tr>
        <w:trPr>
          <w:trHeight w:val="165"/>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56"/>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1,055,009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2,791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1,057,800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1,057,800</w:t>
            </w: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208,590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208,650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209,106</w:t>
            </w:r>
          </w:p>
        </w:tc>
      </w:tr>
      <w:tr>
        <w:trPr>
          <w:trHeight w:val="165"/>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18,939</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18,939</w:t>
            </w:r>
          </w:p>
        </w:tc>
      </w:tr>
      <w:tr>
        <w:trPr>
          <w:trHeight w:val="156"/>
        </w:trPr>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227,085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227,589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228,045</w:t>
            </w:r>
          </w:p>
        </w:tc>
      </w:tr>
      <w:tr>
        <w:trPr>
          <w:trHeight w:val="171"/>
        </w:trPr>
        <w:tc>
          <w:tcPr>
            <w:tcW w:w="23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100,182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100,182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100,182</w:t>
            </w: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194,325</w:t>
            </w:r>
          </w:p>
        </w:tc>
      </w:tr>
      <w:tr>
        <w:trPr>
          <w:trHeight w:val="171"/>
        </w:trPr>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1,804,426</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13,376</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1,817,802</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1,818,258</w:t>
            </w:r>
          </w:p>
        </w:tc>
      </w:tr>
      <w:tr>
        <w:trPr>
          <w:trHeight w:val="20"/>
        </w:trPr>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19"/>
        </w:trPr>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Past Due 90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69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Past Due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As of December 31, 2023:</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30-89 Days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Accruing</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9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Home equity line of credit and other</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559</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559</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559</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155,842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156,553</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156,553</w:t>
            </w:r>
          </w:p>
        </w:tc>
      </w:tr>
      <w:tr>
        <w:trPr>
          <w:trHeight w:val="171"/>
        </w:trPr>
        <w:tc>
          <w:tcPr>
            <w:tcW w:w="2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43,572</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47,307</w:t>
            </w: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47,307</w:t>
            </w:r>
          </w:p>
        </w:tc>
      </w:tr>
      <w:tr>
        <w:trPr>
          <w:trHeight w:val="151"/>
        </w:trPr>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199,973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4,446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204,419</w:t>
            </w:r>
          </w:p>
        </w:tc>
      </w:tr>
      <w:tr>
        <w:trPr>
          <w:trHeight w:val="171"/>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33,710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33,710</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33,710</w:t>
            </w: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181,287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181,287</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181,287</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58,106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58,106</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58,106</w:t>
            </w: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772,569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774,459</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774,459</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r>
      <w:tr>
        <w:trPr>
          <w:trHeight w:val="151"/>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1,045,703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1,890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1,047,593</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1,047,593</w:t>
            </w:r>
          </w:p>
        </w:tc>
      </w:tr>
      <w:tr>
        <w:trPr>
          <w:trHeight w:val="17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ind w:left="12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200,235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200,264</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200,732</w:t>
            </w:r>
          </w:p>
        </w:tc>
      </w:tr>
      <w:tr>
        <w:trPr>
          <w:trHeight w:val="165"/>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19,025</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19,025</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19,025</w:t>
            </w:r>
          </w:p>
        </w:tc>
      </w:tr>
      <w:tr>
        <w:trPr>
          <w:trHeight w:val="156"/>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219,260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219,289</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219,757</w:t>
            </w:r>
          </w:p>
        </w:tc>
      </w:tr>
      <w:tr>
        <w:trPr>
          <w:trHeight w:val="171"/>
        </w:trPr>
        <w:tc>
          <w:tcPr>
            <w:tcW w:w="238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114,945</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114,945</w:t>
            </w:r>
          </w:p>
        </w:tc>
      </w:tr>
      <w:tr>
        <w:trPr>
          <w:trHeight w:val="17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1,771,811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6,365</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1,778,176</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1,778,644</w:t>
            </w:r>
          </w:p>
        </w:tc>
      </w:tr>
      <w:tr>
        <w:trPr>
          <w:trHeight w:val="20"/>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6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loans on non-accrual status and loans past due over 90 days and still accruing as of March 31, 2024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363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March 31, 2024</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36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Loans Past</w:t>
            </w: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363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line="139" w:lineRule="exact"/>
              <w:rPr>
                <w:sz w:val="20"/>
                <w:szCs w:val="20"/>
                <w:color w:val="auto"/>
              </w:rPr>
            </w:pPr>
            <w:r>
              <w:rPr>
                <w:rFonts w:ascii="Arial" w:cs="Arial" w:eastAsia="Arial" w:hAnsi="Arial"/>
                <w:sz w:val="13"/>
                <w:szCs w:val="13"/>
                <w:b w:val="1"/>
                <w:bCs w:val="1"/>
                <w:color w:val="auto"/>
                <w:w w:val="99"/>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39" w:lineRule="exact"/>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10" w:type="dxa"/>
            <w:vAlign w:val="bottom"/>
            <w:vMerge w:val="restart"/>
          </w:tcPr>
          <w:p>
            <w:pPr>
              <w:jc w:val="center"/>
              <w:ind w:right="66"/>
              <w:spacing w:after="0"/>
              <w:rPr>
                <w:sz w:val="20"/>
                <w:szCs w:val="20"/>
                <w:color w:val="auto"/>
              </w:rPr>
            </w:pPr>
            <w:r>
              <w:rPr>
                <w:rFonts w:ascii="Arial" w:cs="Arial" w:eastAsia="Arial" w:hAnsi="Arial"/>
                <w:sz w:val="13"/>
                <w:szCs w:val="13"/>
                <w:b w:val="1"/>
                <w:bCs w:val="1"/>
                <w:color w:val="auto"/>
                <w:w w:val="96"/>
              </w:rPr>
              <w:t>Total Non-</w:t>
            </w:r>
          </w:p>
        </w:tc>
        <w:tc>
          <w:tcPr>
            <w:tcW w:w="60" w:type="dxa"/>
            <w:vAlign w:val="bottom"/>
          </w:tcPr>
          <w:p>
            <w:pPr>
              <w:spacing w:after="0"/>
              <w:rPr>
                <w:sz w:val="12"/>
                <w:szCs w:val="12"/>
                <w:color w:val="auto"/>
              </w:rPr>
            </w:pPr>
          </w:p>
        </w:tc>
        <w:tc>
          <w:tcPr>
            <w:tcW w:w="9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7"/>
              </w:rPr>
              <w:t>Due Over 90</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3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No 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1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Days and Still</w:t>
            </w: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3630" w:type="dxa"/>
            <w:vAlign w:val="bottom"/>
            <w:tcBorders>
              <w:bottom w:val="single" w:sz="8" w:color="CCEEFF"/>
            </w:tcBorders>
          </w:tcPr>
          <w:p>
            <w:pPr>
              <w:spacing w:after="0"/>
              <w:rPr>
                <w:sz w:val="13"/>
                <w:szCs w:val="13"/>
                <w:color w:val="auto"/>
              </w:rPr>
            </w:pPr>
          </w:p>
        </w:tc>
        <w:tc>
          <w:tcPr>
            <w:tcW w:w="5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81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8"/>
              </w:rPr>
              <w:t>accruals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Accruing</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363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gridSpan w:val="3"/>
          </w:tcPr>
          <w:p>
            <w:pPr>
              <w:ind w:left="12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363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gridSpan w:val="3"/>
          </w:tcPr>
          <w:p>
            <w:pPr>
              <w:ind w:left="120"/>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1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3630" w:type="dxa"/>
            <w:vAlign w:val="bottom"/>
            <w:shd w:val="clear" w:color="auto" w:fill="CCEEFF"/>
          </w:tcPr>
          <w:p>
            <w:pPr>
              <w:spacing w:after="0"/>
              <w:rPr>
                <w:sz w:val="14"/>
                <w:szCs w:val="14"/>
                <w:color w:val="auto"/>
              </w:rPr>
            </w:pP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456</w:t>
            </w:r>
          </w:p>
        </w:tc>
        <w:tc>
          <w:tcPr>
            <w:tcW w:w="60" w:type="dxa"/>
            <w:vAlign w:val="bottom"/>
            <w:gridSpan w:val="2"/>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456</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20" w:type="dxa"/>
            <w:vAlign w:val="bottom"/>
          </w:tcPr>
          <w:p>
            <w:pPr>
              <w:spacing w:after="0"/>
              <w:rPr>
                <w:sz w:val="24"/>
                <w:szCs w:val="24"/>
                <w:color w:val="auto"/>
              </w:rPr>
            </w:pPr>
          </w:p>
        </w:tc>
        <w:tc>
          <w:tcPr>
            <w:tcW w:w="36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0" w:type="dxa"/>
            <w:vAlign w:val="bottom"/>
          </w:tcPr>
          <w:p>
            <w:pPr>
              <w:spacing w:after="0"/>
              <w:rPr>
                <w:sz w:val="24"/>
                <w:szCs w:val="24"/>
                <w:color w:val="auto"/>
              </w:rPr>
            </w:pPr>
          </w:p>
        </w:tc>
        <w:tc>
          <w:tcPr>
            <w:tcW w:w="36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Loans Past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3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9"/>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Due Over 90</w:t>
            </w: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363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line="139" w:lineRule="exact"/>
              <w:rPr>
                <w:sz w:val="20"/>
                <w:szCs w:val="20"/>
                <w:color w:val="auto"/>
              </w:rPr>
            </w:pPr>
            <w:r>
              <w:rPr>
                <w:rFonts w:ascii="Arial" w:cs="Arial" w:eastAsia="Arial" w:hAnsi="Arial"/>
                <w:sz w:val="13"/>
                <w:szCs w:val="13"/>
                <w:b w:val="1"/>
                <w:bCs w:val="1"/>
                <w:color w:val="auto"/>
                <w:w w:val="97"/>
              </w:rPr>
              <w:t>No 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39" w:lineRule="exact"/>
              <w:rPr>
                <w:sz w:val="20"/>
                <w:szCs w:val="20"/>
                <w:color w:val="auto"/>
              </w:rPr>
            </w:pPr>
            <w:r>
              <w:rPr>
                <w:rFonts w:ascii="Arial" w:cs="Arial" w:eastAsia="Arial" w:hAnsi="Arial"/>
                <w:sz w:val="13"/>
                <w:szCs w:val="13"/>
                <w:b w:val="1"/>
                <w:bCs w:val="1"/>
                <w:color w:val="auto"/>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10" w:type="dxa"/>
            <w:vAlign w:val="bottom"/>
          </w:tcPr>
          <w:p>
            <w:pPr>
              <w:jc w:val="center"/>
              <w:ind w:right="66"/>
              <w:spacing w:after="0" w:line="139" w:lineRule="exact"/>
              <w:rPr>
                <w:sz w:val="20"/>
                <w:szCs w:val="20"/>
                <w:color w:val="auto"/>
              </w:rPr>
            </w:pPr>
            <w:r>
              <w:rPr>
                <w:rFonts w:ascii="Arial" w:cs="Arial" w:eastAsia="Arial" w:hAnsi="Arial"/>
                <w:sz w:val="13"/>
                <w:szCs w:val="13"/>
                <w:b w:val="1"/>
                <w:bCs w:val="1"/>
                <w:color w:val="auto"/>
                <w:w w:val="96"/>
              </w:rPr>
              <w:t>Total Non-</w:t>
            </w:r>
          </w:p>
        </w:tc>
        <w:tc>
          <w:tcPr>
            <w:tcW w:w="60" w:type="dxa"/>
            <w:vAlign w:val="bottom"/>
          </w:tcPr>
          <w:p>
            <w:pPr>
              <w:spacing w:after="0"/>
              <w:rPr>
                <w:sz w:val="12"/>
                <w:szCs w:val="12"/>
                <w:color w:val="auto"/>
              </w:rPr>
            </w:pPr>
          </w:p>
        </w:tc>
        <w:tc>
          <w:tcPr>
            <w:tcW w:w="9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8"/>
              </w:rPr>
              <w:t>Days and Still</w:t>
            </w: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3630" w:type="dxa"/>
            <w:vAlign w:val="bottom"/>
            <w:tcBorders>
              <w:bottom w:val="single" w:sz="8" w:color="CCEEFF"/>
            </w:tcBorders>
          </w:tcPr>
          <w:p>
            <w:pPr>
              <w:spacing w:after="0"/>
              <w:rPr>
                <w:sz w:val="13"/>
                <w:szCs w:val="13"/>
                <w:color w:val="auto"/>
              </w:rPr>
            </w:pPr>
          </w:p>
        </w:tc>
        <w:tc>
          <w:tcPr>
            <w:tcW w:w="5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81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8"/>
              </w:rPr>
              <w:t>accruals</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Accruing</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363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gridSpan w:val="3"/>
          </w:tcPr>
          <w:p>
            <w:pPr>
              <w:ind w:left="12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363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gridSpan w:val="3"/>
          </w:tcPr>
          <w:p>
            <w:pPr>
              <w:ind w:left="120"/>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1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3630" w:type="dxa"/>
            <w:vAlign w:val="bottom"/>
            <w:shd w:val="clear" w:color="auto" w:fill="CCEEFF"/>
          </w:tcPr>
          <w:p>
            <w:pPr>
              <w:spacing w:after="0"/>
              <w:rPr>
                <w:sz w:val="14"/>
                <w:szCs w:val="14"/>
                <w:color w:val="auto"/>
              </w:rPr>
            </w:pP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60" w:type="dxa"/>
            <w:vAlign w:val="bottom"/>
            <w:gridSpan w:val="2"/>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three months ended March 31, 2024 and 2023. Interest income on these loans for the three months ended March 31, 2024 and 2023, would have been approximately $9 thousand and $2 thousand, respectively, had these loans performed in accordance with their original terms.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5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no collateral dependent loans as of March 31, 2024, or as of December 31, 2023.</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59"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following table presents newly restructured loans, by type of modification, which occurred during the three months ended March 31, 2024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3000" w:type="dxa"/>
            <w:vAlign w:val="bottom"/>
            <w:tcBorders>
              <w:bottom w:val="single" w:sz="8" w:color="auto"/>
            </w:tcBorders>
            <w:gridSpan w:val="8"/>
          </w:tcPr>
          <w:p>
            <w:pPr>
              <w:jc w:val="right"/>
              <w:ind w:right="136"/>
              <w:spacing w:after="0"/>
              <w:rPr>
                <w:sz w:val="20"/>
                <w:szCs w:val="20"/>
                <w:color w:val="auto"/>
              </w:rPr>
            </w:pPr>
            <w:r>
              <w:rPr>
                <w:rFonts w:ascii="Arial" w:cs="Arial" w:eastAsia="Arial" w:hAnsi="Arial"/>
                <w:sz w:val="13"/>
                <w:szCs w:val="13"/>
                <w:b w:val="1"/>
                <w:bCs w:val="1"/>
                <w:color w:val="auto"/>
              </w:rPr>
              <w:t>Recorded Investment Prior to Modification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bottom w:val="single" w:sz="8" w:color="auto"/>
            </w:tcBorders>
            <w:gridSpan w:val="9"/>
          </w:tcPr>
          <w:p>
            <w:pPr>
              <w:jc w:val="right"/>
              <w:ind w:right="236"/>
              <w:spacing w:after="0"/>
              <w:rPr>
                <w:sz w:val="20"/>
                <w:szCs w:val="20"/>
                <w:color w:val="auto"/>
              </w:rPr>
            </w:pPr>
            <w:r>
              <w:rPr>
                <w:rFonts w:ascii="Arial" w:cs="Arial" w:eastAsia="Arial" w:hAnsi="Arial"/>
                <w:sz w:val="13"/>
                <w:szCs w:val="13"/>
                <w:b w:val="1"/>
                <w:bCs w:val="1"/>
                <w:color w:val="auto"/>
              </w:rPr>
              <w:t>Recorded Investment After Modification</w:t>
            </w:r>
          </w:p>
        </w:tc>
      </w:tr>
      <w:tr>
        <w:trPr>
          <w:trHeight w:val="172"/>
        </w:trPr>
        <w:tc>
          <w:tcPr>
            <w:tcW w:w="16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76"/>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r>
      <w:tr>
        <w:trPr>
          <w:trHeight w:val="160"/>
        </w:trPr>
        <w:tc>
          <w:tcPr>
            <w:tcW w:w="1640" w:type="dxa"/>
            <w:vAlign w:val="bottom"/>
          </w:tcPr>
          <w:p>
            <w:pPr>
              <w:spacing w:after="0"/>
              <w:rPr>
                <w:sz w:val="13"/>
                <w:szCs w:val="13"/>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b w:val="1"/>
                <w:bCs w:val="1"/>
                <w:color w:val="auto"/>
              </w:rPr>
              <w:t>Loans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Modifications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Modifications</w:t>
            </w:r>
          </w:p>
        </w:tc>
      </w:tr>
      <w:tr>
        <w:trPr>
          <w:trHeight w:val="151"/>
        </w:trPr>
        <w:tc>
          <w:tcPr>
            <w:tcW w:w="16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gridSpan w:val="2"/>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Consumer and other</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6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r>
      <w:tr>
        <w:trPr>
          <w:trHeight w:val="20"/>
        </w:trPr>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had no new modifications and one new modification to borrowers experiencing financial difficulties for the three months ended March 31, 2024. There were no existing loan modifications that subsequently defaulted during the three months ended March 31, 2024. The Company did not have new modifications to borrowers experiencing financial difficulties and no loan modifications that subsequently defaulted during for the three months ended March 31, 2023.</w:t>
      </w:r>
    </w:p>
    <w:p>
      <w:pPr>
        <w:spacing w:after="0" w:line="135" w:lineRule="exact"/>
        <w:rPr>
          <w:sz w:val="20"/>
          <w:szCs w:val="20"/>
          <w:color w:val="auto"/>
        </w:rPr>
      </w:pPr>
    </w:p>
    <w:p>
      <w:pPr>
        <w:ind w:left="1040" w:hanging="377"/>
        <w:spacing w:after="0"/>
        <w:tabs>
          <w:tab w:leader="none" w:pos="10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provision for income taxes is presented in the following table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3"/>
                <w:szCs w:val="13"/>
                <w:b w:val="1"/>
                <w:bCs w:val="1"/>
                <w:color w:val="auto"/>
              </w:rPr>
              <w:t>Three Months Ended March 31,</w:t>
            </w:r>
          </w:p>
        </w:tc>
      </w:tr>
      <w:tr>
        <w:trPr>
          <w:trHeight w:val="161"/>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2023</w:t>
            </w:r>
          </w:p>
        </w:tc>
      </w:tr>
      <w:tr>
        <w:trPr>
          <w:trHeight w:val="151"/>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160"/>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100" w:type="dxa"/>
            <w:vAlign w:val="bottom"/>
            <w:shd w:val="clear" w:color="auto" w:fill="CCEEFF"/>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12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1,472</w:t>
            </w:r>
          </w:p>
        </w:tc>
      </w:tr>
      <w:tr>
        <w:trPr>
          <w:trHeight w:val="160"/>
        </w:trPr>
        <w:tc>
          <w:tcPr>
            <w:tcW w:w="100" w:type="dxa"/>
            <w:vAlign w:val="bottom"/>
            <w:shd w:val="clear" w:color="auto" w:fill="CCEEFF"/>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w:t>
            </w:r>
          </w:p>
        </w:tc>
      </w:tr>
      <w:tr>
        <w:trPr>
          <w:trHeight w:val="151"/>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deferred</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1,881</w:t>
            </w:r>
          </w:p>
        </w:tc>
      </w:tr>
      <w:tr>
        <w:trPr>
          <w:trHeight w:val="161"/>
        </w:trPr>
        <w:tc>
          <w:tcPr>
            <w:tcW w:w="100" w:type="dxa"/>
            <w:vAlign w:val="bottom"/>
            <w:tcBorders>
              <w:bottom w:val="single" w:sz="8" w:color="CCEEFF"/>
            </w:tcBorders>
            <w:shd w:val="clear" w:color="auto" w:fill="CCEEFF"/>
          </w:tcPr>
          <w:p>
            <w:pPr>
              <w:spacing w:after="0"/>
              <w:rPr>
                <w:sz w:val="14"/>
                <w:szCs w:val="14"/>
                <w:color w:val="auto"/>
              </w:rPr>
            </w:pPr>
          </w:p>
        </w:tc>
        <w:tc>
          <w:tcPr>
            <w:tcW w:w="502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tax expense</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1,426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1,881</w:t>
            </w: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actual income tax expense for the three months ended March 31, 2024 and 2023 differs from the statutory tax expense for the periods (computed by applying the U.S. federal corporate tax rate of 21% for both 2024 and 2023 to income before provision for income taxes) as follows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3"/>
                <w:szCs w:val="13"/>
                <w:b w:val="1"/>
                <w:bCs w:val="1"/>
                <w:color w:val="auto"/>
              </w:rPr>
              <w:t>Three Months Ended March 31,</w:t>
            </w:r>
          </w:p>
        </w:tc>
      </w:tr>
      <w:tr>
        <w:trPr>
          <w:trHeight w:val="161"/>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2023</w:t>
            </w:r>
          </w:p>
        </w:tc>
      </w:tr>
      <w:tr>
        <w:trPr>
          <w:trHeight w:val="140"/>
        </w:trPr>
        <w:tc>
          <w:tcPr>
            <w:tcW w:w="512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Federal taxes at statutory rate</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1,268</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1,615</w:t>
            </w:r>
          </w:p>
        </w:tc>
      </w:tr>
      <w:tr>
        <w:trPr>
          <w:trHeight w:val="160"/>
        </w:trPr>
        <w:tc>
          <w:tcPr>
            <w:tcW w:w="512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334</w:t>
            </w:r>
          </w:p>
        </w:tc>
      </w:tr>
      <w:tr>
        <w:trPr>
          <w:trHeight w:val="160"/>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net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1,881</w:t>
            </w: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0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March 31, 2024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operating loss</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15,369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16,430</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5,410</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2,895</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losses on available for sale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15,114</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Depreciable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compensation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Accruals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382</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1"/>
        </w:trPr>
        <w:tc>
          <w:tcPr>
            <w:tcW w:w="5040" w:type="dxa"/>
            <w:vAlign w:val="bottom"/>
          </w:tcPr>
          <w:p>
            <w:pPr>
              <w:spacing w:after="0"/>
              <w:rPr>
                <w:sz w:val="20"/>
                <w:szCs w:val="20"/>
                <w:color w:val="auto"/>
              </w:rPr>
            </w:pPr>
            <w:r>
              <w:rPr>
                <w:rFonts w:ascii="Arial" w:cs="Arial" w:eastAsia="Arial" w:hAnsi="Arial"/>
                <w:sz w:val="13"/>
                <w:szCs w:val="13"/>
                <w:color w:val="auto"/>
              </w:rPr>
              <w:t>Deferred tax 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40,126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41,074</w:t>
            </w:r>
          </w:p>
        </w:tc>
      </w:tr>
      <w:tr>
        <w:trPr>
          <w:trHeight w:val="171"/>
        </w:trPr>
        <w:tc>
          <w:tcPr>
            <w:tcW w:w="5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3"/>
                <w:szCs w:val="13"/>
                <w:b w:val="1"/>
                <w:bCs w:val="1"/>
                <w:color w:val="auto"/>
              </w:rPr>
              <w:t>Deferred tax liabilities: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loan cost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Lease right of use asset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(2,895)</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expenses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Cash flow hedge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51"/>
        </w:trPr>
        <w:tc>
          <w:tcPr>
            <w:tcW w:w="504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(3,877)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(3,792)</w:t>
            </w:r>
          </w:p>
        </w:tc>
      </w:tr>
      <w:tr>
        <w:trPr>
          <w:trHeight w:val="171"/>
        </w:trPr>
        <w:tc>
          <w:tcPr>
            <w:tcW w:w="5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r>
      <w:tr>
        <w:trPr>
          <w:trHeight w:val="161"/>
        </w:trPr>
        <w:tc>
          <w:tcPr>
            <w:tcW w:w="504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36,249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37,282</w:t>
            </w: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has approximately $56.8 million of federal and $ 79.5 million of state net operating loss carryforwards expiring in various amounts between 2031 and 2036 and which are limited to offset, to the extent permitted, future taxable earnings of the Company.</w:t>
      </w:r>
    </w:p>
    <w:p>
      <w:pPr>
        <w:spacing w:after="0" w:line="11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examinations by tax authorities for years before 2020.</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For the three months ended March 31, 2024 and 2023, the Company did not have any unrecognized tax benefits as a result of tax positions taken during a prior period or during the current period. Additionally, no interest or penalties were recorded as a result of tax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27"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March 31, 2024 and December 31, 2023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Borders>
              <w:bottom w:val="single" w:sz="8" w:color="CCEEFF"/>
            </w:tcBorders>
          </w:tcPr>
          <w:p>
            <w:pPr>
              <w:spacing w:after="0"/>
              <w:rPr>
                <w:sz w:val="13"/>
                <w:szCs w:val="13"/>
                <w:color w:val="auto"/>
              </w:rPr>
            </w:pPr>
          </w:p>
        </w:tc>
        <w:tc>
          <w:tcPr>
            <w:tcW w:w="4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March 31, 2024</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2023</w:t>
            </w:r>
          </w:p>
        </w:tc>
      </w:tr>
      <w:tr>
        <w:trPr>
          <w:trHeight w:val="151"/>
        </w:trPr>
        <w:tc>
          <w:tcPr>
            <w:tcW w:w="48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99,224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85,117</w:t>
            </w: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102,498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89,104</w:t>
            </w: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35" w:lineRule="exact"/>
        <w:rPr>
          <w:sz w:val="20"/>
          <w:szCs w:val="20"/>
          <w:color w:val="auto"/>
        </w:rPr>
      </w:pPr>
    </w:p>
    <w:p>
      <w:pPr>
        <w:ind w:left="1040" w:hanging="377"/>
        <w:spacing w:after="0"/>
        <w:tabs>
          <w:tab w:leader="none" w:pos="10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1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a Cash Flow Hedge</w:t>
      </w:r>
    </w:p>
    <w:p>
      <w:pPr>
        <w:spacing w:after="0" w:line="15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March 31, 2024, the Company had two interest rate swap agreements with a notional aggregate amount of $50 million that were designated as cash flow hedges of certificates of deposit. The interest rate swap agreements have an average maturity of 2.13 years, the weighted average fixed-rate paid of 3.59%, and with the weighted average 3-month compound SOFR being received.</w:t>
      </w:r>
    </w:p>
    <w:p>
      <w:pPr>
        <w:spacing w:after="0" w:line="135"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2023, the Company had two interest rate swap agreements with a notional aggregate amount of $50 million that were designated as cash flow hedges of certificates of deposit. The interest rate swap agreements have an average maturity of 2.38 years, the weighted average fixed-rate paid of 3.59%, with the weighted average 3-month compound SOFR being received.</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(loss) and subsequently reclassified to earnings when gains or losses are realized.</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w:t>
      </w: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March 31, 2024, the Company had four interest rate swap agreements with a notional aggregate amount of $200 million that were designated as fair value hedges on loans. The interest rate swap agreements have an average maturity of 1.98 years, the weighted average fixed-rate paid is 4.74%, with the weighted average 3-month compound SOFR being received.</w:t>
      </w:r>
    </w:p>
    <w:p>
      <w:pPr>
        <w:spacing w:after="0" w:line="135"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December 31, 2023, the Company had four interest rate swap agreements with a notional aggregate amount of $200 million that were designated as fair value hedges on loans. The interest rate swap agreements have an average maturity of 2.23 years, the weighted average fixed-rate paid is 4.74%, with the weighted average 3-month compound SOFR being received.</w:t>
      </w:r>
    </w:p>
    <w:p>
      <w:pPr>
        <w:spacing w:after="0" w:line="124"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the assets being hedged.</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enters into interest rate swaps with its loan customers. The Company had 25 and 20 interest rate swaps with loan customers with an aggregate notional amount of $65.8 million and $46.5 million at March 31, 2024 and December 31, 2023, respectively. These interest rate swaps mature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interest rate swaps at the dates indicated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ind w:right="150"/>
              <w:spacing w:after="0"/>
              <w:rPr>
                <w:sz w:val="20"/>
                <w:szCs w:val="20"/>
                <w:color w:val="auto"/>
              </w:rPr>
            </w:pPr>
            <w:r>
              <w:rPr>
                <w:rFonts w:ascii="Arial" w:cs="Arial" w:eastAsia="Arial" w:hAnsi="Arial"/>
                <w:sz w:val="10"/>
                <w:szCs w:val="10"/>
                <w:b w:val="1"/>
                <w:bCs w:val="1"/>
                <w:color w:val="auto"/>
                <w:w w:val="99"/>
              </w:rPr>
              <w:t>Notional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Collateral</w:t>
            </w: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83"/>
        </w:trPr>
        <w:tc>
          <w:tcPr>
            <w:tcW w:w="3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17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3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1"/>
                <w:szCs w:val="11"/>
                <w:color w:val="auto"/>
              </w:rPr>
            </w:pPr>
          </w:p>
        </w:tc>
        <w:tc>
          <w:tcPr>
            <w:tcW w:w="1660" w:type="dxa"/>
            <w:vAlign w:val="bottom"/>
            <w:gridSpan w:val="2"/>
          </w:tcPr>
          <w:p>
            <w:pPr>
              <w:ind w:left="240"/>
              <w:spacing w:after="0"/>
              <w:rPr>
                <w:sz w:val="20"/>
                <w:szCs w:val="20"/>
                <w:color w:val="auto"/>
              </w:rPr>
            </w:pPr>
            <w:r>
              <w:rPr>
                <w:rFonts w:ascii="Arial" w:cs="Arial" w:eastAsia="Arial" w:hAnsi="Arial"/>
                <w:sz w:val="10"/>
                <w:szCs w:val="10"/>
                <w:b w:val="1"/>
                <w:bCs w:val="1"/>
                <w:color w:val="auto"/>
              </w:rPr>
              <w:t>Balance Sheet Location</w:t>
            </w:r>
          </w:p>
        </w:tc>
        <w:tc>
          <w:tcPr>
            <w:tcW w:w="100" w:type="dxa"/>
            <w:vAlign w:val="bottom"/>
          </w:tcPr>
          <w:p>
            <w:pPr>
              <w:spacing w:after="0"/>
              <w:rPr>
                <w:sz w:val="11"/>
                <w:szCs w:val="11"/>
                <w:color w:val="auto"/>
              </w:rPr>
            </w:pPr>
          </w:p>
        </w:tc>
        <w:tc>
          <w:tcPr>
            <w:tcW w:w="560" w:type="dxa"/>
            <w:vAlign w:val="bottom"/>
          </w:tcPr>
          <w:p>
            <w:pPr>
              <w:jc w:val="right"/>
              <w:ind w:right="150"/>
              <w:spacing w:after="0"/>
              <w:rPr>
                <w:sz w:val="20"/>
                <w:szCs w:val="20"/>
                <w:color w:val="auto"/>
              </w:rPr>
            </w:pPr>
            <w:r>
              <w:rPr>
                <w:rFonts w:ascii="Arial" w:cs="Arial" w:eastAsia="Arial" w:hAnsi="Arial"/>
                <w:sz w:val="10"/>
                <w:szCs w:val="10"/>
                <w:b w:val="1"/>
                <w:bCs w:val="1"/>
                <w:color w:val="auto"/>
              </w:rPr>
              <w:t>Asset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108"/>
        </w:trPr>
        <w:tc>
          <w:tcPr>
            <w:tcW w:w="310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0"/>
                <w:szCs w:val="10"/>
                <w:b w:val="1"/>
                <w:bCs w:val="1"/>
                <w:color w:val="auto"/>
              </w:rPr>
              <w:t>March 31, 2024:</w:t>
            </w: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120"/>
              <w:spacing w:after="0"/>
              <w:rPr>
                <w:sz w:val="20"/>
                <w:szCs w:val="20"/>
                <w:color w:val="auto"/>
              </w:rPr>
            </w:pPr>
            <w:r>
              <w:rPr>
                <w:rFonts w:ascii="Arial" w:cs="Arial" w:eastAsia="Arial" w:hAnsi="Arial"/>
                <w:sz w:val="10"/>
                <w:szCs w:val="10"/>
                <w:color w:val="auto"/>
              </w:rPr>
              <w:t>Derivatives designated as cash flow hedges: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852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Derivatives designated as hedging instruments: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220"/>
              <w:spacing w:after="0"/>
              <w:rPr>
                <w:sz w:val="20"/>
                <w:szCs w:val="20"/>
                <w:color w:val="auto"/>
              </w:rPr>
            </w:pPr>
            <w:r>
              <w:rPr>
                <w:rFonts w:ascii="Arial" w:cs="Arial" w:eastAsia="Arial" w:hAnsi="Arial"/>
                <w:sz w:val="10"/>
                <w:szCs w:val="10"/>
                <w:color w:val="auto"/>
              </w:rPr>
              <w:t>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30"/>
              <w:spacing w:after="0"/>
              <w:rPr>
                <w:sz w:val="20"/>
                <w:szCs w:val="20"/>
                <w:color w:val="auto"/>
              </w:rPr>
            </w:pPr>
            <w:r>
              <w:rPr>
                <w:rFonts w:ascii="Arial" w:cs="Arial" w:eastAsia="Arial" w:hAnsi="Arial"/>
                <w:sz w:val="10"/>
                <w:szCs w:val="10"/>
                <w:color w:val="auto"/>
              </w:rPr>
              <w:t>200,000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1,005</w:t>
            </w: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120"/>
              <w:spacing w:after="0"/>
              <w:rPr>
                <w:sz w:val="20"/>
                <w:szCs w:val="20"/>
                <w:color w:val="auto"/>
              </w:rPr>
            </w:pPr>
            <w:r>
              <w:rPr>
                <w:rFonts w:ascii="Arial" w:cs="Arial" w:eastAsia="Arial" w:hAnsi="Arial"/>
                <w:sz w:val="10"/>
                <w:szCs w:val="10"/>
                <w:color w:val="auto"/>
              </w:rPr>
              <w:t>Derivatives not designated as hedging instruments: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 related to customer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65,768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1,344</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assets/Other liabilities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4,941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4,941</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2023: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120"/>
              <w:spacing w:after="0"/>
              <w:rPr>
                <w:sz w:val="20"/>
                <w:szCs w:val="20"/>
                <w:color w:val="auto"/>
              </w:rPr>
            </w:pPr>
            <w:r>
              <w:rPr>
                <w:rFonts w:ascii="Arial" w:cs="Arial" w:eastAsia="Arial" w:hAnsi="Arial"/>
                <w:sz w:val="10"/>
                <w:szCs w:val="10"/>
                <w:color w:val="auto"/>
              </w:rPr>
              <w:t>Derivatives designated as cash flow hedges: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Derivatives designated as fair value hedges: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220"/>
              <w:spacing w:after="0"/>
              <w:rPr>
                <w:sz w:val="20"/>
                <w:szCs w:val="20"/>
                <w:color w:val="auto"/>
              </w:rPr>
            </w:pPr>
            <w:r>
              <w:rPr>
                <w:rFonts w:ascii="Arial" w:cs="Arial" w:eastAsia="Arial" w:hAnsi="Arial"/>
                <w:sz w:val="10"/>
                <w:szCs w:val="10"/>
                <w:color w:val="auto"/>
              </w:rPr>
              <w:t>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30"/>
              <w:spacing w:after="0"/>
              <w:rPr>
                <w:sz w:val="20"/>
                <w:szCs w:val="20"/>
                <w:color w:val="auto"/>
              </w:rPr>
            </w:pPr>
            <w:r>
              <w:rPr>
                <w:rFonts w:ascii="Arial" w:cs="Arial" w:eastAsia="Arial" w:hAnsi="Arial"/>
                <w:sz w:val="10"/>
                <w:szCs w:val="10"/>
                <w:color w:val="auto"/>
              </w:rPr>
              <w:t>200,000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3,430</w:t>
            </w: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120"/>
              <w:spacing w:after="0"/>
              <w:rPr>
                <w:sz w:val="20"/>
                <w:szCs w:val="20"/>
                <w:color w:val="auto"/>
              </w:rPr>
            </w:pPr>
            <w:r>
              <w:rPr>
                <w:rFonts w:ascii="Arial" w:cs="Arial" w:eastAsia="Arial" w:hAnsi="Arial"/>
                <w:sz w:val="10"/>
                <w:szCs w:val="10"/>
                <w:color w:val="auto"/>
              </w:rPr>
              <w:t>Derivatives not designated as hedging instruments: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Interest rate swaps related to customer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46,463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1,326</w:t>
            </w:r>
          </w:p>
        </w:tc>
        <w:tc>
          <w:tcPr>
            <w:tcW w:w="60" w:type="dxa"/>
            <w:vAlign w:val="bottom"/>
            <w:shd w:val="clear" w:color="auto" w:fill="CCEEFF"/>
          </w:tcPr>
          <w:p>
            <w:pPr>
              <w:spacing w:after="0"/>
              <w:rPr>
                <w:sz w:val="11"/>
                <w:szCs w:val="11"/>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assets/Other liabilities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4,558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4,558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40" w:hanging="377"/>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1" w:lineRule="exact"/>
        <w:rPr>
          <w:sz w:val="20"/>
          <w:szCs w:val="20"/>
          <w:color w:val="auto"/>
        </w:rPr>
      </w:pPr>
    </w:p>
    <w:p>
      <w:pPr>
        <w:jc w:val="both"/>
        <w:ind w:left="660" w:right="699" w:firstLine="256"/>
        <w:spacing w:after="0" w:line="286" w:lineRule="auto"/>
        <w:rPr>
          <w:sz w:val="20"/>
          <w:szCs w:val="20"/>
          <w:color w:val="auto"/>
        </w:rPr>
      </w:pPr>
      <w:r>
        <w:rPr>
          <w:rFonts w:ascii="Arial" w:cs="Arial" w:eastAsia="Arial" w:hAnsi="Arial"/>
          <w:sz w:val="13"/>
          <w:szCs w:val="13"/>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w:t>
      </w:r>
    </w:p>
    <w:p>
      <w:pPr>
        <w:spacing w:after="0" w:line="1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5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28"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24"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5" w:lineRule="exact"/>
        <w:rPr>
          <w:sz w:val="20"/>
          <w:szCs w:val="20"/>
          <w:color w:val="auto"/>
        </w:rPr>
      </w:pPr>
    </w:p>
    <w:p>
      <w:pPr>
        <w:jc w:val="both"/>
        <w:ind w:left="1180" w:right="699"/>
        <w:spacing w:after="0" w:line="256"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5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March 31, 2024 and December 31, 2023 for each of the fair value hierarchy levels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 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December 31, 2023</w:t>
            </w:r>
          </w:p>
        </w:tc>
        <w:tc>
          <w:tcPr>
            <w:tcW w:w="640" w:type="dxa"/>
            <w:vAlign w:val="bottom"/>
            <w:tcBorders>
              <w:bottom w:val="single" w:sz="8" w:color="auto"/>
            </w:tcBorders>
          </w:tcPr>
          <w:p>
            <w:pPr>
              <w:spacing w:after="0"/>
              <w:rPr>
                <w:sz w:val="13"/>
                <w:szCs w:val="13"/>
                <w:color w:val="auto"/>
              </w:rPr>
            </w:pPr>
          </w:p>
        </w:tc>
      </w:tr>
      <w:tr>
        <w:trPr>
          <w:trHeight w:val="151"/>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right"/>
              <w:ind w:right="92"/>
              <w:spacing w:after="0"/>
              <w:rPr>
                <w:sz w:val="20"/>
                <w:szCs w:val="20"/>
                <w:color w:val="auto"/>
              </w:rPr>
            </w:pPr>
            <w:r>
              <w:rPr>
                <w:rFonts w:ascii="Arial" w:cs="Arial" w:eastAsia="Arial" w:hAnsi="Arial"/>
                <w:sz w:val="13"/>
                <w:szCs w:val="13"/>
                <w:b w:val="1"/>
                <w:bCs w:val="1"/>
                <w:color w:val="auto"/>
                <w:w w:val="99"/>
              </w:rPr>
              <w:t>Level 1</w:t>
            </w: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640" w:type="dxa"/>
            <w:vAlign w:val="bottom"/>
            <w:gridSpan w:val="4"/>
          </w:tcPr>
          <w:p>
            <w:pPr>
              <w:jc w:val="right"/>
              <w:ind w:right="92"/>
              <w:spacing w:after="0"/>
              <w:rPr>
                <w:sz w:val="20"/>
                <w:szCs w:val="20"/>
                <w:color w:val="auto"/>
              </w:rPr>
            </w:pPr>
            <w:r>
              <w:rPr>
                <w:rFonts w:ascii="Arial" w:cs="Arial" w:eastAsia="Arial" w:hAnsi="Arial"/>
                <w:sz w:val="13"/>
                <w:szCs w:val="13"/>
                <w:b w:val="1"/>
                <w:bCs w:val="1"/>
                <w:color w:val="auto"/>
              </w:rPr>
              <w:t>Level 1</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620" w:type="dxa"/>
            <w:vAlign w:val="bottom"/>
            <w:gridSpan w:val="4"/>
          </w:tcPr>
          <w:p>
            <w:pPr>
              <w:jc w:val="right"/>
              <w:ind w:right="76"/>
              <w:spacing w:after="0"/>
              <w:rPr>
                <w:sz w:val="20"/>
                <w:szCs w:val="20"/>
                <w:color w:val="auto"/>
              </w:rPr>
            </w:pPr>
            <w:r>
              <w:rPr>
                <w:rFonts w:ascii="Arial" w:cs="Arial" w:eastAsia="Arial" w:hAnsi="Arial"/>
                <w:sz w:val="13"/>
                <w:szCs w:val="13"/>
                <w:b w:val="1"/>
                <w:bCs w:val="1"/>
                <w:color w:val="auto"/>
              </w:rPr>
              <w:t>Level 3</w:t>
            </w:r>
          </w:p>
        </w:tc>
        <w:tc>
          <w:tcPr>
            <w:tcW w:w="64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ind w:left="360"/>
              <w:spacing w:after="0"/>
              <w:rPr>
                <w:sz w:val="20"/>
                <w:szCs w:val="20"/>
                <w:color w:val="auto"/>
              </w:rPr>
            </w:pPr>
            <w:r>
              <w:rPr>
                <w:rFonts w:ascii="Arial" w:cs="Arial" w:eastAsia="Arial" w:hAnsi="Arial"/>
                <w:sz w:val="13"/>
                <w:szCs w:val="13"/>
                <w:color w:val="auto"/>
                <w:w w:val="91"/>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15,549</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15,549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8,173</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8,173</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106,369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106,369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80,606</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50,337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50,337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52,187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52,187</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42,764</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19,061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19,061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19,338</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26,974</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26,974</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26,261</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26,261</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259,992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259,992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229,329</w:t>
            </w:r>
          </w:p>
        </w:tc>
      </w:tr>
      <w:tr>
        <w:trPr>
          <w:trHeight w:val="17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5,793</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5,793</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4,892</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4,892</w:t>
            </w:r>
          </w:p>
        </w:tc>
      </w:tr>
      <w:tr>
        <w:trPr>
          <w:trHeight w:val="20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ind w:left="360"/>
              <w:spacing w:after="0"/>
              <w:rPr>
                <w:sz w:val="20"/>
                <w:szCs w:val="20"/>
                <w:color w:val="auto"/>
              </w:rPr>
            </w:pPr>
            <w:r>
              <w:rPr>
                <w:rFonts w:ascii="Arial" w:cs="Arial" w:eastAsia="Arial" w:hAnsi="Arial"/>
                <w:sz w:val="13"/>
                <w:szCs w:val="13"/>
                <w:color w:val="auto"/>
                <w:w w:val="91"/>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265,785</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265,785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234,221</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234,221</w:t>
            </w:r>
          </w:p>
        </w:tc>
      </w:tr>
      <w:tr>
        <w:trPr>
          <w:trHeight w:val="121"/>
        </w:trPr>
        <w:tc>
          <w:tcPr>
            <w:tcW w:w="25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Derivative liabilities</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40" w:type="dxa"/>
            <w:vAlign w:val="bottom"/>
            <w:tcBorders>
              <w:top w:val="single" w:sz="8" w:color="auto"/>
              <w:bottom w:val="single" w:sz="8" w:color="auto"/>
            </w:tcBorders>
            <w:shd w:val="clear" w:color="auto" w:fill="CCEEFF"/>
          </w:tcPr>
          <w:p>
            <w:pPr>
              <w:ind w:left="360"/>
              <w:spacing w:after="0" w:line="12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5,946</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5,946</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bottom w:val="single" w:sz="8" w:color="auto"/>
            </w:tcBorders>
            <w:shd w:val="clear" w:color="auto" w:fill="CCEEFF"/>
          </w:tcPr>
          <w:p>
            <w:pPr>
              <w:ind w:left="360"/>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7,988</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bottom w:val="single" w:sz="8" w:color="auto"/>
            </w:tcBorders>
            <w:shd w:val="clear" w:color="auto" w:fill="CCEEFF"/>
          </w:tcPr>
          <w:p>
            <w:pPr>
              <w:ind w:left="360"/>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7,988</w:t>
            </w:r>
          </w:p>
        </w:tc>
      </w:tr>
      <w:tr>
        <w:trPr>
          <w:trHeight w:val="16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color w:val="auto"/>
                <w:w w:val="91"/>
              </w:rPr>
              <w:t>-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5,946</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5,946</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7,988</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color w:val="auto"/>
              </w:rPr>
              <w:t>-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7,988</w:t>
            </w: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March 31, 2024 and December 31, 2023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Hierarchy</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4"/>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Fair Value</w:t>
            </w:r>
          </w:p>
        </w:tc>
      </w:tr>
      <w:tr>
        <w:trPr>
          <w:trHeight w:val="149"/>
        </w:trPr>
        <w:tc>
          <w:tcPr>
            <w:tcW w:w="26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51"/>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2024: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9,601</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116,945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116,945</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116,945</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173,038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152,156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152,156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1,799,742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1,763,399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1,763,399</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11,579</w:t>
            </w: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576,626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576,626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576,626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Money market and savings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1,141,422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1,141,422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1,141,422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57,839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326,907</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325,215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325,215</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159,875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159,875</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2,477</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1,297</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2,477</w:t>
            </w:r>
          </w:p>
        </w:tc>
      </w:tr>
      <w:tr>
        <w:trPr>
          <w:trHeight w:val="171"/>
        </w:trPr>
        <w:tc>
          <w:tcPr>
            <w:tcW w:w="2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Cash and due from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8,019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8,019</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8,019</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174,974</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155,510</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155,510</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1,759,743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1,723,210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1,723,210</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receivable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10,688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1,448</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9,240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10,688</w:t>
            </w: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Demand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552,762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552,762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552,762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288,403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287,104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287,104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FHLB advances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183,000</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182,282</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182,282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r>
    </w:tbl>
    <w:p>
      <w:pPr>
        <w:spacing w:after="0" w:line="200" w:lineRule="exact"/>
        <w:rPr>
          <w:sz w:val="20"/>
          <w:szCs w:val="20"/>
          <w:color w:val="auto"/>
        </w:rPr>
      </w:pPr>
    </w:p>
    <w:p>
      <w:pPr>
        <w:spacing w:after="0" w:line="26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ind w:left="1040" w:hanging="377"/>
        <w:spacing w:after="0"/>
        <w:tabs>
          <w:tab w:leader="none" w:pos="10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July 2021, the Bank completed the initial public offering of its Class A common stock, in which it issued and sold 4,600,000 shares of Class A common stock at a price of $10.00 per share. The Bank received total net proceeds of $40.0 million after deducting underwriting discounts and expenses.</w:t>
      </w:r>
    </w:p>
    <w:p>
      <w:pPr>
        <w:spacing w:after="0" w:line="134"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December 2021, the Company acquired all the issued and outstanding shares of the Class A common stock of the Bank, which at the time were the only issued and outstanding shares of the Bank’s capital stock, in a share exchange (the “Reorganization”) effected under the Florida Business Corporation Act. Each outstanding share of the Bank’s Class A common stock, par value $1.00 per share, formerly held by its Shareholders was converted into and exchanged for one newly issued share of the Company’s Class A common stock, par value $1.00 per share, and the Bank became the Company’s wholly owned subsidiary.</w:t>
      </w:r>
    </w:p>
    <w:p>
      <w:pPr>
        <w:spacing w:after="0" w:line="127"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then current shareholders owned the same percentages of the Company’s common stock as they previously owned of the Bank’s common stock.</w:t>
      </w:r>
    </w:p>
    <w:p>
      <w:pPr>
        <w:spacing w:after="0" w:line="135"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first quarter 2024, the Company issued 52,753 shares of Class A common stock to employees as restricted stock awards pursuant to the Company’s 2015 equity incentive plan . During the first quarter 2023, the Company issued 121,627 shares of Class A common stock to employees and directors as restricted stock awards pursuant to the Company’s 2015 equity incentive plan.</w:t>
      </w:r>
    </w:p>
    <w:p>
      <w:pPr>
        <w:spacing w:after="0" w:line="135"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During the three months ended March 31, 2024, the Company repurchased 7,100 shares of Class A common stock at a weighted average price per share of $11.15. The aggregate purchase price for these transactions was approximately $79 thousand, including transaction costs. These repurchases were made pursuant to the Company’s publicly announced repurchase program. As of March 31, 2024, 72,980 shares remained authorized for repurchase under this program. During the three months ended March 31, 2023, the Company repurchased 500,000 shares of Class A common stock at a weighted average price per share of $11.74. The aggregate purchase price for these transactions was approximately $5.9 million, including transaction costs.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11, Subsequent Events, for information regarding the new share repurchase program declared in April 2024.</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Shares of the Company’s Class A common stock issued and outstanding as of March 31, 2024 and December 31, 2023 were 19,650,463 and 19,575,435,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Declaration of dividends by the Board is required before dividend payments are made. The Company is limited in the amount of cash dividends that it may pay. Payment of dividends is generally limited to the Company’s net income of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by the Company. It is likely that these factors would further limit the amount of dividends which the Company could declare. In addition, bank regulators have the authority to prohibit banks from paying dividends if they deem such payment to be an unsafe or unsound practice.</w:t>
      </w:r>
    </w:p>
    <w:p>
      <w:pPr>
        <w:spacing w:after="0" w:line="14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On January 29, 2024, the Company announced that its Board of Directors approved a cash dividend program. The quarterly dividend for the first quarter of 2024 was $ 0.05 per share of Class A common stock, paid on March 5, 2024, to stockholders of record as of the close of business on February 15, 2024. Total amount paid to shareholders in dividends on February 15, 2024 was $1.0 million. No dividends were declared by the Board for the stockholders for the quarter ended March 31, 2023.</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11, Subsequent Events, for information regarding dividends declared in April 2024.</w:t>
      </w:r>
    </w:p>
    <w:p>
      <w:pPr>
        <w:spacing w:after="0" w:line="200" w:lineRule="exact"/>
        <w:rPr>
          <w:sz w:val="20"/>
          <w:szCs w:val="20"/>
          <w:color w:val="auto"/>
        </w:rPr>
      </w:pPr>
    </w:p>
    <w:p>
      <w:pPr>
        <w:spacing w:after="0" w:line="33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details the dividends declared and paid by the Company in the three months ended March 31, 2024:</w:t>
      </w: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440" w:type="dxa"/>
            <w:vAlign w:val="bottom"/>
          </w:tcPr>
          <w:p>
            <w:pPr>
              <w:ind w:left="220"/>
              <w:spacing w:after="0"/>
              <w:rPr>
                <w:sz w:val="20"/>
                <w:szCs w:val="20"/>
                <w:color w:val="auto"/>
              </w:rPr>
            </w:pPr>
            <w:r>
              <w:rPr>
                <w:rFonts w:ascii="Arial" w:cs="Arial" w:eastAsia="Arial" w:hAnsi="Arial"/>
                <w:sz w:val="13"/>
                <w:szCs w:val="13"/>
                <w:b w:val="1"/>
                <w:bCs w:val="1"/>
                <w:color w:val="auto"/>
              </w:rPr>
              <w:t>Declaration Date</w:t>
            </w:r>
          </w:p>
        </w:tc>
        <w:tc>
          <w:tcPr>
            <w:tcW w:w="60" w:type="dxa"/>
            <w:vAlign w:val="bottom"/>
          </w:tcPr>
          <w:p>
            <w:pPr>
              <w:spacing w:after="0"/>
              <w:rPr>
                <w:sz w:val="13"/>
                <w:szCs w:val="13"/>
                <w:color w:val="auto"/>
              </w:rPr>
            </w:pPr>
          </w:p>
        </w:tc>
        <w:tc>
          <w:tcPr>
            <w:tcW w:w="1440" w:type="dxa"/>
            <w:vAlign w:val="bottom"/>
          </w:tcPr>
          <w:p>
            <w:pPr>
              <w:ind w:left="340"/>
              <w:spacing w:after="0"/>
              <w:rPr>
                <w:sz w:val="20"/>
                <w:szCs w:val="20"/>
                <w:color w:val="auto"/>
              </w:rPr>
            </w:pPr>
            <w:r>
              <w:rPr>
                <w:rFonts w:ascii="Arial" w:cs="Arial" w:eastAsia="Arial" w:hAnsi="Arial"/>
                <w:sz w:val="13"/>
                <w:szCs w:val="13"/>
                <w:b w:val="1"/>
                <w:bCs w:val="1"/>
                <w:color w:val="auto"/>
              </w:rPr>
              <w:t>Record Date</w:t>
            </w:r>
          </w:p>
        </w:tc>
        <w:tc>
          <w:tcPr>
            <w:tcW w:w="6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3"/>
                <w:szCs w:val="13"/>
                <w:b w:val="1"/>
                <w:bCs w:val="1"/>
                <w:color w:val="auto"/>
              </w:rPr>
              <w:t>Payment Date</w:t>
            </w:r>
          </w:p>
        </w:tc>
        <w:tc>
          <w:tcPr>
            <w:tcW w:w="1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7"/>
              </w:rPr>
              <w:t>Dividend Per Share</w:t>
            </w:r>
          </w:p>
        </w:tc>
        <w:tc>
          <w:tcPr>
            <w:tcW w:w="260" w:type="dxa"/>
            <w:vAlign w:val="bottom"/>
          </w:tcPr>
          <w:p>
            <w:pPr>
              <w:spacing w:after="0"/>
              <w:rPr>
                <w:sz w:val="13"/>
                <w:szCs w:val="13"/>
                <w:color w:val="auto"/>
              </w:rPr>
            </w:pPr>
          </w:p>
        </w:tc>
        <w:tc>
          <w:tcPr>
            <w:tcW w:w="138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Dividend Amount</w:t>
            </w:r>
          </w:p>
        </w:tc>
      </w:tr>
      <w:tr>
        <w:trPr>
          <w:trHeight w:val="151"/>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January 19, 2024</w:t>
            </w:r>
          </w:p>
        </w:tc>
        <w:tc>
          <w:tcPr>
            <w:tcW w:w="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February 15, 2024</w:t>
            </w:r>
          </w:p>
        </w:tc>
        <w:tc>
          <w:tcPr>
            <w:tcW w:w="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March 5, 2024</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0.05</w:t>
            </w: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w w:val="99"/>
              </w:rPr>
              <w:t>1.0 million</w:t>
            </w:r>
          </w:p>
        </w:tc>
      </w:tr>
    </w:tbl>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March 31, 2024 and December 31, 2023. At March 31, 2024, the total risk-based capital ratios for the Company and the Bank were 12.98% and 12.89%, respectively.</w:t>
      </w:r>
    </w:p>
    <w:p>
      <w:pPr>
        <w:spacing w:after="0" w:line="118" w:lineRule="exact"/>
        <w:rPr>
          <w:sz w:val="20"/>
          <w:szCs w:val="20"/>
          <w:color w:val="auto"/>
        </w:rPr>
      </w:pPr>
    </w:p>
    <w:p>
      <w:pPr>
        <w:ind w:left="1040" w:hanging="377"/>
        <w:spacing w:after="0"/>
        <w:tabs>
          <w:tab w:leader="none" w:pos="10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2"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Earnings per share (“EPS”) for common stock is calculated using the two-class method required for participating securities. Basic EPS is calculated by dividing net income (loss) available to common shareholders by the weighted-average number of common shares outstanding for the period, without consideration for common stock equivalents. Diluted EPS is computed by dividing net income (loss) available to common shareholders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net income available to common shareholders for the three months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March 31, 2024 and 2023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214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3"/>
                <w:szCs w:val="13"/>
                <w:b w:val="1"/>
                <w:bCs w:val="1"/>
                <w:color w:val="auto"/>
              </w:rPr>
              <w:t>Three Months Ended March 31,</w:t>
            </w:r>
          </w:p>
        </w:tc>
      </w:tr>
      <w:tr>
        <w:trPr>
          <w:trHeight w:val="151"/>
        </w:trPr>
        <w:tc>
          <w:tcPr>
            <w:tcW w:w="55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2023</w:t>
            </w:r>
          </w:p>
        </w:tc>
      </w:tr>
      <w:tr>
        <w:trPr>
          <w:trHeight w:val="151"/>
        </w:trPr>
        <w:tc>
          <w:tcPr>
            <w:tcW w:w="5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4,612</w:t>
            </w:r>
          </w:p>
        </w:tc>
        <w:tc>
          <w:tcPr>
            <w:tcW w:w="60" w:type="dxa"/>
            <w:vAlign w:val="bottom"/>
            <w:gridSpan w:val="2"/>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5,809</w:t>
            </w:r>
          </w:p>
        </w:tc>
      </w:tr>
      <w:tr>
        <w:trPr>
          <w:trHeight w:val="161"/>
        </w:trPr>
        <w:tc>
          <w:tcPr>
            <w:tcW w:w="5560" w:type="dxa"/>
            <w:vAlign w:val="bottom"/>
          </w:tcPr>
          <w:p>
            <w:pPr>
              <w:ind w:left="100"/>
              <w:spacing w:after="0"/>
              <w:rPr>
                <w:sz w:val="20"/>
                <w:szCs w:val="20"/>
                <w:color w:val="auto"/>
              </w:rPr>
            </w:pPr>
            <w:r>
              <w:rPr>
                <w:rFonts w:ascii="Arial" w:cs="Arial" w:eastAsia="Arial" w:hAnsi="Arial"/>
                <w:sz w:val="13"/>
                <w:szCs w:val="13"/>
                <w:color w:val="auto"/>
              </w:rPr>
              <w:t>Net income available to common shareholders</w:t>
            </w: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2"/>
              </w:rPr>
              <w:t>4,612</w:t>
            </w: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5,809</w:t>
            </w:r>
          </w:p>
        </w:tc>
      </w:tr>
      <w:tr>
        <w:trPr>
          <w:trHeight w:val="20"/>
        </w:trPr>
        <w:tc>
          <w:tcPr>
            <w:tcW w:w="5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months ended March 31, 2024 and 2023 (in thousands, except per share amounts):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3"/>
                <w:szCs w:val="13"/>
                <w:b w:val="1"/>
                <w:bCs w:val="1"/>
                <w:color w:val="auto"/>
              </w:rPr>
              <w:t>Three Months Ended March 31,</w:t>
            </w:r>
          </w:p>
        </w:tc>
      </w:tr>
      <w:tr>
        <w:trPr>
          <w:trHeight w:val="161"/>
        </w:trPr>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r>
      <w:tr>
        <w:trPr>
          <w:trHeight w:val="151"/>
        </w:trPr>
        <w:tc>
          <w:tcPr>
            <w:tcW w:w="5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Class A</w:t>
            </w:r>
          </w:p>
        </w:tc>
      </w:tr>
      <w:tr>
        <w:trPr>
          <w:trHeight w:val="151"/>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3"/>
                <w:szCs w:val="13"/>
                <w:color w:val="auto"/>
              </w:rPr>
              <w:t>Numerator:</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w:t>
            </w:r>
          </w:p>
        </w:tc>
      </w:tr>
      <w:tr>
        <w:trPr>
          <w:trHeight w:val="171"/>
        </w:trPr>
        <w:tc>
          <w:tcPr>
            <w:tcW w:w="5200" w:type="dxa"/>
            <w:vAlign w:val="bottom"/>
          </w:tcPr>
          <w:p>
            <w:pPr>
              <w:spacing w:after="0"/>
              <w:rPr>
                <w:sz w:val="20"/>
                <w:szCs w:val="20"/>
                <w:color w:val="auto"/>
              </w:rPr>
            </w:pPr>
            <w:r>
              <w:rPr>
                <w:rFonts w:ascii="Arial" w:cs="Arial" w:eastAsia="Arial" w:hAnsi="Arial"/>
                <w:sz w:val="13"/>
                <w:szCs w:val="13"/>
                <w:color w:val="auto"/>
              </w:rPr>
              <w:t>Denominator:</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19,633,330</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19,855,409</w:t>
            </w:r>
          </w:p>
        </w:tc>
      </w:tr>
      <w:tr>
        <w:trPr>
          <w:trHeight w:val="212"/>
        </w:trPr>
        <w:tc>
          <w:tcPr>
            <w:tcW w:w="520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0.23</w:t>
            </w:r>
          </w:p>
        </w:tc>
        <w:tc>
          <w:tcPr>
            <w:tcW w:w="28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0.29</w:t>
            </w:r>
          </w:p>
        </w:tc>
      </w:tr>
      <w:tr>
        <w:trPr>
          <w:trHeight w:val="121"/>
        </w:trPr>
        <w:tc>
          <w:tcPr>
            <w:tcW w:w="5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4,612</w:t>
            </w:r>
          </w:p>
        </w:tc>
        <w:tc>
          <w:tcPr>
            <w:tcW w:w="28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5,809</w:t>
            </w: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19,633,330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19,855,409</w:t>
            </w:r>
          </w:p>
        </w:tc>
      </w:tr>
      <w:tr>
        <w:trPr>
          <w:trHeight w:val="171"/>
        </w:trPr>
        <w:tc>
          <w:tcPr>
            <w:tcW w:w="5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64,928</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85,197</w:t>
            </w:r>
          </w:p>
        </w:tc>
      </w:tr>
      <w:tr>
        <w:trPr>
          <w:trHeight w:val="161"/>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19,698,258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19,940,606</w:t>
            </w:r>
          </w:p>
        </w:tc>
      </w:tr>
      <w:tr>
        <w:trPr>
          <w:trHeight w:val="161"/>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0.23</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0.29</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1"/>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71"/>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502,500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572,500</w:t>
            </w:r>
          </w:p>
        </w:tc>
      </w:tr>
    </w:tbl>
    <w:p>
      <w:pPr>
        <w:spacing w:after="0" w:line="175" w:lineRule="exact"/>
        <w:rPr>
          <w:sz w:val="20"/>
          <w:szCs w:val="20"/>
          <w:color w:val="auto"/>
        </w:rPr>
      </w:pPr>
    </w:p>
    <w:p>
      <w:pPr>
        <w:jc w:val="both"/>
        <w:ind w:left="660" w:right="899"/>
        <w:spacing w:after="0" w:line="264" w:lineRule="auto"/>
        <w:rPr>
          <w:sz w:val="20"/>
          <w:szCs w:val="20"/>
          <w:color w:val="auto"/>
        </w:rPr>
      </w:pPr>
      <w:r>
        <w:rPr>
          <w:rFonts w:ascii="Arial" w:cs="Arial" w:eastAsia="Arial" w:hAnsi="Arial"/>
          <w:sz w:val="11"/>
          <w:szCs w:val="11"/>
          <w:color w:val="auto"/>
        </w:rPr>
        <w:t>Net income has not been allocated to unvested restrictedstock awards that are participating securities because the amounts that would be allocated are not material to net income per share of common stock. Unvested restricted stock awards that are participating securities represent less than one percent of all of the outstanding shares of common stock for each of the periods presented.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60" w:hanging="397"/>
        <w:spacing w:after="0"/>
        <w:tabs>
          <w:tab w:leader="none" w:pos="106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18" w:lineRule="exact"/>
        <w:rPr>
          <w:sz w:val="20"/>
          <w:szCs w:val="20"/>
          <w:color w:val="auto"/>
        </w:rPr>
      </w:pPr>
    </w:p>
    <w:p>
      <w:pPr>
        <w:ind w:left="1180" w:hanging="517"/>
        <w:spacing w:after="0"/>
        <w:tabs>
          <w:tab w:leader="none" w:pos="11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On April 23, 2024, the Company announced that its Board of Directors declared its second quarterly cash dividend. The quarterly dividend for the second quarter of 2024 was $0.05 per share of Class A common stock and will be paid on June 5, 2024, to stockholders of record as of the close of business on May 15, 2024.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Share Repurchase Program</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On April 22, 2024, the Board of Directors approved a new share repurchase program of up to 500,000 shares of Class A common stock or approximately 2.5% of the Company’s issued and outstanding shares of common stock. Under the repurchase program, the Company may purchase shares of Class A common stock on a discretionary basis from time to time through open market repurchases, privately negotiated transactions, or other means. The repurchase program has no expiration date and may be modified, suspended, or terminated at any time. The new repurchase program will commence upon completion of the Company’s current repurchase program. Repurchases under this new program will be funded from the Company’s existing cash and cash equivalents or future cash flow. As of April 22, 2024, 572,980 shares remain authorized for repurchase under the Company’s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61"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as of and for the three months ended March 31, 2024. This discussion and analysis is best read in conjunction with the unaudited consolidated financial statements and related notes included in this Quarterly Report on Form 10-Q (“Form 10-Q”) and the audited consolidated financial statements and related notes included in the Annual Report on Form 10-K (“2023 Form 10-K”) filed with the Securities and Exchange Commission (“SEC”) for the year ended December 31, 2023.</w:t>
      </w:r>
    </w:p>
    <w:p>
      <w:pPr>
        <w:spacing w:after="0" w:line="142"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in Part II hereof and in the 2023 Form 10-K filed with the SEC which is available at the SEC’s website www.sec.gov.</w:t>
      </w:r>
    </w:p>
    <w:p>
      <w:pPr>
        <w:spacing w:after="0" w:line="137" w:lineRule="exact"/>
        <w:rPr>
          <w:sz w:val="20"/>
          <w:szCs w:val="20"/>
          <w:color w:val="auto"/>
        </w:rPr>
      </w:pPr>
    </w:p>
    <w:p>
      <w:pPr>
        <w:ind w:left="660" w:right="719" w:firstLine="256"/>
        <w:spacing w:after="0" w:line="273"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This Form 10-Q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4"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strength of the United States economy in general and the strength of the local economies in which we conduct operations;</w:t>
      </w:r>
    </w:p>
    <w:p>
      <w:pPr>
        <w:spacing w:after="0" w:line="23" w:lineRule="exact"/>
        <w:rPr>
          <w:rFonts w:ascii="Arial" w:cs="Arial" w:eastAsia="Arial" w:hAnsi="Arial"/>
          <w:sz w:val="12"/>
          <w:szCs w:val="12"/>
          <w:color w:val="auto"/>
        </w:rPr>
      </w:pP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successfully manage interest rate risk, credit risk, liquidity risk, and other risks inherent to our industry;</w:t>
      </w:r>
    </w:p>
    <w:p>
      <w:pPr>
        <w:ind w:left="1180" w:right="659" w:hanging="261"/>
        <w:spacing w:after="0" w:line="231"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efficiency and effectiveness of our internal control procedures and processes;</w:t>
      </w:r>
    </w:p>
    <w:p>
      <w:pPr>
        <w:ind w:left="1180" w:right="69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comply with the extensive laws and regulations to which we are subject, including the laws for each jurisdiction where we operate;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adverse changes or conditions in capital and financial markets, including actual or potential stresses in the banking industry;</w:t>
      </w:r>
    </w:p>
    <w:p>
      <w:pPr>
        <w:ind w:left="1180" w:hanging="261"/>
        <w:spacing w:after="0" w:line="222"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deposit attrition and the level of our uninsured deposits;</w:t>
      </w:r>
    </w:p>
    <w:p>
      <w:pPr>
        <w:ind w:left="1180" w:right="67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legislative or regulatory changes and changes in accounting principles, policies, practices or guidelines, including the on-going effects of the implementation of the Current Expected Credit Losses (“CECL”) standard;</w:t>
      </w:r>
    </w:p>
    <w:p>
      <w:pPr>
        <w:jc w:val="both"/>
        <w:ind w:left="1180" w:right="659" w:hanging="261"/>
        <w:spacing w:after="0" w:line="234"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lack of a significantly diversified loan portfolio and the concentration in the South Florida market, including the risks of geographic, depositor, and industry concentrations, including our concentration in loans secured by real estate, in particular, commercial real estate;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effects of climate change;</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concentration of ownership of our common stock;</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fluctuations in the price of our common stock;</w:t>
      </w:r>
    </w:p>
    <w:p>
      <w:pPr>
        <w:ind w:left="1180" w:right="679" w:hanging="261"/>
        <w:spacing w:after="0" w:line="231"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inflation, interest rate, unemployment rate, market and monetary fluctuations;</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impacts of international hostilities and geopolitical events;</w:t>
      </w:r>
    </w:p>
    <w:p>
      <w:pPr>
        <w:ind w:left="1180" w:right="65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increased competition and its effect on the pricing of our products and services as well as our interest rate spread and net interest margin;</w:t>
      </w:r>
    </w:p>
    <w:p>
      <w:pPr>
        <w:ind w:left="1180" w:hanging="261"/>
        <w:spacing w:after="0" w:line="222"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loss of key employees;</w:t>
      </w:r>
    </w:p>
    <w:p>
      <w:pPr>
        <w:ind w:left="1180" w:right="679" w:hanging="261"/>
        <w:spacing w:after="0" w:line="239"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effectiveness of our risk management strategies, including operational risks, including, but not limited to, client, employee, or third-party fraud and security breaches; and</w:t>
      </w:r>
    </w:p>
    <w:p>
      <w:pPr>
        <w:ind w:left="1180" w:hanging="26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risks described in this Form 10-Q, the 2023 Form 10-K and other filings we make with the SEC.</w:t>
      </w:r>
    </w:p>
    <w:p>
      <w:pPr>
        <w:spacing w:after="0" w:line="144"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quarterly report on Form 10-Q are made only as of the date hereof, and we undertake no obligation to update or revise any forward -looking statement to reflect events or circumstances after the date on which the statement is made or to reflect the occurrence of unanticipated events,</w:t>
      </w:r>
    </w:p>
    <w:p>
      <w:pPr>
        <w:spacing w:after="0" w:line="18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unless required to do so under the federal securities laws. You should also review the risk factors described in the Annual Report on Form 10-K and in the reports the Company filed or will file with the SEC.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5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reported net income of $4.6 million or $0.23 per diluted share of common stock for the three months ended March 31, 2024 compared to $5.8 million or $0.29 per diluted share of common stock for the three months ended March 31, 2023.</w:t>
      </w:r>
    </w:p>
    <w:p>
      <w:pPr>
        <w:spacing w:after="0" w:line="12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On January 29, 2024, the Company’s Board of Directors declared a cash dividend of $0.05 per share of the Company’s Class A common stock. The Dividend was declared in conjunction with the adoption of a cash dividend program. The dividend was paid on March 5, 2024 to shareholders of record at the close of business on February 15, 2023. The aggregate amount distributed in connection with this dividend was $1.0 million. Additionally, the Company’s Board of Directors declared a cash dividend of $0.05 per share of the Company’s Class A common stock on April 22, 2024. The dividend will be paid on June 5, 2024 to shareholders of record at the close of business on May 15, 2024.</w:t>
      </w:r>
    </w:p>
    <w:p>
      <w:pPr>
        <w:spacing w:after="0" w:line="127"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7,100 shares of Class A common stock were repurchased at a weighted average price per share of $11.15 during the first quarter 2024. These repurchases were made pursuant to the Company’s publicly announced repurchase program. As of March 31, 2024, 72,980 shares remained authorized for repurchase under this program.</w:t>
      </w:r>
    </w:p>
    <w:p>
      <w:pPr>
        <w:spacing w:after="0" w:line="12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On April 22, 2024, the Board of Directors approved a new share repurchase program of up to 500,000 shares of Class A common stock or approximately 2.5% of the Company’s issued and outstanding shares of common stock. Under the repurchase program, the Company may purchase shares of Class A common stock on a discretionary basis from time to time through open market repurchases, privately negotiated transactions, or other means. The repurchase program has no expiration date and may be modified, suspended, or terminated at any time. The new repurchase program will commence upon completion of the current repurchase program. Repurchases under the new program will be funded from the Company’s existing cash and cash equivalents or future cash flow. As of April 22, 2024, 572,980 shares remain authorized for repurchase under the Company’s share repurchase programs.</w:t>
      </w:r>
    </w:p>
    <w:p>
      <w:pPr>
        <w:spacing w:after="0" w:line="13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evaluating our financial performance, the Company considers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Unless otherwise stated, all period comparisons in the bullet points below are calculated for the quarter ended March 31, 2024 compared to the quarter ended March 31, 2023 and as of March 31, 2024 compared to December 31, 2023, and annualized where appropriate:</w:t>
      </w:r>
    </w:p>
    <w:p>
      <w:pPr>
        <w:spacing w:after="0" w:line="137" w:lineRule="exact"/>
        <w:rPr>
          <w:sz w:val="20"/>
          <w:szCs w:val="20"/>
          <w:color w:val="auto"/>
        </w:rPr>
      </w:pPr>
    </w:p>
    <w:p>
      <w:pPr>
        <w:ind w:left="1180" w:right="67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Net interest income for the three months ended March 31, 2024 decreased $839 thousand or 5.2% to $15.2 million from $16.0 million for the quarter ended March 31, 2023.</w:t>
      </w:r>
    </w:p>
    <w:p>
      <w:pPr>
        <w:spacing w:after="0" w:line="112" w:lineRule="exact"/>
        <w:rPr>
          <w:rFonts w:ascii="Arial" w:cs="Arial" w:eastAsia="Arial" w:hAnsi="Arial"/>
          <w:sz w:val="13"/>
          <w:szCs w:val="13"/>
          <w:color w:val="auto"/>
        </w:rPr>
      </w:pPr>
    </w:p>
    <w:p>
      <w:pPr>
        <w:ind w:left="1180" w:right="679" w:hanging="261"/>
        <w:spacing w:after="0" w:line="252"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Net interest margin (“NIM”) was 2.62% for the three months ended March 31, 2024 compared to 3.22% for the three months ended March 31, 2023.</w:t>
      </w:r>
    </w:p>
    <w:p>
      <w:pPr>
        <w:spacing w:after="0" w:line="123" w:lineRule="exact"/>
        <w:rPr>
          <w:rFonts w:ascii="Arial" w:cs="Arial" w:eastAsia="Arial" w:hAnsi="Arial"/>
          <w:sz w:val="13"/>
          <w:szCs w:val="13"/>
          <w:color w:val="auto"/>
        </w:rPr>
      </w:pPr>
    </w:p>
    <w:p>
      <w:pPr>
        <w:ind w:left="1180" w:right="67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assets were $2.5 billion at March 31, 2024, representing an increase of $325.3 million or 15.0% from March 31, 2023 and an increase of $150.0 million or 25.7% annualized from December 31, 2023.</w:t>
      </w:r>
    </w:p>
    <w:p>
      <w:pPr>
        <w:spacing w:after="0" w:line="123" w:lineRule="exact"/>
        <w:rPr>
          <w:rFonts w:ascii="Arial" w:cs="Arial" w:eastAsia="Arial" w:hAnsi="Arial"/>
          <w:sz w:val="13"/>
          <w:szCs w:val="13"/>
          <w:color w:val="auto"/>
        </w:rPr>
      </w:pPr>
    </w:p>
    <w:p>
      <w:pPr>
        <w:ind w:left="1180" w:right="67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loans were $1.8 billion at March 31, 2024, representing an increase of $240.8 million or 15.2% from March 31, 2023 and an increase of $40.4 million or 9.1% annualized from December 31, 2023.</w:t>
      </w:r>
    </w:p>
    <w:p>
      <w:pPr>
        <w:spacing w:after="0" w:line="123" w:lineRule="exact"/>
        <w:rPr>
          <w:rFonts w:ascii="Arial" w:cs="Arial" w:eastAsia="Arial" w:hAnsi="Arial"/>
          <w:sz w:val="13"/>
          <w:szCs w:val="13"/>
          <w:color w:val="auto"/>
        </w:rPr>
      </w:pPr>
    </w:p>
    <w:p>
      <w:pPr>
        <w:ind w:left="1180" w:right="67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deposits were $2.1 billion at March 31, 2024, representing an increase of $272.3 million or 14.9% from March 31, 2023 and an increase of $165.7 million or 34.4% annualized from December 31, 2023.</w:t>
      </w:r>
    </w:p>
    <w:p>
      <w:pPr>
        <w:spacing w:after="0" w:line="123" w:lineRule="exact"/>
        <w:rPr>
          <w:rFonts w:ascii="Arial" w:cs="Arial" w:eastAsia="Arial" w:hAnsi="Arial"/>
          <w:sz w:val="13"/>
          <w:szCs w:val="13"/>
          <w:color w:val="auto"/>
        </w:rPr>
      </w:pPr>
    </w:p>
    <w:p>
      <w:pPr>
        <w:ind w:left="1180" w:right="65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Annualized return on averageassets for the quarter ended March 31, 2024 was 0.76% compared to 1.11% for the quarter ended March 31, 2023.</w:t>
      </w:r>
    </w:p>
    <w:p>
      <w:pPr>
        <w:spacing w:after="0" w:line="102" w:lineRule="exact"/>
        <w:rPr>
          <w:rFonts w:ascii="Arial" w:cs="Arial" w:eastAsia="Arial" w:hAnsi="Arial"/>
          <w:sz w:val="13"/>
          <w:szCs w:val="13"/>
          <w:color w:val="auto"/>
        </w:rPr>
      </w:pPr>
    </w:p>
    <w:p>
      <w:pPr>
        <w:ind w:left="1180" w:right="679" w:hanging="261"/>
        <w:spacing w:after="0" w:line="269"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Annualized return on average stockholders’ equity for the quarter ended March 31, 2024 was 9.61% compared to 12.85% for quarter ended March 31, 2023.</w:t>
      </w:r>
    </w:p>
    <w:p>
      <w:pPr>
        <w:spacing w:after="0" w:line="112" w:lineRule="exact"/>
        <w:rPr>
          <w:rFonts w:ascii="Arial" w:cs="Arial" w:eastAsia="Arial" w:hAnsi="Arial"/>
          <w:sz w:val="13"/>
          <w:szCs w:val="13"/>
          <w:color w:val="auto"/>
        </w:rPr>
      </w:pPr>
    </w:p>
    <w:p>
      <w:pPr>
        <w:ind w:left="1180" w:hanging="261"/>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ACL to total loans was 1.18% at both March 31, 2024 and December 31, 2023.</w:t>
      </w:r>
    </w:p>
    <w:p>
      <w:pPr>
        <w:spacing w:after="0" w:line="159" w:lineRule="exact"/>
        <w:rPr>
          <w:rFonts w:ascii="Arial" w:cs="Arial" w:eastAsia="Arial" w:hAnsi="Arial"/>
          <w:sz w:val="13"/>
          <w:szCs w:val="13"/>
          <w:color w:val="auto"/>
        </w:rPr>
      </w:pPr>
    </w:p>
    <w:p>
      <w:pPr>
        <w:ind w:left="1180" w:hanging="261"/>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Non-performing loans to total loans was 0.03% at both March 31, 2024 and December 31, 2023.</w:t>
      </w:r>
    </w:p>
    <w:p>
      <w:pPr>
        <w:spacing w:after="0" w:line="159" w:lineRule="exact"/>
        <w:rPr>
          <w:rFonts w:ascii="Arial" w:cs="Arial" w:eastAsia="Arial" w:hAnsi="Arial"/>
          <w:sz w:val="13"/>
          <w:szCs w:val="13"/>
          <w:color w:val="auto"/>
        </w:rPr>
      </w:pPr>
    </w:p>
    <w:p>
      <w:pPr>
        <w:ind w:left="1180" w:hanging="261"/>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 March 31, 2024, the total risk-based capital ratios for the Company and the Bank were 12.98% and 12.89%, respectively.</w:t>
      </w:r>
    </w:p>
    <w:p>
      <w:pPr>
        <w:spacing w:after="0" w:line="2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23" w:lineRule="exact"/>
        <w:rPr>
          <w:sz w:val="20"/>
          <w:szCs w:val="20"/>
          <w:color w:val="auto"/>
        </w:rPr>
      </w:pPr>
    </w:p>
    <w:p>
      <w:pPr>
        <w:jc w:val="both"/>
        <w:ind w:left="1180" w:right="659" w:hanging="261"/>
        <w:spacing w:after="0" w:line="242"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Tangible book value per common share (a non-GAAP financial measurement) of $9.92 as of March 31, 2024 was negatively affected by $2.31 due to accumulated comprehensive loss of $45.4 million at March 31, 2024. At March 31, 2023, tangible book value of $9.37 per common share was negatively affected by $2.14 due to $42.1 million accumulated other comprehensive loss. See “Reconciliation and Management Explanation for Non-GAAP Financial Measures” for a reconciliation of this non-GAAP financial measure.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in the Company’s 2023 Form 10-K and “Summary of Significant Accounting Policies” in Part I in this Form 10-Q . To prepare financial statements in conformity with US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to an understanding of our financial statements. Management has presented the application of these policies to the Audit and Risk Committee of our Board of Directors.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This Form 10-Q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5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57"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March 31, 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2,489,142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2,339,093</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1,821,196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1,780,827</w:t>
            </w:r>
          </w:p>
        </w:tc>
        <w:tc>
          <w:tcPr>
            <w:tcW w:w="20" w:type="dxa"/>
            <w:vAlign w:val="bottom"/>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2,102,794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1,937,139</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191,968</w:t>
            </w:r>
          </w:p>
        </w:tc>
        <w:tc>
          <w:tcPr>
            <w:tcW w:w="20" w:type="dxa"/>
            <w:vAlign w:val="bottom"/>
            <w:shd w:val="clear" w:color="auto" w:fill="CCEEFF"/>
          </w:tcPr>
          <w:p>
            <w:pPr>
              <w:spacing w:after="0"/>
              <w:rPr>
                <w:sz w:val="14"/>
                <w:szCs w:val="14"/>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(1) Loan amounts include deferred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9"/>
              </w:rPr>
              <w:t>Three Months Ended March 31,</w:t>
            </w:r>
          </w:p>
        </w:tc>
        <w:tc>
          <w:tcPr>
            <w:tcW w:w="20" w:type="dxa"/>
            <w:vAlign w:val="bottom"/>
          </w:tcPr>
          <w:p>
            <w:pPr>
              <w:spacing w:after="0"/>
              <w:rPr>
                <w:sz w:val="13"/>
                <w:szCs w:val="13"/>
                <w:color w:val="auto"/>
              </w:rPr>
            </w:pPr>
          </w:p>
        </w:tc>
      </w:tr>
      <w:tr>
        <w:trPr>
          <w:trHeight w:val="151"/>
        </w:trPr>
        <w:tc>
          <w:tcPr>
            <w:tcW w:w="54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r>
      <w:tr>
        <w:trPr>
          <w:trHeight w:val="161"/>
        </w:trPr>
        <w:tc>
          <w:tcPr>
            <w:tcW w:w="5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44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15,158</w:t>
            </w:r>
          </w:p>
        </w:tc>
        <w:tc>
          <w:tcPr>
            <w:tcW w:w="20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15,997</w:t>
            </w:r>
          </w:p>
        </w:tc>
        <w:tc>
          <w:tcPr>
            <w:tcW w:w="20" w:type="dxa"/>
            <w:vAlign w:val="bottom"/>
          </w:tcPr>
          <w:p>
            <w:pPr>
              <w:spacing w:after="0"/>
              <w:rPr>
                <w:sz w:val="14"/>
                <w:szCs w:val="14"/>
                <w:color w:val="auto"/>
              </w:rPr>
            </w:pPr>
          </w:p>
        </w:tc>
      </w:tr>
      <w:tr>
        <w:trPr>
          <w:trHeight w:val="171"/>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2,070</w:t>
            </w:r>
          </w:p>
        </w:tc>
        <w:tc>
          <w:tcPr>
            <w:tcW w:w="20" w:type="dxa"/>
            <w:vAlign w:val="bottom"/>
            <w:shd w:val="clear" w:color="auto" w:fill="CCEEFF"/>
          </w:tcPr>
          <w:p>
            <w:pPr>
              <w:spacing w:after="0"/>
              <w:rPr>
                <w:sz w:val="14"/>
                <w:szCs w:val="14"/>
                <w:color w:val="auto"/>
              </w:rPr>
            </w:pPr>
          </w:p>
        </w:tc>
      </w:tr>
      <w:tr>
        <w:trPr>
          <w:trHeight w:val="171"/>
        </w:trPr>
        <w:tc>
          <w:tcPr>
            <w:tcW w:w="544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11,174</w:t>
            </w:r>
          </w:p>
        </w:tc>
        <w:tc>
          <w:tcPr>
            <w:tcW w:w="20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10,176</w:t>
            </w:r>
          </w:p>
        </w:tc>
        <w:tc>
          <w:tcPr>
            <w:tcW w:w="20" w:type="dxa"/>
            <w:vAlign w:val="bottom"/>
          </w:tcPr>
          <w:p>
            <w:pPr>
              <w:spacing w:after="0"/>
              <w:rPr>
                <w:sz w:val="14"/>
                <w:szCs w:val="14"/>
                <w:color w:val="auto"/>
              </w:rPr>
            </w:pPr>
          </w:p>
        </w:tc>
      </w:tr>
      <w:tr>
        <w:trPr>
          <w:trHeight w:val="171"/>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w:t>
            </w:r>
          </w:p>
        </w:tc>
        <w:tc>
          <w:tcPr>
            <w:tcW w:w="20" w:type="dxa"/>
            <w:vAlign w:val="bottom"/>
            <w:shd w:val="clear" w:color="auto" w:fill="CCEEFF"/>
          </w:tcPr>
          <w:p>
            <w:pPr>
              <w:spacing w:after="0"/>
              <w:rPr>
                <w:sz w:val="14"/>
                <w:szCs w:val="14"/>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56.32%</w:t>
            </w:r>
          </w:p>
        </w:tc>
        <w:tc>
          <w:tcPr>
            <w:tcW w:w="20" w:type="dxa"/>
            <w:vAlign w:val="bottom"/>
            <w:shd w:val="clear" w:color="auto" w:fill="CCEEFF"/>
          </w:tcPr>
          <w:p>
            <w:pPr>
              <w:spacing w:after="0"/>
              <w:rPr>
                <w:sz w:val="14"/>
                <w:szCs w:val="14"/>
                <w:color w:val="auto"/>
              </w:rPr>
            </w:pPr>
          </w:p>
        </w:tc>
      </w:tr>
      <w:tr>
        <w:trPr>
          <w:trHeight w:val="179"/>
        </w:trPr>
        <w:tc>
          <w:tcPr>
            <w:tcW w:w="544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3.22%</w:t>
            </w:r>
          </w:p>
        </w:tc>
        <w:tc>
          <w:tcPr>
            <w:tcW w:w="20" w:type="dxa"/>
            <w:vAlign w:val="bottom"/>
          </w:tcPr>
          <w:p>
            <w:pPr>
              <w:spacing w:after="0"/>
              <w:rPr>
                <w:sz w:val="15"/>
                <w:szCs w:val="15"/>
                <w:color w:val="auto"/>
              </w:rPr>
            </w:pPr>
          </w:p>
        </w:tc>
      </w:tr>
    </w:tbl>
    <w:p>
      <w:pPr>
        <w:spacing w:after="0" w:line="13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Company’s results of operations depend substantially on the levels of our net interest income and non-interest income. Other factors contributing to the results of operations include our provision for credit losses, the level of non-interest expense, and the provision for income taxes.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2024 compared to the three months ended March 31, 2023</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three months ended March 31, 2024, total interest income increased $8.5 million compared to the same period in 2023. However, this positive trend was offset by a $9.3 million increase in total interest expense due to higher weighted average deposit costs and borrowing costs. Consequently, net income decreased $1.2 million to $4.6 million for the three months ended March 31, 2024 compared to the three months ended March 31, 2023.</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paid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30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indirect benefit of these non-interest-bearing funding sources.</w:t>
      </w:r>
    </w:p>
    <w:p>
      <w:pPr>
        <w:spacing w:after="0" w:line="139"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Changes in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contains information related to average balances, average yields earned on assets, and average costs of liabilities for the periods indicated (dollars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8"/>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0"/>
        </w:trPr>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83"/>
              <w:spacing w:after="0" w:line="110" w:lineRule="exact"/>
              <w:rPr>
                <w:sz w:val="20"/>
                <w:szCs w:val="20"/>
                <w:color w:val="auto"/>
              </w:rPr>
            </w:pPr>
            <w:r>
              <w:rPr>
                <w:rFonts w:ascii="Arial" w:cs="Arial" w:eastAsia="Arial" w:hAnsi="Arial"/>
                <w:sz w:val="10"/>
                <w:szCs w:val="10"/>
                <w:b w:val="1"/>
                <w:bCs w:val="1"/>
                <w:color w:val="auto"/>
              </w:rPr>
              <w:t xml:space="preserve">Average </w:t>
            </w:r>
            <w:r>
              <w:rPr>
                <w:rFonts w:ascii="Arial" w:cs="Arial" w:eastAsia="Arial" w:hAnsi="Arial"/>
                <w:sz w:val="12"/>
                <w:szCs w:val="12"/>
                <w:b w:val="1"/>
                <w:bCs w:val="1"/>
                <w:color w:val="auto"/>
                <w:vertAlign w:val="superscript"/>
              </w:rPr>
              <w:t>(1)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83"/>
              <w:spacing w:after="0" w:line="110" w:lineRule="exact"/>
              <w:rPr>
                <w:sz w:val="20"/>
                <w:szCs w:val="20"/>
                <w:color w:val="auto"/>
              </w:rPr>
            </w:pPr>
            <w:r>
              <w:rPr>
                <w:rFonts w:ascii="Arial" w:cs="Arial" w:eastAsia="Arial" w:hAnsi="Arial"/>
                <w:sz w:val="10"/>
                <w:szCs w:val="10"/>
                <w:b w:val="1"/>
                <w:bCs w:val="1"/>
                <w:color w:val="auto"/>
              </w:rPr>
              <w:t xml:space="preserve">Average </w:t>
            </w:r>
            <w:r>
              <w:rPr>
                <w:rFonts w:ascii="Arial" w:cs="Arial" w:eastAsia="Arial" w:hAnsi="Arial"/>
                <w:sz w:val="12"/>
                <w:szCs w:val="12"/>
                <w:b w:val="1"/>
                <w:bCs w:val="1"/>
                <w:color w:val="auto"/>
                <w:vertAlign w:val="superscript"/>
              </w:rPr>
              <w:t>(1)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6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color w:val="auto"/>
                <w:vertAlign w:val="superscript"/>
              </w:rPr>
              <w:t>(2)</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color w:val="auto"/>
                <w:vertAlign w:val="superscript"/>
              </w:rPr>
              <w:t>(2)</w:t>
            </w:r>
          </w:p>
        </w:tc>
        <w:tc>
          <w:tcPr>
            <w:tcW w:w="20" w:type="dxa"/>
            <w:vAlign w:val="bottom"/>
          </w:tcPr>
          <w:p>
            <w:pPr>
              <w:spacing w:after="0"/>
              <w:rPr>
                <w:sz w:val="11"/>
                <w:szCs w:val="11"/>
                <w:color w:val="auto"/>
              </w:rPr>
            </w:pPr>
          </w:p>
        </w:tc>
      </w:tr>
      <w:tr>
        <w:trPr>
          <w:trHeight w:val="151"/>
        </w:trPr>
        <w:tc>
          <w:tcPr>
            <w:tcW w:w="2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1,781,528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26,643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1,547,393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19,711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w:t>
            </w: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419,989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2,811</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421,717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2,286</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2.20%</w:t>
            </w: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125,244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43,084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w:t>
            </w: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2,326,761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30,887</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5.34%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2,012,194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22,379</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4.51%</w:t>
            </w:r>
          </w:p>
        </w:tc>
        <w:tc>
          <w:tcPr>
            <w:tcW w:w="20" w:type="dxa"/>
            <w:vAlign w:val="bottom"/>
          </w:tcPr>
          <w:p>
            <w:pPr>
              <w:spacing w:after="0"/>
              <w:rPr>
                <w:sz w:val="13"/>
                <w:szCs w:val="13"/>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109,342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108,024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91"/>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2,436,103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1"/>
        </w:trPr>
        <w:tc>
          <w:tcPr>
            <w:tcW w:w="262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53,344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1,097,575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10,394</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3.81%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897,061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4,785</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2.16%</w:t>
            </w:r>
          </w:p>
        </w:tc>
        <w:tc>
          <w:tcPr>
            <w:tcW w:w="20" w:type="dxa"/>
            <w:vAlign w:val="bottom"/>
          </w:tcPr>
          <w:p>
            <w:pPr>
              <w:spacing w:after="0"/>
              <w:rPr>
                <w:sz w:val="14"/>
                <w:szCs w:val="14"/>
                <w:color w:val="auto"/>
              </w:rPr>
            </w:pPr>
          </w:p>
        </w:tc>
      </w:tr>
      <w:tr>
        <w:trPr>
          <w:trHeight w:val="149"/>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322,912</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3,294</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224,730</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1.91%</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1,473,831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14,057</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3.84%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1,179,878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5,885</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2.02%</w:t>
            </w: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164,187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61,600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1,638,018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15,729</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3.86%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1,241,478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6,382</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2.08%</w:t>
            </w: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574,760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664,369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30,233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2,243,011</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1,936,847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193,092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183,371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2,436,103</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gridSpan w:val="3"/>
          </w:tcPr>
          <w:p>
            <w:pPr>
              <w:jc w:val="right"/>
              <w:ind w:right="2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15,158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4"/>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15,997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3"/>
        </w:trPr>
        <w:tc>
          <w:tcPr>
            <w:tcW w:w="262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tcBorders>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1.48%</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tcBorders>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2.43%</w:t>
            </w:r>
          </w:p>
        </w:tc>
        <w:tc>
          <w:tcPr>
            <w:tcW w:w="20" w:type="dxa"/>
            <w:vAlign w:val="bottom"/>
            <w:tcBorders>
              <w:top w:val="single" w:sz="8" w:color="CCEEFF"/>
            </w:tcBorders>
            <w:shd w:val="clear" w:color="auto" w:fill="CCEEFF"/>
          </w:tcPr>
          <w:p>
            <w:pPr>
              <w:spacing w:after="0"/>
              <w:rPr>
                <w:sz w:val="10"/>
                <w:szCs w:val="10"/>
                <w:color w:val="auto"/>
              </w:rPr>
            </w:pPr>
          </w:p>
        </w:tc>
      </w:tr>
      <w:tr>
        <w:trPr>
          <w:trHeight w:val="205"/>
        </w:trPr>
        <w:tc>
          <w:tcPr>
            <w:tcW w:w="2620" w:type="dxa"/>
            <w:vAlign w:val="bottom"/>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2.62%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3.22%</w:t>
            </w:r>
          </w:p>
        </w:tc>
        <w:tc>
          <w:tcPr>
            <w:tcW w:w="20" w:type="dxa"/>
            <w:vAlign w:val="bottom"/>
          </w:tcPr>
          <w:p>
            <w:pPr>
              <w:spacing w:after="0"/>
              <w:rPr>
                <w:sz w:val="17"/>
                <w:szCs w:val="17"/>
                <w:color w:val="auto"/>
              </w:rPr>
            </w:pPr>
          </w:p>
        </w:tc>
      </w:tr>
    </w:tbl>
    <w:p>
      <w:pPr>
        <w:spacing w:after="0" w:line="119" w:lineRule="exact"/>
        <w:rPr>
          <w:sz w:val="20"/>
          <w:szCs w:val="20"/>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spacing w:after="0" w:line="54" w:lineRule="exact"/>
        <w:rPr>
          <w:rFonts w:ascii="Arial" w:cs="Arial" w:eastAsia="Arial" w:hAnsi="Arial"/>
          <w:sz w:val="11"/>
          <w:szCs w:val="11"/>
          <w:color w:val="auto"/>
        </w:rPr>
      </w:pPr>
    </w:p>
    <w:p>
      <w:pPr>
        <w:ind w:left="860" w:hanging="197"/>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2024 compared to the three months ended March 31, 2023</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interest income before the provision for credit losses was $15.2 million for the three months ended March 31, 2024, a decrease of $839 thousand or 5.2%, from $16.0 million for the same period in 2023. The decrease was primarily attributable to the $9.3 million increase in interest expense, which was a result to the prevailing market interest rate conditions which offset the increase in interest income.</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Net interest margin was 2.62% for the quarter ended March 31, 2024 and 3.22% for the same period in 2023. The increases in loan yields as well as yields on other interest-earning assets was offset by higher deposit and borrowing costs.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provision for credit losses represents a charge to earnings necessary to maintain an allowance for credit losses that, in management's evaluation, is adequate to provide coverage for all expected credit losses. The provision for credit losses is impacted by variations in the size and composition of our loan and debt securities portfolio, recent historical and projected future economic conditions, our internal assessment of the credit quality of the loan and debt securities portfolios and net charge-offs.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2024 compared to the three months ended March 31, 2023</w:t>
      </w:r>
    </w:p>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provision for credit loss was $410 thousand for the three months ended March 31, 2024 compared to $201 thousand for the same period in 2023. Growth in the loan portfolio was the primary driver of the increase in the provision expense during the three months ended March 31, 2024.</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our swap and SBA programs. In addition, we own and are beneficiaries of the life insurance policies on some of our employees and generate income from the increase in the cash surrender value of these policies.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9"/>
          </w:tcPr>
          <w:p>
            <w:pPr>
              <w:ind w:left="40"/>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540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Service fees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8"/>
              </w:rPr>
              <w:t>1,651</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1,205</w:t>
            </w:r>
          </w:p>
        </w:tc>
        <w:tc>
          <w:tcPr>
            <w:tcW w:w="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71"/>
        </w:trPr>
        <w:tc>
          <w:tcPr>
            <w:tcW w:w="5400" w:type="dxa"/>
            <w:vAlign w:val="bottom"/>
            <w:gridSpan w:val="2"/>
          </w:tcPr>
          <w:p>
            <w:pPr>
              <w:spacing w:after="0"/>
              <w:rPr>
                <w:sz w:val="20"/>
                <w:szCs w:val="20"/>
                <w:color w:val="auto"/>
              </w:rPr>
            </w:pPr>
            <w:r>
              <w:rPr>
                <w:rFonts w:ascii="Arial" w:cs="Arial" w:eastAsia="Arial" w:hAnsi="Arial"/>
                <w:sz w:val="13"/>
                <w:szCs w:val="13"/>
                <w:color w:val="auto"/>
              </w:rPr>
              <w:t>Gain (loss) on sale of securities available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14"/>
                <w:szCs w:val="14"/>
                <w:color w:val="auto"/>
              </w:rPr>
            </w:pPr>
          </w:p>
        </w:tc>
      </w:tr>
      <w:tr>
        <w:trPr>
          <w:trHeight w:val="17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sale of loans held for sale,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non-interest income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49"/>
        </w:trPr>
        <w:tc>
          <w:tcPr>
            <w:tcW w:w="100" w:type="dxa"/>
            <w:vAlign w:val="bottom"/>
            <w:shd w:val="clear" w:color="auto" w:fill="CCEEFF"/>
          </w:tcPr>
          <w:p>
            <w:pPr>
              <w:spacing w:after="0"/>
              <w:rPr>
                <w:sz w:val="12"/>
                <w:szCs w:val="12"/>
                <w:color w:val="auto"/>
              </w:rPr>
            </w:pPr>
          </w:p>
        </w:tc>
        <w:tc>
          <w:tcPr>
            <w:tcW w:w="53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non-interest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98"/>
              </w:rPr>
              <w:t>2,464</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2,070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2024 compared to the three months ended March 31, 2023</w:t>
      </w:r>
    </w:p>
    <w:p>
      <w:pPr>
        <w:spacing w:after="0" w:line="168"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Non-interest income for the three months ended March 31, 2024 increased $394 thousand or 19.0%, compared to the same period in 2023. This increase was primarily driven by growth in service fees from a larger deposit portfolio and an increase in wire and treasury management fees.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9"/>
              </w:rPr>
              <w:t>Three Months Ended March 31,</w:t>
            </w:r>
          </w:p>
        </w:tc>
        <w:tc>
          <w:tcPr>
            <w:tcW w:w="20" w:type="dxa"/>
            <w:vAlign w:val="bottom"/>
          </w:tcPr>
          <w:p>
            <w:pPr>
              <w:spacing w:after="0"/>
              <w:rPr>
                <w:sz w:val="13"/>
                <w:szCs w:val="13"/>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r>
      <w:tr>
        <w:trPr>
          <w:trHeight w:val="151"/>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6,377</w:t>
            </w:r>
          </w:p>
        </w:tc>
        <w:tc>
          <w:tcPr>
            <w:tcW w:w="20" w:type="dxa"/>
            <w:vAlign w:val="bottom"/>
            <w:shd w:val="clear" w:color="auto" w:fill="CCEEFF"/>
          </w:tcPr>
          <w:p>
            <w:pPr>
              <w:spacing w:after="0"/>
              <w:rPr>
                <w:sz w:val="13"/>
                <w:szCs w:val="13"/>
                <w:color w:val="auto"/>
              </w:rPr>
            </w:pPr>
          </w:p>
        </w:tc>
      </w:tr>
      <w:tr>
        <w:trPr>
          <w:trHeight w:val="171"/>
        </w:trPr>
        <w:tc>
          <w:tcPr>
            <w:tcW w:w="544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1,299</w:t>
            </w:r>
          </w:p>
        </w:tc>
        <w:tc>
          <w:tcPr>
            <w:tcW w:w="20" w:type="dxa"/>
            <w:vAlign w:val="bottom"/>
          </w:tcPr>
          <w:p>
            <w:pPr>
              <w:spacing w:after="0"/>
              <w:rPr>
                <w:sz w:val="14"/>
                <w:szCs w:val="14"/>
                <w:color w:val="auto"/>
              </w:rPr>
            </w:pPr>
          </w:p>
        </w:tc>
      </w:tr>
      <w:tr>
        <w:trPr>
          <w:trHeight w:val="171"/>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CEEFF"/>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358</w:t>
            </w:r>
          </w:p>
        </w:tc>
        <w:tc>
          <w:tcPr>
            <w:tcW w:w="20" w:type="dxa"/>
            <w:vAlign w:val="bottom"/>
          </w:tcPr>
          <w:p>
            <w:pPr>
              <w:spacing w:after="0"/>
              <w:rPr>
                <w:sz w:val="14"/>
                <w:szCs w:val="14"/>
                <w:color w:val="auto"/>
              </w:rPr>
            </w:pPr>
          </w:p>
        </w:tc>
      </w:tr>
      <w:tr>
        <w:trPr>
          <w:trHeight w:val="171"/>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20" w:type="dxa"/>
            <w:vAlign w:val="bottom"/>
            <w:shd w:val="clear" w:color="auto" w:fill="CCEEFF"/>
          </w:tcPr>
          <w:p>
            <w:pPr>
              <w:spacing w:after="0"/>
              <w:rPr>
                <w:sz w:val="14"/>
                <w:szCs w:val="14"/>
                <w:color w:val="auto"/>
              </w:rPr>
            </w:pPr>
          </w:p>
        </w:tc>
      </w:tr>
      <w:tr>
        <w:trPr>
          <w:trHeight w:val="171"/>
        </w:trPr>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11,174</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2024 compared to the three months ended March 31, 2023</w:t>
      </w:r>
    </w:p>
    <w:p>
      <w:pPr>
        <w:spacing w:after="0" w:line="16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Non-interest expense for the three months ended March 31, 2024 increased $998 thousand or 9.8%, compared to the same period in 2023. The increase was primarily driven by an increase in other operating expenses of $578 thousand due to $199 thousand increase in internal and external audit expense, $70 thousand increase in miscellaneous expense, and $97 thousand increase in force-placed insurance expense (this expense will eventually be reimbursed by customers). Additionally, consulting and legal fees increased $234 thousand due to legal expenses and regulatory assessment and fees increased $209 thousand mostly due to FDIC deposit insurance as our deposit portfolio grew.</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2024 compared to the three months ended March 31, 2023</w:t>
      </w:r>
    </w:p>
    <w:p>
      <w:pPr>
        <w:spacing w:after="0" w:line="168" w:lineRule="exact"/>
        <w:rPr>
          <w:sz w:val="20"/>
          <w:szCs w:val="20"/>
          <w:color w:val="auto"/>
        </w:rPr>
      </w:pPr>
    </w:p>
    <w:p>
      <w:pPr>
        <w:jc w:val="both"/>
        <w:ind w:left="660" w:right="699" w:firstLine="299"/>
        <w:spacing w:after="0" w:line="257" w:lineRule="auto"/>
        <w:rPr>
          <w:sz w:val="20"/>
          <w:szCs w:val="20"/>
          <w:color w:val="auto"/>
        </w:rPr>
      </w:pPr>
      <w:r>
        <w:rPr>
          <w:rFonts w:ascii="Arial" w:cs="Arial" w:eastAsia="Arial" w:hAnsi="Arial"/>
          <w:sz w:val="14"/>
          <w:szCs w:val="14"/>
          <w:color w:val="auto"/>
        </w:rPr>
        <w:t>Income tax expense for the quarter ended March 31, 2024 was $1.4 million as compared to $1.9 million for the same period in 2023. The effective tax rate for the three months ended March 31, 2024 was 23.6% compared to 24.5% for the same period in 2023.</w:t>
      </w:r>
    </w:p>
    <w:p>
      <w:pPr>
        <w:spacing w:after="0" w:line="304"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Item 1 of Part I of this Form 10-Q.</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Total assets at March 31, 2024 were $2.49 billion, an increase of $150.0 million, or 25.8% annualized, over total assets of $2.34 billion at December 31, 2023. Total loans, net of unearned fees/cost, increased $40.4 million, or 9.1% annualized, to $1.82 billion at March 31, 2024 compared to $1.78 billion at December 31, 2023. Total deposits increased by $165.7 million, or 34.4% annualized, to $2.10 billion at March 31, 2024 compared to $1.94 billion December 31, 2023.</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 consideration the Company’s risk appetite and tolerance, manage the asset composition and diversification, and maintain adequate risk-based capital ratios.</w:t>
      </w:r>
    </w:p>
    <w:p>
      <w:pPr>
        <w:spacing w:after="0" w:line="140"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The investment portfolio is managed in accordance with the Board approved Asset and Liability Management (“ALM”) policy, which includes investment guidelines.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Asset-Liability Committee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U.S.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prior to maturity depending on capital market conditions and expectations. The investment portfolio is regularly reviewed by the Chief Financial Officer, Treasurer, and the ALCO of the Company to ensure an appropriate risk and return profile as well as for adherence to the investment policy.</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When evaluating AFS debt securities under ASC Topic 326, the Company evaluates whether the decline in fair value is attributable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unrealized loss position over its holding period as it approaches to maturity and the Company has the intent and ability to hold these securities to maturity until recovery. As a result of this evaluation, the Company concluded that no allowance was required on AFS securities as of March 31, 2024.</w:t>
      </w:r>
    </w:p>
    <w:p>
      <w:pPr>
        <w:spacing w:after="0" w:line="12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AFS and HTM investment securities increased $28.7 million, or 28.6% annualized, to $433.0 million at March 31, 2024 from $404.3 million at December 31, 2023. Investment securities increased due to reinvestment of payments received and investment of excess in cash balances into high credit quality investments to increase the Company’s profitability and modify the Company’s balance sheet duration according to the ALM policy. As of March 31, 2024, investment securities with a market value of $244.4 million were pledged to secure public deposits and the BTFP. The investment portfolio does not have any tax-exempt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March 31, 2024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16"/>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130,533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106,369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103,645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50,337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48,182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41,702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49,212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19,061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28,622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26,974</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28,106</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312,224</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259,992</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279,427</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43,439</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37,623</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43,626</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38,306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61,465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53,131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62,735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38,613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43,784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15,409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15,439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9,354</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173,050</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152,156</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174,982</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80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(12)</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173,038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March 31, 2024 (in thousands, except ratios):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gridSpan w:val="13"/>
          </w:tcPr>
          <w:p>
            <w:pPr>
              <w:jc w:val="right"/>
              <w:ind w:right="87"/>
              <w:spacing w:after="0"/>
              <w:rPr>
                <w:sz w:val="20"/>
                <w:szCs w:val="20"/>
                <w:color w:val="auto"/>
              </w:rPr>
            </w:pPr>
            <w:r>
              <w:rPr>
                <w:rFonts w:ascii="Arial" w:cs="Arial" w:eastAsia="Arial" w:hAnsi="Arial"/>
                <w:sz w:val="11"/>
                <w:szCs w:val="11"/>
                <w:b w:val="1"/>
                <w:bCs w:val="1"/>
                <w:color w:val="auto"/>
              </w:rPr>
              <w:t>After 1 year through After 5 years through</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tcPr>
          <w:p>
            <w:pPr>
              <w:jc w:val="right"/>
              <w:ind w:right="326"/>
              <w:spacing w:after="0"/>
              <w:rPr>
                <w:sz w:val="20"/>
                <w:szCs w:val="20"/>
                <w:color w:val="auto"/>
              </w:rPr>
            </w:pPr>
            <w:r>
              <w:rPr>
                <w:rFonts w:ascii="Arial" w:cs="Arial" w:eastAsia="Arial" w:hAnsi="Arial"/>
                <w:sz w:val="11"/>
                <w:szCs w:val="11"/>
                <w:b w:val="1"/>
                <w:bCs w:val="1"/>
                <w:color w:val="auto"/>
              </w:rPr>
              <w:t>Within 1 year</w:t>
            </w:r>
          </w:p>
        </w:tc>
        <w:tc>
          <w:tcPr>
            <w:tcW w:w="640" w:type="dxa"/>
            <w:vAlign w:val="bottom"/>
            <w:gridSpan w:val="3"/>
          </w:tcPr>
          <w:p>
            <w:pPr>
              <w:ind w:left="240"/>
              <w:spacing w:after="0"/>
              <w:rPr>
                <w:sz w:val="20"/>
                <w:szCs w:val="20"/>
                <w:color w:val="auto"/>
              </w:rPr>
            </w:pPr>
            <w:r>
              <w:rPr>
                <w:rFonts w:ascii="Arial" w:cs="Arial" w:eastAsia="Arial" w:hAnsi="Arial"/>
                <w:sz w:val="11"/>
                <w:szCs w:val="11"/>
                <w:b w:val="1"/>
                <w:bCs w:val="1"/>
                <w:color w:val="auto"/>
              </w:rPr>
              <w:t>5 years</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5"/>
          </w:tcPr>
          <w:p>
            <w:pPr>
              <w:jc w:val="right"/>
              <w:ind w:right="447"/>
              <w:spacing w:after="0"/>
              <w:rPr>
                <w:sz w:val="20"/>
                <w:szCs w:val="20"/>
                <w:color w:val="auto"/>
              </w:rPr>
            </w:pPr>
            <w:r>
              <w:rPr>
                <w:rFonts w:ascii="Arial" w:cs="Arial" w:eastAsia="Arial" w:hAnsi="Arial"/>
                <w:sz w:val="11"/>
                <w:szCs w:val="11"/>
                <w:b w:val="1"/>
                <w:bCs w:val="1"/>
                <w:color w:val="auto"/>
              </w:rPr>
              <w:t>10 years</w:t>
            </w:r>
          </w:p>
        </w:tc>
        <w:tc>
          <w:tcPr>
            <w:tcW w:w="1180" w:type="dxa"/>
            <w:vAlign w:val="bottom"/>
            <w:gridSpan w:val="5"/>
          </w:tcPr>
          <w:p>
            <w:pPr>
              <w:ind w:left="80"/>
              <w:spacing w:after="0"/>
              <w:rPr>
                <w:sz w:val="20"/>
                <w:szCs w:val="20"/>
                <w:color w:val="auto"/>
              </w:rPr>
            </w:pPr>
            <w:r>
              <w:rPr>
                <w:rFonts w:ascii="Arial" w:cs="Arial" w:eastAsia="Arial" w:hAnsi="Arial"/>
                <w:sz w:val="11"/>
                <w:szCs w:val="11"/>
                <w:b w:val="1"/>
                <w:bCs w:val="1"/>
                <w:color w:val="auto"/>
              </w:rPr>
              <w:t>After 10 years</w:t>
            </w:r>
          </w:p>
        </w:tc>
        <w:tc>
          <w:tcPr>
            <w:tcW w:w="600" w:type="dxa"/>
            <w:vAlign w:val="bottom"/>
            <w:gridSpan w:val="3"/>
          </w:tcPr>
          <w:p>
            <w:pPr>
              <w:ind w:left="30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1"/>
                <w:szCs w:val="11"/>
                <w:b w:val="1"/>
                <w:bCs w:val="1"/>
                <w:color w:val="auto"/>
              </w:rPr>
              <w:t>Amortized</w:t>
            </w:r>
          </w:p>
        </w:tc>
        <w:tc>
          <w:tcPr>
            <w:tcW w:w="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640" w:type="dxa"/>
            <w:vAlign w:val="bottom"/>
            <w:gridSpan w:val="3"/>
          </w:tcPr>
          <w:p>
            <w:pPr>
              <w:jc w:val="right"/>
              <w:ind w:right="206"/>
              <w:spacing w:after="0"/>
              <w:rPr>
                <w:sz w:val="20"/>
                <w:szCs w:val="20"/>
                <w:color w:val="auto"/>
              </w:rPr>
            </w:pPr>
            <w:r>
              <w:rPr>
                <w:rFonts w:ascii="Arial" w:cs="Arial" w:eastAsia="Arial" w:hAnsi="Arial"/>
                <w:sz w:val="11"/>
                <w:szCs w:val="11"/>
                <w:b w:val="1"/>
                <w:bCs w:val="1"/>
                <w:color w:val="auto"/>
              </w:rPr>
              <w:t>Yield</w:t>
            </w: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4"/>
          </w:tcPr>
          <w:p>
            <w:pPr>
              <w:jc w:val="right"/>
              <w:ind w:right="157"/>
              <w:spacing w:after="0"/>
              <w:rPr>
                <w:sz w:val="20"/>
                <w:szCs w:val="20"/>
                <w:color w:val="auto"/>
              </w:rPr>
            </w:pPr>
            <w:r>
              <w:rPr>
                <w:rFonts w:ascii="Arial" w:cs="Arial" w:eastAsia="Arial" w:hAnsi="Arial"/>
                <w:sz w:val="11"/>
                <w:szCs w:val="11"/>
                <w:b w:val="1"/>
                <w:bCs w:val="1"/>
                <w:color w:val="auto"/>
                <w:w w:val="91"/>
              </w:rPr>
              <w:t>Yield</w:t>
            </w:r>
          </w:p>
        </w:tc>
        <w:tc>
          <w:tcPr>
            <w:tcW w:w="6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620" w:type="dxa"/>
            <w:vAlign w:val="bottom"/>
            <w:gridSpan w:val="3"/>
          </w:tcPr>
          <w:p>
            <w:pPr>
              <w:jc w:val="right"/>
              <w:ind w:right="187"/>
              <w:spacing w:after="0"/>
              <w:rPr>
                <w:sz w:val="20"/>
                <w:szCs w:val="20"/>
                <w:color w:val="auto"/>
              </w:rPr>
            </w:pPr>
            <w:r>
              <w:rPr>
                <w:rFonts w:ascii="Arial" w:cs="Arial" w:eastAsia="Arial" w:hAnsi="Arial"/>
                <w:sz w:val="11"/>
                <w:szCs w:val="11"/>
                <w:b w:val="1"/>
                <w:bCs w:val="1"/>
                <w:color w:val="auto"/>
              </w:rPr>
              <w:t>Yield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640" w:type="dxa"/>
            <w:vAlign w:val="bottom"/>
            <w:gridSpan w:val="3"/>
          </w:tcPr>
          <w:p>
            <w:pPr>
              <w:jc w:val="right"/>
              <w:ind w:right="207"/>
              <w:spacing w:after="0"/>
              <w:rPr>
                <w:sz w:val="20"/>
                <w:szCs w:val="20"/>
                <w:color w:val="auto"/>
              </w:rPr>
            </w:pPr>
            <w:r>
              <w:rPr>
                <w:rFonts w:ascii="Arial" w:cs="Arial" w:eastAsia="Arial" w:hAnsi="Arial"/>
                <w:sz w:val="11"/>
                <w:szCs w:val="11"/>
                <w:b w:val="1"/>
                <w:bCs w:val="1"/>
                <w:color w:val="auto"/>
              </w:rPr>
              <w:t>Yield</w:t>
            </w:r>
          </w:p>
        </w:tc>
        <w:tc>
          <w:tcPr>
            <w:tcW w:w="6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7"/>
              </w:rPr>
              <w:t>Cost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ind w:right="26"/>
              <w:spacing w:after="0"/>
              <w:rPr>
                <w:sz w:val="20"/>
                <w:szCs w:val="20"/>
                <w:color w:val="auto"/>
              </w:rPr>
            </w:pPr>
            <w:r>
              <w:rPr>
                <w:rFonts w:ascii="Arial" w:cs="Arial" w:eastAsia="Arial" w:hAnsi="Arial"/>
                <w:sz w:val="11"/>
                <w:szCs w:val="11"/>
                <w:color w:val="auto"/>
              </w:rPr>
              <w:t>0.00% $</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0.00% $</w:t>
            </w:r>
          </w:p>
        </w:tc>
        <w:tc>
          <w:tcPr>
            <w:tcW w:w="620" w:type="dxa"/>
            <w:vAlign w:val="bottom"/>
          </w:tcPr>
          <w:p>
            <w:pPr>
              <w:jc w:val="right"/>
              <w:spacing w:after="0"/>
              <w:rPr>
                <w:sz w:val="20"/>
                <w:szCs w:val="20"/>
                <w:color w:val="auto"/>
              </w:rPr>
            </w:pPr>
            <w:r>
              <w:rPr>
                <w:rFonts w:ascii="Arial" w:cs="Arial" w:eastAsia="Arial" w:hAnsi="Arial"/>
                <w:sz w:val="11"/>
                <w:szCs w:val="11"/>
                <w:color w:val="auto"/>
              </w:rPr>
              <w:t>3,106</w:t>
            </w:r>
          </w:p>
        </w:tc>
        <w:tc>
          <w:tcPr>
            <w:tcW w:w="640" w:type="dxa"/>
            <w:vAlign w:val="bottom"/>
            <w:gridSpan w:val="4"/>
          </w:tcPr>
          <w:p>
            <w:pPr>
              <w:jc w:val="right"/>
              <w:ind w:right="7"/>
              <w:spacing w:after="0"/>
              <w:rPr>
                <w:sz w:val="20"/>
                <w:szCs w:val="20"/>
                <w:color w:val="auto"/>
              </w:rPr>
            </w:pPr>
            <w:r>
              <w:rPr>
                <w:rFonts w:ascii="Arial" w:cs="Arial" w:eastAsia="Arial" w:hAnsi="Arial"/>
                <w:sz w:val="11"/>
                <w:szCs w:val="11"/>
                <w:color w:val="auto"/>
              </w:rPr>
              <w:t>4.03% $</w:t>
            </w:r>
          </w:p>
        </w:tc>
        <w:tc>
          <w:tcPr>
            <w:tcW w:w="520" w:type="dxa"/>
            <w:vAlign w:val="bottom"/>
          </w:tcPr>
          <w:p>
            <w:pPr>
              <w:jc w:val="right"/>
              <w:spacing w:after="0"/>
              <w:rPr>
                <w:sz w:val="20"/>
                <w:szCs w:val="20"/>
                <w:color w:val="auto"/>
              </w:rPr>
            </w:pPr>
            <w:r>
              <w:rPr>
                <w:rFonts w:ascii="Arial" w:cs="Arial" w:eastAsia="Arial" w:hAnsi="Arial"/>
                <w:sz w:val="11"/>
                <w:szCs w:val="11"/>
                <w:color w:val="auto"/>
              </w:rPr>
              <w:t>14,062</w:t>
            </w:r>
          </w:p>
        </w:tc>
        <w:tc>
          <w:tcPr>
            <w:tcW w:w="660" w:type="dxa"/>
            <w:vAlign w:val="bottom"/>
            <w:gridSpan w:val="4"/>
          </w:tcPr>
          <w:p>
            <w:pPr>
              <w:jc w:val="right"/>
              <w:ind w:right="27"/>
              <w:spacing w:after="0"/>
              <w:rPr>
                <w:sz w:val="20"/>
                <w:szCs w:val="20"/>
                <w:color w:val="auto"/>
              </w:rPr>
            </w:pPr>
            <w:r>
              <w:rPr>
                <w:rFonts w:ascii="Arial" w:cs="Arial" w:eastAsia="Arial" w:hAnsi="Arial"/>
                <w:sz w:val="11"/>
                <w:szCs w:val="11"/>
                <w:color w:val="auto"/>
              </w:rPr>
              <w:t>3.66% $</w:t>
            </w:r>
          </w:p>
        </w:tc>
        <w:tc>
          <w:tcPr>
            <w:tcW w:w="500" w:type="dxa"/>
            <w:vAlign w:val="bottom"/>
          </w:tcPr>
          <w:p>
            <w:pPr>
              <w:jc w:val="right"/>
              <w:spacing w:after="0"/>
              <w:rPr>
                <w:sz w:val="20"/>
                <w:szCs w:val="20"/>
                <w:color w:val="auto"/>
              </w:rPr>
            </w:pPr>
            <w:r>
              <w:rPr>
                <w:rFonts w:ascii="Arial" w:cs="Arial" w:eastAsia="Arial" w:hAnsi="Arial"/>
                <w:sz w:val="11"/>
                <w:szCs w:val="11"/>
                <w:color w:val="auto"/>
              </w:rPr>
              <w:t>17,168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3.73%</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130,533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62,734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62,734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48,182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48,182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Municipal securities</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20,733</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4,252</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1.86%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24,985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21,272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26,834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5.57%</w:t>
            </w:r>
          </w:p>
        </w:tc>
        <w:tc>
          <w:tcPr>
            <w:tcW w:w="0" w:type="dxa"/>
            <w:vAlign w:val="bottom"/>
          </w:tcPr>
          <w:p>
            <w:pPr>
              <w:spacing w:after="0"/>
              <w:rPr>
                <w:sz w:val="1"/>
                <w:szCs w:val="1"/>
                <w:color w:val="auto"/>
              </w:rPr>
            </w:pP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1,788</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6.41%</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1,788</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6.41%</w:t>
            </w: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46,899</w:t>
            </w:r>
          </w:p>
        </w:tc>
        <w:tc>
          <w:tcPr>
            <w:tcW w:w="520" w:type="dxa"/>
            <w:vAlign w:val="bottom"/>
            <w:gridSpan w:val="3"/>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259,763</w:t>
            </w:r>
          </w:p>
        </w:tc>
        <w:tc>
          <w:tcPr>
            <w:tcW w:w="520" w:type="dxa"/>
            <w:vAlign w:val="bottom"/>
            <w:gridSpan w:val="3"/>
            <w:shd w:val="clear" w:color="auto" w:fill="CCEEFF"/>
          </w:tcPr>
          <w:p>
            <w:pPr>
              <w:spacing w:after="0"/>
              <w:rPr>
                <w:sz w:val="13"/>
                <w:szCs w:val="13"/>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312,224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Held-to-maturity: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ind w:right="26"/>
              <w:spacing w:after="0"/>
              <w:rPr>
                <w:sz w:val="20"/>
                <w:szCs w:val="20"/>
                <w:color w:val="auto"/>
              </w:rPr>
            </w:pPr>
            <w:r>
              <w:rPr>
                <w:rFonts w:ascii="Arial" w:cs="Arial" w:eastAsia="Arial" w:hAnsi="Arial"/>
                <w:sz w:val="11"/>
                <w:szCs w:val="11"/>
                <w:color w:val="auto"/>
              </w:rPr>
              <w:t>0.00% $</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7,933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1.02% $</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20,143</w:t>
            </w:r>
          </w:p>
        </w:tc>
        <w:tc>
          <w:tcPr>
            <w:tcW w:w="640" w:type="dxa"/>
            <w:vAlign w:val="bottom"/>
            <w:gridSpan w:val="4"/>
            <w:shd w:val="clear" w:color="auto" w:fill="CCEEFF"/>
          </w:tcPr>
          <w:p>
            <w:pPr>
              <w:jc w:val="right"/>
              <w:ind w:right="7"/>
              <w:spacing w:after="0"/>
              <w:rPr>
                <w:sz w:val="20"/>
                <w:szCs w:val="20"/>
                <w:color w:val="auto"/>
              </w:rPr>
            </w:pPr>
            <w:r>
              <w:rPr>
                <w:rFonts w:ascii="Arial" w:cs="Arial" w:eastAsia="Arial" w:hAnsi="Arial"/>
                <w:sz w:val="11"/>
                <w:szCs w:val="11"/>
                <w:color w:val="auto"/>
              </w:rPr>
              <w:t>1.45% $</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15,363</w:t>
            </w:r>
          </w:p>
        </w:tc>
        <w:tc>
          <w:tcPr>
            <w:tcW w:w="660" w:type="dxa"/>
            <w:vAlign w:val="bottom"/>
            <w:gridSpan w:val="4"/>
            <w:shd w:val="clear" w:color="auto" w:fill="CCEEFF"/>
          </w:tcPr>
          <w:p>
            <w:pPr>
              <w:jc w:val="right"/>
              <w:ind w:right="27"/>
              <w:spacing w:after="0"/>
              <w:rPr>
                <w:sz w:val="20"/>
                <w:szCs w:val="20"/>
                <w:color w:val="auto"/>
              </w:rPr>
            </w:pPr>
            <w:r>
              <w:rPr>
                <w:rFonts w:ascii="Arial" w:cs="Arial" w:eastAsia="Arial" w:hAnsi="Arial"/>
                <w:sz w:val="11"/>
                <w:szCs w:val="11"/>
                <w:color w:val="auto"/>
              </w:rPr>
              <w:t>2.03% $</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43,439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1.58%</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61,465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61,465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residential</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33,066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2.27%</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commercial</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3,069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12,340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2.62%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15,409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9,354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9,354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163"/>
        </w:trPr>
        <w:tc>
          <w:tcPr>
            <w:tcW w:w="18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24,766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26,050</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122,234</w:t>
            </w:r>
          </w:p>
        </w:tc>
        <w:tc>
          <w:tcPr>
            <w:tcW w:w="20" w:type="dxa"/>
            <w:vAlign w:val="bottom"/>
            <w:tcBorders>
              <w:bottom w:val="single" w:sz="8" w:color="auto"/>
            </w:tcBorders>
          </w:tcPr>
          <w:p>
            <w:pPr>
              <w:spacing w:after="0"/>
              <w:rPr>
                <w:sz w:val="14"/>
                <w:szCs w:val="14"/>
                <w:color w:val="auto"/>
              </w:rPr>
            </w:pPr>
          </w:p>
        </w:tc>
        <w:tc>
          <w:tcPr>
            <w:tcW w:w="500" w:type="dxa"/>
            <w:vAlign w:val="bottom"/>
            <w:gridSpan w:val="2"/>
          </w:tcPr>
          <w:p>
            <w:pPr>
              <w:spacing w:after="0"/>
              <w:rPr>
                <w:sz w:val="14"/>
                <w:szCs w:val="14"/>
                <w:color w:val="auto"/>
              </w:rPr>
            </w:pPr>
          </w:p>
        </w:tc>
        <w:tc>
          <w:tcPr>
            <w:tcW w:w="1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173,050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1.92%</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6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interest-earning assets. Higher yields typically carry greater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616"/>
              <w:spacing w:after="0"/>
              <w:rPr>
                <w:sz w:val="20"/>
                <w:szCs w:val="20"/>
                <w:color w:val="auto"/>
              </w:rPr>
            </w:pPr>
            <w:r>
              <w:rPr>
                <w:rFonts w:ascii="Arial" w:cs="Arial" w:eastAsia="Arial" w:hAnsi="Arial"/>
                <w:sz w:val="13"/>
                <w:szCs w:val="13"/>
                <w:b w:val="1"/>
                <w:bCs w:val="1"/>
                <w:color w:val="auto"/>
              </w:rPr>
              <w:t>March 31, 2024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496"/>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3"/>
                <w:szCs w:val="13"/>
                <w:color w:val="auto"/>
              </w:rPr>
            </w:pPr>
          </w:p>
        </w:tc>
      </w:tr>
      <w:tr>
        <w:trPr>
          <w:trHeight w:val="183"/>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r>
      <w:tr>
        <w:trPr>
          <w:trHeight w:val="160"/>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6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237,906</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1,057,800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58.2 %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58.8 %</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228,045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100,182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5.5 %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6.5 %</w:t>
            </w: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7"/>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1,818,258</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Borders>
              <w:bottom w:val="single" w:sz="8" w:color="auto"/>
            </w:tcBorders>
          </w:tcPr>
          <w:p>
            <w:pPr>
              <w:spacing w:after="0"/>
              <w:rPr>
                <w:sz w:val="18"/>
                <w:szCs w:val="18"/>
                <w:color w:val="auto"/>
              </w:rPr>
            </w:pPr>
          </w:p>
        </w:tc>
      </w:tr>
      <w:tr>
        <w:trPr>
          <w:trHeight w:val="111"/>
        </w:trPr>
        <w:tc>
          <w:tcPr>
            <w:tcW w:w="3340" w:type="dxa"/>
            <w:vAlign w:val="bottom"/>
            <w:tcBorders>
              <w:top w:val="single" w:sz="8" w:color="CCEEFF"/>
              <w:bottom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Plus: Deferred costs</w:t>
            </w: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6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2,938</w:t>
            </w:r>
          </w:p>
        </w:tc>
        <w:tc>
          <w:tcPr>
            <w:tcW w:w="40" w:type="dxa"/>
            <w:vAlign w:val="bottom"/>
            <w:tcBorders>
              <w:top w:val="single" w:sz="8" w:color="CCEEFF"/>
              <w:bottom w:val="single" w:sz="8" w:color="auto"/>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8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2,183</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 (costs)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1,821,196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1,780,827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21,454</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1,799,742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1,759,743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Total loans, net of unearned cost, increased by $40.4 million, or 9.1% annualized to $1.82 billion, at March 31, 2024 compared to December 31, 2023. The residential real estate loan segment had the most significant growth.</w:t>
      </w:r>
    </w:p>
    <w:p>
      <w:pPr>
        <w:spacing w:after="0" w:line="9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58% of the total gross loan portfolio as of March 31, 2024. Our loan growth strategy since inception has been reflective of the market in which we operate and of our strategic plan as approved by the Board.</w:t>
      </w:r>
    </w:p>
    <w:p>
      <w:pPr>
        <w:spacing w:after="0" w:line="12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March 31, 2024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r>
      <w:tr>
        <w:trPr>
          <w:trHeight w:val="141"/>
        </w:trPr>
        <w:tc>
          <w:tcPr>
            <w:tcW w:w="202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5,006</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42,647</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74,664</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115,589</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237,906</w:t>
            </w:r>
          </w:p>
        </w:tc>
        <w:tc>
          <w:tcPr>
            <w:tcW w:w="20" w:type="dxa"/>
            <w:vAlign w:val="bottom"/>
            <w:shd w:val="clear" w:color="auto" w:fill="CCEEFF"/>
          </w:tcPr>
          <w:p>
            <w:pPr>
              <w:spacing w:after="0"/>
              <w:rPr>
                <w:sz w:val="12"/>
                <w:szCs w:val="12"/>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105,181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200,845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745,043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1,057,800</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47,095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44,547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228,045</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100,182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100,182</w:t>
            </w:r>
          </w:p>
        </w:tc>
        <w:tc>
          <w:tcPr>
            <w:tcW w:w="20" w:type="dxa"/>
            <w:vAlign w:val="bottom"/>
          </w:tcPr>
          <w:p>
            <w:pPr>
              <w:spacing w:after="0"/>
              <w:rPr>
                <w:sz w:val="14"/>
                <w:szCs w:val="14"/>
                <w:color w:val="auto"/>
              </w:rPr>
            </w:pPr>
          </w:p>
        </w:tc>
      </w:tr>
      <w:tr>
        <w:trPr>
          <w:trHeight w:val="160"/>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178,480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225,450</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294,098</w:t>
            </w:r>
          </w:p>
        </w:tc>
        <w:tc>
          <w:tcPr>
            <w:tcW w:w="180" w:type="dxa"/>
            <w:vAlign w:val="bottom"/>
            <w:gridSpan w:val="4"/>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953,363</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345,347</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1,818,258</w:t>
            </w:r>
          </w:p>
        </w:tc>
        <w:tc>
          <w:tcPr>
            <w:tcW w:w="20" w:type="dxa"/>
            <w:vAlign w:val="bottom"/>
          </w:tcPr>
          <w:p>
            <w:pPr>
              <w:spacing w:after="0"/>
              <w:rPr>
                <w:sz w:val="18"/>
                <w:szCs w:val="18"/>
                <w:color w:val="auto"/>
              </w:rPr>
            </w:pPr>
          </w:p>
        </w:tc>
      </w:tr>
      <w:tr>
        <w:trPr>
          <w:trHeight w:val="121"/>
        </w:trPr>
        <w:tc>
          <w:tcPr>
            <w:tcW w:w="2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180,206</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161,021</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187,337</w:t>
            </w:r>
          </w:p>
        </w:tc>
        <w:tc>
          <w:tcPr>
            <w:tcW w:w="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237,934</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766,498</w:t>
            </w:r>
          </w:p>
        </w:tc>
        <w:tc>
          <w:tcPr>
            <w:tcW w:w="20" w:type="dxa"/>
            <w:vAlign w:val="bottom"/>
            <w:shd w:val="clear" w:color="auto" w:fill="CCEEFF"/>
          </w:tcPr>
          <w:p>
            <w:pPr>
              <w:spacing w:after="0"/>
              <w:rPr>
                <w:sz w:val="14"/>
                <w:szCs w:val="14"/>
                <w:color w:val="auto"/>
              </w:rPr>
            </w:pPr>
          </w:p>
        </w:tc>
      </w:tr>
      <w:tr>
        <w:trPr>
          <w:trHeight w:val="180"/>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45,244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133,077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766,026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1,051,760</w:t>
            </w:r>
          </w:p>
        </w:tc>
        <w:tc>
          <w:tcPr>
            <w:tcW w:w="20" w:type="dxa"/>
            <w:vAlign w:val="bottom"/>
          </w:tcPr>
          <w:p>
            <w:pPr>
              <w:spacing w:after="0"/>
              <w:rPr>
                <w:sz w:val="15"/>
                <w:szCs w:val="15"/>
                <w:color w:val="auto"/>
              </w:rPr>
            </w:pPr>
          </w:p>
        </w:tc>
      </w:tr>
      <w:tr>
        <w:trPr>
          <w:trHeight w:val="152"/>
        </w:trPr>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gross loans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225,450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294,098</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953,363</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345,347</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1,818,258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term/rate modifications are discussed as well.</w:t>
      </w:r>
    </w:p>
    <w:p>
      <w:pPr>
        <w:spacing w:after="0" w:line="126"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As of March 31, 2024, approximately 58% of the loans have adjustable/variable rates and 42% of the loans have fixed rates. The adjustable/variable rate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below the floor and positions us to gain in the scenario of higher interest rates.</w:t>
      </w:r>
    </w:p>
    <w:p>
      <w:pPr>
        <w:spacing w:after="0" w:line="3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65"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18"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2024</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237,906</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1,051,629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6,171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1,057,800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226,474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228,045</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100,182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100,182</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194,325</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1,810,236</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8,022</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1,818,258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December 31, 2023</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Pass</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Doubtful</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1,040,032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218,129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1,769,163</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9,481</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March 31, 2024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non-performing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real estate owned</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200" w:type="dxa"/>
            <w:vAlign w:val="bottom"/>
            <w:shd w:val="clear" w:color="auto" w:fill="CCEEFF"/>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6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Asset quality ratios:</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Allowance for credit losses to total loans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2"/>
          <w:szCs w:val="12"/>
          <w:color w:val="auto"/>
        </w:rPr>
        <w:t>Allowance for credit losses to non-performing loans</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Non-performing loans to total loans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1.18%</w:t>
      </w:r>
      <w:r>
        <w:rPr>
          <w:sz w:val="1"/>
          <w:szCs w:val="1"/>
          <w:color w:val="auto"/>
        </w:rPr>
        <w:drawing>
          <wp:inline distT="0" distB="0" distL="0" distR="0">
            <wp:extent cx="33655" cy="101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101600"/>
                    </a:xfrm>
                    <a:prstGeom prst="rect">
                      <a:avLst/>
                    </a:prstGeom>
                    <a:noFill/>
                    <a:ln>
                      <a:noFill/>
                    </a:ln>
                  </pic:spPr>
                </pic:pic>
              </a:graphicData>
            </a:graphic>
          </wp:inline>
        </w:drawing>
      </w:r>
      <w:r>
        <w:rPr>
          <w:rFonts w:ascii="Arial" w:cs="Arial" w:eastAsia="Arial" w:hAnsi="Arial"/>
          <w:sz w:val="13"/>
          <w:szCs w:val="13"/>
          <w:color w:val="auto"/>
        </w:rPr>
        <w:t xml:space="preserve">              1.18%</w:t>
      </w:r>
    </w:p>
    <w:p>
      <w:pPr>
        <w:spacing w:after="0" w:line="3"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4,705%</w:t>
      </w:r>
      <w:r>
        <w:rPr>
          <w:sz w:val="20"/>
          <w:szCs w:val="20"/>
          <w:color w:val="auto"/>
        </w:rPr>
        <w:tab/>
      </w:r>
      <w:r>
        <w:rPr>
          <w:rFonts w:ascii="Arial" w:cs="Arial" w:eastAsia="Arial" w:hAnsi="Arial"/>
          <w:sz w:val="12"/>
          <w:szCs w:val="12"/>
          <w:color w:val="auto"/>
        </w:rPr>
        <w:t>4,505%</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0.03%</w:t>
      </w:r>
      <w:r>
        <w:rPr>
          <w:sz w:val="1"/>
          <w:szCs w:val="1"/>
          <w:color w:val="auto"/>
        </w:rPr>
        <w:drawing>
          <wp:inline distT="0" distB="0" distL="0" distR="0">
            <wp:extent cx="33655" cy="101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101600"/>
                    </a:xfrm>
                    <a:prstGeom prst="rect">
                      <a:avLst/>
                    </a:prstGeom>
                    <a:noFill/>
                    <a:ln>
                      <a:noFill/>
                    </a:ln>
                  </pic:spPr>
                </pic:pic>
              </a:graphicData>
            </a:graphic>
          </wp:inline>
        </w:drawing>
      </w:r>
      <w:r>
        <w:rPr>
          <w:rFonts w:ascii="Arial" w:cs="Arial" w:eastAsia="Arial" w:hAnsi="Arial"/>
          <w:sz w:val="13"/>
          <w:szCs w:val="13"/>
          <w:color w:val="auto"/>
        </w:rPr>
        <w:t xml:space="preserve">              0.03%</w:t>
      </w:r>
    </w:p>
    <w:p>
      <w:pPr>
        <w:spacing w:after="0" w:line="149" w:lineRule="exact"/>
        <w:rPr>
          <w:sz w:val="20"/>
          <w:szCs w:val="20"/>
          <w:color w:val="auto"/>
        </w:rPr>
      </w:pPr>
    </w:p>
    <w:p>
      <w:pPr>
        <w:sectPr>
          <w:pgSz w:w="11900" w:h="16838" w:orient="portrait"/>
          <w:cols w:equalWidth="0" w:num="2">
            <w:col w:w="5740" w:space="720"/>
            <w:col w:w="2559"/>
          </w:cols>
          <w:pgMar w:left="1440" w:top="477" w:right="1440" w:bottom="1440" w:gutter="0" w:footer="0" w:header="0"/>
          <w:type w:val="continuous"/>
        </w:sectPr>
      </w:pPr>
    </w:p>
    <w:p>
      <w:pPr>
        <w:jc w:val="both"/>
        <w:ind w:left="660" w:right="679" w:firstLine="256"/>
        <w:spacing w:after="0" w:line="251" w:lineRule="auto"/>
        <w:rPr>
          <w:sz w:val="20"/>
          <w:szCs w:val="20"/>
          <w:color w:val="auto"/>
        </w:rPr>
      </w:pPr>
      <w:r>
        <w:rPr>
          <w:rFonts w:ascii="Arial" w:cs="Arial" w:eastAsia="Arial" w:hAnsi="Arial"/>
          <w:sz w:val="14"/>
          <w:szCs w:val="14"/>
          <w:color w:val="auto"/>
        </w:rPr>
        <w:t>Non-performing assets include all loans categorized as non-accrual or restructured,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w:t>
      </w:r>
    </w:p>
    <w:p>
      <w:pPr>
        <w:spacing w:after="0" w:line="12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surface regarding the borrower’s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26"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For further discussion on non-performing loans and borrowers experiencing financial difficulties, see Note 3 “Loans” to the unaudited Consolidated Financial Statements in Item 1 of Part 1 this Form 10-Q.</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ACL represents an amount that, in management's evaluation, is adequate to provide coverage for all expected future credit losses on outstanding loans. Additionally, qualitative adjustments are made to the ACL when, based on management’s judgment, there are factors impacting the allowance estimate not considered by the quantitative calculations. See Note 3 “Loans” in Item 1 of Part 1 of this Form 10-Q for more information on the ACL.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type w:val="continuous"/>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6"/>
              <w:spacing w:after="0"/>
              <w:rPr>
                <w:sz w:val="20"/>
                <w:szCs w:val="20"/>
                <w:color w:val="auto"/>
              </w:rPr>
            </w:pPr>
            <w:r>
              <w:rPr>
                <w:rFonts w:ascii="Arial" w:cs="Arial" w:eastAsia="Arial" w:hAnsi="Arial"/>
                <w:sz w:val="13"/>
                <w:szCs w:val="13"/>
                <w:b w:val="1"/>
                <w:bCs w:val="1"/>
                <w:color w:val="auto"/>
                <w:w w:val="94"/>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160"/>
        </w:trPr>
        <w:tc>
          <w:tcPr>
            <w:tcW w:w="2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March 31, 2024</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48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2,695</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10,366</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3,974</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911</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3,138</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21,084</w:t>
            </w:r>
          </w:p>
        </w:tc>
        <w:tc>
          <w:tcPr>
            <w:tcW w:w="20" w:type="dxa"/>
            <w:vAlign w:val="bottom"/>
          </w:tcPr>
          <w:p>
            <w:pPr>
              <w:spacing w:after="0"/>
              <w:rPr>
                <w:sz w:val="14"/>
                <w:szCs w:val="14"/>
                <w:color w:val="auto"/>
              </w:rPr>
            </w:pPr>
          </w:p>
        </w:tc>
      </w:tr>
      <w:tr>
        <w:trPr>
          <w:trHeight w:val="172"/>
        </w:trPr>
        <w:tc>
          <w:tcPr>
            <w:tcW w:w="248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288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71"/>
        </w:trPr>
        <w:tc>
          <w:tcPr>
            <w:tcW w:w="248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r>
      <w:tr>
        <w:trPr>
          <w:trHeight w:val="155"/>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7"/>
        </w:trPr>
        <w:tc>
          <w:tcPr>
            <w:tcW w:w="2480" w:type="dxa"/>
            <w:vAlign w:val="bottom"/>
          </w:tcPr>
          <w:p>
            <w:pPr>
              <w:ind w:left="40"/>
              <w:spacing w:after="0"/>
              <w:rPr>
                <w:sz w:val="20"/>
                <w:szCs w:val="20"/>
                <w:color w:val="auto"/>
              </w:rPr>
            </w:pPr>
            <w:r>
              <w:rPr>
                <w:rFonts w:ascii="Arial" w:cs="Arial" w:eastAsia="Arial" w:hAnsi="Arial"/>
                <w:sz w:val="13"/>
                <w:szCs w:val="13"/>
                <w:color w:val="auto"/>
              </w:rPr>
              <w:t>Ending Balance</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2,930</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10,302</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4,272</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794</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3,156</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21,454</w:t>
            </w:r>
          </w:p>
        </w:tc>
        <w:tc>
          <w:tcPr>
            <w:tcW w:w="20" w:type="dxa"/>
            <w:vAlign w:val="bottom"/>
          </w:tcPr>
          <w:p>
            <w:pPr>
              <w:spacing w:after="0"/>
              <w:rPr>
                <w:sz w:val="18"/>
                <w:szCs w:val="18"/>
                <w:color w:val="auto"/>
              </w:rPr>
            </w:pPr>
          </w:p>
        </w:tc>
      </w:tr>
      <w:tr>
        <w:trPr>
          <w:trHeight w:val="121"/>
        </w:trPr>
        <w:tc>
          <w:tcPr>
            <w:tcW w:w="24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480" w:type="dxa"/>
            <w:vAlign w:val="bottom"/>
          </w:tcPr>
          <w:p>
            <w:pPr>
              <w:ind w:left="40"/>
              <w:spacing w:after="0"/>
              <w:rPr>
                <w:sz w:val="20"/>
                <w:szCs w:val="20"/>
                <w:color w:val="auto"/>
              </w:rPr>
            </w:pPr>
            <w:r>
              <w:rPr>
                <w:rFonts w:ascii="Arial" w:cs="Arial" w:eastAsia="Arial" w:hAnsi="Arial"/>
                <w:sz w:val="13"/>
                <w:szCs w:val="13"/>
                <w:color w:val="auto"/>
              </w:rPr>
              <w:t>Average loans</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217,117</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1,048,870</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221,804</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102,150</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191,587</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1,781,528</w:t>
            </w:r>
          </w:p>
        </w:tc>
        <w:tc>
          <w:tcPr>
            <w:tcW w:w="20" w:type="dxa"/>
            <w:vAlign w:val="bottom"/>
          </w:tcPr>
          <w:p>
            <w:pPr>
              <w:spacing w:after="0"/>
              <w:rPr>
                <w:sz w:val="14"/>
                <w:szCs w:val="14"/>
                <w:color w:val="auto"/>
              </w:rPr>
            </w:pPr>
          </w:p>
        </w:tc>
      </w:tr>
      <w:tr>
        <w:trPr>
          <w:trHeight w:val="171"/>
        </w:trPr>
        <w:tc>
          <w:tcPr>
            <w:tcW w:w="2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r>
      <w:tr>
        <w:trPr>
          <w:trHeight w:val="85"/>
        </w:trPr>
        <w:tc>
          <w:tcPr>
            <w:tcW w:w="2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43" w:lineRule="exact"/>
        <w:rPr>
          <w:sz w:val="20"/>
          <w:szCs w:val="20"/>
          <w:color w:val="auto"/>
        </w:rPr>
      </w:pPr>
    </w:p>
    <w:p>
      <w:pPr>
        <w:ind w:left="700" w:right="999" w:hanging="5"/>
        <w:spacing w:after="0"/>
        <w:tabs>
          <w:tab w:leader="none" w:pos="892"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Provision for credit losses excludes a $43 thousand charge due to unfunded commitments included in other liabilities and a $4 thousand charge related to investment securities held to maturity.</w:t>
      </w:r>
    </w:p>
    <w:tbl>
      <w:tblPr>
        <w:tblLayout w:type="fixed"/>
        <w:tblInd w:w="66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6"/>
              </w:rPr>
              <w:t>Commercial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6"/>
              <w:spacing w:after="0"/>
              <w:rPr>
                <w:sz w:val="20"/>
                <w:szCs w:val="20"/>
                <w:color w:val="auto"/>
              </w:rPr>
            </w:pPr>
            <w:r>
              <w:rPr>
                <w:rFonts w:ascii="Arial" w:cs="Arial" w:eastAsia="Arial" w:hAnsi="Arial"/>
                <w:sz w:val="13"/>
                <w:szCs w:val="13"/>
                <w:b w:val="1"/>
                <w:bCs w:val="1"/>
                <w:color w:val="auto"/>
                <w:w w:val="94"/>
              </w:rPr>
              <w:t>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Consumer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160"/>
        </w:trPr>
        <w:tc>
          <w:tcPr>
            <w:tcW w:w="2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March 31, 2023</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48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1,352</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10,143</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4,163</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720</w:t>
            </w: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1,109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4"/>
                <w:szCs w:val="14"/>
                <w:color w:val="auto"/>
              </w:rPr>
            </w:pPr>
          </w:p>
        </w:tc>
      </w:tr>
      <w:tr>
        <w:trPr>
          <w:trHeight w:val="171"/>
        </w:trPr>
        <w:tc>
          <w:tcPr>
            <w:tcW w:w="2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Cumulative effect of adoption of</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248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accounting principle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20" w:type="dxa"/>
            <w:vAlign w:val="bottom"/>
            <w:shd w:val="clear" w:color="auto" w:fill="CCEEFF"/>
          </w:tcPr>
          <w:p>
            <w:pPr>
              <w:spacing w:after="0"/>
              <w:rPr>
                <w:sz w:val="16"/>
                <w:szCs w:val="16"/>
                <w:color w:val="auto"/>
              </w:rPr>
            </w:pPr>
          </w:p>
        </w:tc>
      </w:tr>
      <w:tr>
        <w:trPr>
          <w:trHeight w:val="192"/>
        </w:trPr>
        <w:tc>
          <w:tcPr>
            <w:tcW w:w="2480" w:type="dxa"/>
            <w:vAlign w:val="bottom"/>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318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285</w:t>
            </w:r>
          </w:p>
        </w:tc>
        <w:tc>
          <w:tcPr>
            <w:tcW w:w="20" w:type="dxa"/>
            <w:vAlign w:val="bottom"/>
          </w:tcPr>
          <w:p>
            <w:pPr>
              <w:spacing w:after="0"/>
              <w:rPr>
                <w:sz w:val="16"/>
                <w:szCs w:val="16"/>
                <w:color w:val="auto"/>
              </w:rPr>
            </w:pPr>
          </w:p>
        </w:tc>
      </w:tr>
      <w:tr>
        <w:trPr>
          <w:trHeight w:val="171"/>
        </w:trPr>
        <w:tc>
          <w:tcPr>
            <w:tcW w:w="2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shd w:val="clear" w:color="auto" w:fill="CCEEFF"/>
          </w:tcPr>
          <w:p>
            <w:pPr>
              <w:spacing w:after="0"/>
              <w:rPr>
                <w:sz w:val="14"/>
                <w:szCs w:val="14"/>
                <w:color w:val="auto"/>
              </w:rPr>
            </w:pPr>
          </w:p>
        </w:tc>
      </w:tr>
      <w:tr>
        <w:trPr>
          <w:trHeight w:val="180"/>
        </w:trPr>
        <w:tc>
          <w:tcPr>
            <w:tcW w:w="2480" w:type="dxa"/>
            <w:vAlign w:val="bottom"/>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152"/>
        </w:trPr>
        <w:tc>
          <w:tcPr>
            <w:tcW w:w="2480" w:type="dxa"/>
            <w:vAlign w:val="bottom"/>
            <w:tcBorders>
              <w:top w:val="single" w:sz="8" w:color="CCEEFF"/>
              <w:bottom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color w:val="auto"/>
              </w:rPr>
              <w:t>Ending Balance</w:t>
            </w: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68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2,819</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10,453</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2,367</w:t>
            </w: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6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772</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6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2,476</w:t>
            </w: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18,887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248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gridSpan w:val="4"/>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gridSpan w:val="4"/>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gridSpan w:val="4"/>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2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Average loans</w:t>
            </w: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194,355</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964,682</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158,509</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89,020</w:t>
            </w:r>
          </w:p>
        </w:tc>
        <w:tc>
          <w:tcPr>
            <w:tcW w:w="80" w:type="dxa"/>
            <w:vAlign w:val="bottom"/>
            <w:gridSpan w:val="3"/>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140,826</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1,547,392</w:t>
            </w:r>
          </w:p>
        </w:tc>
        <w:tc>
          <w:tcPr>
            <w:tcW w:w="20" w:type="dxa"/>
            <w:vAlign w:val="bottom"/>
            <w:shd w:val="clear" w:color="auto" w:fill="CCEEFF"/>
          </w:tcPr>
          <w:p>
            <w:pPr>
              <w:spacing w:after="0"/>
              <w:rPr>
                <w:sz w:val="14"/>
                <w:szCs w:val="14"/>
                <w:color w:val="auto"/>
              </w:rPr>
            </w:pPr>
          </w:p>
        </w:tc>
      </w:tr>
      <w:tr>
        <w:trPr>
          <w:trHeight w:val="179"/>
        </w:trPr>
        <w:tc>
          <w:tcPr>
            <w:tcW w:w="2480" w:type="dxa"/>
            <w:vAlign w:val="bottom"/>
          </w:tcPr>
          <w:p>
            <w:pPr>
              <w:ind w:left="40"/>
              <w:spacing w:after="0"/>
              <w:rPr>
                <w:sz w:val="20"/>
                <w:szCs w:val="20"/>
                <w:color w:val="auto"/>
              </w:rPr>
            </w:pPr>
            <w:r>
              <w:rPr>
                <w:rFonts w:ascii="Arial" w:cs="Arial" w:eastAsia="Arial" w:hAnsi="Arial"/>
                <w:sz w:val="13"/>
                <w:szCs w:val="13"/>
                <w:color w:val="auto"/>
              </w:rPr>
              <w:t>Net charge-offs to average loans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(0.11)%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(0.01)%</w:t>
            </w:r>
          </w:p>
        </w:tc>
        <w:tc>
          <w:tcPr>
            <w:tcW w:w="20" w:type="dxa"/>
            <w:vAlign w:val="bottom"/>
          </w:tcPr>
          <w:p>
            <w:pPr>
              <w:spacing w:after="0"/>
              <w:rPr>
                <w:sz w:val="15"/>
                <w:szCs w:val="15"/>
                <w:color w:val="auto"/>
              </w:rPr>
            </w:pPr>
          </w:p>
        </w:tc>
      </w:tr>
    </w:tbl>
    <w:p>
      <w:pPr>
        <w:spacing w:after="0" w:line="163" w:lineRule="exact"/>
        <w:rPr>
          <w:sz w:val="20"/>
          <w:szCs w:val="20"/>
          <w:color w:val="auto"/>
        </w:rPr>
      </w:pPr>
    </w:p>
    <w:p>
      <w:pPr>
        <w:ind w:left="880" w:hanging="185"/>
        <w:spacing w:after="0"/>
        <w:tabs>
          <w:tab w:leader="none" w:pos="8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21" w:lineRule="exact"/>
        <w:rPr>
          <w:rFonts w:ascii="Arial" w:cs="Arial" w:eastAsia="Arial" w:hAnsi="Arial"/>
          <w:sz w:val="13"/>
          <w:szCs w:val="13"/>
          <w:color w:val="auto"/>
        </w:rPr>
      </w:pPr>
    </w:p>
    <w:p>
      <w:pPr>
        <w:ind w:left="880" w:hanging="185"/>
        <w:spacing w:after="0"/>
        <w:tabs>
          <w:tab w:leader="none" w:pos="8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Provision for credit losses excludes a $84 thousand release due to unfunded commitments included in other liabilities</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March 31, 2024, the combined cash surrender value of all bank-owned life insurance (“BOLI”) policies was $52.2 million. Changes in cash surrender value are recorded to non-interest income in the unaudited Consolidated Statements of Operations. The Company had BOLI policies with five insurance carriers. The Company is the beneficiary of these policies.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5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owners and operators of these SMBs, as well as the retail/consumer relationships of the employees of these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Three Months Ended March 31,</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Rate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Average Rate</w:t>
            </w:r>
          </w:p>
        </w:tc>
      </w:tr>
      <w:tr>
        <w:trPr>
          <w:trHeight w:val="149"/>
        </w:trPr>
        <w:tc>
          <w:tcPr>
            <w:tcW w:w="3200" w:type="dxa"/>
            <w:vAlign w:val="bottom"/>
          </w:tcPr>
          <w:p>
            <w:pPr>
              <w:spacing w:after="0"/>
              <w:rPr>
                <w:sz w:val="12"/>
                <w:szCs w:val="1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ind w:left="300"/>
              <w:spacing w:after="0"/>
              <w:rPr>
                <w:sz w:val="20"/>
                <w:szCs w:val="20"/>
                <w:color w:val="auto"/>
              </w:rPr>
            </w:pPr>
            <w:r>
              <w:rPr>
                <w:rFonts w:ascii="Arial" w:cs="Arial" w:eastAsia="Arial" w:hAnsi="Arial"/>
                <w:sz w:val="13"/>
                <w:szCs w:val="13"/>
                <w:b w:val="1"/>
                <w:bCs w:val="1"/>
                <w:color w:val="auto"/>
              </w:rPr>
              <w:t>Paid</w:t>
            </w:r>
          </w:p>
        </w:tc>
        <w:tc>
          <w:tcPr>
            <w:tcW w:w="12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Paid</w:t>
            </w:r>
          </w:p>
        </w:tc>
      </w:tr>
      <w:tr>
        <w:trPr>
          <w:trHeight w:val="161"/>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Non-interest-bearing checking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574,760</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664,369</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checking</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53,344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58,087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0.30%</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Money market and savings deposits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1,097,575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897,061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322,912</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4.10%</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224,730</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1.91%</w:t>
            </w:r>
          </w:p>
        </w:tc>
        <w:tc>
          <w:tcPr>
            <w:tcW w:w="20" w:type="dxa"/>
            <w:vAlign w:val="bottom"/>
            <w:tcBorders>
              <w:bottom w:val="single" w:sz="8" w:color="CCEEFF"/>
            </w:tcBorders>
          </w:tcPr>
          <w:p>
            <w:pPr>
              <w:spacing w:after="0"/>
              <w:rPr>
                <w:sz w:val="14"/>
                <w:szCs w:val="14"/>
                <w:color w:val="auto"/>
              </w:rPr>
            </w:pPr>
          </w:p>
        </w:tc>
      </w:tr>
      <w:tr>
        <w:trPr>
          <w:trHeight w:val="161"/>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2,048,591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1,844,247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1.29%</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has a granular deposit portfolio with outstanding balances comprised of 52% in commercial deposits, 32% personal deposits, 12% public funds (which are partially collateralized) and 4% brokered deposits. Brokered deposits balance at March 31, 2024 was $90.1 million and there were no brokered deposits at March 31, 2023.</w:t>
      </w:r>
    </w:p>
    <w:p>
      <w:pPr>
        <w:spacing w:after="0" w:line="134"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has approximately 21 thousand deposit accounts with the majority in personal accounts, approximately 13 thousand or 62.9%. The estimated average account size of our deposit portfolio is approximately $103 thousand as of March 31, 2024.</w:t>
      </w:r>
    </w:p>
    <w:p>
      <w:pPr>
        <w:spacing w:after="0" w:line="118" w:lineRule="exact"/>
        <w:rPr>
          <w:sz w:val="20"/>
          <w:szCs w:val="20"/>
          <w:color w:val="auto"/>
        </w:rPr>
      </w:pPr>
    </w:p>
    <w:p>
      <w:pPr>
        <w:jc w:val="both"/>
        <w:ind w:left="660" w:right="639" w:firstLine="256"/>
        <w:spacing w:after="0" w:line="255"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Company per account holder. The total estimated amount of uninsured deposits was 55% at March 31, 2024 and 56% at March 31, 2023. The Company offers Insured Cash Sweep (“ICS”) and Certificate of Deposit Account Registry Service (“CDARS”) deposit products to fully insure our clients. The deposit balance in ICS/CDARS at quarter end was $144.1 million and $35.7 million at March 31, 2023.</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March 31, 2024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ind w:left="260"/>
              <w:spacing w:after="0"/>
              <w:rPr>
                <w:sz w:val="20"/>
                <w:szCs w:val="20"/>
                <w:color w:val="auto"/>
              </w:rPr>
            </w:pPr>
            <w:r>
              <w:rPr>
                <w:rFonts w:ascii="Arial" w:cs="Arial" w:eastAsia="Arial" w:hAnsi="Arial"/>
                <w:sz w:val="13"/>
                <w:szCs w:val="13"/>
                <w:b w:val="1"/>
                <w:bCs w:val="1"/>
                <w:color w:val="auto"/>
              </w:rPr>
              <w:t>March 31, 2024</w:t>
            </w:r>
          </w:p>
        </w:tc>
      </w:tr>
      <w:tr>
        <w:trPr>
          <w:trHeight w:val="141"/>
        </w:trPr>
        <w:tc>
          <w:tcPr>
            <w:tcW w:w="59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Three months or less</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23,229</w:t>
            </w:r>
          </w:p>
        </w:tc>
        <w:tc>
          <w:tcPr>
            <w:tcW w:w="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17,772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41,918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9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85,312</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70" w:lineRule="exact"/>
        <w:rPr>
          <w:sz w:val="20"/>
          <w:szCs w:val="20"/>
          <w:color w:val="auto"/>
        </w:rPr>
      </w:pPr>
    </w:p>
    <w:p>
      <w:pPr>
        <w:ind w:left="660" w:right="779" w:firstLine="256"/>
        <w:spacing w:after="0" w:line="257" w:lineRule="auto"/>
        <w:rPr>
          <w:sz w:val="20"/>
          <w:szCs w:val="20"/>
          <w:color w:val="auto"/>
        </w:rPr>
      </w:pPr>
      <w:r>
        <w:rPr>
          <w:rFonts w:ascii="Arial" w:cs="Arial" w:eastAsia="Arial" w:hAnsi="Arial"/>
          <w:sz w:val="14"/>
          <w:szCs w:val="14"/>
          <w:color w:val="auto"/>
        </w:rPr>
        <w:t>The Company collects from commercial and residential loan customers funds which are held in escrow for future payment of real estate taxes and insurance. These escrow funds are disbursed by the Company directly to the insurance companies and taxing authority of the borrower. Escrow funds are recorded as other liabilities.</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March 31, 2024 escrow balances totaled $7.8 million compared to $2.3 million at December 31,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As a member of the FHLB of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3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As of March 31, 2024, we had $82.0 million of fixed-rate advances outstanding from the FHLB with a weighted average rate of 3.19%. Maturity dates for the advances range between 2024 to 2028 as detailed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advances as of March 31, 2024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7"/>
              </w:rPr>
              <w:t>Maturity Date</w:t>
            </w:r>
          </w:p>
        </w:tc>
        <w:tc>
          <w:tcPr>
            <w:tcW w:w="2120" w:type="dxa"/>
            <w:vAlign w:val="bottom"/>
            <w:gridSpan w:val="2"/>
          </w:tcPr>
          <w:p>
            <w:pPr>
              <w:ind w:left="800"/>
              <w:spacing w:after="0"/>
              <w:rPr>
                <w:sz w:val="20"/>
                <w:szCs w:val="20"/>
                <w:color w:val="auto"/>
              </w:rPr>
            </w:pPr>
            <w:r>
              <w:rPr>
                <w:rFonts w:ascii="Arial" w:cs="Arial" w:eastAsia="Arial" w:hAnsi="Arial"/>
                <w:sz w:val="13"/>
                <w:szCs w:val="13"/>
                <w:b w:val="1"/>
                <w:bCs w:val="1"/>
                <w:color w:val="auto"/>
              </w:rPr>
              <w:t>Amount</w:t>
            </w:r>
          </w:p>
        </w:tc>
      </w:tr>
      <w:tr>
        <w:trPr>
          <w:trHeight w:val="16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July 30, 2024</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March 27, 2025</w:t>
            </w:r>
          </w:p>
        </w:tc>
        <w:tc>
          <w:tcPr>
            <w:tcW w:w="2100" w:type="dxa"/>
            <w:vAlign w:val="bottom"/>
          </w:tcPr>
          <w:p>
            <w:pPr>
              <w:ind w:left="1640"/>
              <w:spacing w:after="0"/>
              <w:rPr>
                <w:sz w:val="20"/>
                <w:szCs w:val="20"/>
                <w:color w:val="auto"/>
              </w:rPr>
            </w:pPr>
            <w:r>
              <w:rPr>
                <w:rFonts w:ascii="Arial" w:cs="Arial" w:eastAsia="Arial" w:hAnsi="Arial"/>
                <w:sz w:val="13"/>
                <w:szCs w:val="13"/>
                <w:color w:val="auto"/>
              </w:rPr>
              <w:t>10,000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July 18, 2025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100" w:type="dxa"/>
            <w:vAlign w:val="bottom"/>
            <w:shd w:val="clear" w:color="auto" w:fill="CCEEFF"/>
          </w:tcPr>
          <w:p>
            <w:pPr>
              <w:ind w:left="1720"/>
              <w:spacing w:after="0"/>
              <w:rPr>
                <w:sz w:val="20"/>
                <w:szCs w:val="20"/>
                <w:color w:val="auto"/>
              </w:rPr>
            </w:pPr>
            <w:r>
              <w:rPr>
                <w:rFonts w:ascii="Arial" w:cs="Arial" w:eastAsia="Arial" w:hAnsi="Arial"/>
                <w:sz w:val="13"/>
                <w:szCs w:val="13"/>
                <w:color w:val="auto"/>
              </w:rPr>
              <w:t>6,000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3.76%</w:t>
            </w: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4"/>
          </w:tcPr>
          <w:p>
            <w:pPr>
              <w:jc w:val="center"/>
              <w:ind w:right="200"/>
              <w:spacing w:after="0"/>
              <w:rPr>
                <w:sz w:val="20"/>
                <w:szCs w:val="20"/>
                <w:color w:val="auto"/>
              </w:rPr>
            </w:pPr>
            <w:r>
              <w:rPr>
                <w:rFonts w:ascii="Arial" w:cs="Arial" w:eastAsia="Arial" w:hAnsi="Arial"/>
                <w:sz w:val="13"/>
                <w:szCs w:val="13"/>
                <w:color w:val="auto"/>
                <w:w w:val="97"/>
              </w:rPr>
              <w:t>January 24, 2028</w:t>
            </w:r>
          </w:p>
        </w:tc>
        <w:tc>
          <w:tcPr>
            <w:tcW w:w="2100" w:type="dxa"/>
            <w:vAlign w:val="bottom"/>
          </w:tcPr>
          <w:p>
            <w:pPr>
              <w:ind w:left="1640"/>
              <w:spacing w:after="0"/>
              <w:rPr>
                <w:sz w:val="20"/>
                <w:szCs w:val="20"/>
                <w:color w:val="auto"/>
              </w:rPr>
            </w:pPr>
            <w:r>
              <w:rPr>
                <w:rFonts w:ascii="Arial" w:cs="Arial" w:eastAsia="Arial" w:hAnsi="Arial"/>
                <w:sz w:val="13"/>
                <w:szCs w:val="13"/>
                <w:color w:val="auto"/>
              </w:rPr>
              <w:t>11,000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3.77%</w:t>
            </w: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25, 2028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3"/>
                <w:szCs w:val="13"/>
                <w:color w:val="auto"/>
              </w:rPr>
              <w:t>50,000</w:t>
            </w:r>
          </w:p>
        </w:tc>
        <w:tc>
          <w:tcPr>
            <w:tcW w:w="20" w:type="dxa"/>
            <w:vAlign w:val="bottom"/>
            <w:shd w:val="clear" w:color="auto" w:fill="CCEEFF"/>
          </w:tcPr>
          <w:p>
            <w:pPr>
              <w:spacing w:after="0"/>
              <w:rPr>
                <w:sz w:val="14"/>
                <w:szCs w:val="14"/>
                <w:color w:val="auto"/>
              </w:rPr>
            </w:pPr>
          </w:p>
        </w:tc>
      </w:tr>
      <w:tr>
        <w:trPr>
          <w:trHeight w:val="172"/>
        </w:trPr>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20" w:type="dxa"/>
            <w:vAlign w:val="bottom"/>
            <w:gridSpan w:val="6"/>
          </w:tcPr>
          <w:p>
            <w:pPr>
              <w:jc w:val="right"/>
              <w:ind w:right="60"/>
              <w:spacing w:after="0"/>
              <w:rPr>
                <w:sz w:val="20"/>
                <w:szCs w:val="20"/>
                <w:color w:val="auto"/>
              </w:rPr>
            </w:pPr>
            <w:r>
              <w:rPr>
                <w:rFonts w:ascii="Arial" w:cs="Arial" w:eastAsia="Arial" w:hAnsi="Arial"/>
                <w:sz w:val="13"/>
                <w:szCs w:val="13"/>
                <w:color w:val="auto"/>
              </w:rPr>
              <w:t>$</w:t>
            </w:r>
          </w:p>
        </w:tc>
        <w:tc>
          <w:tcPr>
            <w:tcW w:w="2100" w:type="dxa"/>
            <w:vAlign w:val="bottom"/>
          </w:tcPr>
          <w:p>
            <w:pPr>
              <w:ind w:left="1640"/>
              <w:spacing w:after="0"/>
              <w:rPr>
                <w:sz w:val="20"/>
                <w:szCs w:val="20"/>
                <w:color w:val="auto"/>
              </w:rPr>
            </w:pPr>
            <w:r>
              <w:rPr>
                <w:rFonts w:ascii="Arial" w:cs="Arial" w:eastAsia="Arial" w:hAnsi="Arial"/>
                <w:sz w:val="13"/>
                <w:szCs w:val="13"/>
                <w:color w:val="auto"/>
              </w:rPr>
              <w:t>82,000</w:t>
            </w:r>
          </w:p>
        </w:tc>
        <w:tc>
          <w:tcPr>
            <w:tcW w:w="20" w:type="dxa"/>
            <w:vAlign w:val="bottom"/>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As of March 31, 2024, we had a $80.0 million fixed-rate loan outstanding from the FRB issued pursuant to the Bank Term Funding Program with an interest rate of 4.81% and a maturity date of January 10, 2025.</w:t>
      </w:r>
    </w:p>
    <w:p>
      <w:pPr>
        <w:spacing w:after="0" w:line="9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We have also established Federal Funds lines of credit with our upstream correspondent banks and the FRB Atlanta Discount Window to manage temporary fluctuations in our daily cash balances. As of March 31, 2024, there were no outstanding balances with any of these liquidity sources.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5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than we do for on-balance sheet items. We are not aware of any accounting loss to be incurred by funding these commitments; however, we maintain an allowance for off-balance sheet credit risk which is recorded under other liabilities on the unaudited Consolidated Balance Sheets.</w:t>
      </w:r>
    </w:p>
    <w:p>
      <w:pPr>
        <w:spacing w:after="0" w:line="138"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76"/>
              <w:spacing w:after="0"/>
              <w:rPr>
                <w:sz w:val="20"/>
                <w:szCs w:val="20"/>
                <w:color w:val="auto"/>
              </w:rPr>
            </w:pPr>
            <w:r>
              <w:rPr>
                <w:rFonts w:ascii="Arial" w:cs="Arial" w:eastAsia="Arial" w:hAnsi="Arial"/>
                <w:sz w:val="13"/>
                <w:szCs w:val="13"/>
                <w:b w:val="1"/>
                <w:bCs w:val="1"/>
                <w:color w:val="auto"/>
              </w:rPr>
              <w:t>March 31, 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r>
      <w:tr>
        <w:trPr>
          <w:trHeight w:val="151"/>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99,224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85,117</w:t>
            </w:r>
          </w:p>
        </w:tc>
        <w:tc>
          <w:tcPr>
            <w:tcW w:w="20" w:type="dxa"/>
            <w:vAlign w:val="bottom"/>
            <w:shd w:val="clear" w:color="auto" w:fill="CCEEFF"/>
          </w:tcPr>
          <w:p>
            <w:pPr>
              <w:spacing w:after="0"/>
              <w:rPr>
                <w:sz w:val="13"/>
                <w:szCs w:val="13"/>
                <w:color w:val="auto"/>
              </w:rPr>
            </w:pP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102,498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89,104</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26"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21" w:lineRule="exact"/>
        <w:rPr>
          <w:sz w:val="20"/>
          <w:szCs w:val="20"/>
          <w:color w:val="auto"/>
        </w:rPr>
      </w:pPr>
    </w:p>
    <w:p>
      <w:pPr>
        <w:jc w:val="both"/>
        <w:ind w:left="660" w:right="699" w:firstLine="256"/>
        <w:spacing w:after="0" w:line="255"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and policies for managing and mitigating risks are appropriately executed within the designated lines of authority and responsibility in a timely manner.</w:t>
      </w:r>
    </w:p>
    <w:p>
      <w:pPr>
        <w:spacing w:after="0" w:line="21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2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While some degree of Interest Rate Risk (“IRR”) is inherent to the banking business, we believe our ALCO implemented sound risk management practices to identify, quantify, monitor, and limit IRR exposures.</w:t>
      </w:r>
    </w:p>
    <w:p>
      <w:pPr>
        <w:spacing w:after="0" w:line="12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 volatility and reduced earnings or outright losses could adversely affect the Company’s liquidity, performance, and capital adequacy.</w:t>
      </w:r>
    </w:p>
    <w:p>
      <w:pPr>
        <w:spacing w:after="0" w:line="11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steepening)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3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5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According to our ALCO model, as of March 31, 2024, we had an asset sensitive balance sheet both for year one and year two modeling, using the static modeling.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3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 do not include actions that management may undertake to manage the risks in response to anticipated changes in interest rates or customer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39"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According to our model, as of March 31, 2024, our balance sheet is asset sensitive for both year one and year two under interest static rate scenarios (an increase or decrease of 400 basis points). This means than if rates increase, the NIM will increase and if rates decrease, the NIM will decrease.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in interest rates will have a negative impact on the EVE and lower rates, a positive impact. Results and analysis are presented quarterly to the ALCO, and strategies are reviewed and refined.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0" w:lineRule="exact"/>
        <w:rPr>
          <w:sz w:val="20"/>
          <w:szCs w:val="20"/>
          <w:color w:val="auto"/>
        </w:rPr>
      </w:pPr>
    </w:p>
    <w:p>
      <w:pPr>
        <w:jc w:val="both"/>
        <w:ind w:left="660" w:right="679" w:firstLine="256"/>
        <w:spacing w:after="0" w:line="294"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01" w:lineRule="exact"/>
        <w:rPr>
          <w:sz w:val="20"/>
          <w:szCs w:val="20"/>
          <w:color w:val="auto"/>
        </w:rPr>
      </w:pPr>
    </w:p>
    <w:p>
      <w:pPr>
        <w:ind w:left="660" w:right="659" w:firstLine="256"/>
        <w:spacing w:after="0" w:line="292"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w:t>
      </w:r>
    </w:p>
    <w:p>
      <w:pPr>
        <w:spacing w:after="0" w:line="36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sources used to meet them, depend significantly on our business mix, balance sheet structure and composition, credit quality of our assets and the cash flow profiles of our on- and off-balance sheet obligations.</w:t>
      </w:r>
    </w:p>
    <w:p>
      <w:pPr>
        <w:spacing w:after="0" w:line="12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13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Changes in macroeconomic conditions, as well as exposure to credit, market, operational, legal and reputational risks, such as cybersecurity risk, could have an unexpected impact on the Company’s liquidity risk profile and are factored into the assessment of liquidity and the ALM framework.</w:t>
      </w:r>
    </w:p>
    <w:p>
      <w:pPr>
        <w:spacing w:after="0" w:line="11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28"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306"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services certificates of deposit, and draws from the FRB Atlanta discount window, and borrowings from the FHLB. Accordingly, we believe our liquidity resources are adequate to fund loans and meet other cash needs as necessary.</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59"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As of March 31, 2024, the Bank was well capitalized under the FDIC’s prompt corrective action framework. We also follow the capital conservation buffer framework, and as of March 31, 2024, we exceeded the capital conversation buffer in all capital ratios, according to our actual ratios. The following table presents the capital ratios for the Bank at the dates indicated (in thousands, except ratios).</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right="56"/>
              <w:spacing w:after="0"/>
              <w:rPr>
                <w:sz w:val="20"/>
                <w:szCs w:val="20"/>
                <w:color w:val="auto"/>
              </w:rPr>
            </w:pPr>
            <w:r>
              <w:rPr>
                <w:rFonts w:ascii="Arial" w:cs="Arial" w:eastAsia="Arial" w:hAnsi="Arial"/>
                <w:sz w:val="13"/>
                <w:szCs w:val="13"/>
                <w:b w:val="1"/>
                <w:bCs w:val="1"/>
                <w:color w:val="auto"/>
                <w:w w:val="97"/>
              </w:rPr>
              <w:t>To be Well Capitalized</w:t>
            </w:r>
          </w:p>
        </w:tc>
        <w:tc>
          <w:tcPr>
            <w:tcW w:w="2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right="56"/>
              <w:spacing w:after="0"/>
              <w:rPr>
                <w:sz w:val="20"/>
                <w:szCs w:val="20"/>
                <w:color w:val="auto"/>
              </w:rPr>
            </w:pPr>
            <w:r>
              <w:rPr>
                <w:rFonts w:ascii="Arial" w:cs="Arial" w:eastAsia="Arial" w:hAnsi="Arial"/>
                <w:sz w:val="13"/>
                <w:szCs w:val="13"/>
                <w:b w:val="1"/>
                <w:bCs w:val="1"/>
                <w:color w:val="auto"/>
                <w:w w:val="98"/>
              </w:rPr>
              <w:t>Minimum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right="36"/>
              <w:spacing w:after="0"/>
              <w:rPr>
                <w:sz w:val="20"/>
                <w:szCs w:val="20"/>
                <w:color w:val="auto"/>
              </w:rPr>
            </w:pPr>
            <w:r>
              <w:rPr>
                <w:rFonts w:ascii="Arial" w:cs="Arial" w:eastAsia="Arial" w:hAnsi="Arial"/>
                <w:sz w:val="13"/>
                <w:szCs w:val="13"/>
                <w:b w:val="1"/>
                <w:bCs w:val="1"/>
                <w:color w:val="auto"/>
                <w:w w:val="98"/>
              </w:rPr>
              <w:t>Under Prompt Corrective</w:t>
            </w:r>
          </w:p>
        </w:tc>
        <w:tc>
          <w:tcPr>
            <w:tcW w:w="2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Actual</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3"/>
                <w:szCs w:val="13"/>
                <w:b w:val="1"/>
                <w:bCs w:val="1"/>
                <w:color w:val="auto"/>
                <w:w w:val="99"/>
              </w:rPr>
              <w:t>Requirements</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center"/>
              <w:ind w:right="16"/>
              <w:spacing w:after="0"/>
              <w:rPr>
                <w:sz w:val="20"/>
                <w:szCs w:val="20"/>
                <w:color w:val="auto"/>
              </w:rPr>
            </w:pPr>
            <w:r>
              <w:rPr>
                <w:rFonts w:ascii="Arial" w:cs="Arial" w:eastAsia="Arial" w:hAnsi="Arial"/>
                <w:sz w:val="13"/>
                <w:szCs w:val="13"/>
                <w:b w:val="1"/>
                <w:bCs w:val="1"/>
                <w:color w:val="auto"/>
                <w:w w:val="99"/>
              </w:rPr>
              <w:t>Action Provisions</w:t>
            </w:r>
          </w:p>
        </w:tc>
        <w:tc>
          <w:tcPr>
            <w:tcW w:w="20" w:type="dxa"/>
            <w:vAlign w:val="bottom"/>
          </w:tcPr>
          <w:p>
            <w:pPr>
              <w:spacing w:after="0"/>
              <w:rPr>
                <w:sz w:val="12"/>
                <w:szCs w:val="12"/>
                <w:color w:val="auto"/>
              </w:rPr>
            </w:pPr>
          </w:p>
        </w:tc>
      </w:t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440" w:type="dxa"/>
            <w:vAlign w:val="bottom"/>
          </w:tcPr>
          <w:p>
            <w:pPr>
              <w:jc w:val="right"/>
              <w:ind w:right="1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84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r>
      <w:tr>
        <w:trPr>
          <w:trHeight w:val="151"/>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March 31, 2024</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240,055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12.89 %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ind w:left="200"/>
              <w:spacing w:after="0"/>
              <w:rPr>
                <w:sz w:val="20"/>
                <w:szCs w:val="20"/>
                <w:color w:val="auto"/>
              </w:rPr>
            </w:pPr>
            <w:r>
              <w:rPr>
                <w:rFonts w:ascii="Arial" w:cs="Arial" w:eastAsia="Arial" w:hAnsi="Arial"/>
                <w:sz w:val="13"/>
                <w:szCs w:val="13"/>
                <w:color w:val="auto"/>
              </w:rPr>
              <w:t>148,997</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186,247</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218,174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111,748</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148,997</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218,174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11.71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ind w:left="260"/>
              <w:spacing w:after="0"/>
              <w:rPr>
                <w:sz w:val="20"/>
                <w:szCs w:val="20"/>
                <w:color w:val="auto"/>
              </w:rPr>
            </w:pPr>
            <w:r>
              <w:rPr>
                <w:rFonts w:ascii="Arial" w:cs="Arial" w:eastAsia="Arial" w:hAnsi="Arial"/>
                <w:sz w:val="13"/>
                <w:szCs w:val="13"/>
                <w:color w:val="auto"/>
              </w:rPr>
              <w:t>83,811</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121,060</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218,174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98,695</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123,368</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233,109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12.65 %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ind w:left="200"/>
              <w:spacing w:after="0"/>
              <w:rPr>
                <w:sz w:val="20"/>
                <w:szCs w:val="20"/>
                <w:color w:val="auto"/>
              </w:rPr>
            </w:pPr>
            <w:r>
              <w:rPr>
                <w:rFonts w:ascii="Arial" w:cs="Arial" w:eastAsia="Arial" w:hAnsi="Arial"/>
                <w:sz w:val="13"/>
                <w:szCs w:val="13"/>
                <w:color w:val="auto"/>
              </w:rPr>
              <w:t>147,432</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184,290</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211,645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110,574</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147,432</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80"/>
              <w:spacing w:after="0"/>
              <w:rPr>
                <w:sz w:val="20"/>
                <w:szCs w:val="20"/>
                <w:color w:val="auto"/>
              </w:rPr>
            </w:pPr>
            <w:r>
              <w:rPr>
                <w:rFonts w:ascii="Arial" w:cs="Arial" w:eastAsia="Arial" w:hAnsi="Arial"/>
                <w:sz w:val="13"/>
                <w:szCs w:val="13"/>
                <w:color w:val="auto"/>
              </w:rPr>
              <w:t>211,645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11.48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ind w:left="260"/>
              <w:spacing w:after="0"/>
              <w:rPr>
                <w:sz w:val="20"/>
                <w:szCs w:val="20"/>
                <w:color w:val="auto"/>
              </w:rPr>
            </w:pPr>
            <w:r>
              <w:rPr>
                <w:rFonts w:ascii="Arial" w:cs="Arial" w:eastAsia="Arial" w:hAnsi="Arial"/>
                <w:sz w:val="13"/>
                <w:szCs w:val="13"/>
                <w:color w:val="auto"/>
              </w:rPr>
              <w:t>82,931</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119,789</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211,645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92,328</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115,410</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bl>
    <w:p>
      <w:pPr>
        <w:spacing w:after="0" w:line="32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Company is not subject to regulatory capital ratios imposed by Basel III on bank holding companies because the Company is deemed to be a small bank holding company.</w:t>
      </w: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59" w:lineRule="exact"/>
        <w:rPr>
          <w:sz w:val="20"/>
          <w:szCs w:val="20"/>
          <w:color w:val="auto"/>
        </w:rPr>
      </w:pPr>
    </w:p>
    <w:p>
      <w:pPr>
        <w:jc w:val="both"/>
        <w:ind w:left="660" w:right="639" w:firstLine="512"/>
        <w:spacing w:after="0" w:line="249"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unaudited Consolidated Financial Statements in Part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59" w:lineRule="exact"/>
        <w:rPr>
          <w:sz w:val="20"/>
          <w:szCs w:val="20"/>
          <w:color w:val="auto"/>
        </w:rPr>
      </w:pPr>
    </w:p>
    <w:p>
      <w:pPr>
        <w:ind w:left="660" w:right="639" w:firstLine="256"/>
        <w:spacing w:after="0" w:line="252"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10"/>
          </w:tcPr>
          <w:p>
            <w:pPr>
              <w:jc w:val="right"/>
              <w:ind w:right="26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3/31/2024</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12/31/2023</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9/30/2023</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6/30/2023</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3/31/2023</w:t>
            </w:r>
          </w:p>
        </w:tc>
        <w:tc>
          <w:tcPr>
            <w:tcW w:w="20" w:type="dxa"/>
            <w:vAlign w:val="bottom"/>
          </w:tcPr>
          <w:p>
            <w:pPr>
              <w:spacing w:after="0"/>
              <w:rPr>
                <w:sz w:val="12"/>
                <w:szCs w:val="12"/>
                <w:color w:val="auto"/>
              </w:rPr>
            </w:pPr>
          </w:p>
        </w:tc>
      </w:tr>
      <w:tr>
        <w:trPr>
          <w:trHeight w:val="151"/>
        </w:trPr>
        <w:tc>
          <w:tcPr>
            <w:tcW w:w="3200" w:type="dxa"/>
            <w:vAlign w:val="bottom"/>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Pre-tax pre-provision ("PTPP") income:</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4,612</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2,721</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3,819</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4,196</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5,809</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1,881</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1,475</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6,448</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4,983</w:t>
            </w:r>
          </w:p>
        </w:tc>
        <w:tc>
          <w:tcPr>
            <w:tcW w:w="8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5,722</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7,891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6,448</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4,983</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5,722</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5,567</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7,891</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2,436,103</w:t>
            </w:r>
          </w:p>
        </w:tc>
        <w:tc>
          <w:tcPr>
            <w:tcW w:w="6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2,268,811</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2,250,258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300"/>
              <w:spacing w:after="0"/>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0.87%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net income:</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60" w:type="dxa"/>
            <w:vAlign w:val="bottom"/>
            <w:gridSpan w:val="3"/>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2,721</w:t>
            </w: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3,819</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60" w:type="dxa"/>
            <w:vAlign w:val="bottom"/>
            <w:gridSpan w:val="3"/>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5,809</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(883)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(955)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(21)</w:t>
            </w: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shd w:val="clear" w:color="auto" w:fill="CCEEFF"/>
          </w:tcPr>
          <w:p>
            <w:pPr>
              <w:spacing w:after="0"/>
              <w:rPr>
                <w:sz w:val="13"/>
                <w:szCs w:val="13"/>
                <w:color w:val="auto"/>
              </w:rPr>
            </w:pPr>
          </w:p>
        </w:tc>
      </w:tr>
      <w:tr>
        <w:trPr>
          <w:trHeight w:val="191"/>
        </w:trPr>
        <w:tc>
          <w:tcPr>
            <w:tcW w:w="3200" w:type="dxa"/>
            <w:vAlign w:val="bottom"/>
          </w:tcPr>
          <w:p>
            <w:pPr>
              <w:ind w:left="3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4,612</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3,380</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4,532</w:t>
            </w:r>
          </w:p>
        </w:tc>
        <w:tc>
          <w:tcPr>
            <w:tcW w:w="20" w:type="dxa"/>
            <w:vAlign w:val="bottom"/>
          </w:tcPr>
          <w:p>
            <w:pPr>
              <w:spacing w:after="0"/>
              <w:rPr>
                <w:sz w:val="16"/>
                <w:szCs w:val="16"/>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4,196</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5,825</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PTPP income:</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6,448</w:t>
            </w:r>
          </w:p>
        </w:tc>
        <w:tc>
          <w:tcPr>
            <w:tcW w:w="6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4,983</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7,891</w:t>
            </w:r>
          </w:p>
        </w:tc>
        <w:tc>
          <w:tcPr>
            <w:tcW w:w="20" w:type="dxa"/>
            <w:vAlign w:val="bottom"/>
            <w:shd w:val="clear" w:color="auto" w:fill="CCEEFF"/>
          </w:tcPr>
          <w:p>
            <w:pPr>
              <w:spacing w:after="0"/>
              <w:rPr>
                <w:sz w:val="13"/>
                <w:szCs w:val="13"/>
                <w:color w:val="auto"/>
              </w:rPr>
            </w:pPr>
          </w:p>
        </w:tc>
      </w:tr>
      <w:tr>
        <w:trPr>
          <w:trHeight w:val="180"/>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(883)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(955)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(21)</w:t>
            </w:r>
          </w:p>
        </w:tc>
      </w:tr>
      <w:tr>
        <w:trPr>
          <w:trHeight w:val="141"/>
        </w:trPr>
        <w:tc>
          <w:tcPr>
            <w:tcW w:w="3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PTPP income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6,448</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6,677</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5,567</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7,912</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6,448</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5,866</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6,677</w:t>
            </w:r>
          </w:p>
        </w:tc>
        <w:tc>
          <w:tcPr>
            <w:tcW w:w="20" w:type="dxa"/>
            <w:vAlign w:val="bottom"/>
          </w:tcPr>
          <w:p>
            <w:pPr>
              <w:spacing w:after="0"/>
              <w:rPr>
                <w:sz w:val="14"/>
                <w:szCs w:val="14"/>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5,567</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7,912</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2,436,103</w:t>
            </w:r>
          </w:p>
        </w:tc>
        <w:tc>
          <w:tcPr>
            <w:tcW w:w="6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2,268,811</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2,250,258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300"/>
              <w:spacing w:after="0"/>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6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3,380</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5,825</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2,436,103</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2,268,811</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2,250,258</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2,183,542</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2,120,218</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300"/>
              <w:spacing w:after="0"/>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return on average equity:</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4,612</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3,380</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4,532</w:t>
            </w:r>
          </w:p>
        </w:tc>
        <w:tc>
          <w:tcPr>
            <w:tcW w:w="20" w:type="dxa"/>
            <w:vAlign w:val="bottom"/>
          </w:tcPr>
          <w:p>
            <w:pPr>
              <w:spacing w:after="0"/>
              <w:rPr>
                <w:sz w:val="14"/>
                <w:szCs w:val="14"/>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4,196</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5,825</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equity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193,092</w:t>
            </w:r>
          </w:p>
        </w:tc>
        <w:tc>
          <w:tcPr>
            <w:tcW w:w="6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183,629</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184,901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184,238</w:t>
            </w:r>
          </w:p>
        </w:tc>
        <w:tc>
          <w:tcPr>
            <w:tcW w:w="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183,371</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Operating return on average equity </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7.30%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12.88%</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Revenue:</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interest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15,158</w:t>
            </w:r>
          </w:p>
        </w:tc>
        <w:tc>
          <w:tcPr>
            <w:tcW w:w="6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14,376</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14,022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14,173</w:t>
            </w:r>
          </w:p>
        </w:tc>
        <w:tc>
          <w:tcPr>
            <w:tcW w:w="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15,997</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200"/>
              <w:spacing w:after="0"/>
              <w:rPr>
                <w:sz w:val="20"/>
                <w:szCs w:val="20"/>
                <w:color w:val="auto"/>
              </w:rPr>
            </w:pPr>
            <w:r>
              <w:rPr>
                <w:rFonts w:ascii="Arial" w:cs="Arial" w:eastAsia="Arial" w:hAnsi="Arial"/>
                <w:sz w:val="11"/>
                <w:szCs w:val="11"/>
                <w:color w:val="auto"/>
              </w:rPr>
              <w:t>Plus: Non-interest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2,464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1,846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2,070</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(955)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w:t>
            </w:r>
          </w:p>
        </w:tc>
      </w:tr>
      <w:tr>
        <w:trPr>
          <w:trHeight w:val="20"/>
        </w:trPr>
        <w:tc>
          <w:tcPr>
            <w:tcW w:w="3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3200" w:type="dxa"/>
            <w:vAlign w:val="bottom"/>
          </w:tcPr>
          <w:p>
            <w:pPr>
              <w:ind w:left="38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17,622</w:t>
            </w:r>
          </w:p>
        </w:tc>
        <w:tc>
          <w:tcPr>
            <w:tcW w:w="40" w:type="dxa"/>
            <w:vAlign w:val="bottom"/>
            <w:gridSpan w:val="2"/>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16,585</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17,138</w:t>
            </w:r>
          </w:p>
        </w:tc>
        <w:tc>
          <w:tcPr>
            <w:tcW w:w="20" w:type="dxa"/>
            <w:vAlign w:val="bottom"/>
          </w:tcPr>
          <w:p>
            <w:pPr>
              <w:spacing w:after="0"/>
              <w:rPr>
                <w:sz w:val="16"/>
                <w:szCs w:val="16"/>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16,019</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18,088</w:t>
            </w:r>
          </w:p>
        </w:tc>
        <w:tc>
          <w:tcPr>
            <w:tcW w:w="20" w:type="dxa"/>
            <w:vAlign w:val="bottom"/>
          </w:tcPr>
          <w:p>
            <w:pPr>
              <w:spacing w:after="0"/>
              <w:rPr>
                <w:sz w:val="16"/>
                <w:szCs w:val="16"/>
                <w:color w:val="auto"/>
              </w:rPr>
            </w:pPr>
          </w:p>
        </w:tc>
      </w:tr>
      <w:tr>
        <w:trPr>
          <w:trHeight w:val="132"/>
        </w:trPr>
        <w:tc>
          <w:tcPr>
            <w:tcW w:w="3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Efficiency Ratio:</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11,174</w:t>
            </w:r>
          </w:p>
        </w:tc>
        <w:tc>
          <w:tcPr>
            <w:tcW w:w="6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10,719</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10,461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10,452</w:t>
            </w:r>
          </w:p>
        </w:tc>
        <w:tc>
          <w:tcPr>
            <w:tcW w:w="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10,176</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17,622</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16,585</w:t>
            </w:r>
          </w:p>
        </w:tc>
        <w:tc>
          <w:tcPr>
            <w:tcW w:w="22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17,138</w:t>
            </w:r>
          </w:p>
        </w:tc>
        <w:tc>
          <w:tcPr>
            <w:tcW w:w="20" w:type="dxa"/>
            <w:vAlign w:val="bottom"/>
          </w:tcPr>
          <w:p>
            <w:pPr>
              <w:spacing w:after="0"/>
              <w:rPr>
                <w:sz w:val="13"/>
                <w:szCs w:val="13"/>
                <w:color w:val="auto"/>
              </w:rPr>
            </w:pPr>
          </w:p>
        </w:tc>
        <w:tc>
          <w:tcPr>
            <w:tcW w:w="200" w:type="dxa"/>
            <w:vAlign w:val="bottom"/>
            <w:gridSpan w:val="3"/>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16,019</w:t>
            </w:r>
          </w:p>
        </w:tc>
        <w:tc>
          <w:tcPr>
            <w:tcW w:w="220" w:type="dxa"/>
            <w:vAlign w:val="bottom"/>
            <w:gridSpan w:val="4"/>
          </w:tcPr>
          <w:p>
            <w:pPr>
              <w:jc w:val="right"/>
              <w:ind w:right="4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18,088</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Operating efficiency ratio</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56.26%</w:t>
            </w:r>
          </w:p>
        </w:tc>
        <w:tc>
          <w:tcPr>
            <w:tcW w:w="20" w:type="dxa"/>
            <w:vAlign w:val="bottom"/>
            <w:shd w:val="clear" w:color="auto" w:fill="CCEEFF"/>
          </w:tcPr>
          <w:p>
            <w:pPr>
              <w:spacing w:after="0"/>
              <w:rPr>
                <w:sz w:val="14"/>
                <w:szCs w:val="14"/>
                <w:color w:val="auto"/>
              </w:rPr>
            </w:pPr>
          </w:p>
        </w:tc>
      </w:tr>
    </w:tbl>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48"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8"/>
          </w:tcPr>
          <w:p>
            <w:pPr>
              <w:jc w:val="right"/>
              <w:ind w:right="22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3/31/2024</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9/30/2023</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6/30/2023</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20" w:type="dxa"/>
            <w:vAlign w:val="bottom"/>
            <w:gridSpan w:val="2"/>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20" w:type="dxa"/>
            <w:vAlign w:val="bottom"/>
            <w:gridSpan w:val="2"/>
          </w:tcPr>
          <w:p>
            <w:pPr>
              <w:ind w:left="200"/>
              <w:spacing w:after="0"/>
              <w:rPr>
                <w:sz w:val="20"/>
                <w:szCs w:val="20"/>
                <w:color w:val="auto"/>
              </w:rPr>
            </w:pPr>
            <w:r>
              <w:rPr>
                <w:rFonts w:ascii="Arial" w:cs="Arial" w:eastAsia="Arial" w:hAnsi="Arial"/>
                <w:sz w:val="11"/>
                <w:szCs w:val="11"/>
                <w:color w:val="auto"/>
              </w:rPr>
              <w:t>Total stockholders' equity</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195,011</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191,968</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182,884</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183,685</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183,858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bottom w:val="single" w:sz="8" w:color="CCEEFF"/>
            </w:tcBorders>
            <w:shd w:val="clear" w:color="auto" w:fill="CCEEFF"/>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Less: Intangible assets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195,011</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191,968</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182,884</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183,685</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183,858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19,650,463</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19,575,435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19,542,290</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19,544,777</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19,622,380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0" w:type="dxa"/>
            <w:vAlign w:val="bottom"/>
            <w:tcBorders>
              <w:top w:val="single" w:sz="8" w:color="CCEEFF"/>
            </w:tcBorders>
            <w:shd w:val="clear" w:color="auto" w:fill="CCEEFF"/>
          </w:tcPr>
          <w:p>
            <w:pPr>
              <w:spacing w:after="0"/>
              <w:rPr>
                <w:sz w:val="12"/>
                <w:szCs w:val="12"/>
                <w:color w:val="auto"/>
              </w:rPr>
            </w:pPr>
          </w:p>
        </w:tc>
        <w:tc>
          <w:tcPr>
            <w:tcW w:w="31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9.92</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9.36</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9.37</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Operating diluted net income per common share:</w:t>
            </w:r>
            <w:r>
              <w:rPr>
                <w:rFonts w:ascii="Arial" w:cs="Arial" w:eastAsia="Arial" w:hAnsi="Arial"/>
                <w:sz w:val="14"/>
                <w:szCs w:val="14"/>
                <w:color w:val="auto"/>
                <w:vertAlign w:val="superscript"/>
              </w:rPr>
              <w:t>(1)</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4,532</w:t>
            </w: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1"/>
                <w:szCs w:val="11"/>
                <w:color w:val="auto"/>
              </w:rPr>
              <w:t>Total weighted average diluted shares of common stock</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19,698,258</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19,573,350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19,611,897</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19,639,682</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19,940,606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shd w:val="clear" w:color="auto" w:fill="CCEEFF"/>
          </w:tcPr>
          <w:p>
            <w:pPr>
              <w:spacing w:after="0"/>
              <w:rPr>
                <w:sz w:val="14"/>
                <w:szCs w:val="14"/>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diluted net income per common share: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Tangible Common Equity/Tangible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195,011</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191,968</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182,884</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183,685</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183,858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Tangible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2,489,142</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2,244,602</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2,225,914</w:t>
            </w:r>
          </w:p>
        </w:tc>
        <w:tc>
          <w:tcPr>
            <w:tcW w:w="4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2,163,821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Tangible Common Equity/Tangible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7.83%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8.15%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Borders>
              <w:bottom w:val="single" w:sz="8" w:color="auto"/>
            </w:tcBorders>
            <w:shd w:val="clear" w:color="auto" w:fill="CCEEFF"/>
          </w:tcPr>
          <w:p>
            <w:pPr>
              <w:spacing w:after="0"/>
              <w:rPr>
                <w:sz w:val="14"/>
                <w:szCs w:val="14"/>
                <w:color w:val="auto"/>
              </w:rPr>
            </w:pPr>
          </w:p>
        </w:tc>
        <w:tc>
          <w:tcPr>
            <w:tcW w:w="3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26" w:lineRule="exact"/>
        <w:rPr>
          <w:rFonts w:ascii="Arial" w:cs="Arial" w:eastAsia="Arial" w:hAnsi="Arial"/>
          <w:sz w:val="11"/>
          <w:szCs w:val="11"/>
          <w:color w:val="auto"/>
        </w:rPr>
      </w:pPr>
    </w:p>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Exchange Act) as of March 31, 2024. Based on that evaluation, management believes that, as of the end of the period covered by this Form 10-Q, the Company's disclosure controls and procedures were effective to collect, process, and disclose the information required to be disclosed in the reports filed or submitted under the Exchange Act within the required time periods.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Legal Proceedings</w:t>
      </w:r>
    </w:p>
    <w:p>
      <w:pPr>
        <w:spacing w:after="0" w:line="170" w:lineRule="exact"/>
        <w:rPr>
          <w:sz w:val="20"/>
          <w:szCs w:val="20"/>
          <w:color w:val="auto"/>
        </w:rPr>
      </w:pPr>
    </w:p>
    <w:p>
      <w:pPr>
        <w:ind w:left="660" w:right="619" w:firstLine="256"/>
        <w:spacing w:after="0" w:line="255"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6"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Company previously disclosed that litigation (the “Litigation”) had been commenced on July 13, 2023 by three individuals who were shareholders of the Bank prior to the Bank’s reorganization into the holding company form of organization in 2021 (the “Plaintiffs”) against six persons, all of whom were directors of the Bank at the relevant time (the “Defendants”), in the Circuit Court, Eleventh Judicial Circuit for Miami-Dade County, Florida (the “Court”) (Benes et al. v. de la Aguilera et al.) alleging the Defendants (i) caused the Bank, as directors thereof, to engage in ultra vires conduct by devising and approving the exchange transaction effected in July 2021 pursuant to which the Bank’s then outstanding shares of Class C and Class D preferred stock was exchanged for shares of Class A voting common stock in the Bank (the “Exchange Transaction”), which action the Plaintiffs allege was not permitted by the Bank’s Articles of Incorporation, and</w:t>
      </w:r>
    </w:p>
    <w:p>
      <w:pPr>
        <w:spacing w:after="0" w:line="1" w:lineRule="exact"/>
        <w:rPr>
          <w:sz w:val="20"/>
          <w:szCs w:val="20"/>
          <w:color w:val="auto"/>
        </w:rPr>
      </w:pPr>
    </w:p>
    <w:p>
      <w:pPr>
        <w:jc w:val="both"/>
        <w:ind w:left="660" w:right="699" w:firstLine="3"/>
        <w:spacing w:after="0" w:line="249" w:lineRule="auto"/>
        <w:tabs>
          <w:tab w:leader="none" w:pos="8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breached their fiduciary duty as directors of the Bank by approving and engaging in the Exchange Transaction. The Plaintiffs sought the Court to certify the action as a class action and to award damages in an amount to be proven at trial. The Plaintiffs sought damages exceeding $750,000 plus attorney’s fees and costs as well as such other relief as the Court determined to award.</w:t>
      </w:r>
    </w:p>
    <w:p>
      <w:pPr>
        <w:spacing w:after="0" w:line="12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Defendants filed a motion to dismiss the Litigation with prejudice (the “Motion”). On December 27, 2023, the Court, after reviewing the Motion, the Plaintiff’s response thereto and the Defendant’s reply as well as the oral arguments presented by the parties on December 14, 2023, granted the Motion, dismissing the Litigation with prejudice and rendering final judgment in favor of the Defendants (the “Order”). The Court reserved jurisdiction to award costs or grant any post-judgment relief.</w:t>
      </w:r>
    </w:p>
    <w:p>
      <w:pPr>
        <w:spacing w:after="0" w:line="126"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On May 1, 2024, the Plaintiffs filed in the Thirds District Court of Appeal for the State of Florida (the “Appellate Court”) an appeal, appealing the issuance of the Order and seeking a reversal of the Order. The Plaintiffs claim the Court erred by concluding (i) the Exchange Transaction was not ultra vires, and (ii) that the Legacy Shareholders (which includes the Plaintiffs) lacked direct standing.</w:t>
      </w:r>
    </w:p>
    <w:p>
      <w:pPr>
        <w:spacing w:after="0" w:line="121"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The Company believes that the positions in the Appeal are legally and factually without merit, and it intends to vigorously defend against the Appeal, pursue any potential counterclaims against the Plaintiffs as it deems appropriate, and seek coverage from its insurance carriers. However, there can be no assurance that the Appeal will be resolved favorably. Furthermore, there is also no assurance that we will be able to secure coverage from our insurance carriers for any expenses incurred by us in connection with defending against the Appeal. The Appellate Court could grant the Plaintiff’s motion to reverse the Order and remand the case to the Court.</w:t>
      </w:r>
    </w:p>
    <w:p>
      <w:pPr>
        <w:spacing w:after="0" w:line="127"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At this time, in the opinion of management, the likelihood is remote that the impact of such proceedings, either individually or in the aggregate, would have a material adverse effect on our consolidated results of operations, financial condition or cash flows. However, one or more unfavorable outcomes in any claim or litigation against us, including the aforementioned Appeal regarding the Exchange Transaction, could have a material adverse effect on the period in which such claims or litigation are resolved. In addition, regardless of their merits or their ultimate outcomes, such matters are costly, divert management’s attention and may materially adversely affect our reputation, even if resolved in our favor.</w:t>
      </w:r>
    </w:p>
    <w:p>
      <w:pPr>
        <w:spacing w:after="0" w:line="138"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In addition to the foregoing,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4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59" w:lineRule="exact"/>
        <w:rPr>
          <w:sz w:val="20"/>
          <w:szCs w:val="20"/>
          <w:color w:val="auto"/>
        </w:rPr>
      </w:pPr>
    </w:p>
    <w:p>
      <w:pPr>
        <w:ind w:left="660" w:right="679" w:firstLine="256"/>
        <w:spacing w:after="0" w:line="292"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2023 Form 10-K.</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70" w:lineRule="exact"/>
        <w:rPr>
          <w:sz w:val="20"/>
          <w:szCs w:val="20"/>
          <w:color w:val="auto"/>
        </w:rPr>
      </w:pPr>
    </w:p>
    <w:p>
      <w:pPr>
        <w:ind w:left="1140" w:hanging="221"/>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None.</w:t>
      </w:r>
    </w:p>
    <w:p>
      <w:pPr>
        <w:spacing w:after="0" w:line="169" w:lineRule="exact"/>
        <w:rPr>
          <w:rFonts w:ascii="Arial" w:cs="Arial" w:eastAsia="Arial" w:hAnsi="Arial"/>
          <w:sz w:val="14"/>
          <w:szCs w:val="14"/>
          <w:color w:val="auto"/>
        </w:rPr>
      </w:pPr>
    </w:p>
    <w:p>
      <w:pPr>
        <w:ind w:left="1140" w:hanging="221"/>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59" w:lineRule="exact"/>
        <w:rPr>
          <w:rFonts w:ascii="Arial" w:cs="Arial" w:eastAsia="Arial" w:hAnsi="Arial"/>
          <w:sz w:val="14"/>
          <w:szCs w:val="14"/>
          <w:color w:val="auto"/>
        </w:rPr>
      </w:pPr>
    </w:p>
    <w:p>
      <w:pPr>
        <w:ind w:left="1120" w:hanging="201"/>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quarter ended March 31, 2024 were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9"/>
              </w:rPr>
              <w:t>Maximum Number</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8"/>
              </w:rPr>
              <w:t>of Shares that May</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Total Number of Shares Purchased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9"/>
              </w:rPr>
              <w:t>Yet Be Purchased</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Price Paid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as Part of Publicly Announced Plans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b w:val="1"/>
                <w:bCs w:val="1"/>
                <w:color w:val="auto"/>
              </w:rPr>
              <w:t>Under Plans or</w:t>
            </w: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Purchased</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7"/>
              </w:rPr>
              <w:t>or Programs (1)</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Programs (1)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46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Period</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80,080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00"/>
              <w:spacing w:after="0"/>
              <w:rPr>
                <w:sz w:val="20"/>
                <w:szCs w:val="20"/>
                <w:color w:val="auto"/>
              </w:rPr>
            </w:pPr>
            <w:r>
              <w:rPr>
                <w:rFonts w:ascii="Arial" w:cs="Arial" w:eastAsia="Arial" w:hAnsi="Arial"/>
                <w:sz w:val="13"/>
                <w:szCs w:val="13"/>
                <w:color w:val="auto"/>
              </w:rPr>
              <w:t>January 1 - 31, 2024</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160" w:type="dxa"/>
            <w:vAlign w:val="bottom"/>
            <w:gridSpan w:val="3"/>
          </w:tcPr>
          <w:p>
            <w:pPr>
              <w:jc w:val="right"/>
              <w:ind w:right="10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80,080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February 1 - 29, 2024</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1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80,080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March 1 - 31, 2024</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7,100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11.15</w:t>
            </w:r>
          </w:p>
        </w:tc>
        <w:tc>
          <w:tcPr>
            <w:tcW w:w="2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gridSpan w:val="2"/>
          </w:tcPr>
          <w:p>
            <w:pPr>
              <w:jc w:val="right"/>
              <w:ind w:right="1036"/>
              <w:spacing w:after="0"/>
              <w:rPr>
                <w:sz w:val="20"/>
                <w:szCs w:val="20"/>
                <w:color w:val="auto"/>
              </w:rPr>
            </w:pPr>
            <w:r>
              <w:rPr>
                <w:rFonts w:ascii="Arial" w:cs="Arial" w:eastAsia="Arial" w:hAnsi="Arial"/>
                <w:sz w:val="13"/>
                <w:szCs w:val="13"/>
                <w:color w:val="auto"/>
              </w:rPr>
              <w:t>7,100</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72,980</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7,100</w:t>
            </w:r>
          </w:p>
        </w:tc>
        <w:tc>
          <w:tcPr>
            <w:tcW w:w="40" w:type="dxa"/>
            <w:vAlign w:val="bottom"/>
            <w:tcBorders>
              <w:bottom w:val="single" w:sz="8" w:color="CCEEFF"/>
            </w:tcBorders>
            <w:gridSpan w:val="2"/>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11.15</w:t>
            </w:r>
          </w:p>
        </w:tc>
        <w:tc>
          <w:tcPr>
            <w:tcW w:w="40" w:type="dxa"/>
            <w:vAlign w:val="bottom"/>
            <w:tcBorders>
              <w:bottom w:val="single" w:sz="8" w:color="CCEEFF"/>
            </w:tcBorders>
            <w:gridSpan w:val="2"/>
            <w:shd w:val="clear" w:color="auto" w:fill="CCEEFF"/>
          </w:tcPr>
          <w:p>
            <w:pPr>
              <w:spacing w:after="0"/>
              <w:rPr>
                <w:sz w:val="11"/>
                <w:szCs w:val="11"/>
                <w:color w:val="auto"/>
              </w:rPr>
            </w:pPr>
          </w:p>
        </w:tc>
        <w:tc>
          <w:tcPr>
            <w:tcW w:w="2120" w:type="dxa"/>
            <w:vAlign w:val="bottom"/>
            <w:tcBorders>
              <w:bottom w:val="single" w:sz="8" w:color="CCEEFF"/>
            </w:tcBorders>
            <w:shd w:val="clear" w:color="auto" w:fill="CCEEFF"/>
          </w:tcPr>
          <w:p>
            <w:pPr>
              <w:jc w:val="right"/>
              <w:ind w:right="1036"/>
              <w:spacing w:after="0" w:line="131" w:lineRule="exact"/>
              <w:rPr>
                <w:sz w:val="20"/>
                <w:szCs w:val="20"/>
                <w:color w:val="auto"/>
              </w:rPr>
            </w:pPr>
            <w:r>
              <w:rPr>
                <w:rFonts w:ascii="Arial" w:cs="Arial" w:eastAsia="Arial" w:hAnsi="Arial"/>
                <w:sz w:val="13"/>
                <w:szCs w:val="13"/>
                <w:color w:val="auto"/>
              </w:rPr>
              <w:t>7,100</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ind w:left="660" w:right="859" w:firstLine="3"/>
        <w:spacing w:after="0" w:line="293" w:lineRule="auto"/>
        <w:tabs>
          <w:tab w:leader="none" w:pos="831" w:val="left"/>
        </w:tabs>
        <w:numPr>
          <w:ilvl w:val="0"/>
          <w:numId w:val="26"/>
        </w:numPr>
        <w:rPr>
          <w:rFonts w:ascii="Arial" w:cs="Arial" w:eastAsia="Arial" w:hAnsi="Arial"/>
          <w:sz w:val="11"/>
          <w:szCs w:val="11"/>
          <w:color w:val="auto"/>
        </w:rPr>
      </w:pPr>
      <w:r>
        <w:rPr>
          <w:rFonts w:ascii="Arial" w:cs="Arial" w:eastAsia="Arial" w:hAnsi="Arial"/>
          <w:sz w:val="11"/>
          <w:szCs w:val="11"/>
          <w:color w:val="auto"/>
        </w:rPr>
        <w:t>On January 24, 2022 the Company announcedits initial stock repurchase program to repurchase up to 750,000 shares of Class A common stock, approximately 3.75% of the Company’s then outstandingshares of common stock.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63" w:lineRule="exact"/>
        <w:rPr>
          <w:sz w:val="20"/>
          <w:szCs w:val="20"/>
          <w:color w:val="auto"/>
        </w:rPr>
      </w:pPr>
    </w:p>
    <w:p>
      <w:pPr>
        <w:ind w:left="1180" w:hanging="261"/>
        <w:spacing w:after="0"/>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1" w:lineRule="exact"/>
        <w:rPr>
          <w:rFonts w:ascii="Arial" w:cs="Arial" w:eastAsia="Arial" w:hAnsi="Arial"/>
          <w:sz w:val="13"/>
          <w:szCs w:val="13"/>
          <w:color w:val="auto"/>
        </w:rPr>
      </w:pPr>
    </w:p>
    <w:p>
      <w:pPr>
        <w:ind w:left="1180" w:hanging="261"/>
        <w:spacing w:after="0"/>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63" w:lineRule="exact"/>
        <w:rPr>
          <w:sz w:val="20"/>
          <w:szCs w:val="20"/>
          <w:color w:val="auto"/>
        </w:rPr>
      </w:pPr>
    </w:p>
    <w:p>
      <w:pPr>
        <w:ind w:left="1180" w:hanging="261"/>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1" w:lineRule="exact"/>
        <w:rPr>
          <w:rFonts w:ascii="Arial" w:cs="Arial" w:eastAsia="Arial" w:hAnsi="Arial"/>
          <w:sz w:val="13"/>
          <w:szCs w:val="13"/>
          <w:color w:val="auto"/>
        </w:rPr>
      </w:pPr>
    </w:p>
    <w:p>
      <w:pPr>
        <w:ind w:left="1180" w:hanging="261"/>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applicable</w:t>
      </w:r>
    </w:p>
    <w:p>
      <w:pPr>
        <w:jc w:val="both"/>
        <w:ind w:left="1180" w:right="679" w:hanging="261"/>
        <w:spacing w:after="0" w:line="244" w:lineRule="auto"/>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During the three months ended March 31, 2024, none of the Company’s directors or Section 16 reporting officers adopted or terminated any Rule 10b5-1 trading arrangement or non-Rule 10b5-1 trading arrangement (as such terms are defined in Item 408 of the SEC’s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gridSpan w:val="112"/>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40" w:type="dxa"/>
            <w:vAlign w:val="bottom"/>
            <w:gridSpan w:val="2"/>
          </w:tcPr>
          <w:p>
            <w:pPr>
              <w:spacing w:after="0"/>
              <w:rPr>
                <w:sz w:val="10"/>
                <w:szCs w:val="10"/>
                <w:color w:val="auto"/>
              </w:rPr>
            </w:pPr>
          </w:p>
        </w:tc>
        <w:tc>
          <w:tcPr>
            <w:tcW w:w="220" w:type="dxa"/>
            <w:vAlign w:val="bottom"/>
            <w:gridSpan w:val="2"/>
          </w:tcPr>
          <w:p>
            <w:pPr>
              <w:jc w:val="center"/>
              <w:ind w:right="40"/>
              <w:spacing w:after="0" w:line="119" w:lineRule="exact"/>
              <w:rPr>
                <w:rFonts w:ascii="Arial" w:cs="Arial" w:eastAsia="Arial" w:hAnsi="Arial"/>
                <w:sz w:val="13"/>
                <w:szCs w:val="13"/>
                <w:color w:val="0000FF"/>
                <w:w w:val="99"/>
              </w:rPr>
            </w:pPr>
            <w:hyperlink r:id="rId62">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2"/>
          </w:tcPr>
          <w:p>
            <w:pPr>
              <w:spacing w:after="0" w:line="119" w:lineRule="exact"/>
              <w:rPr>
                <w:rFonts w:ascii="Arial" w:cs="Arial" w:eastAsia="Arial" w:hAnsi="Arial"/>
                <w:sz w:val="13"/>
                <w:szCs w:val="13"/>
                <w:color w:val="0000FF"/>
              </w:rPr>
            </w:pPr>
            <w:hyperlink r:id="rId62">
              <w:r>
                <w:rPr>
                  <w:rFonts w:ascii="Arial" w:cs="Arial" w:eastAsia="Arial" w:hAnsi="Arial"/>
                  <w:sz w:val="13"/>
                  <w:szCs w:val="13"/>
                  <w:color w:val="0000FF"/>
                </w:rPr>
                <w:t>Agreement and Plan of Share Exchange, dated December 27, 2021, by and between U.S. Century Bank and USCB</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2">
              <w:r>
                <w:rPr>
                  <w:rFonts w:ascii="Arial" w:cs="Arial" w:eastAsia="Arial" w:hAnsi="Arial"/>
                  <w:sz w:val="13"/>
                  <w:szCs w:val="13"/>
                  <w:color w:val="0000FF"/>
                </w:rPr>
                <w:t>Financial Holdings, Inc. (incorporated by reference to Exhibit 2.1 to the Registrant’s Current Report on Form 8-K (File No.</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3">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76"/>
          </w:tcPr>
          <w:p>
            <w:pPr>
              <w:spacing w:after="0" w:line="119" w:lineRule="exact"/>
              <w:rPr>
                <w:rFonts w:ascii="Arial" w:cs="Arial" w:eastAsia="Arial" w:hAnsi="Arial"/>
                <w:sz w:val="13"/>
                <w:szCs w:val="13"/>
                <w:color w:val="0000FF"/>
                <w:w w:val="98"/>
              </w:rPr>
            </w:pPr>
            <w:hyperlink r:id="rId62">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3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3">
              <w:r>
                <w:rPr>
                  <w:rFonts w:ascii="Arial" w:cs="Arial" w:eastAsia="Arial" w:hAnsi="Arial"/>
                  <w:sz w:val="13"/>
                  <w:szCs w:val="13"/>
                  <w:color w:val="0000FF"/>
                </w:rPr>
                <w:t>Articles of Incorporation, as amended, of USCB Financial Holdings, Inc. (incorporated by reference to Exhibit 3.1 to the</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3">
              <w:r>
                <w:rPr>
                  <w:rFonts w:ascii="Arial" w:cs="Arial" w:eastAsia="Arial" w:hAnsi="Arial"/>
                  <w:sz w:val="13"/>
                  <w:szCs w:val="13"/>
                  <w:color w:val="0000FF"/>
                </w:rPr>
                <w:t>Registrant's Quarterly Report on Form 10-Q for the quarter ended June 30, 2023 (File No. 001-41196) filed with the</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6"/>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4">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3">
              <w:r>
                <w:rPr>
                  <w:rFonts w:ascii="Arial" w:cs="Arial" w:eastAsia="Arial" w:hAnsi="Arial"/>
                  <w:sz w:val="13"/>
                  <w:szCs w:val="13"/>
                  <w:color w:val="0000FF"/>
                </w:rPr>
                <w:t>Securities and Exchange Commission on August 11, 2023).</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220" w:type="dxa"/>
            <w:vAlign w:val="bottom"/>
            <w:tcBorders>
              <w:right w:val="single" w:sz="8" w:color="0000FF"/>
            </w:tcBorders>
            <w:gridSpan w:val="9"/>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3940" w:type="dxa"/>
            <w:vAlign w:val="bottom"/>
            <w:gridSpan w:val="6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w w:val="97"/>
              </w:rPr>
            </w:pPr>
            <w:hyperlink r:id="rId64">
              <w:r>
                <w:rPr>
                  <w:rFonts w:ascii="Arial" w:cs="Arial" w:eastAsia="Arial" w:hAnsi="Arial"/>
                  <w:sz w:val="13"/>
                  <w:szCs w:val="13"/>
                  <w:color w:val="0000FF"/>
                  <w:w w:val="97"/>
                </w:rPr>
                <w:t>Amended and Restated Bylaws of USCB Financial Holdings, Inc. (incorporated by reference to Exhibit 3.1 to the Registrant’s</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5">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40" w:type="dxa"/>
            <w:vAlign w:val="bottom"/>
            <w:tcBorders>
              <w:bottom w:val="single" w:sz="8" w:color="0000FF"/>
            </w:tcBorders>
            <w:gridSpan w:val="108"/>
          </w:tcPr>
          <w:p>
            <w:pPr>
              <w:spacing w:after="0" w:line="119" w:lineRule="exact"/>
              <w:rPr>
                <w:rFonts w:ascii="Arial" w:cs="Arial" w:eastAsia="Arial" w:hAnsi="Arial"/>
                <w:sz w:val="13"/>
                <w:szCs w:val="13"/>
                <w:color w:val="0000FF"/>
                <w:w w:val="98"/>
              </w:rPr>
            </w:pPr>
            <w:hyperlink r:id="rId64">
              <w:r>
                <w:rPr>
                  <w:rFonts w:ascii="Arial" w:cs="Arial" w:eastAsia="Arial" w:hAnsi="Arial"/>
                  <w:sz w:val="13"/>
                  <w:szCs w:val="13"/>
                  <w:color w:val="0000FF"/>
                  <w:w w:val="98"/>
                </w:rPr>
                <w:t>Current Report on Form 8-K (File No. 001-41196) filed with the Securities and Exchange Commission on July 26, 2023).</w:t>
              </w:r>
            </w:hyperlink>
          </w:p>
        </w:tc>
        <w:tc>
          <w:tcPr>
            <w:tcW w:w="120" w:type="dxa"/>
            <w:vAlign w:val="bottom"/>
            <w:gridSpan w:val="3"/>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Side Letter Agreement, dated December 30, 2021, between USCB Financial Holdings, Inc., U.S. Century Bank, Priam</w:t>
              </w:r>
            </w:hyperlink>
          </w:p>
        </w:tc>
        <w:tc>
          <w:tcPr>
            <w:tcW w:w="0" w:type="dxa"/>
            <w:vAlign w:val="bottom"/>
          </w:tcPr>
          <w:p>
            <w:pPr>
              <w:spacing w:after="0"/>
              <w:rPr>
                <w:sz w:val="1"/>
                <w:szCs w:val="1"/>
                <w:color w:val="auto"/>
              </w:rPr>
            </w:pPr>
          </w:p>
        </w:tc>
      </w:tr>
      <w:tr>
        <w:trPr>
          <w:trHeight w:val="20"/>
        </w:trPr>
        <w:tc>
          <w:tcPr>
            <w:tcW w:w="1780" w:type="dxa"/>
            <w:vAlign w:val="bottom"/>
            <w:tcBorders>
              <w:right w:val="single" w:sz="8" w:color="0000FF"/>
            </w:tcBorders>
            <w:gridSpan w:val="13"/>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Capital Fund II, LP, Patriot Financial Partners II, 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0000FF"/>
            </w:tcBorders>
            <w:gridSpan w:val="16"/>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9"/>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reference to Exhibit 4.1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900" w:type="dxa"/>
            <w:vAlign w:val="bottom"/>
            <w:tcBorders>
              <w:right w:val="single" w:sz="8" w:color="0000FF"/>
            </w:tcBorders>
            <w:gridSpan w:val="16"/>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10"/>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6">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bottom w:val="single" w:sz="8" w:color="0000FF"/>
            </w:tcBorders>
            <w:gridSpan w:val="40"/>
          </w:tcPr>
          <w:p>
            <w:pPr>
              <w:spacing w:after="0" w:line="129" w:lineRule="exact"/>
              <w:rPr>
                <w:rFonts w:ascii="Arial" w:cs="Arial" w:eastAsia="Arial" w:hAnsi="Arial"/>
                <w:sz w:val="13"/>
                <w:szCs w:val="13"/>
                <w:color w:val="0000FF"/>
                <w:w w:val="97"/>
              </w:rPr>
            </w:pPr>
            <w:hyperlink r:id="rId65">
              <w:r>
                <w:rPr>
                  <w:rFonts w:ascii="Arial" w:cs="Arial" w:eastAsia="Arial" w:hAnsi="Arial"/>
                  <w:sz w:val="13"/>
                  <w:szCs w:val="13"/>
                  <w:color w:val="0000FF"/>
                  <w:w w:val="97"/>
                </w:rPr>
                <w:t>Exchange Commission on December 30, 2021).</w:t>
              </w:r>
            </w:hyperlink>
          </w:p>
        </w:tc>
        <w:tc>
          <w:tcPr>
            <w:tcW w:w="4240" w:type="dxa"/>
            <w:vAlign w:val="bottom"/>
            <w:gridSpan w:val="72"/>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12"/>
          </w:tcPr>
          <w:p>
            <w:pPr>
              <w:spacing w:after="0" w:line="119" w:lineRule="exact"/>
              <w:rPr>
                <w:rFonts w:ascii="Arial" w:cs="Arial" w:eastAsia="Arial" w:hAnsi="Arial"/>
                <w:sz w:val="13"/>
                <w:szCs w:val="13"/>
                <w:color w:val="0000FF"/>
              </w:rPr>
            </w:pPr>
            <w:hyperlink r:id="rId66">
              <w:r>
                <w:rPr>
                  <w:rFonts w:ascii="Arial" w:cs="Arial" w:eastAsia="Arial" w:hAnsi="Arial"/>
                  <w:sz w:val="13"/>
                  <w:szCs w:val="13"/>
                  <w:color w:val="0000FF"/>
                </w:rPr>
                <w:t>Registration Rights Agreement, dated March 17, 2015, between U.S. Century Bank, Priam Capital Fund II, LP, Patriot</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8"/>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4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w w:val="99"/>
              </w:rPr>
            </w:pPr>
            <w:hyperlink r:id="rId66">
              <w:r>
                <w:rPr>
                  <w:rFonts w:ascii="Arial" w:cs="Arial" w:eastAsia="Arial" w:hAnsi="Arial"/>
                  <w:sz w:val="13"/>
                  <w:szCs w:val="13"/>
                  <w:color w:val="0000FF"/>
                  <w:w w:val="99"/>
                </w:rPr>
                <w:t>Financial Partners II, 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52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0000FF"/>
            </w:tcBorders>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17"/>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16"/>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00" w:type="dxa"/>
            <w:vAlign w:val="bottom"/>
            <w:tcBorders>
              <w:bottom w:val="single" w:sz="8" w:color="0000FF"/>
            </w:tcBorders>
            <w:gridSpan w:val="109"/>
          </w:tcPr>
          <w:p>
            <w:pPr>
              <w:spacing w:after="0" w:line="129" w:lineRule="exact"/>
              <w:rPr>
                <w:rFonts w:ascii="Arial" w:cs="Arial" w:eastAsia="Arial" w:hAnsi="Arial"/>
                <w:sz w:val="13"/>
                <w:szCs w:val="13"/>
                <w:color w:val="0000FF"/>
                <w:w w:val="97"/>
              </w:rPr>
            </w:pPr>
            <w:hyperlink r:id="rId66">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Securities and Exchange Commission on December 30, 2021).</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17"/>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1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2"/>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right w:val="single" w:sz="8" w:color="0000FF"/>
            </w:tcBorders>
            <w:gridSpan w:val="20"/>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960" w:type="dxa"/>
            <w:vAlign w:val="bottom"/>
            <w:tcBorders>
              <w:right w:val="single" w:sz="8" w:color="0000FF"/>
            </w:tcBorders>
            <w:gridSpan w:val="17"/>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w w:val="97"/>
              </w:rPr>
            </w:pPr>
            <w:hyperlink r:id="rId67">
              <w:r>
                <w:rPr>
                  <w:rFonts w:ascii="Arial" w:cs="Arial" w:eastAsia="Arial" w:hAnsi="Arial"/>
                  <w:sz w:val="13"/>
                  <w:szCs w:val="13"/>
                  <w:color w:val="0000FF"/>
                  <w:w w:val="97"/>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220" w:type="dxa"/>
            <w:vAlign w:val="bottom"/>
            <w:gridSpan w:val="2"/>
            <w:vMerge w:val="restart"/>
          </w:tcPr>
          <w:p>
            <w:pPr>
              <w:jc w:val="center"/>
              <w:ind w:right="40"/>
              <w:spacing w:after="0"/>
              <w:rPr>
                <w:rFonts w:ascii="Arial" w:cs="Arial" w:eastAsia="Arial" w:hAnsi="Arial"/>
                <w:sz w:val="13"/>
                <w:szCs w:val="13"/>
                <w:color w:val="0000FF"/>
                <w:w w:val="99"/>
              </w:rPr>
            </w:pPr>
            <w:hyperlink r:id="rId68">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66"/>
          </w:tcPr>
          <w:p>
            <w:pPr>
              <w:spacing w:after="0" w:line="119" w:lineRule="exact"/>
              <w:rPr>
                <w:rFonts w:ascii="Arial" w:cs="Arial" w:eastAsia="Arial" w:hAnsi="Arial"/>
                <w:sz w:val="13"/>
                <w:szCs w:val="13"/>
                <w:color w:val="0000FF"/>
                <w:w w:val="97"/>
              </w:rPr>
            </w:pPr>
            <w:hyperlink r:id="rId67">
              <w:r>
                <w:rPr>
                  <w:rFonts w:ascii="Arial" w:cs="Arial" w:eastAsia="Arial" w:hAnsi="Arial"/>
                  <w:sz w:val="13"/>
                  <w:szCs w:val="13"/>
                  <w:color w:val="0000FF"/>
                  <w:w w:val="97"/>
                </w:rPr>
                <w:t>filed with the Securities and Exchange Commission on December 30, 2021).</w:t>
              </w:r>
            </w:hyperlink>
          </w:p>
        </w:tc>
        <w:tc>
          <w:tcPr>
            <w:tcW w:w="2580" w:type="dxa"/>
            <w:vAlign w:val="bottom"/>
            <w:tcBorders>
              <w:top w:val="single" w:sz="8" w:color="0000FF"/>
            </w:tcBorders>
            <w:gridSpan w:val="4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rFonts w:ascii="Arial" w:cs="Arial" w:eastAsia="Arial" w:hAnsi="Arial"/>
                <w:sz w:val="13"/>
                <w:szCs w:val="13"/>
                <w:color w:val="0000FF"/>
                <w:w w:val="98"/>
              </w:rPr>
            </w:pPr>
            <w:hyperlink r:id="rId69">
              <w:r>
                <w:rPr>
                  <w:rFonts w:ascii="Arial" w:cs="Arial" w:eastAsia="Arial" w:hAnsi="Arial"/>
                  <w:sz w:val="13"/>
                  <w:szCs w:val="13"/>
                  <w:color w:val="0000FF"/>
                  <w:w w:val="98"/>
                </w:rPr>
                <w:t>Description of USCB Financial Holdings, Inc.’s securities (incorporated by reference to Exhibit4.4 to the Registrant's Annual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6"/>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260" w:type="dxa"/>
            <w:vAlign w:val="bottom"/>
            <w:gridSpan w:val="3"/>
            <w:vMerge w:val="restart"/>
          </w:tcPr>
          <w:p>
            <w:pPr>
              <w:jc w:val="center"/>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40" w:type="dxa"/>
            <w:vAlign w:val="bottom"/>
            <w:tcBorders>
              <w:bottom w:val="single" w:sz="8" w:color="0000FF"/>
            </w:tcBorders>
            <w:gridSpan w:val="102"/>
          </w:tcPr>
          <w:p>
            <w:pPr>
              <w:spacing w:after="0" w:line="129" w:lineRule="exact"/>
              <w:rPr>
                <w:rFonts w:ascii="Arial" w:cs="Arial" w:eastAsia="Arial" w:hAnsi="Arial"/>
                <w:sz w:val="13"/>
                <w:szCs w:val="13"/>
                <w:color w:val="0000FF"/>
                <w:w w:val="97"/>
              </w:rPr>
            </w:pPr>
            <w:hyperlink r:id="rId69">
              <w:r>
                <w:rPr>
                  <w:rFonts w:ascii="Arial" w:cs="Arial" w:eastAsia="Arial" w:hAnsi="Arial"/>
                  <w:sz w:val="13"/>
                  <w:szCs w:val="13"/>
                  <w:color w:val="0000FF"/>
                  <w:w w:val="97"/>
                </w:rPr>
                <w:t>Report on Form 10-K (File No. 001-41196) filed with the Securities and Exchange Commission on March 22, 2024).</w:t>
              </w:r>
            </w:hyperlink>
          </w:p>
        </w:tc>
        <w:tc>
          <w:tcPr>
            <w:tcW w:w="44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vMerge w:val="continue"/>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12"/>
          </w:tcPr>
          <w:p>
            <w:pPr>
              <w:spacing w:after="0" w:line="12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6"/>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12"/>
          </w:tcPr>
          <w:p>
            <w:pPr>
              <w:spacing w:after="0" w:line="140" w:lineRule="exact"/>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20" w:type="dxa"/>
            <w:vAlign w:val="bottom"/>
            <w:tcBorders>
              <w:top w:val="single" w:sz="8" w:color="0000FF"/>
            </w:tcBorders>
            <w:gridSpan w:val="91"/>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106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2"/>
          </w:tcPr>
          <w:p>
            <w:pPr>
              <w:spacing w:after="0"/>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12"/>
          </w:tcPr>
          <w:p>
            <w:pPr>
              <w:spacing w:after="0"/>
              <w:rPr>
                <w:sz w:val="20"/>
                <w:szCs w:val="20"/>
                <w:color w:val="auto"/>
              </w:rPr>
            </w:pPr>
            <w:r>
              <w:rPr>
                <w:rFonts w:ascii="Arial" w:cs="Arial" w:eastAsia="Arial" w:hAnsi="Arial"/>
                <w:sz w:val="13"/>
                <w:szCs w:val="13"/>
                <w:color w:val="auto"/>
              </w:rPr>
              <w:t>The following financial statements from the Company’s Quarterly Report on Form 10-Q for the quarter ended March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80" w:type="dxa"/>
            <w:vAlign w:val="bottom"/>
            <w:gridSpan w:val="112"/>
          </w:tcPr>
          <w:p>
            <w:pPr>
              <w:spacing w:after="0"/>
              <w:rPr>
                <w:sz w:val="20"/>
                <w:szCs w:val="20"/>
                <w:color w:val="auto"/>
              </w:rPr>
            </w:pPr>
            <w:r>
              <w:rPr>
                <w:rFonts w:ascii="Arial" w:cs="Arial" w:eastAsia="Arial" w:hAnsi="Arial"/>
                <w:sz w:val="13"/>
                <w:szCs w:val="13"/>
                <w:color w:val="auto"/>
              </w:rPr>
              <w:t>2024 formatted in Inline XBRL: (i) Consolidated Balance Sheets (unaudited), (ii) Consolidated Statements of Operations</w:t>
            </w:r>
          </w:p>
        </w:tc>
        <w:tc>
          <w:tcPr>
            <w:tcW w:w="0" w:type="dxa"/>
            <w:vAlign w:val="bottom"/>
          </w:tcPr>
          <w:p>
            <w:pPr>
              <w:spacing w:after="0"/>
              <w:rPr>
                <w:sz w:val="1"/>
                <w:szCs w:val="1"/>
                <w:color w:val="auto"/>
              </w:rPr>
            </w:pPr>
          </w:p>
        </w:tc>
      </w:tr>
    </w:tbl>
    <w:p>
      <w:pPr>
        <w:jc w:val="both"/>
        <w:ind w:left="1480" w:right="619"/>
        <w:spacing w:after="0" w:line="234" w:lineRule="auto"/>
        <w:rPr>
          <w:sz w:val="20"/>
          <w:szCs w:val="20"/>
          <w:color w:val="auto"/>
        </w:rPr>
      </w:pPr>
      <w:r>
        <w:rPr>
          <w:rFonts w:ascii="Arial" w:cs="Arial" w:eastAsia="Arial" w:hAnsi="Arial"/>
          <w:sz w:val="13"/>
          <w:szCs w:val="13"/>
          <w:color w:val="auto"/>
        </w:rPr>
        <w:t>(unaudited), (iii) Consolidated Statements of Comprehensive Income (unaudited), (iv)Consolidated Statements of Changes in Stockholders’ Equity (unaudited), (v) Consolidated Statements of Cash Flows (unaudited), (vi) Notes to Consolidated Financial Statements (unaudited).</w:t>
      </w:r>
    </w:p>
    <w:p>
      <w:pPr>
        <w:ind w:left="1280" w:right="2499" w:hanging="596"/>
        <w:spacing w:after="0" w:line="390" w:lineRule="auto"/>
        <w:tabs>
          <w:tab w:leader="none" w:pos="1483"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ind w:left="1480" w:hanging="251"/>
        <w:spacing w:after="0"/>
        <w:tabs>
          <w:tab w:leader="none" w:pos="14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Furnished herby.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5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USCB FINANCIAL HOLDINGS, INC.</w:t>
            </w: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77"/>
        </w:trPr>
        <w:tc>
          <w:tcPr>
            <w:tcW w:w="20" w:type="dxa"/>
            <w:vAlign w:val="bottom"/>
          </w:tcPr>
          <w:p>
            <w:pPr>
              <w:spacing w:after="0"/>
              <w:rPr>
                <w:sz w:val="24"/>
                <w:szCs w:val="24"/>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27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56"/>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May 10, 2024</w:t>
            </w:r>
          </w:p>
        </w:tc>
      </w:tr>
      <w:tr>
        <w:trPr>
          <w:trHeight w:val="177"/>
        </w:trPr>
        <w:tc>
          <w:tcPr>
            <w:tcW w:w="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4"/>
          </w:tcPr>
          <w:p>
            <w:pPr>
              <w:ind w:left="60"/>
              <w:spacing w:after="0"/>
              <w:rPr>
                <w:sz w:val="20"/>
                <w:szCs w:val="20"/>
                <w:color w:val="auto"/>
              </w:rPr>
            </w:pPr>
            <w:r>
              <w:rPr>
                <w:rFonts w:ascii="Arial" w:cs="Arial" w:eastAsia="Arial" w:hAnsi="Arial"/>
                <w:sz w:val="14"/>
                <w:szCs w:val="14"/>
                <w:color w:val="auto"/>
              </w:rPr>
              <w:t>Executive Vice President and Chief Financial</w:t>
            </w:r>
          </w:p>
        </w:tc>
      </w:tr>
      <w:tr>
        <w:trPr>
          <w:trHeight w:val="174"/>
        </w:trPr>
        <w:tc>
          <w:tcPr>
            <w:tcW w:w="20" w:type="dxa"/>
            <w:vAlign w:val="bottom"/>
          </w:tcPr>
          <w:p>
            <w:pPr>
              <w:spacing w:after="0"/>
              <w:rPr>
                <w:sz w:val="15"/>
                <w:szCs w:val="15"/>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May 10, 2024</w:t>
            </w:r>
          </w:p>
        </w:tc>
      </w:tr>
      <w:tr>
        <w:trPr>
          <w:trHeight w:val="147"/>
        </w:trPr>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Pr>
          <w:p>
            <w:pPr>
              <w:ind w:left="60"/>
              <w:spacing w:after="0" w:line="147" w:lineRule="exact"/>
              <w:rPr>
                <w:sz w:val="20"/>
                <w:szCs w:val="20"/>
                <w:color w:val="auto"/>
              </w:rPr>
            </w:pPr>
            <w:r>
              <w:rPr>
                <w:rFonts w:ascii="Arial" w:cs="Arial" w:eastAsia="Arial" w:hAnsi="Arial"/>
                <w:sz w:val="14"/>
                <w:szCs w:val="14"/>
                <w:color w:val="auto"/>
              </w:rPr>
              <w:t>(Principal Financial Officer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Q1 2024 Form 10-Q</w:t>
      </w:r>
    </w:p>
    <w:p>
      <w:pPr>
        <w:sectPr>
          <w:pgSz w:w="11900" w:h="16838" w:orient="portrait"/>
          <w:cols w:equalWidth="0" w:num="1">
            <w:col w:w="9019"/>
          </w:cols>
          <w:pgMar w:left="1440" w:top="477" w:right="1440" w:bottom="1440" w:gutter="0" w:footer="0" w:header="0"/>
        </w:sectPr>
      </w:pPr>
    </w:p>
    <w:bookmarkStart w:id="53" w:name="page54"/>
    <w:bookmarkEnd w:id="53"/>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57" w:lineRule="auto"/>
        <w:tabs>
          <w:tab w:leader="none" w:pos="639"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4"/>
          <w:szCs w:val="14"/>
          <w:color w:val="auto"/>
        </w:rPr>
      </w:pPr>
    </w:p>
    <w:p>
      <w:pPr>
        <w:ind w:left="1180" w:right="679" w:hanging="261"/>
        <w:spacing w:after="0" w:line="292"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May 10, 2024</w:t>
      </w:r>
    </w:p>
    <w:p>
      <w:pPr>
        <w:sectPr>
          <w:pgSz w:w="11900" w:h="16838" w:orient="portrait"/>
          <w:cols w:equalWidth="0" w:num="1">
            <w:col w:w="9019"/>
          </w:cols>
          <w:pgMar w:left="1440" w:top="723" w:right="1440" w:bottom="1440" w:gutter="0" w:footer="0" w:header="0"/>
        </w:sectPr>
      </w:pPr>
    </w:p>
    <w:bookmarkStart w:id="54" w:name="page55"/>
    <w:bookmarkEnd w:id="54"/>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68" w:val="left"/>
        </w:tabs>
        <w:numPr>
          <w:ilvl w:val="1"/>
          <w:numId w:val="3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May 10, 2024</w:t>
      </w:r>
    </w:p>
    <w:p>
      <w:pPr>
        <w:sectPr>
          <w:pgSz w:w="11900" w:h="16838" w:orient="portrait"/>
          <w:cols w:equalWidth="0" w:num="1">
            <w:col w:w="9019"/>
          </w:cols>
          <w:pgMar w:left="1440" w:top="723" w:right="1440" w:bottom="1440" w:gutter="0" w:footer="0" w:header="0"/>
        </w:sectPr>
      </w:pPr>
    </w:p>
    <w:bookmarkStart w:id="55" w:name="page56"/>
    <w:bookmarkEnd w:id="55"/>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March 31, 2024, as filed with the Securities and Exchange Commission on the date hereof (the “Report”), I, Luis de la Aguilera, as President and Chief Executive Officer of the Company, certify, to the best of my knowledge, pursuant to 18 U.S.C. §1350, as adopted pursuant to Section 906 of the Sarbanes -Oxley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May 10, 2024</w:t>
      </w:r>
    </w:p>
    <w:p>
      <w:pPr>
        <w:sectPr>
          <w:pgSz w:w="11900" w:h="16838" w:orient="portrait"/>
          <w:cols w:equalWidth="0" w:num="1">
            <w:col w:w="9019"/>
          </w:cols>
          <w:pgMar w:left="1440" w:top="723" w:right="1440" w:bottom="1440" w:gutter="0" w:footer="0" w:header="0"/>
        </w:sectPr>
      </w:pPr>
    </w:p>
    <w:bookmarkStart w:id="56" w:name="page57"/>
    <w:bookmarkEnd w:id="56"/>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March 31, 2024,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May 10, 2024</w:t>
      </w:r>
    </w:p>
    <w:p>
      <w:pPr>
        <w:sectPr>
          <w:pgSz w:w="11900" w:h="16838" w:orient="portrait"/>
          <w:cols w:equalWidth="0" w:num="1">
            <w:col w:w="9019"/>
          </w:cols>
          <w:pgMar w:left="1440" w:top="723" w:right="1440"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9"/>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1."/>
      <w:numFmt w:val="decimal"/>
      <w:start w:val="1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lowerRoman"/>
      <w:start w:val="2"/>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04"/>
    </w:lvl>
    <w:lvl w:ilvl="1">
      <w:lvlJc w:val="left"/>
      <w:lvlText w:val="*"/>
      <w:numFmt w:val="bullet"/>
      <w:start w:val="1"/>
    </w:lvl>
  </w:abstractNum>
  <w:abstractNum w:abstractNumId="29">
    <w:nsid w:val="6CEAF087"/>
    <w:multiLevelType w:val="hybridMultilevel"/>
    <w:lvl w:ilvl="0">
      <w:lvlJc w:val="left"/>
      <w:lvlText w:val="%1"/>
      <w:numFmt w:val="decimal"/>
      <w:start w:val="1"/>
    </w:lvl>
    <w:lvl w:ilvl="1">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62" Type="http://schemas.openxmlformats.org/officeDocument/2006/relationships/hyperlink" Target="http://www.sec.gov/Archives/edgar/data/0001901637/000119312521369812/d628417dex21.htm" TargetMode="External"/><Relationship Id="rId63" Type="http://schemas.openxmlformats.org/officeDocument/2006/relationships/hyperlink" Target="http://www.sec.gov/Archives/edgar/data/1901637/000156276223000333/exhibit31.htm" TargetMode="External"/><Relationship Id="rId64" Type="http://schemas.openxmlformats.org/officeDocument/2006/relationships/hyperlink" Target="http://www.sec.gov/Archives/edgar/data/1901637/000092708923000110/ex_549234.htm" TargetMode="External"/><Relationship Id="rId65" Type="http://schemas.openxmlformats.org/officeDocument/2006/relationships/hyperlink" Target="http://www.sec.gov/Archives/edgar/data/0001901637/000119312521369812/d628417dex41.htm" TargetMode="External"/><Relationship Id="rId66" Type="http://schemas.openxmlformats.org/officeDocument/2006/relationships/hyperlink" Target="http://www.sec.gov/Archives/edgar/data/0001901637/000119312521369812/d628417dex42.htm" TargetMode="External"/><Relationship Id="rId67" Type="http://schemas.openxmlformats.org/officeDocument/2006/relationships/hyperlink" Target="http://www.sec.gov/Archives/edgar/data/0001901637/000119312521369812/d628417dex43.htm" TargetMode="External"/><Relationship Id="rId68" Type="http://schemas.openxmlformats.org/officeDocument/2006/relationships/hyperlink" Target="http://www.sec.gov/Archives/edgar/data/1901637/000156276222000137/exhibit44.htm" TargetMode="External"/><Relationship Id="rId69" Type="http://schemas.openxmlformats.org/officeDocument/2006/relationships/hyperlink" Target="http://www.sec.gov/Archives/edgar/data/1901637/000156276224000061/exhibit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2024-05-10T11:04:52Z</dcterms:created>
  <dcterms:modified xsi:type="dcterms:W3CDTF">2024-05-10T11:04:52Z</dcterms:modified>
</cp:coreProperties>
</file>