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5805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 LA AGUILERA LUIS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3280" w:type="dxa"/>
            <w:vAlign w:val="bottom"/>
            <w:gridSpan w:val="8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Transaction  Disposed Of (D) (Instr. 3, 4 and 5) 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241,527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11.35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09/23/2029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160,000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25,653 shares of restricted stock which vest at a rate of one-third per year commencing on January 21, 2026.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12,136 shares of restricted stock which commenced vesting at a rate of one-third per year on January 22, 2025, 15,785 shares of restricted stock which commenced vesting at a rate of one-third per year on March 8, 2024, and 125,000 shares of restricted stock one-third of which vested on December 31, 2024 and the remaining two-thirds vest pro rata on December 31, 2025 and 2026.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vested at the rate of 25% per year commencing on April 1, 2017.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are vested at the rate of one-third per year commencing on September 23, 2020.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are vesting at the rate of one-third per year commencing on September 27, 2022.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290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Luis de la Aguilera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-20955</wp:posOffset>
            </wp:positionV>
            <wp:extent cx="9639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81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16660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2025-01-23T09:34:39Z</dcterms:created>
  <dcterms:modified xsi:type="dcterms:W3CDTF">2025-01-23T09:34:39Z</dcterms:modified>
</cp:coreProperties>
</file>