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20230524_8k.htm"/>
      <w:bookmarkStart w:id="1" w:name="ksuscb20230524_8k"/>
      <w:bookmarkEnd w:id="0"/>
      <w:bookmarkEnd w:id="1"/>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950"/>
        <w:gridCol w:w="2950"/>
      </w:tblGrid>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00"/>
        <w:gridCol w:w="1160"/>
      </w:tblGrid>
      <w:tr>
        <w:trPr/>
        <w:tc>
          <w:tcPr>
            <w:tcW w:w="38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22, 2023</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41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150"/>
        <w:gridCol w:w="2210"/>
        <w:gridCol w:w="1520"/>
      </w:tblGrid>
      <w:tr>
        <w:trPr/>
        <w:tc>
          <w:tcPr>
            <w:tcW w:w="215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001-41196</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87-4070846</w:t>
            </w:r>
          </w:p>
        </w:tc>
      </w:tr>
      <w:tr>
        <w:trPr/>
        <w:tc>
          <w:tcPr>
            <w:tcW w:w="215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28" w:type="dxa"/>
          <w:right w:w="0" w:type="dxa"/>
        </w:tblCellMar>
      </w:tblPr>
      <w:tblGrid>
        <w:gridCol w:w="3200"/>
        <w:gridCol w:w="60"/>
        <w:gridCol w:w="815"/>
        <w:gridCol w:w="89"/>
      </w:tblGrid>
      <w:tr>
        <w:trPr/>
        <w:tc>
          <w:tcPr>
            <w:tcW w:w="3200" w:type="dxa"/>
            <w:tcBorders>
              <w:bottom w:val="single" w:sz="2" w:space="0" w:color="000000"/>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33172</w:t>
            </w:r>
          </w:p>
        </w:tc>
        <w:tc>
          <w:tcPr>
            <w:tcW w:w="89" w:type="dxa"/>
            <w:tcBorders>
              <w:bottom w:val="single" w:sz="2" w:space="0" w:color="000000"/>
            </w:tcBorders>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4205"/>
        <w:gridCol w:w="1295"/>
      </w:tblGrid>
      <w:tr>
        <w:trPr/>
        <w:tc>
          <w:tcPr>
            <w:tcW w:w="4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29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(305) 715-5200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2"/>
        <w:gridCol w:w="9873"/>
      </w:tblGrid>
      <w:tr>
        <w:trPr/>
        <w:tc>
          <w:tcPr>
            <w:tcW w:w="102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10205"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r>
        <w:trPr/>
        <w:tc>
          <w:tcPr>
            <w:tcW w:w="332" w:type="dxa"/>
            <w:tcBorders/>
            <w:tcMar>
              <w:bottom w:w="0" w:type="dxa"/>
            </w:tcMar>
            <w:vAlign w:val="center"/>
          </w:tcPr>
          <w:p>
            <w:pPr>
              <w:pStyle w:val="TableContents"/>
              <w:bidi w:val="0"/>
              <w:spacing w:before="0" w:after="283"/>
              <w:jc w:val="left"/>
              <w:rPr/>
            </w:pPr>
            <w:r>
              <w:rPr/>
              <w:t> </w:t>
            </w:r>
          </w:p>
        </w:tc>
        <w:tc>
          <w:tcPr>
            <w:tcW w:w="9873" w:type="dxa"/>
            <w:tcBorders/>
            <w:tcMar>
              <w:bottom w:w="0" w:type="dxa"/>
            </w:tcMar>
            <w:vAlign w:val="center"/>
          </w:tcPr>
          <w:p>
            <w:pPr>
              <w:pStyle w:val="TableContents"/>
              <w:bidi w:val="0"/>
              <w:spacing w:before="0" w:after="283"/>
              <w:jc w:val="left"/>
              <w:rPr/>
            </w:pPr>
            <w:r>
              <w:rPr/>
              <w:t> </w:t>
            </w:r>
          </w:p>
        </w:tc>
      </w:tr>
      <w:tr>
        <w:trPr/>
        <w:tc>
          <w:tcPr>
            <w:tcW w:w="10205" w:type="dxa"/>
            <w:gridSpan w:val="2"/>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tc>
      </w:tr>
      <w:tr>
        <w:trPr/>
        <w:tc>
          <w:tcPr>
            <w:tcW w:w="10205" w:type="dxa"/>
            <w:gridSpan w:val="2"/>
            <w:tcBorders/>
            <w:tcMar>
              <w:bottom w:w="0" w:type="dxa"/>
            </w:tcMar>
            <w:vAlign w:val="center"/>
          </w:tcPr>
          <w:p>
            <w:pPr>
              <w:pStyle w:val="TableContents"/>
              <w:bidi w:val="0"/>
              <w:spacing w:before="0" w:after="283"/>
              <w:jc w:val="left"/>
              <w:rPr/>
            </w:pPr>
            <w:r>
              <w:rPr/>
              <w:t> </w:t>
            </w:r>
          </w:p>
        </w:tc>
      </w:tr>
      <w:tr>
        <w:trPr/>
        <w:tc>
          <w:tcPr>
            <w:tcW w:w="332"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987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2"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987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2"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987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332"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9873"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28" w:type="dxa"/>
          <w:left w:w="28" w:type="dxa"/>
          <w:bottom w:w="28" w:type="dxa"/>
          <w:right w:w="28" w:type="dxa"/>
        </w:tblCellMar>
      </w:tblPr>
      <w:tblGrid>
        <w:gridCol w:w="1520"/>
        <w:gridCol w:w="845"/>
        <w:gridCol w:w="3575"/>
      </w:tblGrid>
      <w:tr>
        <w:trPr/>
        <w:tc>
          <w:tcPr>
            <w:tcW w:w="15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35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
        <w:gridCol w:w="60"/>
        <w:gridCol w:w="380"/>
        <w:gridCol w:w="60"/>
        <w:gridCol w:w="9266"/>
      </w:tblGrid>
      <w:tr>
        <w:trPr/>
        <w:tc>
          <w:tcPr>
            <w:tcW w:w="439"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60" w:type="dxa"/>
            <w:tcBorders/>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5.07</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Submission of Matters to a Vote of Security Holders</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Annual Meeting of Shareholders (the “Annual Meeting”) of USCB Financial Holdings Inc. (the “Company”) was held on May 22, 2023.</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were 19,622,380 shares of Class A common stock, par value $1.00 per share, of the Company issued and outstanding and eligible to be voted at the Annual Meeting and 18,811,410 shares were represented in person or by proxy at the Annual Meeting, which constituted a quorum to conduct business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60"/>
        <w:gridCol w:w="8720"/>
      </w:tblGrid>
      <w:tr>
        <w:trPr/>
        <w:tc>
          <w:tcPr>
            <w:tcW w:w="9025"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items voted upon at the Annual Meeting and the votes for each proposal were as follows: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Election of directors for a one-year term ending in 2024 and until their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75"/>
        <w:gridCol w:w="2450"/>
        <w:gridCol w:w="950"/>
        <w:gridCol w:w="60"/>
        <w:gridCol w:w="845"/>
        <w:gridCol w:w="60"/>
        <w:gridCol w:w="875"/>
      </w:tblGrid>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vAlign w:val="center"/>
          </w:tcPr>
          <w:p>
            <w:pPr>
              <w:pStyle w:val="TableContents"/>
              <w:bidi w:val="0"/>
              <w:spacing w:before="0" w:after="283"/>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Withheld</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Non-votes</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Ramon Abadin</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14,846,666</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1,251,657</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15,559,946</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538,377</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15,538,263</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560,060</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15,560,689</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537,634</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Fernandez, M.D.</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15,101,733</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996,590</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15,565,213</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533,110</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 Ph.D.</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15,020,836</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1,077,487</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15,559,224</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539,099</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r>
        <w:trPr/>
        <w:tc>
          <w:tcPr>
            <w:tcW w:w="7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firstLine="3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w:t>
            </w:r>
          </w:p>
        </w:tc>
        <w:tc>
          <w:tcPr>
            <w:tcW w:w="95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15,551,438</w:t>
            </w:r>
          </w:p>
        </w:tc>
        <w:tc>
          <w:tcPr>
            <w:tcW w:w="60" w:type="dxa"/>
            <w:tcBorders/>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546,885</w:t>
            </w:r>
          </w:p>
        </w:tc>
        <w:tc>
          <w:tcPr>
            <w:tcW w:w="60" w:type="dxa"/>
            <w:tcBorders/>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60"/>
        <w:gridCol w:w="990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60"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ratify the appointment of Crowe LLP as the Company’s independent registered public accounting firm for the year ending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28" w:type="dxa"/>
          <w:right w:w="0" w:type="dxa"/>
        </w:tblCellMar>
      </w:tblPr>
      <w:tblGrid>
        <w:gridCol w:w="965"/>
        <w:gridCol w:w="60"/>
        <w:gridCol w:w="695"/>
        <w:gridCol w:w="60"/>
        <w:gridCol w:w="665"/>
        <w:gridCol w:w="60"/>
        <w:gridCol w:w="905"/>
      </w:tblGrid>
      <w:tr>
        <w:trPr/>
        <w:tc>
          <w:tcPr>
            <w:tcW w:w="96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Non-Votes</w:t>
            </w:r>
          </w:p>
        </w:tc>
      </w:tr>
      <w:tr>
        <w:trPr/>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18,233,365</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558,044</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20,001</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60"/>
        <w:gridCol w:w="990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0"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amend the Company’s Articles of Incorporation to revise certain provisions involving the Class B non-voting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28" w:type="dxa"/>
          <w:right w:w="0" w:type="dxa"/>
        </w:tblCellMar>
      </w:tblPr>
      <w:tblGrid>
        <w:gridCol w:w="965"/>
        <w:gridCol w:w="60"/>
        <w:gridCol w:w="695"/>
        <w:gridCol w:w="60"/>
        <w:gridCol w:w="665"/>
        <w:gridCol w:w="60"/>
        <w:gridCol w:w="905"/>
      </w:tblGrid>
      <w:tr>
        <w:trPr/>
        <w:tc>
          <w:tcPr>
            <w:tcW w:w="96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Broker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Non-Votes</w:t>
            </w:r>
          </w:p>
        </w:tc>
      </w:tr>
      <w:tr>
        <w:trPr/>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15,484,664</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585,554</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28,105</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2,713,087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Annual Meeting, the shareholders of the Company (i) elected each of the nominees for director, (ii) adopted the proposal to ratify the appointment of the Company’s independent registered public accounting firm for the year ending December 31, 2023 and (iii) adopted the proposal to amend the Company’s Articles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60"/>
        <w:gridCol w:w="245"/>
        <w:gridCol w:w="60"/>
        <w:gridCol w:w="126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410"/>
        <w:gridCol w:w="60"/>
        <w:gridCol w:w="380"/>
        <w:gridCol w:w="60"/>
        <w:gridCol w:w="2900"/>
        <w:gridCol w:w="60"/>
      </w:tblGrid>
      <w:tr>
        <w:trPr/>
        <w:tc>
          <w:tcPr>
            <w:tcW w:w="4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995"/>
        <w:gridCol w:w="60"/>
        <w:gridCol w:w="6110"/>
        <w:gridCol w:w="75"/>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11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(embedded within the Inline XBRL document)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72" w:type="dxa"/>
        <w:jc w:val="left"/>
        <w:tblInd w:w="0" w:type="dxa"/>
        <w:tblLayout w:type="fixed"/>
        <w:tblCellMar>
          <w:top w:w="0" w:type="dxa"/>
          <w:left w:w="0" w:type="dxa"/>
          <w:bottom w:w="0" w:type="dxa"/>
          <w:right w:w="0" w:type="dxa"/>
        </w:tblCellMar>
      </w:tblPr>
      <w:tblGrid>
        <w:gridCol w:w="818"/>
        <w:gridCol w:w="821"/>
        <w:gridCol w:w="2454"/>
        <w:gridCol w:w="934"/>
        <w:gridCol w:w="945"/>
      </w:tblGrid>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879"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Anderson</w:t>
            </w:r>
          </w:p>
        </w:tc>
      </w:tr>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18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Anderson</w:t>
            </w:r>
          </w:p>
        </w:tc>
      </w:tr>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18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81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r>
      <w:tr>
        <w:trPr/>
        <w:tc>
          <w:tcPr>
            <w:tcW w:w="163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May 25, 2023</w:t>
            </w:r>
          </w:p>
        </w:tc>
        <w:tc>
          <w:tcPr>
            <w:tcW w:w="2454"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3810</Characters>
  <CharactersWithSpaces>4686</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