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21.jpeg" ContentType="image/jpeg"/>
  <Override PartName="/word/media/image20.jpeg" ContentType="image/jpeg"/>
  <Override PartName="/word/media/image19.jpeg" ContentType="image/jpeg"/>
  <Override PartName="/word/media/image7.jpeg" ContentType="image/jpeg"/>
  <Override PartName="/word/media/image28.jpeg" ContentType="image/jpeg"/>
  <Override PartName="/word/media/image12.jpeg" ContentType="image/jpeg"/>
  <Override PartName="/word/media/image10.jpeg" ContentType="image/jpeg"/>
  <Override PartName="/word/media/image8.jpeg" ContentType="image/jpeg"/>
  <Override PartName="/word/media/image29.jpeg" ContentType="image/jpeg"/>
  <Override PartName="/word/media/image13.jpeg" ContentType="image/jpeg"/>
  <Override PartName="/word/media/image6.jpeg" ContentType="image/jpeg"/>
  <Override PartName="/word/media/image27.jpeg" ContentType="image/jpeg"/>
  <Override PartName="/word/media/image11.jpeg" ContentType="image/jpeg"/>
  <Override PartName="/word/media/image9.jpeg" ContentType="image/jpeg"/>
  <Override PartName="/word/media/image30.jpeg" ContentType="image/jpeg"/>
  <Override PartName="/word/media/image3.jpeg" ContentType="image/jpeg"/>
  <Override PartName="/word/media/image24.jpeg" ContentType="image/jpeg"/>
  <Override PartName="/word/media/image31.jpeg" ContentType="image/jpeg"/>
  <Override PartName="/word/media/image4.jpeg" ContentType="image/jpeg"/>
  <Override PartName="/word/media/image25.jpeg" ContentType="image/jpeg"/>
  <Override PartName="/word/media/image32.jpeg" ContentType="image/jpeg"/>
  <Override PartName="/word/media/image5.jpeg" ContentType="image/jpeg"/>
  <Override PartName="/word/media/image26.jpeg" ContentType="image/jpeg"/>
  <Override PartName="/word/media/image2.jpeg" ContentType="image/jpeg"/>
  <Override PartName="/word/media/image23.jpeg" ContentType="image/jpeg"/>
  <Override PartName="/word/media/image1.jpeg" ContentType="image/jpeg"/>
  <Override PartName="/word/media/image22.jpeg" ContentType="image/jpeg"/>
  <Override PartName="/word/media/image14.jpeg" ContentType="image/jpeg"/>
  <Override PartName="/word/media/image15.jpeg" ContentType="image/jpeg"/>
  <Override PartName="/word/media/image16.jpeg" ContentType="image/jpeg"/>
  <Override PartName="/word/media/image17.jpeg" ContentType="image/jpeg"/>
  <Override PartName="/word/media/image18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  <w:drawing>
          <wp:anchor behindDoc="0" distT="0" distB="0" distL="0" distR="0" simplePos="0" locked="0" layoutInCell="1" allowOverlap="1" relativeHeight="15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4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3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3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2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4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1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0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6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9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7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8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8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7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9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6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5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1" name="Image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9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4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2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3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3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2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4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1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10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6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9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7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8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18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7">
            <wp:simplePos x="0" y="0"/>
            <wp:positionH relativeFrom="page">
              <wp:posOffset>457200</wp:posOffset>
            </wp:positionH>
            <wp:positionV relativeFrom="page">
              <wp:posOffset>333375</wp:posOffset>
            </wp:positionV>
            <wp:extent cx="9144000" cy="6858000"/>
            <wp:effectExtent l="0" t="0" r="0" b="0"/>
            <wp:wrapNone/>
            <wp:docPr id="19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4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0" name="Image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8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8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1" name="Image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32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7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2" name="Image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1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6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3" name="Image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30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5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4" name="Image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9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3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5" name="Image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27" descr="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2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6" name="Image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6" descr="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1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7" name="Image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25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0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8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9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29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8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30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7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31" name="Image2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21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26">
            <wp:simplePos x="0" y="0"/>
            <wp:positionH relativeFrom="page">
              <wp:posOffset>457200</wp:posOffset>
            </wp:positionH>
            <wp:positionV relativeFrom="page">
              <wp:posOffset>200025</wp:posOffset>
            </wp:positionV>
            <wp:extent cx="9144000" cy="6858000"/>
            <wp:effectExtent l="0" t="0" r="0" b="0"/>
            <wp:wrapNone/>
            <wp:docPr id="32" name="Image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0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904875</wp:posOffset>
                </wp:positionH>
                <wp:positionV relativeFrom="page">
                  <wp:posOffset>2638425</wp:posOffset>
                </wp:positionV>
                <wp:extent cx="6400800" cy="175260"/>
                <wp:effectExtent l="0" t="0" r="0" b="0"/>
                <wp:wrapNone/>
                <wp:docPr id="33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4pt;height:13.8pt;mso-wrap-distance-left:0pt;mso-wrap-distance-right:0pt;mso-wrap-distance-top:0pt;mso-wrap-distance-bottom:0pt;margin-top:207.75pt;mso-position-vertical-relative:page;margin-left:7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4733925</wp:posOffset>
                </wp:positionH>
                <wp:positionV relativeFrom="page">
                  <wp:posOffset>7181850</wp:posOffset>
                </wp:positionV>
                <wp:extent cx="2571750" cy="175260"/>
                <wp:effectExtent l="0" t="0" r="0" b="0"/>
                <wp:wrapNone/>
                <wp:docPr id="34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5.5pt;mso-position-vertical-relative:page;margin-left:372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page">
                  <wp:posOffset>3190875</wp:posOffset>
                </wp:positionH>
                <wp:positionV relativeFrom="page">
                  <wp:posOffset>7181850</wp:posOffset>
                </wp:positionV>
                <wp:extent cx="1371600" cy="175260"/>
                <wp:effectExtent l="0" t="0" r="0" b="0"/>
                <wp:wrapNone/>
                <wp:docPr id="35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8pt;height:13.8pt;mso-wrap-distance-left:0pt;mso-wrap-distance-right:0pt;mso-wrap-distance-top:0pt;mso-wrap-distance-bottom:0pt;margin-top:565.5pt;mso-position-vertical-relative:page;margin-left:251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447675</wp:posOffset>
                </wp:positionH>
                <wp:positionV relativeFrom="page">
                  <wp:posOffset>7181850</wp:posOffset>
                </wp:positionV>
                <wp:extent cx="2571750" cy="175260"/>
                <wp:effectExtent l="0" t="0" r="0" b="0"/>
                <wp:wrapNone/>
                <wp:docPr id="36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2.5pt;height:13.8pt;mso-wrap-distance-left:0pt;mso-wrap-distance-right:0pt;mso-wrap-distance-top:0pt;mso-wrap-distance-bottom:0pt;margin-top:565.5pt;mso-position-vertical-relative:page;margin-left:3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5019675</wp:posOffset>
                </wp:positionH>
                <wp:positionV relativeFrom="page">
                  <wp:posOffset>1762125</wp:posOffset>
                </wp:positionV>
                <wp:extent cx="2286000" cy="175260"/>
                <wp:effectExtent l="0" t="0" r="0" b="0"/>
                <wp:wrapNone/>
                <wp:docPr id="37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pt;height:13.8pt;mso-wrap-distance-left:0pt;mso-wrap-distance-right:0pt;mso-wrap-distance-top:0pt;mso-wrap-distance-bottom:0pt;margin-top:138.75pt;mso-position-vertical-relative:page;margin-left:395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sz w:val="21"/>
        </w:rPr>
      </w:pPr>
      <w:r>
        <w:rPr>
          <w:rFonts w:ascii="Times New Roman" w:hAnsi="Times New Roman"/>
          <w:b/>
          <w:sz w:val="21"/>
        </w:rPr>
        <w:t>WASHINGTON,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D.C. 20549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 xml:space="preserve">FORM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36"/>
          <w:bdr w:val="single" w:sz="2" w:space="1" w:color="C6C6C6"/>
          <w:shd w:fill="E6E6E6" w:val="clear"/>
        </w:rPr>
        <w:t>8-K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CURRENT REPORT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Pursuant to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 Section 13 or 15(d) of the Securities Exchange Act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of 1934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Date of Report (Date of earliest event reported):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July 28,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44"/>
          <w:bdr w:val="single" w:sz="2" w:space="1" w:color="C6C6C6"/>
          <w:shd w:fill="E6E6E6" w:val="clear"/>
        </w:rPr>
        <w:t>USCB Financial Holdings, Inc.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(Exact name of Registrant as Specified in Its Charter)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001-41196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87-4070846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(State or Other Jurisdiction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Incorporation)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(Commission File Number)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(IRS Employer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Identification No.)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2301 N.W. 87th Avenue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Doral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Florida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33172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(Address of Principal Executive Offices)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(Zip Code)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</w:t>
      </w:r>
      <w:r>
        <w:rPr>
          <w:rFonts w:ascii="Times New Roman" w:hAnsi="Times New Roman"/>
          <w:b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nt’s Telephone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Number, Including Area Code: (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305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 xml:space="preserve">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21"/>
          <w:bdr w:val="single" w:sz="2" w:space="1" w:color="C6C6C6"/>
          <w:shd w:fill="E6E6E6" w:val="clear"/>
        </w:rPr>
        <w:t>715-5200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__________________________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the appropriate box belo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w if the Form 8-K filing is intended to simultaneously satisfy the filing obligation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of the registrant under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any of the following pro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visions: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Written communications pursuant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to Rule 425 under the Securities Act (17 CFR 230.425)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Soliciting material pursuant to Rule 14a-12 under the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Exchange Act (17 CFR 240.14a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-12)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ommencement communications pursuant to Rule 14d-2(b)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under the Exchange Act (17 CFR 240.14d-2(b))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Pre-commencement communications pursuant to R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ule 13e-4(c) under the Exchange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Act (17 CFR 240.13e-4(c))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Securities registered pursuant to Section 12(b) of the Act: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Title of each class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Trading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Symbol(s)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000000"/>
          <w:sz w:val="15"/>
          <w:bdr w:val="single" w:sz="2" w:space="1" w:color="C6C6C6"/>
          <w:shd w:fill="E6E6E6" w:val="clear"/>
        </w:rPr>
        <w:t xml:space="preserve">Name of each exchange on which registered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Class A common stock, $1.00 par value per share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Nasdaq Stock Market LLC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 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 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whether 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 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 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 company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defined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 Rule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405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 Securities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Act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1933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(§ 23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0.405 of this chapter) or Rule 12b-2 of the Securities Exchange Act of 1934 (§ 240.12b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-2 of this chapter).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Emerging growth company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☒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emerging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growth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indicate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check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mark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registrant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elected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use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extended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transition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period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for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lying with any new or revised financial accounting standards provided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pursuant to Section 13(a) of the Exchange Act.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☐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Item 7.01. Regulation FD Disclosure.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USCB Financial Holdings, Inc. (“the Company”)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filing an investor presentation (the “Presentation”), which will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used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management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team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for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presentations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investors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others.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copy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attached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hereto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Exhibit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99.1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inco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rporated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herein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by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reference.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Presentation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also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available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on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the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Company’s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website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investors.uscenturybank.com.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Information contained herein,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including Exhibit 99.1,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is being furnished and shall not be deemed “filed” for the purposes of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Section 18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of the Secu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rities Exchange Act of 1934,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as amended (“the Exchange Act”), or otherwise subject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to the liability of such section, and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shall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not be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 xml:space="preserve"> deemed incorporated by reference in any filing under the Securities Act of 1933, as amended,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or the Exchange Act, regardless of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 xml:space="preserve">any general incorporation language </w:t>
      </w:r>
      <w:r>
        <w:rPr>
          <w:rFonts w:ascii="Times New Roman" w:hAnsi="Times New Roman"/>
          <w:caps w:val="false"/>
          <w:smallCaps w:val="false"/>
          <w:color w:val="000000"/>
          <w:bdr w:val="single" w:sz="2" w:space="1" w:color="C6C6C6"/>
          <w:shd w:fill="E6E6E6" w:val="clear"/>
        </w:rPr>
        <w:t>in such filing, except as shall be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z w:val="20"/>
          <w:bdr w:val="single" w:sz="2" w:space="1" w:color="C6C6C6"/>
          <w:shd w:fill="E6E6E6" w:val="clear"/>
        </w:rPr>
        <w:t>expressly set forth by specific reference in such a filing.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Item 9.01. Financial Statements and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(d) Exhibits.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>Exhibit No.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Description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563C1"/>
            <w:sz w:val="20"/>
            <w:szCs w:val="20"/>
            <w:u w:val="single"/>
            <w:shd w:fill="E6E6E6" w:val="clear"/>
          </w:rPr>
          <w:t>99.1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hyperlink w:anchor="exhibit991.htm">
        <w:r>
          <w:rPr>
            <w:rStyle w:val="InternetLink"/>
            <w:rFonts w:eastAsia="Times New Roman" w:cs="Times New Roman" w:ascii="Times New Roman" w:hAnsi="Times New Roman"/>
            <w:b w:val="false"/>
            <w:bCs w:val="false"/>
            <w:i w:val="false"/>
            <w:iCs w:val="false"/>
            <w:caps w:val="false"/>
            <w:smallCaps w:val="false"/>
            <w:color w:val="0563C1"/>
            <w:sz w:val="20"/>
            <w:szCs w:val="20"/>
            <w:u w:val="single"/>
            <w:shd w:fill="E6E6E6" w:val="clear"/>
          </w:rPr>
          <w:t>USCB Financial Holdings, Inc. Investor Presentation Q2 2026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104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Cover Page Interactive Data File (embedded within the Inline XBRL document)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shd w:fill="E6E6E6" w:val="clear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SIGNATURE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Pursuant to the requirements of the Securities Exchange Act of 1934, the registrant has duly</w:t>
      </w:r>
    </w:p>
    <w:p>
      <w:pPr>
        <w:pStyle w:val="TextBody"/>
        <w:bidi w:val="0"/>
        <w:spacing w:before="0" w:after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caused this report to be signed 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its behalf by the undersigned hereunto duly authorized.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USCB Financial Holdings, Inc.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By: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/s/ Robert 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Name: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Robert Anderson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Title: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Chief Financial Officer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z w:val="20"/>
          <w:szCs w:val="20"/>
          <w:bdr w:val="single" w:sz="2" w:space="1" w:color="C6C6C6"/>
          <w:shd w:fill="E6E6E6" w:val="clear"/>
        </w:rPr>
        <w:t xml:space="preserve">Date: July 28, 2026 </w:t>
      </w:r>
    </w:p>
    <w:p>
      <w:pPr>
        <w:pStyle w:val="TextBody"/>
        <w:bidi w:val="0"/>
        <w:jc w:val="left"/>
        <w:rPr/>
      </w:pPr>
      <w:r>
        <w:rPr/>
      </w:r>
      <w:bookmarkStart w:id="0" w:name="fixed-layout-inline-document"/>
      <w:bookmarkStart w:id="1" w:name="fixed-layout-inline-document"/>
      <w:bookmarkEnd w:id="1"/>
      <w:r>
        <w:br w:type="page"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2" w:name="Doc1"/>
      <w:bookmarkStart w:id="3" w:name="Doc1"/>
      <w:bookmarkEnd w:id="3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4" w:name="Page1"/>
      <w:bookmarkStart w:id="5" w:name="Page1"/>
      <w:bookmarkEnd w:id="5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bookmarkStart w:id="6" w:name="a1"/>
      <w:bookmarkStart w:id="7" w:name="a1"/>
      <w:bookmarkEnd w:id="7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</w:rPr>
      </w:pPr>
      <w:r>
        <w:rPr>
          <w:rFonts w:ascii="apos" w:hAnsi="apos"/>
        </w:rPr>
        <w:t xml:space="preserve">Exhibit 99.1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</w:rPr>
      </w:pPr>
      <w:bookmarkStart w:id="8" w:name="a7"/>
      <w:bookmarkEnd w:id="8"/>
      <w:r>
        <w:rPr>
          <w:rFonts w:ascii="apos" w:hAnsi="apos"/>
        </w:rPr>
        <w:t>SUCB FINANCIAL HOLDINGS INVESTOR PRESENTATION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SECOND QUARTER 2026 NASDAQ: USCB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  <w:bookmarkStart w:id="9" w:name="Page2"/>
      <w:bookmarkStart w:id="10" w:name="Page2"/>
      <w:bookmarkEnd w:id="10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FORWARD-LOOKING STATEMENTS This presentation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contain statements that are not historical in nature and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intended to be, and are hereby identified as,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purposes of the safe harbor provided by Section 21E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Exchange Act of 1934, as amended. Forward-looking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those that are not historical facts. The words “may,” “will,”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anticipate,” “could,” “ should,” “would,” “believe,” “contemplate,”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expect,” “aim,” “plan,” “estimate,” “continue,” “seek,” and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“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intend,” the negative of these terms, as well as other similar words and expressions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 future, are intended to identify forward-looking statements. These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forward-looking statements include, but are not limited to,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related to our projected growth, anticipated future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performance, and management’s long-term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goals, as well as statements relating to the anticipated effects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our results of operations and financial condition from expected or 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developments or events, or business and growth strategies,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anticipated internal growth and potential future additional 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 restructuring. All numbers included in this presentation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unaudited unless otherwise noted. These forward-looking statements involve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significant risks and uncertainties that could cause our actual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results to differ materially from those anticipated in such statements.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Potential risks and uncertainties include, but are not limited to: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strength of the United States economy in general and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strength of the local economies in which we conduct operations; our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ability to successfully manage interest rate risk, credit risk, liquidity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risk, and other risks inherent to our industry; the accuracy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our financial statement estimates and assumptions, including the estimates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used for our allowance for credit losses; the efficiency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and effectiveness of our internal control procedures and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processes; our ability to comply with the extensive laws 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and regulations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which we are subject, including the laws for each jurisdiction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where we operate; adverse changes or conditions in the capital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financial markets, including actual or potential stresses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banking industry; deposit attrition and the level of our uninsured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deposits; legislative or regulatory changes and changes, including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enactment of the One Big Beautiful Bill, in accounting principles,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policies, practices or guidelines; the lack of a significantly 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portfolio and our concentration in the South Florida market,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the risks of geographic, depositor, and industry concentrations,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including our concentration in loans secured by real estate,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particular, commercial real estate; the effects of climate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change; the concentration of ownership of our common stock; fluctuations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the price of our common stock; our ability to fund or access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capital markets at attractive rates and terms and manage our growth,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both organic growth as well as growth through other means, such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future acquisitions; inflation, interest rate, unemployment rate,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market and monetary fluctuations; the effects of potential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new or increased tariffs, retaliatory tariffs and trade restrictions;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impact of international hostilities and geopolitical events;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competition and its effect on the pricing of our products and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well as our net interest rate spread and net interest margin;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loss of key employees; the effectiveness of our risk 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strategies, including operational risks, including, but not limited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to, client, employee, or fourth-party fraud and security breaches;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other risks described in this presentation and other filings we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make with the Securities and Exchange Commission (“SEC”).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All forward-looking statements are necessarily only estimates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future results, and there can be no assurance that actual results will not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differ materially from expectations. Therefore, you are cautioned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not to place undue reliance on any forward-looking statements. Further,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any forward-looking statements included in this presentation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made only as of the date hereof, and we undertake no obligation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update or revise any forward-looking statements to reflect events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circumstances occurring after the date on which the statements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are made or to reflect the occurrence of unanticipated events,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unless required to do so under the federal securities laws. You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should also review the risk factors described in the reports USCB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 Holdings, Inc. has filed or will file with the SEC. Non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-GAAP Financial Measures This presentation includes financial 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determined by methods other than in accordance with generally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accepted accounting principles (“GAAP”). This financial information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includes certain operating performance measures. 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has included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non-GAAP financial measures because it believes these 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may provide useful supplemental information for evaluating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Company’s expectations and underlying performance trends.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Further, management uses these measures in managing and evaluating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Company’s business and intends to refer to them in discussions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about our operations and performance. 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should be viewed in addition to, and not as an alternative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 substitute for, measures determined in accordance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with GAAP, and are not necessarily comparable to non-GAAP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 that may be presented by other companies. Reconciliations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these non-GAAP measures to the most directly comparable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GAAP measures can be found in the Non-GAAP financial measures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reconciliation tables included in this presentation. 2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r>
      <w:bookmarkStart w:id="11" w:name="Page3"/>
      <w:bookmarkStart w:id="12" w:name="Page3"/>
      <w:bookmarkEnd w:id="12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TABLE OF CONTENTS 1. Who We Are 2. 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Strategy 3. Financial Review 4. Appendix 3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WE ARE A RELATIONSHIP-FIRST BANK Company Overview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Founded in 2002, U.S. Century Bank is a state-chartered 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headquartered in South Florida. 8th largest Florida headquartered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 by deposits in Miami Dade County as of June 30, 2025. (1) 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holding company formed in December 2021, USCB Financial Holdings,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Inc. (NASDAQ: USCB) is included in the Russell 3000 Index.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Bank conducted its initial public offering in July 202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 raising $40.0 million in equity capital. Full-service commercial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 offering products and services tailored to meet the needs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small-to-medium sized businesses, entrepreneurs and professionals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South Florida (Miami-Dade, Broward, and Palm Beach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counties) SBA preferred lender, ranked as a top SBA 7(a)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community bank lender in Miami-Dade and Broward counties 5-star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Bauer Financial rating Assets $3.0B Loans $2.3B 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$2.5B Equity $223M NPA/Assets 0.07% Total RBC 13.88%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ROAA 1.26% EPS $0.49 (1) FDIC Deposit Market Share Report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of 6/30/25. (2) Loan amounts include deferred fees/costs.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(3) Company’s regulatory capital ratio. (4) Based on second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2026. Annualized. (5) Fully Diluted EPS for the quarter ended June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30, 2026. Commercial Banking Focused on servicing small-to-medium-sized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businesses within branch footprint Offer relationship-focused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retail deposit products to owners and operators of SMBs 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customers to access accounts through online and mobile banking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platforms Credit products include Asset-Based Loans, Lines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and Term Loans Provide Treasury Management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services to clients Relationship-driven with flexible solutions tailored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each client’s need For the Company as of June 30, 2026.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South Florida 10 Branches 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  <w:bookmarkStart w:id="13" w:name="a270"/>
      <w:bookmarkStart w:id="14" w:name="a270"/>
      <w:bookmarkEnd w:id="14"/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bookmarkStart w:id="15" w:name="a275"/>
      <w:bookmarkEnd w:id="15"/>
      <w:r>
        <w:rPr>
          <w:rFonts w:ascii="apos" w:hAnsi="apos"/>
          <w:bdr w:val="single" w:sz="2" w:space="1" w:color="C6C6C6"/>
        </w:rPr>
        <w:t>LOCATED IN A VIBRANT ECONOMY Florida is one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largest business markets in the country #2 in the U.S.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SBA loan production (6,302 loans) and #3 in SBA lending volume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($3.2B) in 2025 (1) Ranked #3 best state for business (CNBC, July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2025) (2) Investment activity is supported by EB-5 programs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luxury branded condominium and condo-hotel developments 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Corporate Relocations Fueling Economic Expansion Attracting hedge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funds, private equity, and tech firms — powered by a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-friendly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climate and no state income tax, as exemplified by Citadel’s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relocation (7) Major employers including Amazon and Blackstone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keep expanding their Miami footprint (7) Strong corporate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demand has driven Class A office rents close to $60/sq ft and premium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office space exceeding $100/sq ft (8) Global Gateway Economy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#1 U.S. airport for international freight (MIA) (4) A leading U.S.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container port (PortMiami) (5) The world's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busiest cruise port (6) A diverse and vibrant economy South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Florida MSA: 6.4M residents — 8th-largest U.S. metro (4) Florida: 23.5M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residents (+1.9M since 2020) — 3rd-most-populous state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(4) #5 in the 2026 State Tax Competitiveness Index (9) Home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20+ Fortune 500 companies (2025) (10) DORAL HEADQUARTERS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Sources: (1) U.S Small Business Administration (2) CNBC (3) GlobeNewswire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(4) Federal Reserve Bank of ST. Louis (5) U.S. Bureau of Labor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Statistics (6) Census.gov (7) Fox Business (8) Miami Herald (9)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 Foundation (10) Fortune Magazine 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SEASONED MANAGEMENT Luis de la Aguilera Chairman,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President &amp; CEO Previously President &amp; CEO of TotalBank 42+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years in banking Rob Anderson Chief Financial Officer Previously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CFO of Capstar Financial Holdings 20+ years in banking Oscar Gomez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Head of Global Banking Division Previously at Regions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 32+ years in banking Maricarmen Logroño Chief Risk Officer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Previously at Doral Bank 22+ years in banking Nicholas Bustle Chief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Lending Officer Previously at Valley Bank 37+ years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banking Sergio Garrido Chief Credit Officer Previously Director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Credit Underwriting 15+ years in banking Martha Guerra-Kattou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Director of Sales &amp; Marketing Previously at TotalBank 32+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years in banking Andres Collazo Director of Operations &amp; IT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Systems Previously at TotalBank 35+ years in banking Seasoned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Management Team with Local Banking Experience 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ACCOMPLISHED BOARD OF DIRECTORS Luis de la Aguilera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Chairman, President &amp; CEO Previously President &amp; CEO of TotalBank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Director since 2016 Aida Levitan Board Member President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Levitan Group Director since 2013 Howard Feinglass Board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Member Managing Partner, Priam Capital Director 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2015 Ramon M. Rodriguez Board Member Former Market President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Seacoast Bank Director since 2026 Bernardo Fernandez, Jr.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Board Member Corporate Physician Executive, Broward Health Director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since 2017 Ramon A. Rodriguez, CPA Board Member Former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Chairman and Chief Executive Officer Cable Insurance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Director since 2022 Robert Kafafian Board Member Executive Advisor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Wolf &amp; Company, P.C. Director since 2022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Maria C. Alonso Board Member Director, Axxes Capital Director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since 2022 Ramon M. Rodriguez Board Member Former Market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President Seacoast Bank Director since 2026 Highly Accomplished and Aligned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Board with Complementary Track Records 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OUR STRATEGY Organic Loan Growth: Take advantage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platform that we have developed post 2015 recapitalization, capitalize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fragmented Miami-Dade MSA community banking market,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continue to build market share Capitalize on inherent advantages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over smaller community banks which lack our product expertise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breadth of service Due to significant consolidation, there exists 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base of potential clients that desire to partner with a bank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locally headquartered Team Lift-outs: Continue to bring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top tier talent to U.S. Century Bank, with teams attracted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culture, public currency and local decision making Overall growth success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will depend upon our ability to attract, retain, develop, incentivize,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reward the human capital necessary to execute growth strategy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Attractive stock-based incentive compensation to attract top tier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talent Asset Purchases: Portfolio loan purchases; opportunistic to complement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organic growth initiatives Net capital can serve as dry powder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facilitate meaningfully sized portfolio acquisitions Proactively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evaluating portfolio opportunities that are consistent with USCB’s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philosophy Strategic Acquisitions: Become an active acquirer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Florida banks looking to find a partner Focused on strategic,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financially attractive acquisitions which support USCB’s organic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growth strategy without compromising the risk profile Numerous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potential partners in Miami-Dade MSA that may seek liquidity USCB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positioned to offer stock consideration 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BUSINESS VERTICALS Differentiated Banking Product Offerings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Services Private Client Group (1) $328MM Deposits Deposit aggregating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focus/strategy. Tailored products &amp; services for professionals,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professional firms, business owners, and affluent individuals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their families. PCG also provides concierge-level banking 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the legal and healthcare sectors delivering financial solutions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designed specifically for these professionals. Yacht Lending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$203MM Loans Yacht financing for larger vessels, transaction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range is $750k -$7.5MM. Brokered oriented business, 3 vendor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approved brokers. Member of the National Marine Lenders Association.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Launched this new vertical in 2022. Association Banking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$165MM Deposits / $135MM Loans Deposit aggregating focus/strat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egy. Banking for Homeowner Associations and Property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Managers. Offer deposit collection services and esoteric lending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solutions ranging from insurance premium and large capital improvement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financing. Significant lending capacity to target large credits.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SBA / Small Business Lending $64MM Loans Relationship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-oriented business focused on delivering fast loan commitments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small and medium-sized enterprises. Predominately small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line of credits and CD secured loans. Affordable SBA loan provider.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Approved by the SBA to participate in the Preferred Lenders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Program. Specialty banking products, services and solutions designed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small businesses, homeowner associations, law firms, medical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practices and other professional services firms, yacht lending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global banking services Correspondent Banking $245MM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/ $139MM Loans Comprehensive range of both domestic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international services with the latest in technology to ensure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quick processing. Focus on Caribbean and Latin American countries.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Correspondent banking services include letters of credit, foreign collections,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wire transfers,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ForEx and trade 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finance. Balances as of June 30, 2026. (1) Effective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4th quarter 2025, the Private Client Group vertical now includes balances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the entire business unit, encompassing not only some Jurist Advantage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Health Industry sectors, but also other professional and affluent client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segments. Accordingly, balances presented for PCG reflect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full scope of the business unit, rather than select sectors 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previously reported. When evaluating period-over-period trends,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please consider this expanded scope. 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DEPOSIT AGGREGATING VERTICALS Deposits Trend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(EOP) In millions $88 $229 $312 $352 $446 $492 $626 $686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$738 $48 $129 $138 $154 $177 $200 $265 $235 $245 $10 $38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$77 $68 $97 $112 $125 $146 $165 $30 $62 $97 $130 $172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$180 $236 $305 $328 2018 2019 2020 2021 2022 2023 2024 2025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PCG HOA Corresponding Banking Commentary As of June 30,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totaling $738 million were associated with the verticals.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Growth by vertical from 2018 to 2026: PCG (1): $298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HOA: $155 million. Correspondent Banking: $197 million. (1)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Effective 4th quarter 2025, the Private Client Group vertical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now includes balances for the entire business unit, encompassing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not only some Jurist Advantage and Health Industry sectors, but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also other professional and affluent client segments. Accordingly,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balances presented for PCG reflect the full scope of the business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unit, rather than select sectors as previously reported. When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evaluating period-over-period trends, please consider this expanded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scope.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Q2 2026 HIGHLIGHTS - Strong Earnings Growth Driven by Loan Production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&amp; Margin Expansion GROWTH EOP assets surpassed $3.0 billion.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loans increased $81.2 million or 15.0% 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over Q1. Average deposit increased $61.9 million or 10.2% annualize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Q1. Average DDA increased $47.4 million or 32.5% over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Q1. EARNINGS &amp; PROFITABILITY ROAA was 1.26%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ROAE was 15.90%. PTPP ROAA(1) was 1.93% improvement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1.79% for Q1. Net income was $9.1 million, or $0.49 per diluted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share. Net interest income before provision for credit losses increased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$24.4M, up $2.3 million or 42.6% annualized over Q1.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margin improved to 3.49% from 3.27% for Q1. Deposit cost decreased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 bps to 2.16% from Q1. Efficiency ratio was 49.97% improvement from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52.34%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Q1. CAPITAL/ CREDIT Non-performing loans totaled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$2.1 million or 0.09% of total loans. ACL coverage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 was 1.15% of total loans. Net charge-offs to average loans was 0.05%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risk-based capital ratio was 13.88% for the Company. (1) Non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-GAAP financial measure. See reconciliation in this presentation.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HISTORICAL FINANCIALS – Consistent Growth, Profitability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Discipline Loans In millions $765 $2,322 2017 2018 2019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2020 2021 2022 2023 2024 2025 Q2 2026 EOP for Balance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Sheet amounts In millions $820 $2,452 2017 2018 2019 2020 2021 2022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2023 2024 2025 Q2 2026 Total Stockholders’ Equity In millions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$114 $233 2017 2018 2019 2020 2021 2022 2023 2024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2026 ACL/Total Loans 1.33% 1.15% 2017 2018 2019 2020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2021 2022 2023 2024 2025 Q2 2026 Net Charge-offs (recoveries)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thousands ($2,182) $288 2017 2018 2019 2020 2021 2022 2023 2024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Q2 2026 Nonperforming Assets / Total Assets 0.17%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0.07% 2017 2018 2019 2020 2021 2022 2023 2024 2025 Q2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2026 Net Interest Income In millions $31 $84 2017 2018 2019 2020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2021 2022 2023 2024 2025 Q2 2026 Efficiency Ratio 86.65%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49.97% 2017 2018 2019 2020 2021 2022 2023 2024 2025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ROAA 0.52% 1.93% 2017 2018 2019 2020 2021 2022 2023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2024 2025 Q2 2026 (1) Loan amounts include deferred fees/costs.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(2) ACL was calculated under the CECL standard methodology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all periods beginning January 1, 2023, and the incurred loss methodology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all periods before. (3) Non-GAAP financial measure.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See reconciliation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this presentation. 12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FINANCIAL RESULTS – Strong Operating Performance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Driven by Balance Sheet Growth Balance Sheet (EOP) Income In thousands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per share data) Statement Q2 2026 Q1 2026 Q2 2025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Securities $468,986 $427,091 $444,122 Total Loans (1) $2,322,385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$2,241,051 $2,113,318 Total Assets $3,019,701 $2,845,735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$2,719,474 Total Deposits $2,452,271 $2,493,580 $2,335,661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Equity (2) $233,238 $223,246 $231,583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$24,387 $22,048 $21,034 Non-Interest Income $3,560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$4,150 $3,370 Total Revenue (3) $27,947 $26,198 $24,404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Provision for Credit Losses $1,267 $801 $1,031 Non-Interest Expense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$13,966 $13,711 $12,634 Income Before Income Taxes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$12,714 $11,686 $10,739 Income Tax Expense $3,636 $2,335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$2,599 Net Income $9,078 $9,351 $8,140 Diluted Earnings Per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Share (EPS) $0.49 $0.51 $0.40 PTPP Income (4) $13,981 $12,487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$11,770 Weighted Average Diluted Shares 18,509,572 18,454,006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20,295,794 (1) Loan amounts include deferred fees/costs. 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Equity includes accumulated other comprehensive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loss of $31.4 million for Q2 2026, $31.3 million for Q1 2026,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$41.8 million for Q2 2025. The increase in total stockholders’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equity was partially offset by the cost of the repurchase of 2.0 million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Class A common stock in September 2025, as previously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disclosed. (3) Equals net interest income plus non-interest income.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(4) Non-GAAP financial measures. See reconciliation in this presentation.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KEY PERFORMANCE INDICATORS - Profitable 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Driving Shareholder Value In thousands (except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TBV/share and ratios) Q2 2026 Q1 2026 Q2 2025 GROWTH PROFITABILITY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CAPITAL/CREDIT Total Assets (EOP) $3,019,701 $2,845,735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$2,719,474 Total Loans (EOP) (1) $2,322,385 $2,241,051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$2,113,318 Total Deposits (EOP) $2,452,271 $2,493,580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$2,335,661 Tangible Book Value/Share (2)(3)(5)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$12.64 $12.23 $11.53 Return On Average Assets (4) 1.26% 1.34%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1.22% PTPP Return On Average Assets (4)(5) 1.93% 1.79%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1.76% Return On Average Equity (4) 15.90% 17.07% 14.29%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Interest Margin (4) 3.49% 3.27% 3.28% Efficiency Ratio 49.97%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52.34% 51.77% Tangible Common Equity/Tangible 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(3)(5) 7.72% 7.84% 8.52% Total Risk-Based Capital (6)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13.88% 14.09% 13.73% NCO/Avg Loans (4) 0.05% 0.00%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0.14% NPA/Assets 0.07% 0.13% 0.05% Allowance for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Credit Losses/Loans 1.15% 1.16% 1.18% (1) Loan amounts include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fees/costs. (2) AOCI effect on tangible book value per share was ($1.70)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Q2 2026, ($1.72) for Q1 2026 and ($2.08) for Q2 2025. (3) TBV/share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TCE/TA were affected by the effect of the cost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repurchase of 2.0 million shares of Class A common stock in September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in stockholders' equity, as previously disclosed. (4) Annualized.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(5) Non-GAAP financial measure. See reconciliation in this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presentation. (6) Reflects the Company's regulatory capital ratios.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DEPOSIT PORTFOLIO – DDA Above $600MM Drives Lower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 Costs and Margin Expansion Deposits AVG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millions $2,291 $2,457 $2,453 $2,427 $2,489 $1,711 $1,887 $1,857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$1,842 $1,857 $580 $570 $596 $585 $632 Q2 2025 Q3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Q4 2025 Q1 2026 Q2 2026 Non-interest-beraing demand deposits Interst-bearing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Deposit EOP In millions $2,336 $2,456 $2,345 $2,494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$2,452 $462 $520 $528 $552 $532 $1,248 $1,292 $1,186 $1,264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$1,252 $41 $60 $47 $57 $50 $585 $584 $584 $621 $618 Q2 2025 Q3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Q4 2025 Q1 2026 Q2 2026 Non-interest-bearing demand 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Interest-bearing checking deposits Saving and money market deposits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Time deposits Q2 2025 Q3 2025 Q4 2025 Q1 2026 Q2 2026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-Bearing Deposits 3.29% 3.29% 3.02% 2.89% 2.90%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(1) 2.46% 2.53% 2.28% 2.20% 2.16% Commentary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Average DDA deposits increased by $47.4 million or 32.5% 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compared to prior quarter. Average deposits totaled $2.5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billion, reflecting an increase of $61.9 million or 10.2% annualized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compared to prior quarter and an increase of $198.3 million or 8.7%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compared to the second quarter of 2025. Deposit cost improved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2.16%, decreasing 4 bps quarter-over-quarter and 30 bps year-over-year.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 Cost (1) Reflects effects of non-interest-bearing deposits. Reflects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effects of non-interest-bearing demand deposits. 15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LOAN PORTFOLIO – Loan Growth Momentum Positions USCB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Sustained Performance Total Loans (AVG) 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millions 6.23% 6.21% 6.16% 6.11% 6.20% $2,057 $2,099 $2,131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$2,178 $2,259 Q2 2025 Q3 2025 Q4 2025 Q1 2026 Q2 2026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Yields Total Gross Loans (EOP) (1) In millions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$211MM Net Growth $2,106 $2,125 $2,183 $2,234 $2,317 $218 $208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$207 $208 $208 $110 $105 $128 $128 $138 $264 $269 $296 $291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$300 $307 $317 $308 $347 $357 1207 1226 1245 1260 1314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Commercial real estate Residential real estate Commercial and Industrial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Correspondent banks Consumer and other Commentary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increased $81.2 million or 14.96% annualized compared to prior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and $201.5 million or 9.8% compared to second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2025. Loan yield increased to 6.20% in Q2 2026, driven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the full-quarter impact of prior-quarter originations and new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added during the quarter. (1) Excludes deferred fees/cost.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LOAN PRODUCTION – Record Quarterly Loan Production of $272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Loan Production Trend In millions, except for ratios 7.12%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6.43% 5.93% 5.87% 5.90% $187 $110 $132 $113 $196 $137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$188 $136 $272 $189 Q2 2025 Q3 2025 Q4 2025 Q1 2026 Q2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2026 Loan Production/Line changes Loan Amortization/payoffs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New loans weighted average coupon Loan Composition Trend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EOP (1) In millions, except for ratios $948 $2,317 28% 15%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63% 57% 9% 28% Jun-26 Jun-26 Real Estate Loans (1) Excludes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deferred fees/cost. Commentary Gross loan production totaled $272.0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 during the second quarter of 2026, with June closings accounting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$116.5 million or 42.6%, of total quarterly production. Additionally,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$83.5 million, or 30.6% of quarterly loan closings, consisted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correspondent banking loans, which carried a new</w:t>
        <w:noBreakHyphen/>
        <w:t>loan yield of 5.22%;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these loans are typically 180-day notes. Excluding correspondent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banking loan production, the weighted</w:t>
        <w:noBreakHyphen/>
        <w:t>average yield on new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originated during the quarter was 6.20%. Embedded prepayment penalties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help protect yield and earnings in the event of early loan prepayments.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NET INTEREST MARGIN – NIM Driven by Loan Growth and Stable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Funding Cost Net Interest Income/Margin (1) 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3.28% 3.14% 3.27% 3.27% 3.49% $21,034 $2,174 $22,207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$22,048 $24,387 Q2 2025 Q3 2025 Q4 2025 Q1 2026 Q2 2026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 Income NIM Interest-Earning Assets Mix (AVG)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2% 4% 3% 4% 3% 18% 18% 18% 7% 16% 80% 78% 79%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79% 81% Q2 2025 Q3 2025 Q4 2025 Q1 2026 Q2 2026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 Investment Securities Cash Balances &amp; Equivalents Q2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Q3 2025 Q4 2025 Q1 2026 Q2 2026 Loans 6.23% 6.21% 6.16%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6.11% 6.20% Investment securities 3.06% 3.03% 3.01% 3.05%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3.35% Interest-earning assets 5.64% 5.56% 5.54% 5.49% 5.67%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Deposits (2) 2.46% 2.53% 2.28% 2.20% 2.16% Interest-bearing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liabilities 3.32% 3.34% 3.14% 3.05% 3.05% Commentary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increased $2.3 million or 42.6% annualized compared to prior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quarter and $3.4 million or 15.9% compared to second quarter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2025. Interest-earning asset mix shifted toward higher-yielding assets, while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lower funding costs and the increase in yields drove net 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and a 3.49% NIM. Interest Rates and Yields Annualized.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Reflects effects of non-interest-bearing deposits. 18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INTEREST RATE SENSITIVITY - Well Positioned to Navigate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Interest Rate Volatility Loan Portfolio Repricing Profile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Rate Type Hybrid ARM $85MM 4% Fixed Rate $851MM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37% $2,317MM Variable Rate $1,381MM 59% $535MM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36% $114MM 8% $817MM 56% Loan Repricing Schedule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Variable &amp; Hybrid Rate Loans $387MM 27% $794MM 54%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$163MM 11% $122M 8% $387MM 27% $1,466MM 0-1 yrs. 1-2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yrs. 2-3 yrs. &gt;3 yrs. Static NII Simulation Year 1 &amp; 2 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 Variable &amp; Hybrid Rate Loans 2.6% -100 +100 -3.1% Year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2 -100 -2.3% 0.9% +100 Net Interest Income change from base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($ in thousands and % change) 19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SECURITIES PORTFOLIO - Secondary Liquidity Source Supporting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Future Growth EOP for Balance Sheet amounts, in millions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Composition CMO 25% MBS 14% CMBS 47% SBA6% Agency 4%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Municipalities 1% Corporate 3% Bank Subordinated Debt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Portfolio Key Metrics Metrics as of 06/30/2026 Securities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$ 469.0 AFS as % of portfolio 71% HTM as % of portfolio 29% Qtr.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weighted avg. port. yield 3.35% Average life 6.4 Modified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duration 5.3 Commentary Securities portfolio totaled $469.0 million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;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71.0% of the portfolio is classified as AFS, while 29.0% is classified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HTM. The modified duration is 5.3 and the average life is 6.4 years.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Duration has increased because we have purchased longer-duration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bonds to protect the balance sheet from expected lower interest rates.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We expect to receive $27.5 million from the securities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the remainder of 2026, at current rates; these cashflows will support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growth and/or deposit volatility. 86% of the portfolio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 invested in agency mortgage-backed securities, boosting liquidity.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Estimated Short Term Cashflows -100 Base +100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$44.3 $27.5 $25.4 2027 $78.6 $58.5 $52.9 2028 $54.4 $49.1 $44.8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2029 $41.9 $41.9 $38.9 Total Cashflow $219.2 $176.9 $162.0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Cashflow / Total Portfolio 42% 34% 31% 20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ASSET QUALITY – Exceptional Credit Quality Supports Sustainable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Growth Allowance for Credit Losses In thousands (except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ratios) 1.18% 1.17% 1.16% 1.16% 1.15% $24,933 $24,964 $25,500 $26,102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$26,701 Q2 2025 Q3 2025 Q4 2025 Q1 2026 Q2 2026 Allowance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credit loss ACL/Total loans Non-performing Loans In thousands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(except ratios) 0.06% 0.06% 0.14% 0.16% 0.09% $1,366 $1,310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$3,138 $3,640 $2,148 Q2 2025 Q3 2025 Q4 2025 Q1 2026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Non-accrual loans Non-performing loans to total loans Commentary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allowance for credit losses had a net increase of $599 thousand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the prior quarter, as reserves built for loan growth were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partially offset by $288 thousand net charge-offs. ACL coverage ratio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was 1.15% as of June 30, 2026. Non</w:t>
        <w:noBreakHyphen/>
        <w:t>performing loans decreased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by $1.5 million from the prior quarter to $2.1 million. The non</w:t>
        <w:noBreakHyphen/>
        <w:t>performing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loans</w:t>
        <w:noBreakHyphen/>
        <w:t>to</w:t>
        <w:noBreakHyphen/>
        <w:t>total loans ratio decreased to 0.09% as of June 30, 2026.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Classified Loans (1) to Total Loans 0.27% 0.22% 0.29% 0.30%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0.20% Q2 2025 Q3 2025 Q4 2025 Q1 2026 Q2 2026 (1)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classified as substandard at period end. No loans classified doubtful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 any of the dates presented. 21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LOAN PORTFOLIO MIX Loan Portfolio Mix (1) Residential 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estate 15% CRE- Owner occupied 9% CRE – Non-owner occupied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48% Commercial and industrial 13% Correspondent Banks 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Consumer and other 9% $2,317MM Commentary Total 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balance at quarter end was $2,317 million (4). Commercial 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Estate (owner occupied and non-owner occupied) was 56.7% or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$1,314 million of the total loan portfolio. CRE mix is diversified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granular. Retail non-owner occupied makes up 25% of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total CRE or $330.8 million.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CRE Loan Mix Retail 25% Multifamily 24% CRE – Owner occupied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16% Office 9% Warehouse 12% Hotels 8% Land/Construction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3% Other 3% $1,314MM CRE Loan Portfolio (non-owner occupied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owner occupied) Weighted Average 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Type Outstanding Balance (1) LTV (2) DSCR (3)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Size (1) Retail $352 55% 1.52 $3.0 Multifamily $322 55% 1.31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$2.0 Office $187 53% 1.96 $1.5 Warehouse $230 56% 1.59 $1.7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Hotel $100 56% 2.02 $3.9 Other $83 53% 1.87 $1.6 Land/Construction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$40 51% NA $1.9 As of 06/30/26 (1) Balance in millions. Excludes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deferred fees/cost. (2) LTV - Loan to value ratio. (3)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DSCR - Debt service coverage ratio. (4) Excludes deferred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fees/cost (5) Includes loan types: office, warehouse, retail, and other 22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NON-INTEREST INCOME - Diversified Fee Income Provides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Consistent Revenue Contribution In thousands (except ratios) Q2 2026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Q1 2026 Q4 2025 Q3 2025 Q2 2025 Total service fees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$2,601 $3,100 $2,209 $2,661 $ 2,402 Wire fees $618 $623 $656 $647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$604 Swap fees $572 $1,554 $449 $790 $428 Other $1,411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$923 $1,104 $1,224 $1,370 Gain (loss) on sale of securities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available for sale - $14 ($7,498) ($28) - Gain on sale of loans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held for sale - $106 $197 $128 $151 Other income $959 $930 $914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$923 $817 Total non-interest income $3,560 $4,150 ($4,178)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$3,684 $3,370 Average total assets $2,900,725 $2,834,717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$2,799,863 $2,798,115 $2,677,198 Non-interest income/Average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(1) 0.49% 0.59% (0.59%) 0.52% 0.50% Commentary Non-interest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decreased in the second quarter of 2026, primarily due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elevated swap loan activity in the prior quarter. Other service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 income increased $488 thousand,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driven primarily by a $432 thousand increase in loan prepayment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penalty income compared to the prior quarter. Non-interest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was 12.7% of total revenue for second quarter 2026. (1) Annualized.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23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NON-INTEREST EXPENSE - Expense Management Supports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Leverage In thousands (except ratios) Q2 2026 Q1 2026 Q4 2025 Q3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2025 Q2 2025 Salaries and employee benefits $8,537 $8,570 $8,668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$7,909 $7,954 Occupancy 1,369 1,316 1,327 1,382 1,337 Regulatory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assessments and fees 397 484 443 377 396 Consulting and legal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fees 583 561 900 585 263 Network and information technology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524 560 599 656 564 Other operating expense 2,556 2,220 2,338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2,139 2,120 Total non-interest expense $13,966 $13,711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$14,275 $13,048 $12,634 Operating efficiency ratio (1) 49.97%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52.36% 55.92% 52.22% 51.77% Non-interest expense/Average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assets (2) 1.93% 1.96% 2.02% 1.85% 1.89% Full-time equivalent employees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216 211 204 206 203 Commentary Efficiency ratio improvement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49.97% supported by higher net interest income during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quarter. Total non-interest expense increased by $255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thousand compared to the prior quarter, primarily driven by a $312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thousand excise tax expense on share repurchases executed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 2025, which was recorded in other operating expense. (1) Non-GAAP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measures. See reconciliation in this presentation. (2) Annualized.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24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CAPITAL - Strong Capital Levels Support Continued Organic Growth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 Ratios (1) Leverage Ratio TCE/TA (2) Tier 1 Risk-Based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 Total Risk-Based Capital AOCI In Millions Q2 2026 8.81%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7.72% 11.01% 13.88% ($31.4) Q1 2026 8.61% 7.84% 11.09%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14.09% ($31.3) Q2 2025 9.72% 8.52% 12.52% 13.73% ($41.8) 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Capitalized 5.00% NA 8.00% 10.00% Commentary On July 20, 2026,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Company’s Board of Directors declared a quarterly 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dividend of $0.125 per share on the Company’s Class A common stock.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dividend will be payable on September 4, 2026, to shareholders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record as of the close of business on August 17, 2026. Q2 2026 EOP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common stock shares outstanding: 18,459,470. AOCI was ($31.4)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million or ($1.70) per share as of June 30, 2026. (1) Reflects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Company's regulatory capital ratios. (2) Non-GAAP financial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measures. See reconciliation in this presentation. 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TAKEAWAYS - Attractive Franchise Positioned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Continued Growth Leading franchise located in one of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most attractive banking markets in U.S. Scarcity value in the Miami MSA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Robust capital position with regulatory ratios well in excess of “well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capitalized” threshold Low risk, commercially oriented loan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portfolio Demonstrated profitability profile since 2015 recap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further improved by current management team Strong asset quality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minimal charge-offs experienced since 2015 recap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Attractive deposit base driven by steady growth in specialized verticals Balanced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liquidity profile with a 94.7% loan/deposit ratio (EOP) 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RISK MANAGEMENT Risk Management Philosophy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Culture Management has instilled a culture of adherence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well-developed risk management procedures. Management is responsible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day-to-day risk management (identifying, evaluating, and addressin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existing and potential risks that may exist at the enterprise, strategic,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financial, operational, compliance and reporting levels). The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risk management and compliance division consists of twenty-two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professionals covering enterprise risk management, cybersecurity,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third-party risk, bank secrecy, consumer compliance, regulatory,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corporate, and legal affairs. The division plays an active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role in assessing corporate risks, compliance and collaborating with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management to mitigate identified risks. Heightened focus on BSA / AML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/ KYC compliance due to foreign exposure. Individual country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loan exposure limited to between 0% - 70% of total capital based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individual country risk. Correspondent banking services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offered exclusively to institutions in countries meeting U.S. Century’s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robust risk tolerance framework. Highly experienced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compliance team with international compliance experience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from larger banking institutions. The audit and risk committee of the board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directors consists of four members primarily responsible for oversight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Company’s risk management, compliance, and internal controls: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Ramon Rodriguez (Chair), Bernardo Fernandez, Ramón Abadin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Maria Alonso. Credit Philosophy Conservative credit culture that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encourages prudent and desirable lending activities over unchecked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growth. Underwriting strength stems from deep understanding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U.S. Century’s market, long-standing relationships with clients,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a disciplined underwriting and credit review process.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Focused on maintaining a well-diversified and conservative loan portfolio.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Robust Credit Administration Underwriting group supported by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experienced credit officers with both credit analysis and len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ding experience.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Effective and independent loan review. Credit Committee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meetings conduct in-depth loan portfolio monitoring, including concentration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limits. Active monitoring and reporting on existing or emerging concentrations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targeted reviews of any higher risk portfolios. 27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TECHNOLOGY SUPPORT 2016 Paperless Account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Opening January ‘16 – April ‘16 International Letter Of Credit April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16 – July ‘16 "Reporting Database May ‘16 – September ‘16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" EMV Debit Cards August ‘16 – October ‘16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2017 Instant Issue Debit Card October ‘16 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– March ‘17 Cash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Management Portal August ‘16 – March ‘17 Fedlink Anywhere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April ‘17 – September ‘17 2018 Network In-housing January ‘18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 xml:space="preserve">– 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September ‘18 "Secureworks MSSP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January ‘18 – May ‘18" OFFICE 365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 xml:space="preserve"> February ‘18 –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18 2019 Horizon Core Conversion September ‘18 – September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 Zelle P2P June ‘19 – November ‘19 Image Deposit ATM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March ‘19 – December ‘19 2020 Accounts Payable November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19 – January ‘20 Collaboration Applications February ‘20 – March</w:t>
      </w:r>
    </w:p>
    <w:p>
      <w:pPr>
        <w:pStyle w:val="TextBody"/>
        <w:bidi w:val="0"/>
        <w:spacing w:before="0" w:after="0"/>
        <w:jc w:val="left"/>
        <w:rPr>
          <w:caps w:val="false"/>
          <w:smallCaps w:val="false"/>
          <w:color w:val="FFFFFF"/>
          <w:bdr w:val="single" w:sz="2" w:space="1" w:color="C6C6C6"/>
        </w:rPr>
      </w:pPr>
      <w:r>
        <w:rPr>
          <w:caps w:val="false"/>
          <w:smallCaps w:val="false"/>
          <w:color w:val="FFFFFF"/>
          <w:bdr w:val="single" w:sz="2" w:space="1" w:color="C6C6C6"/>
        </w:rPr>
        <w:t>‘</w:t>
      </w: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20 PPP Loan Origination System May ‘20 – June ‘20 2021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Summit PPP Loan Origination January ‘21 – February ‘21 "Treasury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Management Platform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November ‘20 – Octo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ber ‘21 " Immutable backup solution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Jan ‘21– June ‘21 "CECL and ALLL Application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June ‘21 – December ‘21"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Contuned next slide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TECHNOLOGY SUPPORT 2022 "Remote Account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Opening October ‘21 – March ‘22" "Secureworks MXDR platform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Feb ‘22 – July 22’" Ring Central call reporting October ‘22 –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March ‘23 2023 "Loan origination system June ‘22 – May ‘23"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FED Now payments January ‘23 – October ‘23 2024 Pidgin real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time payments January ‘23 – October ‘23 Check fraud application 2025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- 2026 CRM system Zelle for Small Business Financial reporting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application Microsoft CoPilot GenAI ACH Positive Pay/ACH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Alert Account analysis solution Crowd Strike Solution Power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Automate front end automation Commercial Account Opening PBX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(SaaS) – Teams Calling November ‘23– April ‘25 Wire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fraud application Ascent LOS front end Cloud (Iaas) for DR environment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July ‘23 – May ‘25 Perplexity Pro AI (Enterprise) AFS ACH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Positive Pay Retina wire &amp; ACH Fraud Solution 29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NON-GAAP RECONCILIATION In thousands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(except ratios)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of or For the Three Months Ended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6/30/2026 3/31/2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026 12/31/2025 9/30/2025 6/30/2025 Pre-tax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pre-provision ("PTPP") income: Net income $ 9,078 $ 9,351 $ 1,363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$ 8,939 $ 8,140 Plus: Income tax expense 3,636 2,335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1,911 2,866 2,599 Plus: Provision for credit losses 1,267 801 480 105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1,031 PTPP income $ 13,981 $ 12,487 $ 3,754 $ 11,910 $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11,770 PTPP return on average assets: PTPP income $ 13,981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$ 12,487 $ 3,754 $ 11,910 $ 11,770 Average assets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$ 2,900,725 $ 2,834,717 $ 2,799,863 $ 2,798,115 $ 2,677,198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PTPP return on average assets 1.93% 1.79% 0.53% 1.69% 1.76%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net income: Net income $ 9,078 $ 9,351 $ 1,363 $ 8,939 $ 8,140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Less: Net gains (losses) on sale of securities - 14 (7,498) (28)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- Less: Tax effect on sale of securities - (4) 1,900 7 - Plus: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 (benefit) liability expense from prior periods - (640) (619)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1,096 - Operating net income $ 9,078 $ 8,722 $ 8,057 $ 8,960 $ 8,140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return on average assets: Operating net income $ 9,078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$ 8,722 $ 8,057 $ 8,960 $ 8,140 Average assets $ 2,900,725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$ 2,834,717 $ 2,799,863 $ 2,798,115 $ 2,677,198 Operating net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return on average assets 1.26% 1.25% 1.14% 1.27% 1.22%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return on average equity: Operating net income $ 9,078 $ 8,722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$ 8,057 $ 8,960 $ 8,140 Average equity $ 228,933 $ 222,226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$ 212,393 $ 225,316 $ 228,492 Operating net income return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on average equity 15.90% 15.92% 15.05% 15.78% 14.29%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revenue: Net interest income $ 24,387 $ 22,048 $ 22,207 $ 21,274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$ 21,034 Non-interest income 3,560 4,150 (4,178) 3,684 3,370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Less: Net gains (losses) on sale of securities - 14 (7,498) (28) -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revenue $ 27,947 $ 26,184 $ 25,527 $ 24,986 $ 24,404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efficiency ratio: Total non-interest expense $ 13,966 $ 13,711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$ 14,275 $ 13,048 $ 12,634 Operating revenue $ 27,947 $ 26,184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$ 25,527 $ 24,986 $ 24,404 Operating efficiency ratio 49.97% 52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.36%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55.92% 52.22% 51.77%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Footnotes: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(1) The Company belie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ves these non-GAAP financial measurements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key indicators of the ongoing earnings power of the Company. 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Annualized. (3) The Company recognized a $619 thousand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income tax benefit in the first quarter of 2026 due to an adjustment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to the deferred tax asset calculation from 2025. (4) State tax liability expenses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for 2024 and for the first three quarters of 2025 were recognized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during the fourth quarter of 2025. The state tax expense is related to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taxes due on interest income on loans whose collateral is located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outside of the State of Florida. 30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APPENDIX – NON-GAAP RECONCILIATION In thousands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(except ratios and share data)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As of or For the Three Months Ended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6/30/2026 3/31/2026 12/31/2025 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9/30/2025 6/30/2025 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book value per common share (at period-end): (1)(4) Total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stockholders' equity $ 233,238 $ 223,246 $ 217,183 $ 209,095 Less: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Intangible assets - - - - Tangible stockholders' equity (3) $ 233,238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$ 223,246 $ 217,183 $ 209,095 Total shares issued and outstanding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(at period-end): Total common shares issued and outstanding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18,459,470 18,257,400 18,137,885 18,107,385 Tangible book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value per common share (2) $ 12.64 $ 12.23 $ 11.97 $ 11.55 Operating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diluted net income per common share: (1) Operating net income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$ 9,078 $ 8,722 $ 8,057 $ 8,960 Total weighted average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diluted shares of common stock 18,509,572 18,454,006 18,348,725 19,755,820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Operating diluted net income per common share: $ 0.49 $ 0.47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$ 0.44 $ 0.45 Tangible Common Equity/Tangible Assets (1)(4)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Tangible stockholders' equity (3) $ 233,238 $ 223,246 $ 217,183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$ 209,095 Tangible total assets (3) $ 3,019,701 $ 2,845,735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$ 2,791,540 $ 2,767,945 Tangible Common Equity/Tangible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Assets 7.72% 7.84% 7.78% 7.55%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Footnotes: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caps w:val="false"/>
          <w:smallCaps w:val="false"/>
          <w:color w:val="FFFFFF"/>
          <w:bdr w:val="single" w:sz="2" w:space="1" w:color="C6C6C6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 xml:space="preserve">(1) The Company believes these </w:t>
      </w:r>
      <w:r>
        <w:rPr>
          <w:rFonts w:ascii="apos" w:hAnsi="apos"/>
          <w:caps w:val="false"/>
          <w:smallCaps w:val="false"/>
          <w:color w:val="FFFFFF"/>
          <w:bdr w:val="single" w:sz="2" w:space="1" w:color="C6C6C6"/>
        </w:rPr>
        <w:t>non-GAAP financial measurements are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key indicators of the ongoing earnings power of the Company. (2)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Excludes the dilutive effect, if any, of shares of common stock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issuable upon exercise of outstanding stock options. (3) Since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Company has no intangible assets, tangible stockholders' equity and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tangible total assets are the same amounts as stockholders' equity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and total assets, respectively, as calculated under GAAP. (4)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The decrease in total stockholders' equity in September 2025 was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primarily driven by the repurchase of 2.0 million shares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of Class A common stock, as previously disclosed. 31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jc w:val="left"/>
        <w:rPr>
          <w:bdr w:val="single" w:sz="2" w:space="1" w:color="C6C6C6"/>
        </w:rPr>
      </w:pPr>
      <w:r>
        <w:rPr>
          <w:bdr w:val="single" w:sz="2" w:space="1" w:color="C6C6C6"/>
        </w:rPr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rFonts w:ascii="apos" w:hAnsi="apos"/>
          <w:bdr w:val="single" w:sz="2" w:space="1" w:color="C6C6C6"/>
        </w:rPr>
      </w:pPr>
      <w:r>
        <w:rPr>
          <w:rFonts w:ascii="apos" w:hAnsi="apos"/>
          <w:bdr w:val="single" w:sz="2" w:space="1" w:color="C6C6C6"/>
        </w:rPr>
        <w:t>CONTACT INFORMATION LOU DE LA AGUILERA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Chairman, President &amp; CEO (305) 715-5186 ROB ANDERSON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EVP, Chief Financial Officer (305) 715-5393 rob.anderson@uscentury.com</w:t>
      </w:r>
    </w:p>
    <w:p>
      <w:pPr>
        <w:pStyle w:val="TextBody"/>
        <w:bidi w:val="0"/>
        <w:spacing w:before="0" w:after="0"/>
        <w:jc w:val="left"/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</w:pPr>
      <w:r>
        <w:rPr>
          <w:rFonts w:ascii="apos" w:hAnsi="apos"/>
          <w:b w:val="false"/>
          <w:i w:val="false"/>
          <w:caps w:val="false"/>
          <w:smallCaps w:val="false"/>
          <w:color w:val="FFFFFF"/>
          <w:sz w:val="2"/>
          <w:bdr w:val="single" w:sz="2" w:space="1" w:color="C6C6C6"/>
        </w:rPr>
        <w:t>laguilera@uscentury.com INVESTOR RELATIONS InvestorRelations@uscentury.com</w:t>
      </w:r>
    </w:p>
    <w:p>
      <w:pPr>
        <w:pStyle w:val="TextBody"/>
        <w:bidi w:val="0"/>
        <w:spacing w:before="0" w:after="0"/>
        <w:jc w:val="left"/>
        <w:rPr>
          <w:rFonts w:ascii="apos" w:hAnsi="apos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</w:pPr>
      <w:r>
        <w:rPr>
          <w:rFonts w:eastAsia="Times New Roman" w:cs="Times New Roman" w:ascii="apos" w:hAnsi="apos"/>
          <w:b w:val="false"/>
          <w:bCs w:val="false"/>
          <w:i w:val="false"/>
          <w:iCs w:val="false"/>
          <w:caps w:val="false"/>
          <w:smallCaps w:val="false"/>
          <w:color w:val="FFFFFF"/>
          <w:sz w:val="2"/>
          <w:szCs w:val="2"/>
          <w:bdr w:val="single" w:sz="2" w:space="1" w:color="C6C6C6"/>
        </w:rPr>
        <w:t xml:space="preserve">32 </w:t>
      </w:r>
    </w:p>
    <w:sectPr>
      <w:type w:val="continuous"/>
      <w:pgSz w:w="11906" w:h="16838"/>
      <w:pgMar w:left="1134" w:right="567" w:gutter="0" w:header="0" w:top="567" w:footer="0" w:bottom="567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p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jpeg"/><Relationship Id="rId25" Type="http://schemas.openxmlformats.org/officeDocument/2006/relationships/image" Target="media/image24.jpe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image" Target="media/image27.jpeg"/><Relationship Id="rId29" Type="http://schemas.openxmlformats.org/officeDocument/2006/relationships/image" Target="media/image28.jpeg"/><Relationship Id="rId30" Type="http://schemas.openxmlformats.org/officeDocument/2006/relationships/image" Target="media/image29.jpeg"/><Relationship Id="rId31" Type="http://schemas.openxmlformats.org/officeDocument/2006/relationships/image" Target="media/image30.jpeg"/><Relationship Id="rId32" Type="http://schemas.openxmlformats.org/officeDocument/2006/relationships/image" Target="media/image31.jpeg"/><Relationship Id="rId33" Type="http://schemas.openxmlformats.org/officeDocument/2006/relationships/image" Target="media/image32.jpeg"/><Relationship Id="rId34" Type="http://schemas.openxmlformats.org/officeDocument/2006/relationships/fontTable" Target="fontTable.xml"/><Relationship Id="rId3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8</Pages>
  <Words>6817</Words>
  <Characters>38518</Characters>
  <CharactersWithSpaces>44580</CharactersWithSpaces>
  <Paragraphs>877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