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160" w:type="dxa"/>
            <w:vAlign w:val="bottom"/>
          </w:tcPr>
          <w:p>
            <w:pPr>
              <w:ind w:left="11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EVP and CFO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122,699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5,861 shares of restricted stock from a grant of 8,792 shares which commenced vesting at a rate of one-third per year on January 21, 2026, 1,375 shares of restricted stock from a grant of 4,127 shares which commenced vesting at a rate of one-third per year on January 22, 2025, 8,333 shares of restricted stock from a grant of 25,000 shares which commenced vesting at a rate of one-third per year on December 31, 2024 and 8,878 shares of restricted stock which vest at a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10,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27, 2022.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23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2026-03-10T15:06:01Z</dcterms:created>
  <dcterms:modified xsi:type="dcterms:W3CDTF">2026-03-10T15:06:01Z</dcterms:modified>
</cp:coreProperties>
</file>